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1C1B96"/>
    <w:p w14:paraId="2BDA8534"/>
    <w:p w14:paraId="69BB410E"/>
    <w:p w14:paraId="447AD98D"/>
    <w:p w14:paraId="44A3EF2C">
      <w:pPr>
        <w:jc w:val="center"/>
        <w:rPr>
          <w:rFonts w:ascii="黑体" w:hAnsi="黑体" w:eastAsia="黑体"/>
          <w:b/>
          <w:sz w:val="84"/>
          <w:szCs w:val="84"/>
        </w:rPr>
      </w:pPr>
      <w:r>
        <w:rPr>
          <w:rFonts w:hint="eastAsia" w:ascii="黑体" w:hAnsi="黑体" w:eastAsia="黑体"/>
          <w:b/>
          <w:sz w:val="84"/>
          <w:szCs w:val="84"/>
        </w:rPr>
        <w:t>招　标　文　件</w:t>
      </w:r>
    </w:p>
    <w:p w14:paraId="178774A8">
      <w:pPr>
        <w:spacing w:line="480" w:lineRule="auto"/>
        <w:ind w:firstLine="2249" w:firstLineChars="700"/>
        <w:jc w:val="left"/>
        <w:rPr>
          <w:rFonts w:ascii="Arial" w:hAnsi="Arial" w:eastAsia="宋体" w:cs="Times New Roman"/>
          <w:b/>
          <w:bCs/>
          <w:color w:val="000000"/>
          <w:kern w:val="0"/>
          <w:sz w:val="32"/>
          <w:szCs w:val="24"/>
        </w:rPr>
      </w:pPr>
    </w:p>
    <w:p w14:paraId="44FC9C77">
      <w:pPr>
        <w:spacing w:line="480" w:lineRule="auto"/>
        <w:jc w:val="left"/>
        <w:rPr>
          <w:rFonts w:ascii="Arial" w:hAnsi="Arial" w:eastAsia="宋体" w:cs="Times New Roman"/>
          <w:b/>
          <w:bCs/>
          <w:color w:val="000000"/>
          <w:kern w:val="0"/>
          <w:sz w:val="32"/>
          <w:szCs w:val="24"/>
        </w:rPr>
      </w:pPr>
    </w:p>
    <w:p w14:paraId="5A850F7A">
      <w:pPr>
        <w:spacing w:line="480" w:lineRule="auto"/>
        <w:ind w:firstLine="2249" w:firstLineChars="700"/>
        <w:jc w:val="left"/>
        <w:rPr>
          <w:rFonts w:ascii="Arial" w:hAnsi="Arial" w:eastAsia="宋体" w:cs="Times New Roman"/>
          <w:b/>
          <w:bCs/>
          <w:color w:val="000000"/>
          <w:kern w:val="0"/>
          <w:sz w:val="32"/>
          <w:szCs w:val="24"/>
        </w:rPr>
      </w:pPr>
    </w:p>
    <w:p w14:paraId="743AEB70">
      <w:pPr>
        <w:spacing w:line="480" w:lineRule="auto"/>
        <w:ind w:firstLine="2249" w:firstLineChars="700"/>
        <w:jc w:val="left"/>
        <w:rPr>
          <w:rFonts w:ascii="Arial" w:hAnsi="Arial" w:eastAsia="宋体" w:cs="Times New Roman"/>
          <w:b/>
          <w:bCs/>
          <w:color w:val="000000"/>
          <w:kern w:val="0"/>
          <w:sz w:val="32"/>
          <w:szCs w:val="32"/>
        </w:rPr>
      </w:pPr>
    </w:p>
    <w:p w14:paraId="2BB5E933">
      <w:pPr>
        <w:spacing w:line="480" w:lineRule="auto"/>
        <w:ind w:firstLine="643" w:firstLineChars="200"/>
        <w:rPr>
          <w:rFonts w:hint="eastAsia" w:ascii="Arial" w:hAnsi="Arial" w:eastAsia="宋体" w:cs="Times New Roman"/>
          <w:b/>
          <w:bCs/>
          <w:color w:val="000000"/>
          <w:kern w:val="0"/>
          <w:sz w:val="32"/>
          <w:szCs w:val="32"/>
          <w:lang w:eastAsia="zh-CN"/>
        </w:rPr>
      </w:pPr>
      <w:r>
        <w:rPr>
          <w:rFonts w:hint="eastAsia" w:ascii="Arial" w:hAnsi="Arial" w:eastAsia="宋体" w:cs="Times New Roman"/>
          <w:b/>
          <w:bCs/>
          <w:color w:val="000000"/>
          <w:kern w:val="0"/>
          <w:sz w:val="32"/>
          <w:szCs w:val="32"/>
        </w:rPr>
        <w:t>项目名称：</w:t>
      </w:r>
      <w:r>
        <w:rPr>
          <w:rFonts w:hint="eastAsia" w:ascii="Arial" w:hAnsi="Arial" w:eastAsia="宋体" w:cs="Times New Roman"/>
          <w:b/>
          <w:bCs/>
          <w:color w:val="000000"/>
          <w:kern w:val="0"/>
          <w:sz w:val="32"/>
          <w:szCs w:val="32"/>
          <w:lang w:eastAsia="zh-CN"/>
        </w:rPr>
        <w:t>东海县城镇生活污水处理厂污泥处置项目</w:t>
      </w:r>
    </w:p>
    <w:p w14:paraId="0F415E43">
      <w:pPr>
        <w:spacing w:line="480" w:lineRule="auto"/>
        <w:ind w:firstLine="1285" w:firstLineChars="400"/>
        <w:rPr>
          <w:rFonts w:hint="eastAsia" w:ascii="黑体" w:hAnsi="Arial" w:eastAsia="宋体" w:cs="Times New Roman"/>
          <w:b/>
          <w:color w:val="000000"/>
          <w:kern w:val="0"/>
          <w:sz w:val="32"/>
          <w:szCs w:val="32"/>
          <w:highlight w:val="none"/>
          <w:lang w:eastAsia="zh-CN"/>
        </w:rPr>
      </w:pPr>
      <w:r>
        <w:rPr>
          <w:rFonts w:hint="eastAsia" w:ascii="Arial" w:hAnsi="Arial" w:eastAsia="宋体" w:cs="Times New Roman"/>
          <w:b/>
          <w:bCs/>
          <w:kern w:val="0"/>
          <w:sz w:val="32"/>
          <w:szCs w:val="32"/>
        </w:rPr>
        <w:t>项目编号</w:t>
      </w:r>
      <w:r>
        <w:rPr>
          <w:rFonts w:hint="eastAsia" w:ascii="Arial" w:hAnsi="Arial" w:eastAsia="宋体" w:cs="Times New Roman"/>
          <w:b/>
          <w:bCs/>
          <w:kern w:val="0"/>
          <w:sz w:val="32"/>
          <w:szCs w:val="32"/>
          <w:highlight w:val="none"/>
        </w:rPr>
        <w:t>：</w:t>
      </w:r>
      <w:r>
        <w:rPr>
          <w:rFonts w:hint="eastAsia" w:ascii="Arial" w:hAnsi="Arial" w:eastAsia="宋体" w:cs="Times New Roman"/>
          <w:b/>
          <w:bCs/>
          <w:kern w:val="0"/>
          <w:sz w:val="32"/>
          <w:szCs w:val="32"/>
          <w:highlight w:val="none"/>
          <w:lang w:eastAsia="zh-CN"/>
        </w:rPr>
        <w:t>JSZC-320722-BLZB-G2024-0020</w:t>
      </w:r>
    </w:p>
    <w:p w14:paraId="0644ACC6">
      <w:pPr>
        <w:spacing w:line="480" w:lineRule="auto"/>
        <w:jc w:val="center"/>
        <w:rPr>
          <w:rFonts w:ascii="黑体" w:hAnsi="Arial" w:eastAsia="黑体" w:cs="Times New Roman"/>
          <w:b/>
          <w:color w:val="000000"/>
          <w:kern w:val="0"/>
          <w:sz w:val="44"/>
          <w:szCs w:val="21"/>
        </w:rPr>
      </w:pPr>
    </w:p>
    <w:p w14:paraId="5DBF4904">
      <w:pPr>
        <w:spacing w:line="480" w:lineRule="auto"/>
        <w:jc w:val="center"/>
        <w:rPr>
          <w:rFonts w:ascii="黑体" w:hAnsi="Arial" w:eastAsia="黑体" w:cs="Times New Roman"/>
          <w:b/>
          <w:color w:val="000000"/>
          <w:kern w:val="0"/>
          <w:sz w:val="44"/>
          <w:szCs w:val="21"/>
        </w:rPr>
      </w:pPr>
    </w:p>
    <w:p w14:paraId="692EDF01">
      <w:pPr>
        <w:spacing w:line="480" w:lineRule="auto"/>
        <w:jc w:val="center"/>
        <w:rPr>
          <w:rFonts w:ascii="黑体" w:hAnsi="Arial" w:eastAsia="黑体" w:cs="Times New Roman"/>
          <w:b/>
          <w:color w:val="000000"/>
          <w:kern w:val="0"/>
          <w:sz w:val="44"/>
          <w:szCs w:val="21"/>
        </w:rPr>
      </w:pPr>
    </w:p>
    <w:p w14:paraId="53A1E154">
      <w:pPr>
        <w:spacing w:line="480" w:lineRule="auto"/>
        <w:jc w:val="both"/>
        <w:rPr>
          <w:rFonts w:ascii="黑体" w:hAnsi="Arial" w:eastAsia="黑体" w:cs="Times New Roman"/>
          <w:b/>
          <w:color w:val="000000"/>
          <w:kern w:val="0"/>
          <w:sz w:val="44"/>
          <w:szCs w:val="21"/>
        </w:rPr>
      </w:pPr>
    </w:p>
    <w:p w14:paraId="68D38884">
      <w:pPr>
        <w:spacing w:line="480" w:lineRule="auto"/>
        <w:jc w:val="center"/>
        <w:rPr>
          <w:rFonts w:ascii="黑体" w:hAnsi="Arial" w:eastAsia="黑体" w:cs="Times New Roman"/>
          <w:b/>
          <w:color w:val="000000"/>
          <w:kern w:val="0"/>
          <w:sz w:val="44"/>
          <w:szCs w:val="21"/>
        </w:rPr>
      </w:pPr>
    </w:p>
    <w:p w14:paraId="142CEF47">
      <w:pPr>
        <w:spacing w:before="120" w:after="120" w:line="360" w:lineRule="auto"/>
        <w:jc w:val="center"/>
        <w:rPr>
          <w:rFonts w:hint="eastAsia" w:ascii="Arial" w:hAnsi="Arial" w:eastAsia="宋体" w:cs="Times New Roman"/>
          <w:b/>
          <w:bCs/>
          <w:color w:val="000000"/>
          <w:kern w:val="0"/>
          <w:sz w:val="32"/>
          <w:szCs w:val="24"/>
          <w:highlight w:val="none"/>
        </w:rPr>
      </w:pPr>
    </w:p>
    <w:p w14:paraId="4C4A0C56">
      <w:pPr>
        <w:spacing w:before="120" w:after="120" w:line="360" w:lineRule="auto"/>
        <w:jc w:val="center"/>
        <w:rPr>
          <w:rFonts w:ascii="Arial" w:hAnsi="Arial" w:eastAsia="宋体" w:cs="Times New Roman"/>
          <w:b/>
          <w:bCs/>
          <w:color w:val="000000"/>
          <w:kern w:val="0"/>
          <w:sz w:val="36"/>
          <w:szCs w:val="28"/>
        </w:rPr>
      </w:pPr>
      <w:r>
        <w:rPr>
          <w:rFonts w:hint="eastAsia" w:ascii="Arial" w:hAnsi="Arial" w:eastAsia="宋体" w:cs="Times New Roman"/>
          <w:b/>
          <w:bCs/>
          <w:color w:val="000000"/>
          <w:kern w:val="0"/>
          <w:sz w:val="36"/>
          <w:szCs w:val="28"/>
          <w:highlight w:val="none"/>
        </w:rPr>
        <w:t>江苏博伦项目管理有限公司</w:t>
      </w:r>
    </w:p>
    <w:p w14:paraId="3896303F">
      <w:pPr>
        <w:spacing w:before="120" w:after="120" w:line="360" w:lineRule="auto"/>
        <w:jc w:val="center"/>
      </w:pPr>
      <w:r>
        <w:rPr>
          <w:rFonts w:hint="eastAsia" w:ascii="Arial" w:hAnsi="Arial" w:eastAsia="宋体" w:cs="Times New Roman"/>
          <w:b/>
          <w:bCs/>
          <w:color w:val="000000"/>
          <w:kern w:val="0"/>
          <w:sz w:val="36"/>
          <w:szCs w:val="28"/>
          <w:highlight w:val="none"/>
        </w:rPr>
        <w:t>2024年</w:t>
      </w:r>
      <w:r>
        <w:rPr>
          <w:rFonts w:hint="eastAsia" w:ascii="Arial" w:hAnsi="Arial" w:eastAsia="宋体" w:cs="Times New Roman"/>
          <w:b/>
          <w:bCs/>
          <w:color w:val="000000"/>
          <w:kern w:val="0"/>
          <w:sz w:val="36"/>
          <w:szCs w:val="28"/>
          <w:highlight w:val="none"/>
          <w:lang w:val="en-US" w:eastAsia="zh-CN"/>
        </w:rPr>
        <w:t>10</w:t>
      </w:r>
      <w:r>
        <w:rPr>
          <w:rFonts w:hint="eastAsia" w:ascii="Arial" w:hAnsi="Arial" w:eastAsia="宋体" w:cs="Times New Roman"/>
          <w:b/>
          <w:bCs/>
          <w:color w:val="000000"/>
          <w:kern w:val="0"/>
          <w:sz w:val="36"/>
          <w:szCs w:val="28"/>
          <w:highlight w:val="none"/>
        </w:rPr>
        <w:t>月</w:t>
      </w:r>
      <w:r>
        <w:br w:type="page"/>
      </w:r>
      <w:r>
        <w:fldChar w:fldCharType="begin"/>
      </w:r>
      <w:r>
        <w:instrText xml:space="preserve"> TOC \o "1-1" \u </w:instrText>
      </w:r>
      <w:r>
        <w:fldChar w:fldCharType="separate"/>
      </w:r>
    </w:p>
    <w:p w14:paraId="6AE0BA54">
      <w:pPr>
        <w:pStyle w:val="4"/>
        <w:spacing w:beforeLines="50" w:afterLines="50" w:line="360" w:lineRule="auto"/>
        <w:jc w:val="center"/>
        <w:rPr>
          <w:rFonts w:ascii="黑体" w:hAnsi="黑体" w:eastAsia="黑体"/>
          <w:b w:val="0"/>
        </w:rPr>
      </w:pPr>
      <w:r>
        <w:rPr>
          <w:rFonts w:hint="eastAsia" w:ascii="黑体" w:hAnsi="黑体" w:eastAsia="黑体"/>
          <w:b w:val="0"/>
        </w:rPr>
        <w:t>目  录</w:t>
      </w:r>
    </w:p>
    <w:p w14:paraId="03C7E770">
      <w:pPr>
        <w:pStyle w:val="18"/>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189FD6A3">
      <w:pPr>
        <w:pStyle w:val="18"/>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1A444035">
      <w:pPr>
        <w:pStyle w:val="18"/>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21</w:t>
      </w:r>
      <w:r>
        <w:rPr>
          <w:sz w:val="32"/>
        </w:rPr>
        <w:fldChar w:fldCharType="end"/>
      </w:r>
    </w:p>
    <w:p w14:paraId="1937A661">
      <w:pPr>
        <w:pStyle w:val="18"/>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29</w:t>
      </w:r>
      <w:r>
        <w:rPr>
          <w:sz w:val="32"/>
        </w:rPr>
        <w:fldChar w:fldCharType="end"/>
      </w:r>
    </w:p>
    <w:p w14:paraId="6C249FA0">
      <w:pPr>
        <w:pStyle w:val="18"/>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26</w:t>
      </w:r>
      <w:r>
        <w:rPr>
          <w:sz w:val="32"/>
        </w:rPr>
        <w:fldChar w:fldCharType="end"/>
      </w:r>
    </w:p>
    <w:p w14:paraId="4D9F0310">
      <w:pPr>
        <w:pStyle w:val="18"/>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28</w:t>
      </w:r>
      <w:r>
        <w:rPr>
          <w:sz w:val="32"/>
        </w:rPr>
        <w:fldChar w:fldCharType="end"/>
      </w:r>
    </w:p>
    <w:p w14:paraId="77CC5D77">
      <w:pPr>
        <w:widowControl/>
        <w:jc w:val="left"/>
      </w:pPr>
      <w:r>
        <w:fldChar w:fldCharType="end"/>
      </w:r>
      <w:r>
        <w:br w:type="page"/>
      </w:r>
    </w:p>
    <w:p w14:paraId="0E286CF3">
      <w:pPr>
        <w:pStyle w:val="4"/>
        <w:spacing w:beforeLines="50" w:afterLines="50"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type="lines" w:linePitch="312" w:charSpace="0"/>
        </w:sectPr>
      </w:pPr>
      <w:bookmarkStart w:id="0" w:name="_Toc155796356"/>
    </w:p>
    <w:p w14:paraId="19A3802C">
      <w:pPr>
        <w:pStyle w:val="4"/>
        <w:spacing w:beforeLines="50" w:afterLines="50" w:line="360" w:lineRule="auto"/>
        <w:jc w:val="center"/>
        <w:rPr>
          <w:rFonts w:ascii="黑体" w:hAnsi="黑体" w:eastAsia="黑体"/>
          <w:b w:val="0"/>
        </w:rPr>
      </w:pPr>
      <w:r>
        <w:rPr>
          <w:rFonts w:hint="eastAsia" w:ascii="黑体" w:hAnsi="黑体" w:eastAsia="黑体"/>
          <w:b w:val="0"/>
        </w:rPr>
        <w:t>第一章  投标邀请</w:t>
      </w:r>
      <w:bookmarkEnd w:id="0"/>
    </w:p>
    <w:p w14:paraId="297B8135">
      <w:pPr>
        <w:spacing w:line="500" w:lineRule="exact"/>
        <w:ind w:firstLine="480" w:firstLineChars="200"/>
        <w:jc w:val="left"/>
        <w:rPr>
          <w:sz w:val="24"/>
          <w:szCs w:val="24"/>
          <w:highlight w:val="none"/>
        </w:rPr>
      </w:pPr>
      <w:r>
        <w:rPr>
          <w:rFonts w:hint="eastAsia"/>
          <w:sz w:val="24"/>
          <w:szCs w:val="24"/>
          <w:highlight w:val="none"/>
        </w:rPr>
        <w:t>受</w:t>
      </w:r>
      <w:r>
        <w:rPr>
          <w:rFonts w:hint="eastAsia"/>
          <w:sz w:val="24"/>
          <w:szCs w:val="24"/>
          <w:highlight w:val="none"/>
          <w:lang w:eastAsia="zh-CN"/>
        </w:rPr>
        <w:t>东海县住房和城乡建设局</w:t>
      </w:r>
      <w:r>
        <w:rPr>
          <w:rFonts w:hint="eastAsia"/>
          <w:sz w:val="24"/>
          <w:szCs w:val="24"/>
          <w:highlight w:val="none"/>
        </w:rPr>
        <w:t>的委托，江苏博伦项目管理有限公司就</w:t>
      </w:r>
      <w:r>
        <w:rPr>
          <w:rFonts w:hint="eastAsia"/>
          <w:sz w:val="24"/>
          <w:szCs w:val="24"/>
          <w:highlight w:val="none"/>
          <w:lang w:eastAsia="zh-CN"/>
        </w:rPr>
        <w:t>东海县城镇生活污水处理厂污泥处置项目</w:t>
      </w:r>
      <w:r>
        <w:rPr>
          <w:rFonts w:hint="eastAsia"/>
          <w:sz w:val="24"/>
          <w:szCs w:val="24"/>
          <w:highlight w:val="none"/>
        </w:rPr>
        <w:t>（</w:t>
      </w:r>
      <w:r>
        <w:rPr>
          <w:rFonts w:hint="eastAsia"/>
          <w:sz w:val="24"/>
          <w:szCs w:val="24"/>
          <w:highlight w:val="none"/>
          <w:lang w:eastAsia="zh-CN"/>
        </w:rPr>
        <w:t>JSZC-320722-BLZB-G2024-0020</w:t>
      </w:r>
      <w:r>
        <w:rPr>
          <w:rFonts w:hint="eastAsia"/>
          <w:sz w:val="24"/>
          <w:szCs w:val="24"/>
          <w:highlight w:val="none"/>
        </w:rPr>
        <w:t>）进行公开招标采购，欢迎符合条件的</w:t>
      </w:r>
      <w:r>
        <w:rPr>
          <w:rFonts w:hint="eastAsia"/>
          <w:sz w:val="24"/>
          <w:szCs w:val="24"/>
          <w:highlight w:val="none"/>
          <w:lang w:val="en-US" w:eastAsia="zh-CN"/>
        </w:rPr>
        <w:t>投标人</w:t>
      </w:r>
      <w:r>
        <w:rPr>
          <w:rFonts w:hint="eastAsia"/>
          <w:sz w:val="24"/>
          <w:szCs w:val="24"/>
          <w:highlight w:val="none"/>
        </w:rPr>
        <w:t>投标。</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F6C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0C32D8C">
            <w:pPr>
              <w:spacing w:line="500" w:lineRule="exact"/>
              <w:jc w:val="left"/>
              <w:rPr>
                <w:sz w:val="24"/>
                <w:szCs w:val="24"/>
              </w:rPr>
            </w:pPr>
            <w:r>
              <w:rPr>
                <w:rFonts w:hint="eastAsia"/>
                <w:sz w:val="24"/>
                <w:szCs w:val="24"/>
              </w:rPr>
              <w:t>项目概况</w:t>
            </w:r>
          </w:p>
          <w:p w14:paraId="41FECC19">
            <w:pPr>
              <w:spacing w:line="500" w:lineRule="exact"/>
              <w:jc w:val="left"/>
              <w:rPr>
                <w:sz w:val="24"/>
                <w:szCs w:val="24"/>
              </w:rPr>
            </w:pPr>
            <w:r>
              <w:rPr>
                <w:rFonts w:hint="eastAsia"/>
                <w:sz w:val="24"/>
                <w:szCs w:val="24"/>
                <w:highlight w:val="none"/>
                <w:lang w:eastAsia="zh-CN"/>
              </w:rPr>
              <w:t>东海县城镇生活污水处理厂污泥处置项目</w:t>
            </w:r>
            <w:r>
              <w:rPr>
                <w:rFonts w:hint="eastAsia"/>
                <w:sz w:val="24"/>
                <w:szCs w:val="24"/>
              </w:rPr>
              <w:t>招标项目的潜在投标人应在江苏政府采购网自行免费下载招标文件</w:t>
            </w:r>
            <w:r>
              <w:rPr>
                <w:rFonts w:hint="eastAsia"/>
                <w:sz w:val="24"/>
                <w:szCs w:val="24"/>
                <w:highlight w:val="none"/>
              </w:rPr>
              <w:t>，</w:t>
            </w:r>
            <w:r>
              <w:rPr>
                <w:rFonts w:hint="eastAsia"/>
                <w:color w:val="auto"/>
                <w:sz w:val="24"/>
                <w:szCs w:val="24"/>
                <w:highlight w:val="none"/>
              </w:rPr>
              <w:t>并于2024年</w:t>
            </w:r>
            <w:r>
              <w:rPr>
                <w:rFonts w:hint="eastAsia"/>
                <w:color w:val="auto"/>
                <w:sz w:val="24"/>
                <w:szCs w:val="24"/>
                <w:highlight w:val="none"/>
                <w:lang w:val="en-US" w:eastAsia="zh-CN"/>
              </w:rPr>
              <w:t>11</w:t>
            </w:r>
            <w:r>
              <w:rPr>
                <w:rFonts w:hint="eastAsia"/>
                <w:color w:val="auto"/>
                <w:sz w:val="24"/>
                <w:szCs w:val="24"/>
                <w:highlight w:val="none"/>
              </w:rPr>
              <w:t>月</w:t>
            </w:r>
            <w:r>
              <w:rPr>
                <w:rFonts w:hint="eastAsia"/>
                <w:color w:val="auto"/>
                <w:sz w:val="24"/>
                <w:szCs w:val="24"/>
                <w:highlight w:val="none"/>
                <w:lang w:val="en-US" w:eastAsia="zh-CN"/>
              </w:rPr>
              <w:t>19</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w:t>
            </w:r>
            <w:r>
              <w:rPr>
                <w:rFonts w:hint="eastAsia"/>
                <w:sz w:val="24"/>
                <w:szCs w:val="24"/>
                <w:highlight w:val="none"/>
              </w:rPr>
              <w:t>时</w:t>
            </w:r>
            <w:r>
              <w:rPr>
                <w:rFonts w:hint="eastAsia"/>
                <w:sz w:val="24"/>
                <w:szCs w:val="24"/>
              </w:rPr>
              <w:t>间）前递交（上传）投标文件。</w:t>
            </w:r>
          </w:p>
        </w:tc>
      </w:tr>
    </w:tbl>
    <w:p w14:paraId="204E7604">
      <w:pPr>
        <w:pStyle w:val="5"/>
        <w:spacing w:before="0" w:after="0" w:line="360" w:lineRule="auto"/>
        <w:rPr>
          <w:rFonts w:ascii="黑体" w:hAnsi="黑体" w:eastAsia="黑体"/>
          <w:b w:val="0"/>
          <w:color w:val="auto"/>
        </w:rPr>
      </w:pPr>
      <w:r>
        <w:rPr>
          <w:rFonts w:hint="eastAsia" w:ascii="黑体" w:hAnsi="黑体" w:eastAsia="黑体"/>
          <w:b w:val="0"/>
          <w:color w:val="auto"/>
        </w:rPr>
        <w:t>一、项目基本情况</w:t>
      </w:r>
    </w:p>
    <w:p w14:paraId="490A6A60">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项目编号：</w:t>
      </w:r>
      <w:r>
        <w:rPr>
          <w:rFonts w:hint="eastAsia"/>
          <w:color w:val="auto"/>
          <w:sz w:val="24"/>
          <w:szCs w:val="24"/>
          <w:lang w:eastAsia="zh-CN"/>
        </w:rPr>
        <w:t>JSZC-320722-BLZB-G2024-0020</w:t>
      </w:r>
    </w:p>
    <w:p w14:paraId="6B2D10C4">
      <w:pPr>
        <w:spacing w:line="500" w:lineRule="exact"/>
        <w:ind w:firstLine="480" w:firstLineChars="200"/>
        <w:jc w:val="left"/>
        <w:rPr>
          <w:rFonts w:hint="eastAsia" w:eastAsiaTheme="minorEastAsia"/>
          <w:color w:val="auto"/>
          <w:sz w:val="24"/>
          <w:szCs w:val="24"/>
          <w:highlight w:val="none"/>
          <w:lang w:eastAsia="zh-CN"/>
        </w:rPr>
      </w:pPr>
      <w:r>
        <w:rPr>
          <w:rFonts w:hint="eastAsia"/>
          <w:color w:val="auto"/>
          <w:sz w:val="24"/>
          <w:szCs w:val="24"/>
        </w:rPr>
        <w:t>项目名称：</w:t>
      </w:r>
      <w:r>
        <w:rPr>
          <w:rFonts w:hint="eastAsia"/>
          <w:color w:val="auto"/>
          <w:sz w:val="24"/>
          <w:szCs w:val="24"/>
          <w:highlight w:val="none"/>
          <w:lang w:eastAsia="zh-CN"/>
        </w:rPr>
        <w:t>东海县城镇生活污水处理厂污泥处置项目</w:t>
      </w:r>
    </w:p>
    <w:p w14:paraId="1F6A05CE">
      <w:pPr>
        <w:spacing w:line="500" w:lineRule="exact"/>
        <w:ind w:firstLine="480" w:firstLineChars="200"/>
        <w:jc w:val="left"/>
        <w:rPr>
          <w:color w:val="auto"/>
          <w:sz w:val="24"/>
          <w:szCs w:val="24"/>
        </w:rPr>
      </w:pPr>
      <w:r>
        <w:rPr>
          <w:rFonts w:hint="eastAsia"/>
          <w:color w:val="auto"/>
          <w:sz w:val="24"/>
          <w:szCs w:val="24"/>
        </w:rPr>
        <w:t>采购方式：公开招标</w:t>
      </w:r>
    </w:p>
    <w:p w14:paraId="13AED554">
      <w:pPr>
        <w:spacing w:line="500" w:lineRule="exact"/>
        <w:ind w:firstLine="480" w:firstLineChars="200"/>
        <w:jc w:val="left"/>
        <w:rPr>
          <w:rFonts w:hint="default" w:eastAsiaTheme="minorEastAsia"/>
          <w:color w:val="auto"/>
          <w:sz w:val="24"/>
          <w:szCs w:val="24"/>
          <w:lang w:val="en-US" w:eastAsia="zh-CN"/>
        </w:rPr>
      </w:pPr>
      <w:r>
        <w:rPr>
          <w:rFonts w:hint="eastAsia"/>
          <w:color w:val="auto"/>
          <w:sz w:val="24"/>
          <w:szCs w:val="24"/>
        </w:rPr>
        <w:t>预算金额：</w:t>
      </w:r>
      <w:r>
        <w:rPr>
          <w:rFonts w:hint="eastAsia"/>
          <w:color w:val="auto"/>
          <w:sz w:val="24"/>
          <w:szCs w:val="24"/>
          <w:lang w:val="en-US" w:eastAsia="zh-CN"/>
        </w:rPr>
        <w:t>209.00万元人民币</w:t>
      </w:r>
    </w:p>
    <w:p w14:paraId="6E1658B7">
      <w:pPr>
        <w:spacing w:line="500" w:lineRule="exact"/>
        <w:ind w:firstLine="480" w:firstLineChars="200"/>
        <w:jc w:val="left"/>
        <w:rPr>
          <w:color w:val="auto"/>
          <w:sz w:val="24"/>
          <w:szCs w:val="24"/>
        </w:rPr>
      </w:pPr>
      <w:r>
        <w:rPr>
          <w:rFonts w:hint="eastAsia"/>
          <w:color w:val="auto"/>
          <w:sz w:val="24"/>
          <w:szCs w:val="24"/>
        </w:rPr>
        <w:t>最高限价：</w:t>
      </w:r>
      <w:r>
        <w:rPr>
          <w:rFonts w:hint="eastAsia"/>
          <w:color w:val="auto"/>
          <w:sz w:val="24"/>
          <w:szCs w:val="24"/>
          <w:lang w:val="en-US" w:eastAsia="zh-CN"/>
        </w:rPr>
        <w:t>209.00万元人民币</w:t>
      </w:r>
    </w:p>
    <w:p w14:paraId="4FD3007B">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采购需求：</w:t>
      </w:r>
      <w:r>
        <w:rPr>
          <w:rFonts w:hint="eastAsia" w:ascii="宋体" w:hAnsi="宋体"/>
          <w:color w:val="auto"/>
          <w:sz w:val="24"/>
          <w:szCs w:val="24"/>
          <w:lang w:val="en-US" w:eastAsia="zh-CN"/>
        </w:rPr>
        <w:t>东海县城镇生活污水处理厂2024年度污泥处置服务，</w:t>
      </w:r>
      <w:r>
        <w:rPr>
          <w:rFonts w:hint="eastAsia" w:ascii="宋体" w:hAnsi="宋体" w:eastAsia="宋体" w:cs="Times New Roman"/>
          <w:color w:val="auto"/>
          <w:sz w:val="24"/>
          <w:szCs w:val="24"/>
          <w:highlight w:val="none"/>
          <w:lang w:val="en-US" w:eastAsia="zh-CN"/>
        </w:rPr>
        <w:t>详见项目需求。</w:t>
      </w:r>
    </w:p>
    <w:p w14:paraId="3CD4386A">
      <w:pPr>
        <w:spacing w:line="500" w:lineRule="exact"/>
        <w:ind w:firstLine="482" w:firstLineChars="200"/>
        <w:jc w:val="left"/>
        <w:rPr>
          <w:b/>
          <w:color w:val="auto"/>
          <w:sz w:val="24"/>
          <w:szCs w:val="24"/>
        </w:rPr>
      </w:pPr>
      <w:r>
        <w:rPr>
          <w:rFonts w:hint="eastAsia"/>
          <w:b/>
          <w:color w:val="auto"/>
          <w:sz w:val="24"/>
          <w:szCs w:val="24"/>
        </w:rPr>
        <w:t>对本项目资格要求、采购需求、评标方法与评标标准等部分的询问、质疑请与采购人联系，由采购人负责答复。</w:t>
      </w:r>
    </w:p>
    <w:p w14:paraId="6ED3C081">
      <w:pPr>
        <w:spacing w:line="500" w:lineRule="exact"/>
        <w:ind w:firstLine="480" w:firstLineChars="200"/>
        <w:jc w:val="left"/>
        <w:rPr>
          <w:rFonts w:hint="eastAsia" w:eastAsiaTheme="minorEastAsia"/>
          <w:color w:val="auto"/>
          <w:sz w:val="24"/>
          <w:szCs w:val="24"/>
          <w:lang w:val="en-US" w:eastAsia="zh-CN"/>
        </w:rPr>
      </w:pPr>
      <w:r>
        <w:rPr>
          <w:rFonts w:hint="eastAsia"/>
          <w:color w:val="auto"/>
          <w:sz w:val="24"/>
          <w:szCs w:val="24"/>
        </w:rPr>
        <w:t>合同履行期限：服务期</w:t>
      </w:r>
      <w:r>
        <w:rPr>
          <w:rFonts w:hint="eastAsia"/>
          <w:color w:val="auto"/>
          <w:sz w:val="24"/>
          <w:szCs w:val="24"/>
          <w:lang w:val="en-US" w:eastAsia="zh-CN"/>
        </w:rPr>
        <w:t>暂定</w:t>
      </w:r>
      <w:r>
        <w:rPr>
          <w:rFonts w:hint="eastAsia"/>
          <w:color w:val="auto"/>
          <w:sz w:val="24"/>
          <w:szCs w:val="24"/>
        </w:rPr>
        <w:t>一年（特殊情况以合同为准）</w:t>
      </w:r>
      <w:r>
        <w:rPr>
          <w:rFonts w:hint="eastAsia" w:ascii="宋体" w:hAnsi="宋体" w:cs="宋体"/>
          <w:b w:val="0"/>
          <w:bCs/>
          <w:color w:val="auto"/>
          <w:sz w:val="24"/>
          <w:szCs w:val="24"/>
          <w:lang w:val="en-US" w:eastAsia="zh-CN"/>
        </w:rPr>
        <w:t>。</w:t>
      </w:r>
    </w:p>
    <w:p w14:paraId="77FA4F87">
      <w:pPr>
        <w:spacing w:line="500" w:lineRule="exact"/>
        <w:ind w:firstLine="480" w:firstLineChars="200"/>
        <w:jc w:val="left"/>
        <w:rPr>
          <w:sz w:val="24"/>
          <w:szCs w:val="24"/>
        </w:rPr>
      </w:pPr>
      <w:r>
        <w:rPr>
          <w:rFonts w:hint="eastAsia"/>
          <w:sz w:val="24"/>
          <w:szCs w:val="24"/>
        </w:rPr>
        <w:t>本项目</w:t>
      </w:r>
      <w:r>
        <w:rPr>
          <w:rFonts w:hint="eastAsia"/>
          <w:sz w:val="24"/>
          <w:szCs w:val="24"/>
          <w:u w:val="single"/>
        </w:rPr>
        <w:t>不接受</w:t>
      </w:r>
      <w:r>
        <w:rPr>
          <w:rFonts w:hint="eastAsia"/>
          <w:sz w:val="24"/>
          <w:szCs w:val="24"/>
        </w:rPr>
        <w:t>联合体投标。</w:t>
      </w:r>
    </w:p>
    <w:p w14:paraId="08B1A6CC">
      <w:pPr>
        <w:pStyle w:val="5"/>
        <w:spacing w:before="0" w:after="0" w:line="360" w:lineRule="auto"/>
        <w:rPr>
          <w:rFonts w:ascii="黑体" w:hAnsi="黑体" w:eastAsia="黑体"/>
          <w:b w:val="0"/>
        </w:rPr>
      </w:pPr>
      <w:r>
        <w:rPr>
          <w:rFonts w:hint="eastAsia" w:ascii="黑体" w:hAnsi="黑体" w:eastAsia="黑体"/>
          <w:b w:val="0"/>
        </w:rPr>
        <w:t>二、申请人的资格要求</w:t>
      </w:r>
    </w:p>
    <w:p w14:paraId="0343C8D3">
      <w:pPr>
        <w:spacing w:line="500" w:lineRule="exact"/>
        <w:ind w:firstLine="480" w:firstLineChars="200"/>
        <w:jc w:val="left"/>
        <w:rPr>
          <w:sz w:val="24"/>
          <w:szCs w:val="24"/>
        </w:rPr>
      </w:pPr>
      <w:r>
        <w:rPr>
          <w:rFonts w:hint="eastAsia"/>
          <w:sz w:val="24"/>
          <w:szCs w:val="24"/>
        </w:rPr>
        <w:t>1.满足《中华人民共和国政府采购法》第二十二条规定，并提供下列材料：</w:t>
      </w:r>
    </w:p>
    <w:p w14:paraId="07CF1207">
      <w:pPr>
        <w:spacing w:line="500" w:lineRule="exact"/>
        <w:ind w:firstLine="480" w:firstLineChars="200"/>
        <w:jc w:val="left"/>
        <w:rPr>
          <w:sz w:val="24"/>
          <w:szCs w:val="24"/>
        </w:rPr>
      </w:pPr>
      <w:r>
        <w:rPr>
          <w:rFonts w:hint="eastAsia"/>
          <w:sz w:val="24"/>
          <w:szCs w:val="24"/>
        </w:rPr>
        <w:t>1.1法人或者其他组织的营业执照等证明文件，自然人的身份证明；</w:t>
      </w:r>
    </w:p>
    <w:p w14:paraId="34A8A4BA">
      <w:pPr>
        <w:spacing w:line="500" w:lineRule="exact"/>
        <w:ind w:firstLine="480" w:firstLineChars="200"/>
        <w:jc w:val="left"/>
        <w:rPr>
          <w:sz w:val="24"/>
          <w:szCs w:val="24"/>
        </w:rPr>
      </w:pPr>
      <w:r>
        <w:rPr>
          <w:rFonts w:hint="eastAsia"/>
          <w:sz w:val="24"/>
          <w:szCs w:val="24"/>
        </w:rPr>
        <w:t>1.2上一年度的财务状况报告（成立不满一年无需提供）；</w:t>
      </w:r>
    </w:p>
    <w:p w14:paraId="688B45DB">
      <w:pPr>
        <w:spacing w:line="500" w:lineRule="exact"/>
        <w:ind w:firstLine="480" w:firstLineChars="200"/>
        <w:jc w:val="left"/>
        <w:rPr>
          <w:rFonts w:hint="eastAsia"/>
          <w:sz w:val="24"/>
          <w:szCs w:val="24"/>
        </w:rPr>
      </w:pPr>
      <w:r>
        <w:rPr>
          <w:rFonts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07C70983">
      <w:pPr>
        <w:spacing w:line="500" w:lineRule="exact"/>
        <w:ind w:firstLine="482" w:firstLineChars="200"/>
        <w:jc w:val="left"/>
        <w:rPr>
          <w:b/>
          <w:bCs/>
          <w:sz w:val="24"/>
          <w:szCs w:val="24"/>
        </w:rPr>
      </w:pPr>
      <w:r>
        <w:rPr>
          <w:rFonts w:hint="eastAsia"/>
          <w:b/>
          <w:bCs/>
          <w:sz w:val="24"/>
          <w:szCs w:val="24"/>
        </w:rPr>
        <w:t>（根据连财购〔2023〕4号文件精神，2、3项可以提供《财务状况报告及税收、社会保障资金缴纳情况承诺函》，详见第六章 投标文件格式）</w:t>
      </w:r>
    </w:p>
    <w:p w14:paraId="4B30BDD5">
      <w:pPr>
        <w:spacing w:line="500" w:lineRule="exact"/>
        <w:ind w:firstLine="480" w:firstLineChars="200"/>
        <w:jc w:val="left"/>
        <w:rPr>
          <w:sz w:val="24"/>
          <w:szCs w:val="24"/>
        </w:rPr>
      </w:pPr>
      <w:r>
        <w:rPr>
          <w:rFonts w:hint="eastAsia"/>
          <w:sz w:val="24"/>
          <w:szCs w:val="24"/>
        </w:rPr>
        <w:t>1.4具备履行合同所必需的设备和专业技术能力的声明及证明材料；</w:t>
      </w:r>
    </w:p>
    <w:p w14:paraId="71E1573F">
      <w:pPr>
        <w:spacing w:line="500" w:lineRule="exact"/>
        <w:ind w:firstLine="480" w:firstLineChars="200"/>
        <w:jc w:val="left"/>
        <w:rPr>
          <w:sz w:val="24"/>
          <w:szCs w:val="24"/>
        </w:rPr>
      </w:pPr>
      <w:r>
        <w:rPr>
          <w:rFonts w:hint="eastAsia"/>
          <w:sz w:val="24"/>
          <w:szCs w:val="24"/>
        </w:rPr>
        <w:t>1.5参加政府采购活动前3年内在经营活动中没有重大违法记录的书面声明。</w:t>
      </w:r>
    </w:p>
    <w:p w14:paraId="70A2F6E6">
      <w:pPr>
        <w:spacing w:line="500" w:lineRule="exact"/>
        <w:ind w:firstLine="480" w:firstLineChars="200"/>
        <w:jc w:val="left"/>
        <w:rPr>
          <w:color w:val="auto"/>
          <w:sz w:val="24"/>
          <w:szCs w:val="24"/>
        </w:rPr>
      </w:pPr>
      <w:r>
        <w:rPr>
          <w:rFonts w:hint="eastAsia"/>
          <w:sz w:val="24"/>
          <w:szCs w:val="24"/>
        </w:rPr>
        <w:t>根据连财购〔2023〕4号文件精神，1.2、1.3项可以提供《财务状况报告及</w:t>
      </w:r>
      <w:r>
        <w:rPr>
          <w:rFonts w:hint="eastAsia"/>
          <w:color w:val="auto"/>
          <w:sz w:val="24"/>
          <w:szCs w:val="24"/>
        </w:rPr>
        <w:t>税收、社会保障资金缴纳情况承诺函》，详见投标文件格式。</w:t>
      </w:r>
    </w:p>
    <w:p w14:paraId="72B3C0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rPr>
      </w:pPr>
      <w:r>
        <w:rPr>
          <w:rFonts w:hint="eastAsia" w:ascii="宋体" w:hAnsi="宋体" w:cs="宋体"/>
          <w:color w:val="auto"/>
          <w:kern w:val="0"/>
          <w:sz w:val="24"/>
          <w:szCs w:val="24"/>
        </w:rPr>
        <w:t>2.落实政府采购政策需满足的资格要求：</w:t>
      </w:r>
      <w:r>
        <w:rPr>
          <w:rFonts w:hint="eastAsia" w:ascii="宋体" w:hAnsi="宋体" w:cs="宋体"/>
          <w:b/>
          <w:bCs/>
          <w:color w:val="auto"/>
          <w:kern w:val="0"/>
          <w:sz w:val="24"/>
          <w:szCs w:val="24"/>
        </w:rPr>
        <w:t>本项目专门面向</w:t>
      </w:r>
      <w:r>
        <w:rPr>
          <w:rFonts w:hint="eastAsia" w:ascii="宋体" w:hAnsi="宋体" w:cs="宋体"/>
          <w:b/>
          <w:bCs/>
          <w:color w:val="auto"/>
          <w:kern w:val="0"/>
          <w:sz w:val="24"/>
          <w:szCs w:val="24"/>
          <w:lang w:val="en-US" w:eastAsia="zh-CN"/>
        </w:rPr>
        <w:t>中小企业采购</w:t>
      </w:r>
      <w:r>
        <w:rPr>
          <w:rFonts w:hint="eastAsia" w:ascii="宋体" w:hAnsi="宋体" w:cs="宋体"/>
          <w:color w:val="auto"/>
          <w:kern w:val="0"/>
          <w:sz w:val="24"/>
          <w:szCs w:val="24"/>
        </w:rPr>
        <w:t>。</w:t>
      </w:r>
    </w:p>
    <w:p w14:paraId="18DE7F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rPr>
      </w:pPr>
      <w:r>
        <w:rPr>
          <w:rFonts w:hint="eastAsia" w:ascii="宋体" w:hAnsi="宋体" w:cs="宋体"/>
          <w:color w:val="auto"/>
          <w:kern w:val="0"/>
          <w:sz w:val="24"/>
          <w:szCs w:val="24"/>
        </w:rPr>
        <w:t>3.本项目的特定资格要求：</w:t>
      </w:r>
    </w:p>
    <w:p w14:paraId="79C07802">
      <w:pPr>
        <w:spacing w:line="500" w:lineRule="exact"/>
        <w:ind w:firstLine="480" w:firstLineChars="200"/>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lang w:val="en-US" w:eastAsia="zh-CN"/>
        </w:rPr>
        <w:t>投标人须</w:t>
      </w:r>
      <w:r>
        <w:rPr>
          <w:rFonts w:hint="eastAsia"/>
          <w:color w:val="auto"/>
          <w:sz w:val="24"/>
          <w:szCs w:val="24"/>
        </w:rPr>
        <w:t>具有排污许可证（有效期内）、环评批复。</w:t>
      </w:r>
    </w:p>
    <w:p w14:paraId="2825B146">
      <w:pPr>
        <w:spacing w:line="500" w:lineRule="exact"/>
        <w:ind w:firstLine="480" w:firstLineChars="200"/>
        <w:jc w:val="left"/>
        <w:rPr>
          <w:color w:val="auto"/>
          <w:sz w:val="24"/>
          <w:szCs w:val="24"/>
        </w:rPr>
      </w:pPr>
      <w:r>
        <w:rPr>
          <w:rFonts w:hint="eastAsia"/>
          <w:color w:val="auto"/>
          <w:sz w:val="24"/>
          <w:szCs w:val="24"/>
          <w:lang w:val="en-US" w:eastAsia="zh-CN"/>
        </w:rPr>
        <w:t>（2）</w:t>
      </w:r>
      <w:r>
        <w:rPr>
          <w:rFonts w:hint="eastAsia"/>
          <w:color w:val="auto"/>
          <w:sz w:val="24"/>
          <w:szCs w:val="24"/>
        </w:rPr>
        <w:t>江苏省危险废物全生命周期监控系统”中的“企业信息”和“一般工业固废（污泥）申报-环评信息”页面完整截图，环评信息页面审核状态应为“审核通过”</w:t>
      </w:r>
      <w:r>
        <w:rPr>
          <w:rFonts w:hint="eastAsia"/>
          <w:color w:val="auto"/>
          <w:sz w:val="24"/>
          <w:szCs w:val="24"/>
          <w:lang w:val="en-US" w:eastAsia="zh-CN"/>
        </w:rPr>
        <w:t>或“备案通过”</w:t>
      </w:r>
      <w:r>
        <w:rPr>
          <w:rFonts w:hint="eastAsia"/>
          <w:color w:val="auto"/>
          <w:sz w:val="24"/>
          <w:szCs w:val="24"/>
        </w:rPr>
        <w:t>，污泥处置类型包含城镇污水处理污泥。</w:t>
      </w:r>
    </w:p>
    <w:p w14:paraId="5FA8A126">
      <w:pPr>
        <w:spacing w:line="500" w:lineRule="exact"/>
        <w:ind w:firstLine="480" w:firstLineChars="200"/>
        <w:jc w:val="left"/>
        <w:rPr>
          <w:sz w:val="24"/>
          <w:szCs w:val="24"/>
        </w:rPr>
      </w:pPr>
      <w:r>
        <w:rPr>
          <w:rFonts w:hint="eastAsia"/>
          <w:sz w:val="24"/>
          <w:szCs w:val="24"/>
          <w:lang w:val="en-US" w:eastAsia="zh-CN"/>
        </w:rPr>
        <w:t>4</w:t>
      </w:r>
      <w:r>
        <w:rPr>
          <w:rFonts w:hint="eastAsia"/>
          <w:sz w:val="24"/>
          <w:szCs w:val="24"/>
        </w:rPr>
        <w:t>.</w:t>
      </w:r>
      <w:r>
        <w:rPr>
          <w:rFonts w:hint="eastAsia" w:ascii="Calibri" w:hAnsi="Calibri" w:eastAsia="宋体" w:cs="Times New Roman"/>
          <w:sz w:val="24"/>
          <w:szCs w:val="24"/>
        </w:rPr>
        <w:t>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14:paraId="717F70E4">
      <w:pPr>
        <w:pStyle w:val="5"/>
        <w:spacing w:before="0" w:after="0" w:line="360" w:lineRule="auto"/>
        <w:rPr>
          <w:rFonts w:ascii="黑体" w:hAnsi="黑体" w:eastAsia="黑体"/>
          <w:b w:val="0"/>
        </w:rPr>
      </w:pPr>
      <w:r>
        <w:rPr>
          <w:rFonts w:hint="eastAsia" w:ascii="黑体" w:hAnsi="黑体" w:eastAsia="黑体"/>
          <w:b w:val="0"/>
        </w:rPr>
        <w:t>三、获取招标文件</w:t>
      </w:r>
    </w:p>
    <w:p w14:paraId="19F723BC">
      <w:pPr>
        <w:spacing w:line="500" w:lineRule="exact"/>
        <w:ind w:firstLine="480" w:firstLineChars="200"/>
        <w:jc w:val="left"/>
        <w:rPr>
          <w:rFonts w:hint="eastAsia"/>
          <w:sz w:val="24"/>
          <w:szCs w:val="24"/>
        </w:rPr>
      </w:pPr>
      <w:r>
        <w:rPr>
          <w:rFonts w:hint="eastAsia"/>
          <w:sz w:val="24"/>
          <w:szCs w:val="24"/>
          <w:highlight w:val="none"/>
        </w:rPr>
        <w:t>时间：2024年</w:t>
      </w:r>
      <w:r>
        <w:rPr>
          <w:rFonts w:hint="eastAsia"/>
          <w:sz w:val="24"/>
          <w:szCs w:val="24"/>
          <w:highlight w:val="none"/>
          <w:lang w:val="en-US" w:eastAsia="zh-CN"/>
        </w:rPr>
        <w:t>10</w:t>
      </w:r>
      <w:r>
        <w:rPr>
          <w:rFonts w:hint="eastAsia"/>
          <w:sz w:val="24"/>
          <w:szCs w:val="24"/>
          <w:highlight w:val="none"/>
        </w:rPr>
        <w:t>月</w:t>
      </w:r>
      <w:r>
        <w:rPr>
          <w:rFonts w:hint="eastAsia"/>
          <w:sz w:val="24"/>
          <w:szCs w:val="24"/>
          <w:highlight w:val="none"/>
          <w:lang w:val="en-US" w:eastAsia="zh-CN"/>
        </w:rPr>
        <w:t>25</w:t>
      </w:r>
      <w:r>
        <w:rPr>
          <w:rFonts w:hint="eastAsia"/>
          <w:sz w:val="24"/>
          <w:szCs w:val="24"/>
          <w:highlight w:val="none"/>
        </w:rPr>
        <w:t>日 至 2024年</w:t>
      </w:r>
      <w:r>
        <w:rPr>
          <w:rFonts w:hint="eastAsia"/>
          <w:sz w:val="24"/>
          <w:szCs w:val="24"/>
          <w:highlight w:val="none"/>
          <w:lang w:val="en-US" w:eastAsia="zh-CN"/>
        </w:rPr>
        <w:t>11</w:t>
      </w:r>
      <w:r>
        <w:rPr>
          <w:rFonts w:hint="eastAsia"/>
          <w:sz w:val="24"/>
          <w:szCs w:val="24"/>
          <w:highlight w:val="none"/>
        </w:rPr>
        <w:t>月</w:t>
      </w:r>
      <w:r>
        <w:rPr>
          <w:rFonts w:hint="eastAsia"/>
          <w:sz w:val="24"/>
          <w:szCs w:val="24"/>
          <w:highlight w:val="none"/>
          <w:lang w:val="en-US" w:eastAsia="zh-CN"/>
        </w:rPr>
        <w:t>01</w:t>
      </w:r>
      <w:r>
        <w:rPr>
          <w:rFonts w:hint="eastAsia"/>
          <w:sz w:val="24"/>
          <w:szCs w:val="24"/>
          <w:highlight w:val="none"/>
        </w:rPr>
        <w:t>日，每天上午</w:t>
      </w:r>
      <w:r>
        <w:rPr>
          <w:rFonts w:hint="eastAsia"/>
          <w:sz w:val="24"/>
          <w:szCs w:val="24"/>
        </w:rPr>
        <w:t>0</w:t>
      </w:r>
      <w:r>
        <w:rPr>
          <w:rFonts w:hint="eastAsia"/>
          <w:sz w:val="24"/>
          <w:szCs w:val="24"/>
          <w:lang w:val="en-US" w:eastAsia="zh-CN"/>
        </w:rPr>
        <w:t>0</w:t>
      </w:r>
      <w:r>
        <w:rPr>
          <w:rFonts w:hint="eastAsia"/>
          <w:sz w:val="24"/>
          <w:szCs w:val="24"/>
        </w:rPr>
        <w:t>:00-12:00，12:00-23:59（北京时间，法定节假日除外）</w:t>
      </w:r>
    </w:p>
    <w:p w14:paraId="5EBD4A64">
      <w:pPr>
        <w:spacing w:line="500" w:lineRule="exact"/>
        <w:ind w:firstLine="480" w:firstLineChars="200"/>
        <w:jc w:val="left"/>
        <w:rPr>
          <w:rFonts w:hint="eastAsia"/>
          <w:sz w:val="24"/>
          <w:szCs w:val="24"/>
        </w:rPr>
      </w:pPr>
      <w:r>
        <w:rPr>
          <w:rFonts w:hint="eastAsia"/>
          <w:sz w:val="24"/>
          <w:szCs w:val="24"/>
        </w:rPr>
        <w:t>地点：江苏政府采购网</w:t>
      </w:r>
    </w:p>
    <w:p w14:paraId="752DB036">
      <w:pPr>
        <w:spacing w:line="500" w:lineRule="exact"/>
        <w:ind w:firstLine="480" w:firstLineChars="200"/>
        <w:jc w:val="left"/>
        <w:rPr>
          <w:rFonts w:hint="eastAsia"/>
          <w:sz w:val="24"/>
          <w:szCs w:val="24"/>
        </w:rPr>
      </w:pPr>
      <w:r>
        <w:rPr>
          <w:rFonts w:hint="eastAsia"/>
          <w:sz w:val="24"/>
          <w:szCs w:val="24"/>
        </w:rPr>
        <w:t>方式：投标人办理江苏省政府采购交易系统CA数字证书，登录“苏采云”政府采购交易系统，自行下载。</w:t>
      </w:r>
    </w:p>
    <w:p w14:paraId="6FCC7714">
      <w:pPr>
        <w:spacing w:line="500" w:lineRule="exact"/>
        <w:ind w:firstLine="480" w:firstLineChars="200"/>
        <w:jc w:val="left"/>
        <w:rPr>
          <w:sz w:val="24"/>
          <w:szCs w:val="24"/>
        </w:rPr>
      </w:pPr>
      <w:r>
        <w:rPr>
          <w:rFonts w:hint="eastAsia"/>
          <w:sz w:val="24"/>
          <w:szCs w:val="24"/>
        </w:rPr>
        <w:t>售价：0.00元</w:t>
      </w:r>
    </w:p>
    <w:p w14:paraId="0E997BE9">
      <w:pPr>
        <w:pStyle w:val="5"/>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1D212606">
      <w:pPr>
        <w:spacing w:line="500" w:lineRule="exact"/>
        <w:ind w:firstLine="480" w:firstLineChars="200"/>
        <w:jc w:val="left"/>
        <w:rPr>
          <w:sz w:val="24"/>
          <w:szCs w:val="24"/>
        </w:rPr>
      </w:pPr>
      <w:r>
        <w:rPr>
          <w:rFonts w:hint="eastAsia"/>
          <w:sz w:val="24"/>
          <w:szCs w:val="24"/>
        </w:rPr>
        <w:t>提交投标文件截止时间</w:t>
      </w:r>
      <w:r>
        <w:rPr>
          <w:rFonts w:hint="eastAsia"/>
          <w:sz w:val="24"/>
          <w:szCs w:val="24"/>
          <w:highlight w:val="none"/>
        </w:rPr>
        <w:t>：</w:t>
      </w:r>
      <w:r>
        <w:rPr>
          <w:rFonts w:hint="eastAsia"/>
          <w:color w:val="auto"/>
          <w:sz w:val="24"/>
          <w:szCs w:val="24"/>
          <w:highlight w:val="none"/>
        </w:rPr>
        <w:t>2024年</w:t>
      </w:r>
      <w:r>
        <w:rPr>
          <w:rFonts w:hint="eastAsia"/>
          <w:color w:val="auto"/>
          <w:sz w:val="24"/>
          <w:szCs w:val="24"/>
          <w:highlight w:val="none"/>
          <w:lang w:val="en-US" w:eastAsia="zh-CN"/>
        </w:rPr>
        <w:t>11</w:t>
      </w:r>
      <w:r>
        <w:rPr>
          <w:rFonts w:hint="eastAsia"/>
          <w:color w:val="auto"/>
          <w:sz w:val="24"/>
          <w:szCs w:val="24"/>
          <w:highlight w:val="none"/>
        </w:rPr>
        <w:t>月</w:t>
      </w:r>
      <w:r>
        <w:rPr>
          <w:rFonts w:hint="eastAsia"/>
          <w:color w:val="auto"/>
          <w:sz w:val="24"/>
          <w:szCs w:val="24"/>
          <w:highlight w:val="none"/>
          <w:lang w:val="en-US" w:eastAsia="zh-CN"/>
        </w:rPr>
        <w:t>19</w:t>
      </w:r>
      <w:r>
        <w:rPr>
          <w:rFonts w:hint="eastAsia"/>
          <w:color w:val="auto"/>
          <w:sz w:val="24"/>
          <w:szCs w:val="24"/>
          <w:highlight w:val="none"/>
        </w:rPr>
        <w:t>日</w:t>
      </w:r>
      <w:r>
        <w:rPr>
          <w:rFonts w:hint="eastAsia"/>
          <w:color w:val="auto"/>
          <w:sz w:val="24"/>
          <w:szCs w:val="24"/>
          <w:highlight w:val="none"/>
          <w:lang w:val="en-US" w:eastAsia="zh-CN"/>
        </w:rPr>
        <w:t>0</w:t>
      </w:r>
      <w:r>
        <w:rPr>
          <w:rFonts w:hint="eastAsia"/>
          <w:color w:val="auto"/>
          <w:sz w:val="24"/>
          <w:szCs w:val="24"/>
          <w:highlight w:val="none"/>
        </w:rPr>
        <w:t>9:00:00（北京时间）</w:t>
      </w:r>
    </w:p>
    <w:p w14:paraId="1A63444A">
      <w:pPr>
        <w:spacing w:line="500" w:lineRule="exact"/>
        <w:ind w:firstLine="480" w:firstLineChars="200"/>
        <w:jc w:val="left"/>
        <w:rPr>
          <w:sz w:val="24"/>
          <w:szCs w:val="24"/>
        </w:rPr>
      </w:pPr>
      <w:r>
        <w:rPr>
          <w:rFonts w:hint="eastAsia"/>
          <w:sz w:val="24"/>
          <w:szCs w:val="24"/>
        </w:rPr>
        <w:t>开标时</w:t>
      </w:r>
      <w:r>
        <w:rPr>
          <w:rFonts w:hint="eastAsia"/>
          <w:sz w:val="24"/>
          <w:szCs w:val="24"/>
          <w:highlight w:val="none"/>
        </w:rPr>
        <w:t>间：</w:t>
      </w:r>
      <w:r>
        <w:rPr>
          <w:rFonts w:hint="eastAsia"/>
          <w:color w:val="auto"/>
          <w:sz w:val="24"/>
          <w:szCs w:val="24"/>
          <w:highlight w:val="none"/>
        </w:rPr>
        <w:t>2024年</w:t>
      </w:r>
      <w:r>
        <w:rPr>
          <w:rFonts w:hint="eastAsia"/>
          <w:color w:val="auto"/>
          <w:sz w:val="24"/>
          <w:szCs w:val="24"/>
          <w:highlight w:val="none"/>
          <w:lang w:val="en-US" w:eastAsia="zh-CN"/>
        </w:rPr>
        <w:t>11</w:t>
      </w:r>
      <w:r>
        <w:rPr>
          <w:rFonts w:hint="eastAsia"/>
          <w:color w:val="auto"/>
          <w:sz w:val="24"/>
          <w:szCs w:val="24"/>
          <w:highlight w:val="none"/>
        </w:rPr>
        <w:t>月</w:t>
      </w:r>
      <w:r>
        <w:rPr>
          <w:rFonts w:hint="eastAsia"/>
          <w:color w:val="auto"/>
          <w:sz w:val="24"/>
          <w:szCs w:val="24"/>
          <w:highlight w:val="none"/>
          <w:lang w:val="en-US" w:eastAsia="zh-CN"/>
        </w:rPr>
        <w:t>19</w:t>
      </w:r>
      <w:r>
        <w:rPr>
          <w:rFonts w:hint="eastAsia"/>
          <w:color w:val="auto"/>
          <w:sz w:val="24"/>
          <w:szCs w:val="24"/>
          <w:highlight w:val="none"/>
        </w:rPr>
        <w:t>日</w:t>
      </w:r>
      <w:r>
        <w:rPr>
          <w:rFonts w:hint="eastAsia"/>
          <w:color w:val="auto"/>
          <w:sz w:val="24"/>
          <w:szCs w:val="24"/>
          <w:highlight w:val="none"/>
          <w:lang w:val="en-US" w:eastAsia="zh-CN"/>
        </w:rPr>
        <w:t>0</w:t>
      </w:r>
      <w:r>
        <w:rPr>
          <w:rFonts w:hint="eastAsia"/>
          <w:color w:val="auto"/>
          <w:sz w:val="24"/>
          <w:szCs w:val="24"/>
          <w:highlight w:val="none"/>
        </w:rPr>
        <w:t>9:00:00（北京时间）</w:t>
      </w:r>
    </w:p>
    <w:p w14:paraId="3F57C633">
      <w:pPr>
        <w:spacing w:line="500" w:lineRule="exact"/>
        <w:ind w:firstLine="480" w:firstLineChars="200"/>
        <w:jc w:val="left"/>
      </w:pPr>
      <w:r>
        <w:rPr>
          <w:rFonts w:hint="eastAsia"/>
          <w:sz w:val="24"/>
          <w:szCs w:val="24"/>
        </w:rPr>
        <w:t>开标地点：“苏采云”政府采购交易系统网上开标大厅</w:t>
      </w:r>
    </w:p>
    <w:p w14:paraId="61958366">
      <w:pPr>
        <w:pStyle w:val="5"/>
        <w:spacing w:before="0" w:after="0" w:line="360" w:lineRule="auto"/>
        <w:rPr>
          <w:rFonts w:ascii="黑体" w:hAnsi="黑体" w:eastAsia="黑体"/>
          <w:b w:val="0"/>
        </w:rPr>
      </w:pPr>
      <w:r>
        <w:rPr>
          <w:rFonts w:hint="eastAsia" w:ascii="黑体" w:hAnsi="黑体" w:eastAsia="黑体"/>
          <w:b w:val="0"/>
        </w:rPr>
        <w:t>五、公告期限</w:t>
      </w:r>
    </w:p>
    <w:p w14:paraId="448E305C">
      <w:pPr>
        <w:spacing w:line="500" w:lineRule="exact"/>
        <w:ind w:firstLine="480" w:firstLineChars="200"/>
        <w:jc w:val="left"/>
        <w:rPr>
          <w:sz w:val="24"/>
          <w:szCs w:val="24"/>
        </w:rPr>
      </w:pPr>
      <w:r>
        <w:rPr>
          <w:rFonts w:hint="eastAsia"/>
          <w:sz w:val="24"/>
          <w:szCs w:val="24"/>
        </w:rPr>
        <w:t>自本公告发布之日起5个工作日。</w:t>
      </w:r>
    </w:p>
    <w:p w14:paraId="10A5F9EB">
      <w:pPr>
        <w:pStyle w:val="5"/>
        <w:spacing w:before="0" w:after="0" w:line="360" w:lineRule="auto"/>
        <w:rPr>
          <w:rFonts w:ascii="黑体" w:hAnsi="黑体" w:eastAsia="黑体"/>
          <w:b w:val="0"/>
        </w:rPr>
      </w:pPr>
      <w:r>
        <w:rPr>
          <w:rFonts w:hint="eastAsia" w:ascii="黑体" w:hAnsi="黑体" w:eastAsia="黑体"/>
          <w:b w:val="0"/>
        </w:rPr>
        <w:t>六、其他补充事宜</w:t>
      </w:r>
    </w:p>
    <w:p w14:paraId="4079A1EE">
      <w:pPr>
        <w:spacing w:line="500" w:lineRule="exact"/>
        <w:ind w:firstLine="480" w:firstLineChars="200"/>
        <w:jc w:val="left"/>
        <w:rPr>
          <w:sz w:val="24"/>
          <w:szCs w:val="24"/>
        </w:rPr>
      </w:pPr>
      <w:r>
        <w:rPr>
          <w:rFonts w:hint="eastAsia"/>
          <w:sz w:val="24"/>
          <w:szCs w:val="24"/>
        </w:rPr>
        <w:t>1.本次招标不收取投标保证金。</w:t>
      </w:r>
    </w:p>
    <w:p w14:paraId="643319E2">
      <w:pPr>
        <w:spacing w:line="500" w:lineRule="exact"/>
        <w:ind w:firstLine="480" w:firstLineChars="200"/>
        <w:jc w:val="left"/>
        <w:rPr>
          <w:sz w:val="24"/>
          <w:szCs w:val="24"/>
        </w:rPr>
      </w:pPr>
      <w:r>
        <w:rPr>
          <w:rFonts w:hint="eastAsia"/>
          <w:sz w:val="24"/>
          <w:szCs w:val="24"/>
        </w:rPr>
        <w:t>2.</w:t>
      </w:r>
      <w:r>
        <w:rPr>
          <w:rFonts w:hint="eastAsia"/>
          <w:b/>
          <w:sz w:val="24"/>
          <w:szCs w:val="24"/>
        </w:rPr>
        <w:t>本招标文件中</w:t>
      </w:r>
      <w:r>
        <w:rPr>
          <w:rFonts w:hint="eastAsia"/>
          <w:b/>
          <w:bCs w:val="0"/>
          <w:i w:val="0"/>
          <w:iCs/>
          <w:color w:val="auto"/>
          <w:sz w:val="24"/>
          <w:szCs w:val="24"/>
          <w:u w:val="none"/>
          <w:lang w:val="en-US" w:eastAsia="zh-CN"/>
        </w:rPr>
        <w:t>标</w:t>
      </w:r>
      <w:r>
        <w:rPr>
          <w:rFonts w:hint="eastAsia"/>
          <w:b/>
          <w:bCs w:val="0"/>
          <w:i w:val="0"/>
          <w:iCs/>
          <w:sz w:val="24"/>
          <w:szCs w:val="24"/>
          <w:u w:val="none"/>
        </w:rPr>
        <w:t>★</w:t>
      </w:r>
      <w:r>
        <w:rPr>
          <w:rFonts w:hint="eastAsia"/>
          <w:b/>
          <w:bCs w:val="0"/>
          <w:i w:val="0"/>
          <w:iCs/>
          <w:sz w:val="24"/>
          <w:szCs w:val="24"/>
          <w:u w:val="none"/>
          <w:lang w:val="en-US" w:eastAsia="zh-CN"/>
        </w:rPr>
        <w:t>项</w:t>
      </w:r>
      <w:r>
        <w:rPr>
          <w:rFonts w:hint="eastAsia"/>
          <w:b/>
          <w:bCs w:val="0"/>
          <w:i w:val="0"/>
          <w:iCs/>
          <w:color w:val="auto"/>
          <w:sz w:val="24"/>
          <w:szCs w:val="24"/>
          <w:u w:val="none"/>
        </w:rPr>
        <w:t>部分</w:t>
      </w:r>
      <w:r>
        <w:rPr>
          <w:rFonts w:hint="eastAsia"/>
          <w:b/>
          <w:bCs w:val="0"/>
          <w:i w:val="0"/>
          <w:iCs/>
          <w:sz w:val="24"/>
          <w:szCs w:val="24"/>
          <w:u w:val="none"/>
        </w:rPr>
        <w:t>为</w:t>
      </w:r>
      <w:r>
        <w:rPr>
          <w:rFonts w:hint="eastAsia"/>
          <w:b/>
          <w:sz w:val="24"/>
          <w:szCs w:val="24"/>
        </w:rPr>
        <w:t>实质性要求和条件</w:t>
      </w:r>
      <w:r>
        <w:rPr>
          <w:rFonts w:hint="eastAsia"/>
          <w:b/>
          <w:bCs/>
          <w:sz w:val="24"/>
          <w:szCs w:val="24"/>
        </w:rPr>
        <w:t>，投标人必须逐条做出满足实质性要求和条件的响应，否则将按无效响应处理。</w:t>
      </w:r>
    </w:p>
    <w:p w14:paraId="50C6351E">
      <w:pPr>
        <w:spacing w:line="500" w:lineRule="exact"/>
        <w:ind w:firstLine="480" w:firstLineChars="20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14:paraId="1953B656">
      <w:pPr>
        <w:pStyle w:val="5"/>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47E63171">
      <w:pPr>
        <w:spacing w:line="500" w:lineRule="exact"/>
        <w:ind w:firstLine="480" w:firstLineChars="200"/>
        <w:jc w:val="left"/>
        <w:rPr>
          <w:sz w:val="24"/>
          <w:szCs w:val="24"/>
        </w:rPr>
      </w:pPr>
      <w:r>
        <w:rPr>
          <w:rFonts w:hint="eastAsia"/>
          <w:sz w:val="24"/>
          <w:szCs w:val="24"/>
        </w:rPr>
        <w:t>1.采购人信息</w:t>
      </w:r>
    </w:p>
    <w:p w14:paraId="5F5A6D29">
      <w:pPr>
        <w:spacing w:line="500" w:lineRule="exact"/>
        <w:ind w:firstLine="480" w:firstLineChars="200"/>
        <w:jc w:val="left"/>
        <w:rPr>
          <w:rFonts w:hint="eastAsia" w:eastAsiaTheme="minorEastAsia"/>
          <w:sz w:val="24"/>
          <w:szCs w:val="24"/>
          <w:lang w:eastAsia="zh-CN"/>
        </w:rPr>
      </w:pPr>
      <w:r>
        <w:rPr>
          <w:rFonts w:hint="eastAsia"/>
          <w:sz w:val="24"/>
          <w:szCs w:val="24"/>
        </w:rPr>
        <w:t>名    称：</w:t>
      </w:r>
      <w:r>
        <w:rPr>
          <w:rFonts w:hint="eastAsia"/>
          <w:sz w:val="24"/>
          <w:szCs w:val="24"/>
          <w:highlight w:val="none"/>
          <w:lang w:eastAsia="zh-CN"/>
        </w:rPr>
        <w:t>东海县住房和城乡建设局</w:t>
      </w:r>
    </w:p>
    <w:p w14:paraId="1DA1040A">
      <w:pPr>
        <w:tabs>
          <w:tab w:val="left" w:pos="6457"/>
        </w:tabs>
        <w:spacing w:line="500" w:lineRule="exact"/>
        <w:ind w:firstLine="480" w:firstLineChars="200"/>
        <w:jc w:val="left"/>
        <w:rPr>
          <w:rFonts w:hint="eastAsia" w:eastAsiaTheme="minorEastAsia"/>
          <w:color w:val="FF0000"/>
          <w:sz w:val="24"/>
          <w:szCs w:val="24"/>
          <w:lang w:eastAsia="zh-CN"/>
        </w:rPr>
      </w:pPr>
      <w:r>
        <w:rPr>
          <w:rFonts w:hint="eastAsia"/>
          <w:color w:val="auto"/>
          <w:sz w:val="24"/>
          <w:szCs w:val="24"/>
        </w:rPr>
        <w:t>地    址：江苏省连云港市东海县幸福北路206号</w:t>
      </w:r>
      <w:r>
        <w:rPr>
          <w:rFonts w:hint="eastAsia"/>
          <w:color w:val="FF0000"/>
          <w:sz w:val="24"/>
          <w:szCs w:val="24"/>
          <w:lang w:eastAsia="zh-CN"/>
        </w:rPr>
        <w:tab/>
      </w:r>
    </w:p>
    <w:p w14:paraId="14886AB1">
      <w:pPr>
        <w:spacing w:line="500" w:lineRule="exact"/>
        <w:ind w:firstLine="480" w:firstLineChars="200"/>
        <w:jc w:val="left"/>
        <w:rPr>
          <w:color w:val="auto"/>
          <w:sz w:val="24"/>
          <w:szCs w:val="24"/>
        </w:rPr>
      </w:pPr>
      <w:r>
        <w:rPr>
          <w:rFonts w:hint="eastAsia"/>
          <w:color w:val="auto"/>
          <w:sz w:val="24"/>
          <w:szCs w:val="24"/>
        </w:rPr>
        <w:t>联系方式：顾春晖</w:t>
      </w:r>
      <w:r>
        <w:rPr>
          <w:rFonts w:hint="eastAsia"/>
          <w:color w:val="auto"/>
          <w:sz w:val="24"/>
          <w:szCs w:val="24"/>
          <w:lang w:val="en-US" w:eastAsia="zh-CN"/>
        </w:rPr>
        <w:t xml:space="preserve"> </w:t>
      </w:r>
      <w:r>
        <w:rPr>
          <w:rFonts w:hint="eastAsia"/>
          <w:color w:val="auto"/>
          <w:sz w:val="24"/>
          <w:szCs w:val="24"/>
        </w:rPr>
        <w:t>18360652099</w:t>
      </w:r>
    </w:p>
    <w:p w14:paraId="0AFCE326">
      <w:pPr>
        <w:spacing w:line="500" w:lineRule="exact"/>
        <w:ind w:firstLine="480" w:firstLineChars="200"/>
        <w:jc w:val="left"/>
        <w:rPr>
          <w:sz w:val="24"/>
          <w:szCs w:val="24"/>
        </w:rPr>
      </w:pPr>
      <w:r>
        <w:rPr>
          <w:rFonts w:hint="eastAsia"/>
          <w:sz w:val="24"/>
          <w:szCs w:val="24"/>
        </w:rPr>
        <w:t>2.江苏博伦项目管理有限公司信息</w:t>
      </w:r>
    </w:p>
    <w:p w14:paraId="5E5C13B1">
      <w:pPr>
        <w:spacing w:line="500" w:lineRule="exact"/>
        <w:ind w:firstLine="480" w:firstLineChars="200"/>
        <w:jc w:val="left"/>
        <w:rPr>
          <w:rFonts w:hint="eastAsia"/>
          <w:sz w:val="24"/>
          <w:szCs w:val="24"/>
        </w:rPr>
      </w:pPr>
      <w:r>
        <w:rPr>
          <w:rFonts w:hint="eastAsia"/>
          <w:sz w:val="24"/>
          <w:szCs w:val="24"/>
        </w:rPr>
        <w:t>名    称：江苏博伦项目管理有限公司</w:t>
      </w:r>
    </w:p>
    <w:p w14:paraId="3FF28935">
      <w:pPr>
        <w:spacing w:line="500" w:lineRule="exact"/>
        <w:ind w:firstLine="480" w:firstLineChars="200"/>
        <w:jc w:val="left"/>
        <w:rPr>
          <w:rFonts w:hint="eastAsia"/>
          <w:sz w:val="24"/>
          <w:szCs w:val="24"/>
        </w:rPr>
      </w:pPr>
      <w:r>
        <w:rPr>
          <w:rFonts w:hint="eastAsia"/>
          <w:sz w:val="24"/>
          <w:szCs w:val="24"/>
        </w:rPr>
        <w:t>地　　址：东海县牛山街道晶都大道899号天地锦程佳园15-2-103</w:t>
      </w:r>
    </w:p>
    <w:p w14:paraId="31E39F99">
      <w:pPr>
        <w:spacing w:line="500" w:lineRule="exact"/>
        <w:ind w:firstLine="480" w:firstLineChars="200"/>
        <w:jc w:val="left"/>
        <w:rPr>
          <w:rFonts w:hint="eastAsia" w:eastAsiaTheme="minorEastAsia"/>
          <w:sz w:val="24"/>
          <w:szCs w:val="24"/>
          <w:lang w:eastAsia="zh-CN"/>
        </w:rPr>
      </w:pPr>
      <w:r>
        <w:rPr>
          <w:rFonts w:hint="eastAsia"/>
          <w:sz w:val="24"/>
          <w:szCs w:val="24"/>
        </w:rPr>
        <w:t>联系方式：</w:t>
      </w:r>
      <w:r>
        <w:rPr>
          <w:rFonts w:hint="eastAsia"/>
          <w:sz w:val="24"/>
          <w:szCs w:val="24"/>
          <w:lang w:eastAsia="zh-CN"/>
        </w:rPr>
        <w:t>郭磊</w:t>
      </w:r>
      <w:r>
        <w:rPr>
          <w:rFonts w:hint="eastAsia"/>
          <w:sz w:val="24"/>
          <w:szCs w:val="24"/>
        </w:rPr>
        <w:t xml:space="preserve">  </w:t>
      </w:r>
      <w:r>
        <w:rPr>
          <w:rFonts w:hint="eastAsia"/>
          <w:sz w:val="24"/>
          <w:szCs w:val="24"/>
          <w:lang w:eastAsia="zh-CN"/>
        </w:rPr>
        <w:t>19850643160</w:t>
      </w:r>
    </w:p>
    <w:p w14:paraId="311F5807">
      <w:pPr>
        <w:spacing w:line="500" w:lineRule="exact"/>
        <w:ind w:firstLine="480" w:firstLineChars="200"/>
        <w:jc w:val="left"/>
        <w:rPr>
          <w:sz w:val="24"/>
          <w:szCs w:val="24"/>
        </w:rPr>
      </w:pPr>
      <w:r>
        <w:rPr>
          <w:rFonts w:hint="eastAsia"/>
          <w:sz w:val="24"/>
          <w:szCs w:val="24"/>
        </w:rPr>
        <w:t>3.项目联系方式</w:t>
      </w:r>
    </w:p>
    <w:p w14:paraId="39739F3D">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项目联系人：</w:t>
      </w:r>
      <w:r>
        <w:rPr>
          <w:rFonts w:hint="eastAsia"/>
          <w:color w:val="auto"/>
          <w:sz w:val="24"/>
          <w:szCs w:val="24"/>
          <w:lang w:eastAsia="zh-CN"/>
        </w:rPr>
        <w:t>郭磊</w:t>
      </w:r>
    </w:p>
    <w:p w14:paraId="6BF7273D">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电      话：</w:t>
      </w:r>
      <w:r>
        <w:rPr>
          <w:rFonts w:hint="eastAsia"/>
          <w:color w:val="auto"/>
          <w:sz w:val="24"/>
          <w:szCs w:val="24"/>
          <w:lang w:eastAsia="zh-CN"/>
        </w:rPr>
        <w:t>19850643160</w:t>
      </w:r>
    </w:p>
    <w:p w14:paraId="36B08916">
      <w:pPr>
        <w:pStyle w:val="5"/>
        <w:spacing w:before="0" w:after="0" w:line="360" w:lineRule="auto"/>
        <w:rPr>
          <w:rFonts w:ascii="黑体" w:hAnsi="黑体" w:eastAsia="黑体"/>
          <w:b w:val="0"/>
        </w:rPr>
      </w:pPr>
      <w:r>
        <w:rPr>
          <w:rFonts w:ascii="黑体" w:hAnsi="黑体" w:eastAsia="黑体"/>
          <w:b w:val="0"/>
        </w:rPr>
        <w:t>八、其他</w:t>
      </w:r>
    </w:p>
    <w:p w14:paraId="7CF59D4B">
      <w:pPr>
        <w:spacing w:line="500" w:lineRule="exact"/>
        <w:ind w:firstLine="480" w:firstLineChars="200"/>
        <w:jc w:val="left"/>
        <w:rPr>
          <w:sz w:val="24"/>
          <w:szCs w:val="24"/>
        </w:rPr>
      </w:pPr>
      <w:r>
        <w:rPr>
          <w:rFonts w:hint="eastAsia"/>
          <w:sz w:val="24"/>
          <w:szCs w:val="24"/>
          <w:lang w:val="en-US" w:eastAsia="zh-CN"/>
        </w:rPr>
        <w:t>1、</w:t>
      </w: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7F4B9810">
      <w:pPr>
        <w:spacing w:line="500" w:lineRule="exact"/>
        <w:ind w:firstLine="480" w:firstLineChars="200"/>
        <w:jc w:val="left"/>
        <w:rPr>
          <w:sz w:val="24"/>
          <w:szCs w:val="24"/>
        </w:rPr>
      </w:pPr>
      <w:r>
        <w:rPr>
          <w:rFonts w:hint="eastAsia"/>
          <w:sz w:val="24"/>
          <w:szCs w:val="24"/>
        </w:rPr>
        <w:t>http://www.ccgp-jiangsu.gov.cn/jiangsu/zlxz/ee/ee3a4bc5a3454aa2b0d9312230633ce9.html</w:t>
      </w:r>
    </w:p>
    <w:p w14:paraId="6BF4F3A4">
      <w:pPr>
        <w:spacing w:line="500" w:lineRule="exact"/>
        <w:ind w:firstLine="480" w:firstLineChars="200"/>
        <w:jc w:val="left"/>
        <w:rPr>
          <w:rFonts w:hint="eastAsia" w:ascii="Calibri" w:hAnsi="Calibri" w:eastAsia="宋体" w:cs="Times New Roman"/>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14:paraId="502888A6">
      <w:pPr>
        <w:tabs>
          <w:tab w:val="left" w:pos="900"/>
        </w:tabs>
        <w:spacing w:line="560" w:lineRule="exact"/>
        <w:ind w:firstLine="480" w:firstLineChars="200"/>
        <w:rPr>
          <w:rFonts w:hint="eastAsia" w:ascii="宋体" w:hAnsi="宋体"/>
          <w:bCs/>
          <w:sz w:val="24"/>
          <w:szCs w:val="24"/>
        </w:rPr>
      </w:pPr>
      <w:r>
        <w:rPr>
          <w:rFonts w:ascii="宋体" w:hAnsi="宋体"/>
          <w:bCs/>
          <w:color w:val="auto"/>
          <w:sz w:val="24"/>
          <w:szCs w:val="24"/>
        </w:rPr>
        <w:t>2</w:t>
      </w:r>
      <w:r>
        <w:rPr>
          <w:rFonts w:hint="eastAsia" w:ascii="宋体" w:hAnsi="宋体"/>
          <w:bCs/>
          <w:color w:val="auto"/>
          <w:sz w:val="24"/>
          <w:szCs w:val="24"/>
          <w:lang w:eastAsia="zh-CN"/>
        </w:rPr>
        <w:t>、</w:t>
      </w:r>
      <w:r>
        <w:rPr>
          <w:rFonts w:hint="eastAsia" w:ascii="宋体" w:hAnsi="宋体"/>
          <w:bCs/>
          <w:color w:val="auto"/>
          <w:sz w:val="24"/>
          <w:szCs w:val="24"/>
        </w:rPr>
        <w:t>有关本次磋商的事项若存在变动或修改，敬请及时关注</w:t>
      </w:r>
      <w:r>
        <w:rPr>
          <w:rFonts w:hint="eastAsia" w:ascii="宋体" w:hAnsi="宋体"/>
          <w:color w:val="auto"/>
          <w:sz w:val="24"/>
          <w:szCs w:val="24"/>
        </w:rPr>
        <w:t>江苏博伦项目管理有限公司</w:t>
      </w:r>
      <w:r>
        <w:rPr>
          <w:rFonts w:hint="eastAsia" w:ascii="宋体" w:hAnsi="宋体"/>
          <w:bCs/>
          <w:color w:val="auto"/>
          <w:sz w:val="24"/>
          <w:szCs w:val="24"/>
        </w:rPr>
        <w:t>在“江苏政府采购网”发布的更正公告</w:t>
      </w:r>
      <w:r>
        <w:rPr>
          <w:rFonts w:hint="eastAsia" w:ascii="宋体" w:hAnsi="宋体"/>
          <w:bCs/>
          <w:sz w:val="24"/>
          <w:szCs w:val="24"/>
        </w:rPr>
        <w:t>。</w:t>
      </w:r>
    </w:p>
    <w:p w14:paraId="01F59167">
      <w:pPr>
        <w:tabs>
          <w:tab w:val="left" w:pos="900"/>
        </w:tabs>
        <w:spacing w:line="560" w:lineRule="exact"/>
        <w:ind w:firstLine="480" w:firstLineChars="200"/>
        <w:rPr>
          <w:rFonts w:hint="eastAsia" w:ascii="宋体" w:hAnsi="宋体"/>
          <w:bCs/>
          <w:sz w:val="24"/>
          <w:szCs w:val="24"/>
        </w:rPr>
      </w:pPr>
      <w:r>
        <w:rPr>
          <w:rFonts w:ascii="宋体" w:hAnsi="宋体"/>
          <w:bCs/>
          <w:sz w:val="24"/>
          <w:szCs w:val="24"/>
        </w:rPr>
        <w:t>3</w:t>
      </w:r>
      <w:r>
        <w:rPr>
          <w:rFonts w:hint="eastAsia" w:ascii="宋体" w:hAnsi="宋体"/>
          <w:bCs/>
          <w:sz w:val="24"/>
          <w:szCs w:val="24"/>
          <w:lang w:eastAsia="zh-CN"/>
        </w:rPr>
        <w:t>、</w:t>
      </w:r>
      <w:r>
        <w:rPr>
          <w:rFonts w:hint="eastAsia" w:ascii="宋体" w:hAnsi="宋体"/>
          <w:bCs/>
          <w:sz w:val="24"/>
          <w:szCs w:val="24"/>
        </w:rPr>
        <w:t>本次磋商不收取磋商保证金。</w:t>
      </w:r>
    </w:p>
    <w:p w14:paraId="4CC57696">
      <w:pPr>
        <w:pStyle w:val="2"/>
      </w:pPr>
    </w:p>
    <w:p w14:paraId="28FE854D">
      <w:pPr>
        <w:widowControl/>
        <w:jc w:val="left"/>
        <w:rPr>
          <w:rFonts w:ascii="黑体" w:hAnsi="黑体" w:eastAsia="黑体"/>
          <w:bCs/>
          <w:kern w:val="44"/>
          <w:sz w:val="44"/>
          <w:szCs w:val="44"/>
        </w:rPr>
      </w:pPr>
      <w:bookmarkStart w:id="1" w:name="_Toc155796357"/>
      <w:r>
        <w:rPr>
          <w:rFonts w:ascii="黑体" w:hAnsi="黑体" w:eastAsia="黑体"/>
          <w:b/>
        </w:rPr>
        <w:br w:type="page"/>
      </w:r>
    </w:p>
    <w:p w14:paraId="756CFA8E">
      <w:pPr>
        <w:pStyle w:val="4"/>
        <w:spacing w:beforeLines="50" w:afterLines="50" w:line="360" w:lineRule="auto"/>
        <w:jc w:val="center"/>
        <w:rPr>
          <w:rFonts w:ascii="黑体" w:hAnsi="黑体" w:eastAsia="黑体"/>
          <w:b w:val="0"/>
        </w:rPr>
      </w:pPr>
      <w:r>
        <w:rPr>
          <w:rFonts w:hint="eastAsia" w:ascii="黑体" w:hAnsi="黑体" w:eastAsia="黑体"/>
          <w:b w:val="0"/>
        </w:rPr>
        <w:t>第二章  投标人须知</w:t>
      </w:r>
      <w:bookmarkEnd w:id="1"/>
    </w:p>
    <w:p w14:paraId="1A63D8C4">
      <w:pPr>
        <w:pStyle w:val="5"/>
        <w:spacing w:before="0" w:after="0" w:line="360" w:lineRule="auto"/>
        <w:rPr>
          <w:rFonts w:ascii="黑体" w:hAnsi="黑体" w:eastAsia="黑体"/>
          <w:b w:val="0"/>
        </w:rPr>
      </w:pPr>
      <w:r>
        <w:rPr>
          <w:rFonts w:hint="eastAsia" w:ascii="黑体" w:hAnsi="黑体" w:eastAsia="黑体"/>
          <w:b w:val="0"/>
        </w:rPr>
        <w:t>一、总则</w:t>
      </w:r>
    </w:p>
    <w:p w14:paraId="67D4BF9E">
      <w:pPr>
        <w:pStyle w:val="6"/>
        <w:spacing w:before="0" w:after="0" w:line="360" w:lineRule="auto"/>
        <w:ind w:firstLine="562" w:firstLineChars="200"/>
        <w:jc w:val="left"/>
        <w:rPr>
          <w:sz w:val="28"/>
          <w:szCs w:val="28"/>
        </w:rPr>
      </w:pPr>
      <w:r>
        <w:rPr>
          <w:rFonts w:hint="eastAsia"/>
          <w:sz w:val="28"/>
          <w:szCs w:val="28"/>
        </w:rPr>
        <w:t>1、招标方式</w:t>
      </w:r>
    </w:p>
    <w:p w14:paraId="6BFB0655">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14:paraId="0EC922E5">
      <w:pPr>
        <w:pStyle w:val="6"/>
        <w:spacing w:before="0" w:after="0" w:line="360" w:lineRule="auto"/>
        <w:ind w:firstLine="562" w:firstLineChars="200"/>
        <w:jc w:val="left"/>
        <w:rPr>
          <w:sz w:val="28"/>
          <w:szCs w:val="28"/>
        </w:rPr>
      </w:pPr>
      <w:r>
        <w:rPr>
          <w:rFonts w:hint="eastAsia"/>
          <w:sz w:val="28"/>
          <w:szCs w:val="28"/>
        </w:rPr>
        <w:t>2、合格的投标人</w:t>
      </w:r>
    </w:p>
    <w:p w14:paraId="38D7A997">
      <w:pPr>
        <w:spacing w:line="500" w:lineRule="exact"/>
        <w:ind w:firstLine="480" w:firstLineChars="200"/>
        <w:jc w:val="left"/>
        <w:rPr>
          <w:sz w:val="24"/>
          <w:szCs w:val="24"/>
        </w:rPr>
      </w:pPr>
      <w:r>
        <w:rPr>
          <w:rFonts w:hint="eastAsia"/>
          <w:sz w:val="24"/>
          <w:szCs w:val="24"/>
        </w:rPr>
        <w:t>2.1 满足招标公告中</w:t>
      </w:r>
      <w:r>
        <w:rPr>
          <w:rFonts w:hint="eastAsia" w:ascii="Calibri" w:hAnsi="Calibri" w:eastAsia="宋体" w:cs="Times New Roman"/>
          <w:sz w:val="24"/>
          <w:szCs w:val="24"/>
          <w:lang w:val="en-US" w:eastAsia="zh-CN"/>
        </w:rPr>
        <w:t>投标人</w:t>
      </w:r>
      <w:r>
        <w:rPr>
          <w:rFonts w:hint="eastAsia"/>
          <w:sz w:val="24"/>
          <w:szCs w:val="24"/>
        </w:rPr>
        <w:t>的资格要求的规定。</w:t>
      </w:r>
    </w:p>
    <w:p w14:paraId="218502E1">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3BD2BECC">
      <w:pPr>
        <w:spacing w:line="500" w:lineRule="exact"/>
        <w:ind w:firstLine="480" w:firstLineChars="200"/>
        <w:jc w:val="left"/>
        <w:rPr>
          <w:sz w:val="24"/>
          <w:szCs w:val="24"/>
        </w:rPr>
      </w:pPr>
      <w:r>
        <w:rPr>
          <w:rFonts w:hint="eastAsia"/>
          <w:sz w:val="24"/>
          <w:szCs w:val="24"/>
        </w:rPr>
        <w:t>2.3 满足本招标文件全部实质性要求和条件的规定。</w:t>
      </w:r>
    </w:p>
    <w:p w14:paraId="3A0D0A3B">
      <w:pPr>
        <w:spacing w:line="500" w:lineRule="exact"/>
        <w:ind w:firstLine="480" w:firstLineChars="200"/>
        <w:jc w:val="left"/>
        <w:rPr>
          <w:sz w:val="24"/>
          <w:szCs w:val="24"/>
        </w:rPr>
      </w:pPr>
      <w:r>
        <w:rPr>
          <w:rFonts w:hint="eastAsia"/>
          <w:sz w:val="24"/>
          <w:szCs w:val="24"/>
        </w:rPr>
        <w:t>2.4 符合上述条件的投标人应承担投标及履约过程应承担的全部责任与义务。</w:t>
      </w:r>
    </w:p>
    <w:p w14:paraId="487773E3">
      <w:pPr>
        <w:pStyle w:val="6"/>
        <w:spacing w:before="0" w:after="0" w:line="360" w:lineRule="auto"/>
        <w:ind w:firstLine="562" w:firstLineChars="200"/>
        <w:jc w:val="left"/>
        <w:rPr>
          <w:sz w:val="28"/>
          <w:szCs w:val="28"/>
        </w:rPr>
      </w:pPr>
      <w:r>
        <w:rPr>
          <w:rFonts w:hint="eastAsia"/>
          <w:sz w:val="28"/>
          <w:szCs w:val="28"/>
        </w:rPr>
        <w:t>3、适用法律</w:t>
      </w:r>
    </w:p>
    <w:p w14:paraId="4BFB5EAA">
      <w:pPr>
        <w:spacing w:line="500" w:lineRule="exact"/>
        <w:ind w:firstLine="480" w:firstLineChars="200"/>
        <w:jc w:val="left"/>
        <w:rPr>
          <w:sz w:val="24"/>
          <w:szCs w:val="24"/>
        </w:rPr>
      </w:pPr>
      <w:r>
        <w:rPr>
          <w:rFonts w:hint="eastAsia"/>
          <w:sz w:val="24"/>
          <w:szCs w:val="24"/>
        </w:rPr>
        <w:t>3.1 本次招标及由此产生的合同受中华人民共和国有关的法律法规制约和保护。</w:t>
      </w:r>
    </w:p>
    <w:p w14:paraId="5BFEB0EC">
      <w:pPr>
        <w:pStyle w:val="6"/>
        <w:spacing w:before="0" w:after="0" w:line="360" w:lineRule="auto"/>
        <w:ind w:firstLine="562" w:firstLineChars="200"/>
        <w:jc w:val="left"/>
        <w:rPr>
          <w:sz w:val="28"/>
          <w:szCs w:val="28"/>
        </w:rPr>
      </w:pPr>
      <w:r>
        <w:rPr>
          <w:rFonts w:hint="eastAsia"/>
          <w:sz w:val="28"/>
          <w:szCs w:val="28"/>
        </w:rPr>
        <w:t>4、投标费用</w:t>
      </w:r>
    </w:p>
    <w:p w14:paraId="2E13E5D4">
      <w:pPr>
        <w:spacing w:line="500" w:lineRule="exact"/>
        <w:ind w:firstLine="480" w:firstLineChars="200"/>
        <w:jc w:val="left"/>
        <w:rPr>
          <w:rFonts w:hint="eastAsia"/>
          <w:sz w:val="24"/>
          <w:szCs w:val="24"/>
        </w:rPr>
      </w:pPr>
      <w:r>
        <w:rPr>
          <w:rFonts w:hint="eastAsia"/>
          <w:sz w:val="24"/>
          <w:szCs w:val="24"/>
        </w:rPr>
        <w:t>无论投标过程中的做法和结果如何，投标人自行承担所有与参加投标有关的全部费用。</w:t>
      </w:r>
    </w:p>
    <w:p w14:paraId="1A5C74E0">
      <w:pPr>
        <w:spacing w:line="500" w:lineRule="exact"/>
        <w:ind w:firstLine="480" w:firstLineChars="200"/>
        <w:jc w:val="left"/>
        <w:rPr>
          <w:rFonts w:hint="eastAsia"/>
          <w:sz w:val="24"/>
          <w:szCs w:val="24"/>
        </w:rPr>
      </w:pPr>
      <w:r>
        <w:rPr>
          <w:rFonts w:hint="eastAsia"/>
          <w:sz w:val="24"/>
          <w:szCs w:val="24"/>
        </w:rPr>
        <w:t>本项目以中标通知书确定的中标总金额作为收费的计算基数。</w:t>
      </w:r>
    </w:p>
    <w:p w14:paraId="13A0F15D">
      <w:pPr>
        <w:spacing w:line="500" w:lineRule="exact"/>
        <w:ind w:firstLine="480" w:firstLineChars="200"/>
        <w:jc w:val="left"/>
        <w:rPr>
          <w:sz w:val="24"/>
          <w:szCs w:val="24"/>
        </w:rPr>
      </w:pPr>
      <w:r>
        <w:rPr>
          <w:rFonts w:hint="eastAsia"/>
          <w:sz w:val="24"/>
          <w:szCs w:val="24"/>
          <w:lang w:val="en-US" w:eastAsia="zh-CN"/>
        </w:rPr>
        <w:t>招标代理费按苏招协【2022】002《江苏省招标代理服务收费指导价》规定</w:t>
      </w:r>
      <w:r>
        <w:rPr>
          <w:rFonts w:hint="eastAsia"/>
          <w:sz w:val="24"/>
          <w:szCs w:val="24"/>
        </w:rPr>
        <w:t>，投标人须交纳中标服务费。</w:t>
      </w:r>
    </w:p>
    <w:p w14:paraId="0E863C9A">
      <w:pPr>
        <w:pStyle w:val="6"/>
        <w:spacing w:before="0" w:after="0" w:line="360" w:lineRule="auto"/>
        <w:ind w:firstLine="562" w:firstLineChars="200"/>
        <w:jc w:val="left"/>
        <w:rPr>
          <w:sz w:val="28"/>
          <w:szCs w:val="28"/>
        </w:rPr>
      </w:pPr>
      <w:r>
        <w:rPr>
          <w:rFonts w:hint="eastAsia"/>
          <w:sz w:val="28"/>
          <w:szCs w:val="28"/>
        </w:rPr>
        <w:t>5、招标文件的约束力</w:t>
      </w:r>
    </w:p>
    <w:p w14:paraId="6058D2EA">
      <w:pPr>
        <w:spacing w:line="500" w:lineRule="exact"/>
        <w:ind w:firstLine="480" w:firstLineChars="200"/>
        <w:jc w:val="left"/>
        <w:rPr>
          <w:sz w:val="24"/>
          <w:szCs w:val="24"/>
        </w:rPr>
      </w:pPr>
      <w:r>
        <w:rPr>
          <w:rFonts w:hint="eastAsia"/>
          <w:sz w:val="24"/>
          <w:szCs w:val="24"/>
        </w:rPr>
        <w:t>5.1 投标人一旦参加本项目采购活动，即被认为接受了本招标文件的规定和约束。</w:t>
      </w:r>
    </w:p>
    <w:p w14:paraId="09E52C9C">
      <w:pPr>
        <w:pStyle w:val="5"/>
        <w:spacing w:before="0" w:after="0" w:line="360" w:lineRule="auto"/>
        <w:rPr>
          <w:rFonts w:ascii="黑体" w:hAnsi="黑体" w:eastAsia="黑体"/>
          <w:b w:val="0"/>
        </w:rPr>
      </w:pPr>
      <w:r>
        <w:rPr>
          <w:rFonts w:hint="eastAsia" w:ascii="黑体" w:hAnsi="黑体" w:eastAsia="黑体"/>
          <w:b w:val="0"/>
        </w:rPr>
        <w:t>二、招标文件</w:t>
      </w:r>
    </w:p>
    <w:p w14:paraId="621B39BE">
      <w:pPr>
        <w:pStyle w:val="6"/>
        <w:spacing w:before="0" w:after="0" w:line="360" w:lineRule="auto"/>
        <w:ind w:firstLine="562" w:firstLineChars="200"/>
        <w:jc w:val="left"/>
        <w:rPr>
          <w:sz w:val="28"/>
          <w:szCs w:val="28"/>
        </w:rPr>
      </w:pPr>
      <w:r>
        <w:rPr>
          <w:rFonts w:hint="eastAsia"/>
          <w:sz w:val="28"/>
          <w:szCs w:val="28"/>
        </w:rPr>
        <w:t>6、招标文件构成</w:t>
      </w:r>
    </w:p>
    <w:p w14:paraId="0A6B5C5E">
      <w:pPr>
        <w:spacing w:line="500" w:lineRule="exact"/>
        <w:ind w:firstLine="480" w:firstLineChars="200"/>
        <w:jc w:val="left"/>
        <w:rPr>
          <w:sz w:val="24"/>
          <w:szCs w:val="24"/>
        </w:rPr>
      </w:pPr>
      <w:r>
        <w:rPr>
          <w:rFonts w:hint="eastAsia"/>
          <w:sz w:val="24"/>
          <w:szCs w:val="24"/>
        </w:rPr>
        <w:t>6.1 招标文件由以下部分组成：</w:t>
      </w:r>
    </w:p>
    <w:p w14:paraId="1E5E2616">
      <w:pPr>
        <w:spacing w:line="500" w:lineRule="exact"/>
        <w:ind w:firstLine="480" w:firstLineChars="200"/>
        <w:jc w:val="left"/>
        <w:rPr>
          <w:sz w:val="24"/>
          <w:szCs w:val="24"/>
        </w:rPr>
      </w:pPr>
      <w:r>
        <w:rPr>
          <w:rFonts w:hint="eastAsia"/>
          <w:sz w:val="24"/>
          <w:szCs w:val="24"/>
        </w:rPr>
        <w:t>（1）投标邀请</w:t>
      </w:r>
    </w:p>
    <w:p w14:paraId="2F2AB70E">
      <w:pPr>
        <w:spacing w:line="500" w:lineRule="exact"/>
        <w:ind w:firstLine="480" w:firstLineChars="200"/>
        <w:jc w:val="left"/>
        <w:rPr>
          <w:sz w:val="24"/>
          <w:szCs w:val="24"/>
        </w:rPr>
      </w:pPr>
      <w:r>
        <w:rPr>
          <w:rFonts w:hint="eastAsia"/>
          <w:sz w:val="24"/>
          <w:szCs w:val="24"/>
        </w:rPr>
        <w:t>（2）投标人须知</w:t>
      </w:r>
    </w:p>
    <w:p w14:paraId="6A684F66">
      <w:pPr>
        <w:spacing w:line="500" w:lineRule="exact"/>
        <w:ind w:firstLine="480" w:firstLineChars="200"/>
        <w:jc w:val="left"/>
        <w:rPr>
          <w:sz w:val="24"/>
          <w:szCs w:val="24"/>
        </w:rPr>
      </w:pPr>
      <w:r>
        <w:rPr>
          <w:rFonts w:hint="eastAsia"/>
          <w:sz w:val="24"/>
          <w:szCs w:val="24"/>
        </w:rPr>
        <w:t>（3）合同文本</w:t>
      </w:r>
    </w:p>
    <w:p w14:paraId="42B31B8F">
      <w:pPr>
        <w:spacing w:line="500" w:lineRule="exact"/>
        <w:ind w:firstLine="480" w:firstLineChars="200"/>
        <w:jc w:val="left"/>
        <w:rPr>
          <w:sz w:val="24"/>
          <w:szCs w:val="24"/>
        </w:rPr>
      </w:pPr>
      <w:r>
        <w:rPr>
          <w:rFonts w:hint="eastAsia"/>
          <w:sz w:val="24"/>
          <w:szCs w:val="24"/>
        </w:rPr>
        <w:t>（4）采购需求</w:t>
      </w:r>
    </w:p>
    <w:p w14:paraId="1F74E6DE">
      <w:pPr>
        <w:spacing w:line="500" w:lineRule="exact"/>
        <w:ind w:firstLine="480" w:firstLineChars="200"/>
        <w:jc w:val="left"/>
        <w:rPr>
          <w:sz w:val="24"/>
          <w:szCs w:val="24"/>
        </w:rPr>
      </w:pPr>
      <w:r>
        <w:rPr>
          <w:rFonts w:hint="eastAsia"/>
          <w:sz w:val="24"/>
          <w:szCs w:val="24"/>
        </w:rPr>
        <w:t>（5）评标方法与评标标准</w:t>
      </w:r>
    </w:p>
    <w:p w14:paraId="16EEAAAA">
      <w:pPr>
        <w:spacing w:line="500" w:lineRule="exact"/>
        <w:ind w:firstLine="480" w:firstLineChars="200"/>
        <w:jc w:val="left"/>
        <w:rPr>
          <w:sz w:val="24"/>
          <w:szCs w:val="24"/>
        </w:rPr>
      </w:pPr>
      <w:r>
        <w:rPr>
          <w:rFonts w:hint="eastAsia"/>
          <w:sz w:val="24"/>
          <w:szCs w:val="24"/>
        </w:rPr>
        <w:t>（6）投标文件格式</w:t>
      </w:r>
    </w:p>
    <w:p w14:paraId="5CCC09D4">
      <w:pPr>
        <w:spacing w:line="500" w:lineRule="exact"/>
        <w:ind w:firstLine="480" w:firstLineChars="20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14:paraId="3A4F8FFE">
      <w:pPr>
        <w:pStyle w:val="6"/>
        <w:spacing w:before="0" w:after="0" w:line="360" w:lineRule="auto"/>
        <w:ind w:firstLine="562" w:firstLineChars="200"/>
        <w:jc w:val="left"/>
        <w:rPr>
          <w:sz w:val="28"/>
          <w:szCs w:val="28"/>
        </w:rPr>
      </w:pPr>
      <w:r>
        <w:rPr>
          <w:rFonts w:hint="eastAsia"/>
          <w:sz w:val="28"/>
          <w:szCs w:val="28"/>
        </w:rPr>
        <w:t>7、招标文件的澄清</w:t>
      </w:r>
    </w:p>
    <w:p w14:paraId="490BD63D">
      <w:pPr>
        <w:spacing w:line="500" w:lineRule="exact"/>
        <w:ind w:firstLine="480" w:firstLineChars="20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14:paraId="357CD096">
      <w:pPr>
        <w:pStyle w:val="6"/>
        <w:spacing w:before="0" w:after="0" w:line="360" w:lineRule="auto"/>
        <w:ind w:firstLine="562" w:firstLineChars="200"/>
        <w:jc w:val="left"/>
        <w:rPr>
          <w:sz w:val="28"/>
          <w:szCs w:val="28"/>
        </w:rPr>
      </w:pPr>
      <w:r>
        <w:rPr>
          <w:rFonts w:hint="eastAsia"/>
          <w:sz w:val="28"/>
          <w:szCs w:val="28"/>
        </w:rPr>
        <w:t>8、招标文件的修改</w:t>
      </w:r>
    </w:p>
    <w:p w14:paraId="2085B6FA">
      <w:pPr>
        <w:spacing w:line="500" w:lineRule="exact"/>
        <w:ind w:firstLine="480" w:firstLineChars="20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14:paraId="5A458FCE">
      <w:pPr>
        <w:spacing w:line="500" w:lineRule="exact"/>
        <w:ind w:firstLine="480" w:firstLineChars="20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14:paraId="0062F318">
      <w:pPr>
        <w:spacing w:line="500" w:lineRule="exact"/>
        <w:ind w:firstLine="480" w:firstLineChars="200"/>
        <w:jc w:val="left"/>
        <w:rPr>
          <w:sz w:val="24"/>
          <w:szCs w:val="24"/>
        </w:rPr>
      </w:pPr>
      <w:r>
        <w:rPr>
          <w:rFonts w:hint="eastAsia"/>
          <w:sz w:val="24"/>
          <w:szCs w:val="24"/>
        </w:rPr>
        <w:t>8.3 招标文件的修改将在江苏政府采购网公布，补充文件将作为招标文件的组成部分，并对投标人具有约束力。</w:t>
      </w:r>
    </w:p>
    <w:p w14:paraId="357DE0F8">
      <w:pPr>
        <w:pStyle w:val="5"/>
        <w:spacing w:before="0" w:after="0" w:line="360" w:lineRule="auto"/>
        <w:rPr>
          <w:rFonts w:ascii="黑体" w:hAnsi="黑体" w:eastAsia="黑体"/>
          <w:b w:val="0"/>
        </w:rPr>
      </w:pPr>
      <w:r>
        <w:rPr>
          <w:rFonts w:hint="eastAsia" w:ascii="黑体" w:hAnsi="黑体" w:eastAsia="黑体"/>
          <w:b w:val="0"/>
        </w:rPr>
        <w:t>三、投标文件的编制</w:t>
      </w:r>
    </w:p>
    <w:p w14:paraId="2206DCCB">
      <w:pPr>
        <w:pStyle w:val="6"/>
        <w:spacing w:before="0" w:after="0" w:line="360" w:lineRule="auto"/>
        <w:ind w:firstLine="562" w:firstLineChars="200"/>
        <w:jc w:val="left"/>
        <w:rPr>
          <w:sz w:val="28"/>
          <w:szCs w:val="28"/>
        </w:rPr>
      </w:pPr>
      <w:r>
        <w:rPr>
          <w:rFonts w:hint="eastAsia"/>
          <w:sz w:val="28"/>
          <w:szCs w:val="28"/>
        </w:rPr>
        <w:t>9、投标文件编写注意事项</w:t>
      </w:r>
    </w:p>
    <w:p w14:paraId="5E26974E">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8F7488F">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08D1E5EC">
      <w:pPr>
        <w:pStyle w:val="6"/>
        <w:spacing w:before="0" w:after="0" w:line="360" w:lineRule="auto"/>
        <w:ind w:firstLine="562" w:firstLineChars="200"/>
        <w:jc w:val="left"/>
        <w:rPr>
          <w:sz w:val="28"/>
          <w:szCs w:val="28"/>
        </w:rPr>
      </w:pPr>
      <w:r>
        <w:rPr>
          <w:rFonts w:hint="eastAsia"/>
          <w:sz w:val="28"/>
          <w:szCs w:val="28"/>
        </w:rPr>
        <w:t>10、投标文件的语言及度量衡单位</w:t>
      </w:r>
    </w:p>
    <w:p w14:paraId="23CF40AC">
      <w:pPr>
        <w:spacing w:line="500" w:lineRule="exact"/>
        <w:ind w:firstLine="480" w:firstLineChars="20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34EB17F">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14:paraId="00F0DA40">
      <w:pPr>
        <w:pStyle w:val="6"/>
        <w:spacing w:before="0" w:after="0" w:line="360" w:lineRule="auto"/>
        <w:ind w:firstLine="562" w:firstLineChars="200"/>
        <w:jc w:val="left"/>
        <w:rPr>
          <w:sz w:val="28"/>
          <w:szCs w:val="28"/>
        </w:rPr>
      </w:pPr>
      <w:r>
        <w:rPr>
          <w:rFonts w:hint="eastAsia"/>
          <w:sz w:val="28"/>
          <w:szCs w:val="28"/>
        </w:rPr>
        <w:t>11、投标文件构成</w:t>
      </w:r>
    </w:p>
    <w:p w14:paraId="2158A852">
      <w:pPr>
        <w:spacing w:line="500" w:lineRule="exact"/>
        <w:ind w:firstLine="480" w:firstLineChars="200"/>
        <w:jc w:val="left"/>
        <w:rPr>
          <w:sz w:val="24"/>
          <w:szCs w:val="24"/>
        </w:rPr>
      </w:pPr>
      <w:r>
        <w:rPr>
          <w:rFonts w:hint="eastAsia"/>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3C170DCC">
      <w:pPr>
        <w:spacing w:line="500" w:lineRule="exact"/>
        <w:ind w:firstLine="480" w:firstLineChars="20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02B101A0">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3037BEAE">
      <w:pPr>
        <w:pStyle w:val="6"/>
        <w:spacing w:before="0" w:after="0" w:line="360" w:lineRule="auto"/>
        <w:ind w:firstLine="562" w:firstLineChars="200"/>
        <w:jc w:val="left"/>
        <w:rPr>
          <w:sz w:val="28"/>
          <w:szCs w:val="28"/>
        </w:rPr>
      </w:pPr>
      <w:r>
        <w:rPr>
          <w:rFonts w:hint="eastAsia"/>
          <w:sz w:val="28"/>
          <w:szCs w:val="28"/>
        </w:rPr>
        <w:t>12、证明投标人及投标标的符合招标文件规定的文件</w:t>
      </w:r>
    </w:p>
    <w:p w14:paraId="3D1E44E9">
      <w:pPr>
        <w:spacing w:line="500" w:lineRule="exact"/>
        <w:ind w:firstLine="480" w:firstLineChars="200"/>
        <w:jc w:val="left"/>
        <w:rPr>
          <w:sz w:val="24"/>
          <w:szCs w:val="24"/>
        </w:rPr>
      </w:pPr>
      <w:r>
        <w:rPr>
          <w:rFonts w:hint="eastAsia"/>
          <w:sz w:val="24"/>
          <w:szCs w:val="24"/>
        </w:rPr>
        <w:t>12.1 投标人应按照招标文件要求提交证明文件，证明其及投标标的符合招标文件规定。</w:t>
      </w:r>
    </w:p>
    <w:p w14:paraId="2ED67C97">
      <w:pPr>
        <w:spacing w:line="500" w:lineRule="exact"/>
        <w:ind w:firstLine="480" w:firstLineChars="200"/>
        <w:jc w:val="left"/>
        <w:rPr>
          <w:sz w:val="24"/>
          <w:szCs w:val="24"/>
        </w:rPr>
      </w:pPr>
      <w:r>
        <w:rPr>
          <w:rFonts w:hint="eastAsia"/>
          <w:sz w:val="24"/>
          <w:szCs w:val="24"/>
        </w:rPr>
        <w:t>12.2 招标文件对证明文件无明确形式要求的，证明文件可以以文字资料、图纸和数据等形式提交。</w:t>
      </w:r>
    </w:p>
    <w:p w14:paraId="1220DBC1">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44CFB01E">
      <w:pPr>
        <w:pStyle w:val="6"/>
        <w:spacing w:before="0" w:after="0" w:line="360" w:lineRule="auto"/>
        <w:ind w:firstLine="562" w:firstLineChars="200"/>
        <w:jc w:val="left"/>
      </w:pPr>
      <w:r>
        <w:rPr>
          <w:rFonts w:hint="eastAsia"/>
          <w:sz w:val="28"/>
          <w:szCs w:val="28"/>
        </w:rPr>
        <w:t>13、投标分项报价表</w:t>
      </w:r>
    </w:p>
    <w:p w14:paraId="0792CF9D">
      <w:pPr>
        <w:spacing w:line="500" w:lineRule="exact"/>
        <w:ind w:firstLine="480" w:firstLineChars="200"/>
        <w:jc w:val="left"/>
        <w:rPr>
          <w:sz w:val="24"/>
          <w:szCs w:val="24"/>
        </w:rPr>
      </w:pPr>
      <w:r>
        <w:rPr>
          <w:rFonts w:hint="eastAsia"/>
          <w:sz w:val="24"/>
          <w:szCs w:val="24"/>
        </w:rPr>
        <w:t>13.1 投标人应根据投标报价要求在投标分项报价表中列明各项投标单价、总价等，未全部列示的作无效响应处理。</w:t>
      </w:r>
    </w:p>
    <w:p w14:paraId="0C3540BE">
      <w:pPr>
        <w:spacing w:line="500" w:lineRule="exact"/>
        <w:ind w:firstLine="480" w:firstLineChars="200"/>
        <w:jc w:val="left"/>
        <w:rPr>
          <w:sz w:val="24"/>
          <w:szCs w:val="24"/>
        </w:rPr>
      </w:pPr>
      <w:r>
        <w:rPr>
          <w:rFonts w:hint="eastAsia"/>
          <w:sz w:val="24"/>
          <w:szCs w:val="24"/>
        </w:rPr>
        <w:t>13.2 投标货币。投标文件中的单价和总价无特殊规定的采用人民币报价，以元为单位标注。招标文件中另有规定的按规定执行。</w:t>
      </w:r>
    </w:p>
    <w:p w14:paraId="3EEF8289">
      <w:pPr>
        <w:pStyle w:val="6"/>
        <w:spacing w:before="0" w:after="0" w:line="360" w:lineRule="auto"/>
        <w:ind w:firstLine="562" w:firstLineChars="200"/>
        <w:jc w:val="left"/>
        <w:rPr>
          <w:sz w:val="28"/>
          <w:szCs w:val="28"/>
        </w:rPr>
      </w:pPr>
      <w:r>
        <w:rPr>
          <w:rFonts w:hint="eastAsia"/>
          <w:sz w:val="28"/>
          <w:szCs w:val="28"/>
        </w:rPr>
        <w:t>14、技术要求响应及偏离表、商务要求响应及偏离表</w:t>
      </w:r>
    </w:p>
    <w:p w14:paraId="1C5CF89B">
      <w:pPr>
        <w:spacing w:line="500" w:lineRule="exact"/>
        <w:ind w:firstLine="480" w:firstLineChars="20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D548089">
      <w:pPr>
        <w:spacing w:line="500" w:lineRule="exact"/>
        <w:ind w:firstLine="480" w:firstLineChars="200"/>
        <w:jc w:val="left"/>
        <w:rPr>
          <w:sz w:val="24"/>
          <w:szCs w:val="24"/>
        </w:rPr>
      </w:pPr>
      <w:r>
        <w:rPr>
          <w:rFonts w:hint="eastAsia"/>
          <w:sz w:val="24"/>
          <w:szCs w:val="24"/>
        </w:rPr>
        <w:t>14.2 投标人可在投标文件中提供认为需要的其他技术文件或说明。</w:t>
      </w:r>
    </w:p>
    <w:p w14:paraId="5AB23F16">
      <w:pPr>
        <w:pStyle w:val="6"/>
        <w:spacing w:before="0" w:after="0" w:line="360" w:lineRule="auto"/>
        <w:ind w:firstLine="562" w:firstLineChars="200"/>
        <w:jc w:val="left"/>
        <w:rPr>
          <w:sz w:val="28"/>
          <w:szCs w:val="28"/>
        </w:rPr>
      </w:pPr>
      <w:r>
        <w:rPr>
          <w:rFonts w:hint="eastAsia"/>
          <w:sz w:val="28"/>
          <w:szCs w:val="28"/>
        </w:rPr>
        <w:t>15、服务承诺、培训计划、人员安排及其他</w:t>
      </w:r>
    </w:p>
    <w:p w14:paraId="402CB065">
      <w:pPr>
        <w:spacing w:line="500" w:lineRule="exact"/>
        <w:ind w:firstLine="480" w:firstLineChars="20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14:paraId="3E0ECC7D">
      <w:pPr>
        <w:spacing w:line="500" w:lineRule="exact"/>
        <w:ind w:firstLine="480" w:firstLineChars="200"/>
        <w:jc w:val="left"/>
        <w:rPr>
          <w:sz w:val="24"/>
          <w:szCs w:val="24"/>
        </w:rPr>
      </w:pPr>
      <w:r>
        <w:rPr>
          <w:rFonts w:hint="eastAsia"/>
          <w:sz w:val="24"/>
          <w:szCs w:val="24"/>
        </w:rPr>
        <w:t>15.2 投标人需根据招标文件要求提供培训计划、人员安排等。</w:t>
      </w:r>
    </w:p>
    <w:p w14:paraId="06590124">
      <w:pPr>
        <w:spacing w:line="500" w:lineRule="exact"/>
        <w:ind w:firstLine="480" w:firstLineChars="200"/>
        <w:jc w:val="left"/>
        <w:rPr>
          <w:sz w:val="24"/>
          <w:szCs w:val="24"/>
        </w:rPr>
      </w:pPr>
      <w:r>
        <w:rPr>
          <w:rFonts w:hint="eastAsia"/>
          <w:sz w:val="24"/>
          <w:szCs w:val="24"/>
        </w:rPr>
        <w:t>15.3 投标人需根据招标文件要求提供所投标的的主要组成部分、功能设计、实现思路及关键技术等。</w:t>
      </w:r>
    </w:p>
    <w:p w14:paraId="36AC7FE6">
      <w:pPr>
        <w:pStyle w:val="6"/>
        <w:spacing w:before="0" w:after="0" w:line="360" w:lineRule="auto"/>
        <w:ind w:firstLine="562" w:firstLineChars="200"/>
        <w:jc w:val="left"/>
        <w:rPr>
          <w:sz w:val="28"/>
          <w:szCs w:val="28"/>
        </w:rPr>
      </w:pPr>
      <w:r>
        <w:rPr>
          <w:rFonts w:hint="eastAsia"/>
          <w:sz w:val="28"/>
          <w:szCs w:val="28"/>
        </w:rPr>
        <w:t>16、投标函和开标一览表</w:t>
      </w:r>
    </w:p>
    <w:p w14:paraId="6BA5D6F8">
      <w:pPr>
        <w:spacing w:line="500" w:lineRule="exact"/>
        <w:ind w:firstLine="480" w:firstLineChars="200"/>
        <w:jc w:val="left"/>
        <w:rPr>
          <w:sz w:val="24"/>
          <w:szCs w:val="24"/>
        </w:rPr>
      </w:pPr>
      <w:r>
        <w:rPr>
          <w:rFonts w:hint="eastAsia"/>
          <w:sz w:val="24"/>
          <w:szCs w:val="24"/>
        </w:rPr>
        <w:t>16.1 投标人应按照招标文件中提供的格式完整、正确填写投标函、开标一览表。</w:t>
      </w:r>
    </w:p>
    <w:p w14:paraId="7738CE1B">
      <w:pPr>
        <w:spacing w:line="500" w:lineRule="exact"/>
        <w:ind w:firstLine="480" w:firstLineChars="20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14:paraId="10BEFC80">
      <w:pPr>
        <w:pStyle w:val="6"/>
        <w:spacing w:before="0" w:after="0" w:line="360" w:lineRule="auto"/>
        <w:ind w:firstLine="562" w:firstLineChars="200"/>
        <w:jc w:val="left"/>
        <w:rPr>
          <w:sz w:val="28"/>
          <w:szCs w:val="28"/>
        </w:rPr>
      </w:pPr>
      <w:r>
        <w:rPr>
          <w:rFonts w:hint="eastAsia"/>
          <w:sz w:val="28"/>
          <w:szCs w:val="28"/>
        </w:rPr>
        <w:t>17、投标有效期</w:t>
      </w:r>
    </w:p>
    <w:p w14:paraId="771D5164">
      <w:pPr>
        <w:spacing w:line="500" w:lineRule="exact"/>
        <w:ind w:firstLine="480" w:firstLineChars="20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14:paraId="23335DCC">
      <w:pPr>
        <w:spacing w:line="500" w:lineRule="exact"/>
        <w:ind w:firstLine="480" w:firstLineChars="20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3ABA3508">
      <w:pPr>
        <w:pStyle w:val="5"/>
        <w:spacing w:before="0" w:after="0" w:line="360" w:lineRule="auto"/>
        <w:rPr>
          <w:rFonts w:ascii="黑体" w:hAnsi="黑体" w:eastAsia="黑体"/>
          <w:b w:val="0"/>
        </w:rPr>
      </w:pPr>
      <w:r>
        <w:rPr>
          <w:rFonts w:hint="eastAsia" w:ascii="黑体" w:hAnsi="黑体" w:eastAsia="黑体"/>
          <w:b w:val="0"/>
        </w:rPr>
        <w:t>四、投标文件的递交</w:t>
      </w:r>
    </w:p>
    <w:p w14:paraId="505BAD5E">
      <w:pPr>
        <w:pStyle w:val="6"/>
        <w:spacing w:before="0" w:after="0" w:line="360" w:lineRule="auto"/>
        <w:ind w:firstLine="562" w:firstLineChars="200"/>
        <w:jc w:val="left"/>
        <w:rPr>
          <w:sz w:val="28"/>
          <w:szCs w:val="28"/>
        </w:rPr>
      </w:pPr>
      <w:r>
        <w:rPr>
          <w:rFonts w:hint="eastAsia"/>
          <w:sz w:val="28"/>
          <w:szCs w:val="28"/>
        </w:rPr>
        <w:t>18、电子投标文件的递交</w:t>
      </w:r>
    </w:p>
    <w:p w14:paraId="07763061">
      <w:pPr>
        <w:spacing w:line="500" w:lineRule="exact"/>
        <w:ind w:firstLine="480" w:firstLineChars="200"/>
        <w:jc w:val="left"/>
        <w:rPr>
          <w:sz w:val="24"/>
          <w:szCs w:val="24"/>
        </w:rPr>
      </w:pPr>
      <w:r>
        <w:rPr>
          <w:rFonts w:hint="eastAsia"/>
          <w:sz w:val="24"/>
          <w:szCs w:val="24"/>
        </w:rPr>
        <w:t>18.1 投标人应当按照《操作手册》规定，在投标截止时间前制作并递交（上传）电子投标文件。</w:t>
      </w:r>
    </w:p>
    <w:p w14:paraId="2CBAF535">
      <w:pPr>
        <w:pStyle w:val="6"/>
        <w:spacing w:before="0" w:after="0" w:line="360" w:lineRule="auto"/>
        <w:ind w:firstLine="562" w:firstLineChars="200"/>
        <w:jc w:val="left"/>
        <w:rPr>
          <w:sz w:val="28"/>
          <w:szCs w:val="28"/>
        </w:rPr>
      </w:pPr>
      <w:r>
        <w:rPr>
          <w:rFonts w:hint="eastAsia"/>
          <w:sz w:val="28"/>
          <w:szCs w:val="28"/>
        </w:rPr>
        <w:t>19、投标截止时间</w:t>
      </w:r>
    </w:p>
    <w:p w14:paraId="5F49927D">
      <w:pPr>
        <w:spacing w:line="500" w:lineRule="exact"/>
        <w:ind w:firstLine="480" w:firstLineChars="200"/>
        <w:jc w:val="left"/>
        <w:rPr>
          <w:sz w:val="24"/>
          <w:szCs w:val="24"/>
        </w:rPr>
      </w:pPr>
      <w:r>
        <w:rPr>
          <w:rFonts w:hint="eastAsia"/>
          <w:sz w:val="24"/>
          <w:szCs w:val="24"/>
        </w:rPr>
        <w:t>19.1 投标人递交（上传）电子投标文件的时间不得迟于招标公告中规定的投标截止时间。</w:t>
      </w:r>
    </w:p>
    <w:p w14:paraId="5D199994">
      <w:pPr>
        <w:spacing w:line="500" w:lineRule="exact"/>
        <w:ind w:firstLine="480" w:firstLineChars="20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5169A57B">
      <w:pPr>
        <w:spacing w:line="500" w:lineRule="exact"/>
        <w:ind w:firstLine="480" w:firstLineChars="20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14:paraId="3978CAED">
      <w:pPr>
        <w:pStyle w:val="6"/>
        <w:spacing w:before="0" w:after="0" w:line="360" w:lineRule="auto"/>
        <w:ind w:firstLine="562" w:firstLineChars="200"/>
        <w:jc w:val="left"/>
        <w:rPr>
          <w:sz w:val="28"/>
          <w:szCs w:val="28"/>
        </w:rPr>
      </w:pPr>
      <w:r>
        <w:rPr>
          <w:rFonts w:hint="eastAsia"/>
          <w:sz w:val="28"/>
          <w:szCs w:val="28"/>
        </w:rPr>
        <w:t>20、投标文件的拒收</w:t>
      </w:r>
    </w:p>
    <w:p w14:paraId="229B2944">
      <w:pPr>
        <w:spacing w:line="500" w:lineRule="exact"/>
        <w:ind w:firstLine="480" w:firstLineChars="20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14:paraId="59A537D9">
      <w:pPr>
        <w:pStyle w:val="6"/>
        <w:spacing w:before="0" w:after="0" w:line="360" w:lineRule="auto"/>
        <w:ind w:firstLine="562" w:firstLineChars="200"/>
        <w:jc w:val="left"/>
        <w:rPr>
          <w:sz w:val="28"/>
          <w:szCs w:val="28"/>
        </w:rPr>
      </w:pPr>
      <w:r>
        <w:rPr>
          <w:rFonts w:hint="eastAsia"/>
          <w:sz w:val="28"/>
          <w:szCs w:val="28"/>
        </w:rPr>
        <w:t>21、投标文件的撤回和修改</w:t>
      </w:r>
    </w:p>
    <w:p w14:paraId="0E353BD7">
      <w:pPr>
        <w:spacing w:line="500" w:lineRule="exact"/>
        <w:ind w:firstLine="480" w:firstLineChars="200"/>
        <w:jc w:val="left"/>
        <w:rPr>
          <w:sz w:val="24"/>
          <w:szCs w:val="24"/>
        </w:rPr>
      </w:pPr>
      <w:r>
        <w:rPr>
          <w:rFonts w:hint="eastAsia"/>
          <w:sz w:val="24"/>
          <w:szCs w:val="24"/>
        </w:rPr>
        <w:t>21.1 投标文件的撤回</w:t>
      </w:r>
    </w:p>
    <w:p w14:paraId="3E6F7672">
      <w:pPr>
        <w:spacing w:line="500" w:lineRule="exact"/>
        <w:ind w:firstLine="480" w:firstLineChars="200"/>
        <w:jc w:val="left"/>
        <w:rPr>
          <w:sz w:val="24"/>
          <w:szCs w:val="24"/>
        </w:rPr>
      </w:pPr>
      <w:r>
        <w:rPr>
          <w:rFonts w:hint="eastAsia"/>
          <w:sz w:val="24"/>
          <w:szCs w:val="24"/>
        </w:rPr>
        <w:t>21.1.1 投标人可在投标截止时间前，撤回其电子投标文件，具体操作方法见《操作手册》。</w:t>
      </w:r>
    </w:p>
    <w:p w14:paraId="0EB748B1">
      <w:pPr>
        <w:spacing w:line="500" w:lineRule="exact"/>
        <w:ind w:firstLine="480" w:firstLineChars="200"/>
        <w:jc w:val="left"/>
        <w:rPr>
          <w:sz w:val="24"/>
          <w:szCs w:val="24"/>
        </w:rPr>
      </w:pPr>
      <w:r>
        <w:rPr>
          <w:rFonts w:hint="eastAsia"/>
          <w:sz w:val="24"/>
          <w:szCs w:val="24"/>
        </w:rPr>
        <w:t>21.1.2 投标人撤回电子投标文件的，则认为其不再参与本项目投标活动。</w:t>
      </w:r>
    </w:p>
    <w:p w14:paraId="7D2CA967">
      <w:pPr>
        <w:spacing w:line="500" w:lineRule="exact"/>
        <w:ind w:firstLine="480" w:firstLineChars="200"/>
        <w:jc w:val="left"/>
        <w:rPr>
          <w:sz w:val="24"/>
          <w:szCs w:val="24"/>
        </w:rPr>
      </w:pPr>
      <w:r>
        <w:rPr>
          <w:rFonts w:hint="eastAsia"/>
          <w:sz w:val="24"/>
          <w:szCs w:val="24"/>
        </w:rPr>
        <w:t>21.2 投标文件的修改</w:t>
      </w:r>
    </w:p>
    <w:p w14:paraId="721595BB">
      <w:pPr>
        <w:spacing w:line="500" w:lineRule="exact"/>
        <w:ind w:firstLine="480" w:firstLineChars="200"/>
        <w:jc w:val="left"/>
        <w:rPr>
          <w:sz w:val="24"/>
          <w:szCs w:val="24"/>
        </w:rPr>
      </w:pPr>
      <w:r>
        <w:rPr>
          <w:rFonts w:hint="eastAsia"/>
          <w:sz w:val="24"/>
          <w:szCs w:val="24"/>
        </w:rPr>
        <w:t>21.2.1 投标人可在投标截止时间前，对其电子投标文件进行修改，具体操作方法见《操作手册》。</w:t>
      </w:r>
    </w:p>
    <w:p w14:paraId="1EEAD20C">
      <w:pPr>
        <w:spacing w:line="500" w:lineRule="exact"/>
        <w:ind w:firstLine="480" w:firstLineChars="200"/>
        <w:jc w:val="left"/>
        <w:rPr>
          <w:sz w:val="24"/>
          <w:szCs w:val="24"/>
        </w:rPr>
      </w:pPr>
      <w:r>
        <w:rPr>
          <w:rFonts w:hint="eastAsia"/>
          <w:sz w:val="24"/>
          <w:szCs w:val="24"/>
        </w:rPr>
        <w:t>21.2.2 在投标截止时间之后，投标人不得对其电子投标文件做任何修改。</w:t>
      </w:r>
    </w:p>
    <w:p w14:paraId="69A71FED">
      <w:pPr>
        <w:spacing w:line="500" w:lineRule="exact"/>
        <w:ind w:firstLine="480" w:firstLineChars="200"/>
        <w:jc w:val="left"/>
        <w:rPr>
          <w:sz w:val="24"/>
          <w:szCs w:val="24"/>
        </w:rPr>
      </w:pPr>
      <w:r>
        <w:rPr>
          <w:rFonts w:hint="eastAsia"/>
          <w:sz w:val="24"/>
          <w:szCs w:val="24"/>
        </w:rPr>
        <w:t>21.3 在投标截止时间至招标文件中规定的投标有效期满之间的这段时间内，投标人不得撤回其投标。</w:t>
      </w:r>
    </w:p>
    <w:p w14:paraId="4C288C5C">
      <w:pPr>
        <w:pStyle w:val="5"/>
        <w:spacing w:before="0" w:after="0" w:line="360" w:lineRule="auto"/>
        <w:rPr>
          <w:rFonts w:ascii="黑体" w:hAnsi="黑体" w:eastAsia="黑体"/>
          <w:b w:val="0"/>
        </w:rPr>
      </w:pPr>
      <w:r>
        <w:rPr>
          <w:rFonts w:hint="eastAsia" w:ascii="黑体" w:hAnsi="黑体" w:eastAsia="黑体"/>
          <w:b w:val="0"/>
        </w:rPr>
        <w:t>五、开标与评标</w:t>
      </w:r>
    </w:p>
    <w:p w14:paraId="7B3F69E5">
      <w:pPr>
        <w:pStyle w:val="6"/>
        <w:spacing w:before="0" w:after="0" w:line="360" w:lineRule="auto"/>
        <w:ind w:firstLine="562" w:firstLineChars="200"/>
        <w:jc w:val="left"/>
        <w:rPr>
          <w:sz w:val="28"/>
          <w:szCs w:val="28"/>
        </w:rPr>
      </w:pPr>
      <w:r>
        <w:rPr>
          <w:rFonts w:hint="eastAsia"/>
          <w:sz w:val="28"/>
          <w:szCs w:val="28"/>
        </w:rPr>
        <w:t>22、开标</w:t>
      </w:r>
    </w:p>
    <w:p w14:paraId="31F9789A">
      <w:pPr>
        <w:spacing w:line="500" w:lineRule="exact"/>
        <w:ind w:firstLine="480" w:firstLineChars="200"/>
        <w:jc w:val="left"/>
        <w:rPr>
          <w:sz w:val="24"/>
          <w:szCs w:val="24"/>
        </w:rPr>
      </w:pPr>
      <w:r>
        <w:rPr>
          <w:rFonts w:hint="eastAsia"/>
          <w:sz w:val="24"/>
          <w:szCs w:val="24"/>
        </w:rPr>
        <w:t xml:space="preserve">22.1 </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14:paraId="7CF0A051">
      <w:pPr>
        <w:spacing w:line="500" w:lineRule="exact"/>
        <w:ind w:firstLine="480" w:firstLineChars="20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14:paraId="3F81826B">
      <w:pPr>
        <w:spacing w:line="500" w:lineRule="exact"/>
        <w:ind w:firstLine="480" w:firstLineChars="200"/>
        <w:jc w:val="left"/>
        <w:rPr>
          <w:sz w:val="24"/>
          <w:szCs w:val="24"/>
        </w:rPr>
      </w:pPr>
      <w:r>
        <w:rPr>
          <w:rFonts w:hint="eastAsia"/>
          <w:sz w:val="24"/>
          <w:szCs w:val="24"/>
        </w:rPr>
        <w:t>22.3 投标人在开标过程中涉及到的投标文件解密、开标结果确认等工作，应当按照《操作手册》规定执行。</w:t>
      </w:r>
    </w:p>
    <w:p w14:paraId="51C061BF">
      <w:pPr>
        <w:spacing w:line="500" w:lineRule="exact"/>
        <w:ind w:firstLine="480" w:firstLineChars="20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6E72CEC9">
      <w:pPr>
        <w:spacing w:line="500" w:lineRule="exact"/>
        <w:ind w:firstLine="480" w:firstLineChars="200"/>
        <w:jc w:val="left"/>
        <w:rPr>
          <w:sz w:val="24"/>
          <w:szCs w:val="24"/>
        </w:rPr>
      </w:pPr>
      <w:r>
        <w:rPr>
          <w:rFonts w:hint="eastAsia"/>
          <w:sz w:val="24"/>
          <w:szCs w:val="24"/>
        </w:rPr>
        <w:t>22.5 投标人未参加开标的，视同认可开标结果。</w:t>
      </w:r>
    </w:p>
    <w:p w14:paraId="62265F05">
      <w:pPr>
        <w:pStyle w:val="6"/>
        <w:spacing w:before="0" w:after="0" w:line="360" w:lineRule="auto"/>
        <w:ind w:firstLine="562" w:firstLineChars="200"/>
        <w:jc w:val="left"/>
        <w:rPr>
          <w:sz w:val="28"/>
          <w:szCs w:val="28"/>
        </w:rPr>
      </w:pPr>
      <w:r>
        <w:rPr>
          <w:rFonts w:hint="eastAsia"/>
          <w:sz w:val="28"/>
          <w:szCs w:val="28"/>
        </w:rPr>
        <w:t>23、评标委员会</w:t>
      </w:r>
    </w:p>
    <w:p w14:paraId="7C305ACD">
      <w:pPr>
        <w:spacing w:line="500" w:lineRule="exact"/>
        <w:ind w:firstLine="480" w:firstLineChars="20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14:paraId="6156C5B2">
      <w:pPr>
        <w:spacing w:line="500" w:lineRule="exact"/>
        <w:ind w:firstLine="480" w:firstLineChars="200"/>
        <w:jc w:val="left"/>
        <w:rPr>
          <w:sz w:val="24"/>
          <w:szCs w:val="24"/>
        </w:rPr>
      </w:pPr>
      <w:r>
        <w:rPr>
          <w:rFonts w:hint="eastAsia"/>
          <w:sz w:val="24"/>
          <w:szCs w:val="24"/>
        </w:rPr>
        <w:t>23.2 评委会由采购人代表和有关技术、经济等方面的评审专家组成，且人员构成符合政府采购有关规定。</w:t>
      </w:r>
    </w:p>
    <w:p w14:paraId="1EFD0435">
      <w:pPr>
        <w:spacing w:line="500" w:lineRule="exact"/>
        <w:ind w:firstLine="480" w:firstLineChars="200"/>
        <w:jc w:val="left"/>
        <w:rPr>
          <w:sz w:val="24"/>
          <w:szCs w:val="24"/>
        </w:rPr>
      </w:pPr>
      <w:r>
        <w:rPr>
          <w:rFonts w:hint="eastAsia"/>
          <w:sz w:val="24"/>
          <w:szCs w:val="24"/>
        </w:rPr>
        <w:t>23.3 评委会按照采购文件规定的评审程序、评审方法和评审标准进行独立评审并确定中标候选人。</w:t>
      </w:r>
    </w:p>
    <w:p w14:paraId="24C623ED">
      <w:pPr>
        <w:pStyle w:val="6"/>
        <w:spacing w:before="0" w:after="0" w:line="360" w:lineRule="auto"/>
        <w:ind w:firstLine="562" w:firstLineChars="200"/>
        <w:jc w:val="left"/>
        <w:rPr>
          <w:sz w:val="28"/>
          <w:szCs w:val="28"/>
        </w:rPr>
      </w:pPr>
      <w:r>
        <w:rPr>
          <w:rFonts w:hint="eastAsia"/>
          <w:sz w:val="28"/>
          <w:szCs w:val="28"/>
        </w:rPr>
        <w:t>24、评标过程的保密与公正</w:t>
      </w:r>
    </w:p>
    <w:p w14:paraId="7B08E9B2">
      <w:pPr>
        <w:spacing w:line="500" w:lineRule="exact"/>
        <w:ind w:firstLine="480" w:firstLineChars="20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14:paraId="54B80E38">
      <w:pPr>
        <w:spacing w:line="500" w:lineRule="exact"/>
        <w:ind w:firstLine="480" w:firstLineChars="200"/>
        <w:jc w:val="left"/>
        <w:rPr>
          <w:sz w:val="24"/>
          <w:szCs w:val="24"/>
        </w:rPr>
      </w:pPr>
      <w:r>
        <w:rPr>
          <w:rFonts w:hint="eastAsia"/>
          <w:sz w:val="24"/>
          <w:szCs w:val="24"/>
        </w:rPr>
        <w:t>24.2 在评标过程中，投标人不得以任何行为影响评标过程，否则其投标文件将被作为无效投标文件。</w:t>
      </w:r>
    </w:p>
    <w:p w14:paraId="4331B9F7">
      <w:pPr>
        <w:spacing w:line="500" w:lineRule="exact"/>
        <w:ind w:firstLine="480" w:firstLineChars="20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14:paraId="7801DF67">
      <w:pPr>
        <w:spacing w:line="500" w:lineRule="exact"/>
        <w:ind w:firstLine="480" w:firstLineChars="20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39DEF185">
      <w:pPr>
        <w:pStyle w:val="6"/>
        <w:spacing w:before="0" w:after="0" w:line="360" w:lineRule="auto"/>
        <w:ind w:firstLine="562" w:firstLineChars="200"/>
        <w:jc w:val="left"/>
        <w:rPr>
          <w:sz w:val="28"/>
          <w:szCs w:val="28"/>
        </w:rPr>
      </w:pPr>
      <w:r>
        <w:rPr>
          <w:rFonts w:hint="eastAsia"/>
          <w:sz w:val="28"/>
          <w:szCs w:val="28"/>
        </w:rPr>
        <w:t>25、投标文件的澄清</w:t>
      </w:r>
    </w:p>
    <w:p w14:paraId="63F172C3">
      <w:pPr>
        <w:spacing w:line="500" w:lineRule="exact"/>
        <w:ind w:firstLine="480" w:firstLineChars="20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14:paraId="662957DA">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6B344241">
      <w:pPr>
        <w:spacing w:line="500" w:lineRule="exact"/>
        <w:ind w:firstLine="480" w:firstLineChars="200"/>
        <w:jc w:val="left"/>
        <w:rPr>
          <w:sz w:val="24"/>
          <w:szCs w:val="24"/>
        </w:rPr>
      </w:pPr>
      <w:r>
        <w:rPr>
          <w:rFonts w:hint="eastAsia"/>
          <w:sz w:val="24"/>
          <w:szCs w:val="24"/>
        </w:rPr>
        <w:t>评委会并非对每个投标人都做澄清、说明或者补正要求。</w:t>
      </w:r>
    </w:p>
    <w:p w14:paraId="275B2EEF">
      <w:pPr>
        <w:spacing w:line="500" w:lineRule="exact"/>
        <w:ind w:firstLine="480" w:firstLineChars="200"/>
        <w:jc w:val="left"/>
        <w:rPr>
          <w:sz w:val="24"/>
          <w:szCs w:val="24"/>
        </w:rPr>
      </w:pPr>
      <w:r>
        <w:rPr>
          <w:rFonts w:hint="eastAsia"/>
          <w:sz w:val="24"/>
          <w:szCs w:val="24"/>
        </w:rPr>
        <w:t>25.2 需要</w:t>
      </w:r>
      <w:r>
        <w:rPr>
          <w:rFonts w:hint="eastAsia" w:ascii="Calibri" w:hAnsi="Calibri" w:eastAsia="宋体" w:cs="Times New Roman"/>
          <w:sz w:val="24"/>
          <w:szCs w:val="24"/>
          <w:lang w:val="en-US" w:eastAsia="zh-CN"/>
        </w:rPr>
        <w:t>投标人</w:t>
      </w:r>
      <w:r>
        <w:rPr>
          <w:rFonts w:hint="eastAsia"/>
          <w:sz w:val="24"/>
          <w:szCs w:val="24"/>
        </w:rPr>
        <w:t>进行澄清、说明或者补正的，评委会将通过“苏采云”系统向</w:t>
      </w:r>
      <w:r>
        <w:rPr>
          <w:rFonts w:hint="eastAsia" w:ascii="Calibri" w:hAnsi="Calibri" w:eastAsia="宋体" w:cs="Times New Roman"/>
          <w:sz w:val="24"/>
          <w:szCs w:val="24"/>
          <w:lang w:val="en-US" w:eastAsia="zh-CN"/>
        </w:rPr>
        <w:t>投标人</w:t>
      </w:r>
      <w:r>
        <w:rPr>
          <w:rFonts w:hint="eastAsia"/>
          <w:sz w:val="24"/>
          <w:szCs w:val="24"/>
        </w:rPr>
        <w:t>发出“澄清要求函”，接到“澄清要求函”的投标人应当按照要求在“苏采云”系统中提交“澄清响应函”并加盖CA电子公章。澄清、说明或者补正的内容作为投标文件的补充部分，具体操作方式见《操作手册》。</w:t>
      </w:r>
    </w:p>
    <w:p w14:paraId="58E7DA47">
      <w:pPr>
        <w:spacing w:line="500" w:lineRule="exact"/>
        <w:ind w:firstLine="480" w:firstLineChars="200"/>
        <w:jc w:val="left"/>
        <w:rPr>
          <w:sz w:val="24"/>
          <w:szCs w:val="24"/>
        </w:rPr>
      </w:pPr>
      <w:r>
        <w:rPr>
          <w:rFonts w:hint="eastAsia"/>
          <w:sz w:val="24"/>
          <w:szCs w:val="24"/>
        </w:rPr>
        <w:t>25.3 接到评委会澄清、说明或者补正要求的投标人如未按规定响应，其风险由投标人自行承担。</w:t>
      </w:r>
    </w:p>
    <w:p w14:paraId="5B748789">
      <w:pPr>
        <w:pStyle w:val="6"/>
        <w:spacing w:before="0" w:after="0" w:line="360" w:lineRule="auto"/>
        <w:ind w:firstLine="562" w:firstLineChars="200"/>
        <w:jc w:val="left"/>
        <w:rPr>
          <w:sz w:val="28"/>
          <w:szCs w:val="28"/>
        </w:rPr>
      </w:pPr>
      <w:r>
        <w:rPr>
          <w:rFonts w:hint="eastAsia"/>
          <w:sz w:val="28"/>
          <w:szCs w:val="28"/>
        </w:rPr>
        <w:t>26、对投标文件的初审</w:t>
      </w:r>
    </w:p>
    <w:p w14:paraId="00E28CCD">
      <w:pPr>
        <w:spacing w:line="500" w:lineRule="exact"/>
        <w:ind w:firstLine="480" w:firstLineChars="200"/>
        <w:jc w:val="left"/>
        <w:rPr>
          <w:sz w:val="24"/>
          <w:szCs w:val="24"/>
        </w:rPr>
      </w:pPr>
      <w:r>
        <w:rPr>
          <w:rFonts w:hint="eastAsia"/>
          <w:sz w:val="24"/>
          <w:szCs w:val="24"/>
        </w:rPr>
        <w:t>26.1 投标文件初审分为资格审查和符合性审查。</w:t>
      </w:r>
    </w:p>
    <w:p w14:paraId="17DE054A">
      <w:pPr>
        <w:spacing w:line="500" w:lineRule="exact"/>
        <w:ind w:firstLine="480" w:firstLineChars="20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14:paraId="11648547">
      <w:pPr>
        <w:spacing w:line="500" w:lineRule="exact"/>
        <w:ind w:firstLine="480" w:firstLineChars="20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14:paraId="32EE978F">
      <w:pPr>
        <w:spacing w:line="500" w:lineRule="exact"/>
        <w:ind w:firstLine="480" w:firstLineChars="200"/>
        <w:jc w:val="left"/>
        <w:rPr>
          <w:sz w:val="24"/>
          <w:szCs w:val="24"/>
        </w:rPr>
      </w:pPr>
      <w:r>
        <w:rPr>
          <w:rFonts w:hint="eastAsia"/>
          <w:sz w:val="24"/>
          <w:szCs w:val="24"/>
        </w:rPr>
        <w:t>接受联合体的项目，两个以上的自然人、法人或者其他组织组成一个联合体，以一个</w:t>
      </w:r>
      <w:r>
        <w:rPr>
          <w:rFonts w:hint="eastAsia" w:ascii="Calibri" w:hAnsi="Calibri" w:eastAsia="宋体" w:cs="Times New Roman"/>
          <w:sz w:val="24"/>
          <w:szCs w:val="24"/>
          <w:lang w:val="en-US" w:eastAsia="zh-CN"/>
        </w:rPr>
        <w:t>投标人</w:t>
      </w:r>
      <w:r>
        <w:rPr>
          <w:rFonts w:hint="eastAsia"/>
          <w:sz w:val="24"/>
          <w:szCs w:val="24"/>
        </w:rPr>
        <w:t>的身份共同参加政府采购活动的，联合体成员中任何一方存在不良信用记录的，视同联合体存在不良信用记录。</w:t>
      </w:r>
    </w:p>
    <w:p w14:paraId="52ED38C8">
      <w:pPr>
        <w:spacing w:line="500" w:lineRule="exact"/>
        <w:ind w:firstLine="480" w:firstLineChars="20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14:paraId="19A8311E">
      <w:pPr>
        <w:spacing w:line="500" w:lineRule="exact"/>
        <w:ind w:firstLine="480" w:firstLineChars="20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14:paraId="4A07751F">
      <w:pPr>
        <w:spacing w:line="500" w:lineRule="exact"/>
        <w:ind w:firstLine="480" w:firstLineChars="20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69D73901">
      <w:pPr>
        <w:spacing w:line="500" w:lineRule="exact"/>
        <w:ind w:firstLine="480" w:firstLineChars="20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17B346B">
      <w:pPr>
        <w:spacing w:line="500" w:lineRule="exact"/>
        <w:ind w:firstLine="480" w:firstLineChars="20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14:paraId="3FCBADEC">
      <w:pPr>
        <w:spacing w:line="500" w:lineRule="exact"/>
        <w:ind w:firstLine="480" w:firstLineChars="20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1931B9D3">
      <w:pPr>
        <w:spacing w:line="500" w:lineRule="exact"/>
        <w:ind w:firstLine="480" w:firstLineChars="200"/>
        <w:jc w:val="left"/>
        <w:rPr>
          <w:sz w:val="24"/>
          <w:szCs w:val="24"/>
        </w:rPr>
      </w:pPr>
      <w:r>
        <w:rPr>
          <w:rFonts w:hint="eastAsia"/>
          <w:sz w:val="24"/>
          <w:szCs w:val="24"/>
        </w:rPr>
        <w:t>（1）投标文件中开标一览表内容与投标文件中相应内容不一致的，以开标一览表为准。</w:t>
      </w:r>
    </w:p>
    <w:p w14:paraId="502975E1">
      <w:pPr>
        <w:spacing w:line="500" w:lineRule="exact"/>
        <w:ind w:firstLine="480" w:firstLineChars="200"/>
        <w:jc w:val="left"/>
        <w:rPr>
          <w:sz w:val="24"/>
          <w:szCs w:val="24"/>
        </w:rPr>
      </w:pPr>
      <w:r>
        <w:rPr>
          <w:rFonts w:hint="eastAsia"/>
          <w:sz w:val="24"/>
          <w:szCs w:val="24"/>
        </w:rPr>
        <w:t>（2）大写金额和小写金额不一致的，以大写金额为准。</w:t>
      </w:r>
    </w:p>
    <w:p w14:paraId="023DD8C2">
      <w:pPr>
        <w:spacing w:line="500" w:lineRule="exact"/>
        <w:ind w:firstLine="480" w:firstLineChars="200"/>
        <w:jc w:val="left"/>
        <w:rPr>
          <w:sz w:val="24"/>
          <w:szCs w:val="24"/>
        </w:rPr>
      </w:pPr>
      <w:r>
        <w:rPr>
          <w:rFonts w:hint="eastAsia"/>
          <w:sz w:val="24"/>
          <w:szCs w:val="24"/>
        </w:rPr>
        <w:t>（3）单价金额小数点或者百分比有明显错位的，以开标一览表的总价为准，并修改单价。</w:t>
      </w:r>
    </w:p>
    <w:p w14:paraId="68047AFD">
      <w:pPr>
        <w:spacing w:line="500" w:lineRule="exact"/>
        <w:ind w:firstLine="480" w:firstLineChars="200"/>
        <w:jc w:val="left"/>
        <w:rPr>
          <w:sz w:val="24"/>
          <w:szCs w:val="24"/>
        </w:rPr>
      </w:pPr>
      <w:r>
        <w:rPr>
          <w:rFonts w:hint="eastAsia"/>
          <w:sz w:val="24"/>
          <w:szCs w:val="24"/>
        </w:rPr>
        <w:t>（4）总价金额与按单价汇总金额不一致的，以单价金额计算结果为准。</w:t>
      </w:r>
    </w:p>
    <w:p w14:paraId="1CD01261">
      <w:pPr>
        <w:spacing w:line="500" w:lineRule="exact"/>
        <w:ind w:firstLine="480" w:firstLineChars="200"/>
        <w:jc w:val="left"/>
        <w:rPr>
          <w:sz w:val="24"/>
          <w:szCs w:val="24"/>
        </w:rPr>
      </w:pPr>
      <w:r>
        <w:rPr>
          <w:rFonts w:hint="eastAsia"/>
          <w:sz w:val="24"/>
          <w:szCs w:val="24"/>
        </w:rPr>
        <w:t>同时出现两种以上错误的，按照前款规定的顺序修正。</w:t>
      </w:r>
    </w:p>
    <w:p w14:paraId="6C443305">
      <w:pPr>
        <w:spacing w:line="500" w:lineRule="exact"/>
        <w:ind w:firstLine="480" w:firstLineChars="20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0D03959B">
      <w:pPr>
        <w:spacing w:line="500" w:lineRule="exact"/>
        <w:ind w:firstLine="480" w:firstLineChars="20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64B79847">
      <w:pPr>
        <w:spacing w:line="500" w:lineRule="exact"/>
        <w:ind w:firstLine="480" w:firstLineChars="200"/>
        <w:jc w:val="left"/>
        <w:rPr>
          <w:sz w:val="24"/>
          <w:szCs w:val="24"/>
        </w:rPr>
      </w:pPr>
      <w:r>
        <w:rPr>
          <w:rFonts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5C4E588C">
      <w:pPr>
        <w:spacing w:line="500" w:lineRule="exact"/>
        <w:ind w:firstLine="480" w:firstLineChars="200"/>
        <w:jc w:val="left"/>
        <w:rPr>
          <w:sz w:val="24"/>
          <w:szCs w:val="24"/>
        </w:rPr>
      </w:pPr>
      <w:r>
        <w:rPr>
          <w:rFonts w:hint="eastAsia"/>
          <w:sz w:val="24"/>
          <w:szCs w:val="24"/>
        </w:rPr>
        <w:t>非单一产品采购项目，招标文件中将载明核心产品。多家投标人提供的核心产品品牌相同的，按前两款规定处理。</w:t>
      </w:r>
    </w:p>
    <w:p w14:paraId="095023EC">
      <w:pPr>
        <w:spacing w:line="500" w:lineRule="exact"/>
        <w:ind w:firstLine="480" w:firstLineChars="20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14:paraId="6B2A83AD">
      <w:pPr>
        <w:pStyle w:val="6"/>
        <w:spacing w:before="0" w:after="0" w:line="360" w:lineRule="auto"/>
        <w:ind w:firstLine="562" w:firstLineChars="200"/>
        <w:jc w:val="left"/>
        <w:rPr>
          <w:sz w:val="28"/>
          <w:szCs w:val="28"/>
        </w:rPr>
      </w:pPr>
      <w:r>
        <w:rPr>
          <w:rFonts w:hint="eastAsia"/>
          <w:sz w:val="28"/>
          <w:szCs w:val="28"/>
        </w:rPr>
        <w:t>27、无效投标条款和废标条款</w:t>
      </w:r>
    </w:p>
    <w:p w14:paraId="20F8D7EB">
      <w:pPr>
        <w:spacing w:line="500" w:lineRule="exact"/>
        <w:ind w:firstLine="480" w:firstLineChars="200"/>
        <w:jc w:val="left"/>
        <w:rPr>
          <w:sz w:val="24"/>
          <w:szCs w:val="24"/>
        </w:rPr>
      </w:pPr>
      <w:r>
        <w:rPr>
          <w:rFonts w:hint="eastAsia"/>
          <w:sz w:val="24"/>
          <w:szCs w:val="24"/>
        </w:rPr>
        <w:t>27.1 无效投标条款</w:t>
      </w:r>
    </w:p>
    <w:p w14:paraId="4D3BD466">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27BBDE31">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70212B9F">
      <w:pPr>
        <w:spacing w:line="500" w:lineRule="exact"/>
        <w:ind w:firstLine="480" w:firstLineChars="200"/>
        <w:jc w:val="left"/>
        <w:rPr>
          <w:sz w:val="24"/>
          <w:szCs w:val="24"/>
        </w:rPr>
      </w:pPr>
      <w:r>
        <w:rPr>
          <w:rFonts w:hint="eastAsia"/>
          <w:sz w:val="24"/>
          <w:szCs w:val="24"/>
        </w:rPr>
        <w:t>（3）投标人不具备招标文件中规定的资格要求的。</w:t>
      </w:r>
    </w:p>
    <w:p w14:paraId="085E47CE">
      <w:pPr>
        <w:spacing w:line="500" w:lineRule="exact"/>
        <w:ind w:firstLine="480" w:firstLineChars="20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A60FE70">
      <w:pPr>
        <w:spacing w:line="500" w:lineRule="exact"/>
        <w:ind w:firstLine="480" w:firstLineChars="200"/>
        <w:jc w:val="left"/>
        <w:rPr>
          <w:sz w:val="24"/>
          <w:szCs w:val="24"/>
        </w:rPr>
      </w:pPr>
      <w:r>
        <w:rPr>
          <w:rFonts w:hint="eastAsia"/>
          <w:sz w:val="24"/>
          <w:szCs w:val="24"/>
        </w:rPr>
        <w:t>（5）投标人提交两个（含两个）以上不同的投标报价的。</w:t>
      </w:r>
    </w:p>
    <w:p w14:paraId="4E7E1F01">
      <w:pPr>
        <w:spacing w:line="500" w:lineRule="exact"/>
        <w:ind w:firstLine="480" w:firstLineChars="200"/>
        <w:jc w:val="left"/>
        <w:rPr>
          <w:sz w:val="24"/>
          <w:szCs w:val="24"/>
        </w:rPr>
      </w:pPr>
      <w:r>
        <w:rPr>
          <w:rFonts w:hint="eastAsia"/>
          <w:sz w:val="24"/>
          <w:szCs w:val="24"/>
        </w:rPr>
        <w:t>（6）投标人的报价超过了采购预算或者最高限价的。</w:t>
      </w:r>
    </w:p>
    <w:p w14:paraId="17B0638F">
      <w:pPr>
        <w:spacing w:line="500" w:lineRule="exact"/>
        <w:ind w:firstLine="480" w:firstLineChars="20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030E69C0">
      <w:pPr>
        <w:spacing w:line="500" w:lineRule="exact"/>
        <w:ind w:firstLine="480" w:firstLineChars="200"/>
        <w:jc w:val="left"/>
        <w:rPr>
          <w:sz w:val="24"/>
          <w:szCs w:val="24"/>
        </w:rPr>
      </w:pPr>
      <w:r>
        <w:rPr>
          <w:rFonts w:hint="eastAsia"/>
          <w:sz w:val="24"/>
          <w:szCs w:val="24"/>
        </w:rPr>
        <w:t>（8）不符合招标文件中规定的实质性要求和条件的（本招标文件中</w:t>
      </w:r>
      <w:r>
        <w:rPr>
          <w:rFonts w:hint="eastAsia"/>
          <w:sz w:val="24"/>
          <w:szCs w:val="24"/>
          <w:lang w:val="en-US" w:eastAsia="zh-CN"/>
        </w:rPr>
        <w:t>标</w:t>
      </w:r>
      <w:r>
        <w:rPr>
          <w:rFonts w:hint="eastAsia"/>
          <w:sz w:val="24"/>
          <w:szCs w:val="24"/>
        </w:rPr>
        <w:t>★</w:t>
      </w:r>
      <w:r>
        <w:rPr>
          <w:rFonts w:hint="eastAsia"/>
          <w:sz w:val="24"/>
          <w:szCs w:val="24"/>
          <w:lang w:val="en-US" w:eastAsia="zh-CN"/>
        </w:rPr>
        <w:t>项</w:t>
      </w:r>
      <w:r>
        <w:rPr>
          <w:rFonts w:hint="eastAsia"/>
          <w:sz w:val="24"/>
          <w:szCs w:val="24"/>
        </w:rPr>
        <w:t>部分为实质性要求和条件）。</w:t>
      </w:r>
    </w:p>
    <w:p w14:paraId="598D27EF">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5F6117D4">
      <w:pPr>
        <w:spacing w:line="500" w:lineRule="exact"/>
        <w:ind w:firstLine="480" w:firstLineChars="200"/>
        <w:jc w:val="left"/>
        <w:rPr>
          <w:sz w:val="24"/>
          <w:szCs w:val="24"/>
        </w:rPr>
      </w:pPr>
      <w:r>
        <w:rPr>
          <w:rFonts w:hint="eastAsia"/>
          <w:sz w:val="24"/>
          <w:szCs w:val="24"/>
        </w:rPr>
        <w:t>（10）投标人未通过符合性审查的。</w:t>
      </w:r>
    </w:p>
    <w:p w14:paraId="529E50D9">
      <w:pPr>
        <w:spacing w:line="500" w:lineRule="exact"/>
        <w:ind w:firstLine="480" w:firstLineChars="200"/>
        <w:jc w:val="left"/>
        <w:rPr>
          <w:sz w:val="24"/>
          <w:szCs w:val="24"/>
        </w:rPr>
      </w:pPr>
      <w:r>
        <w:rPr>
          <w:rFonts w:hint="eastAsia"/>
          <w:sz w:val="24"/>
          <w:szCs w:val="24"/>
        </w:rPr>
        <w:t>（11）投标文件含有采购人不能接受的附加条件的。</w:t>
      </w:r>
    </w:p>
    <w:p w14:paraId="4A7B84E7">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3795A3B7">
      <w:pPr>
        <w:spacing w:line="500" w:lineRule="exact"/>
        <w:ind w:firstLine="480" w:firstLineChars="200"/>
        <w:jc w:val="left"/>
        <w:rPr>
          <w:sz w:val="24"/>
          <w:szCs w:val="24"/>
        </w:rPr>
      </w:pPr>
      <w:r>
        <w:rPr>
          <w:rFonts w:hint="eastAsia"/>
          <w:sz w:val="24"/>
          <w:szCs w:val="24"/>
        </w:rPr>
        <w:t>（13）其他法律、法规及本招标文件规定的属于无效投标的情形。</w:t>
      </w:r>
    </w:p>
    <w:p w14:paraId="5FF9B2FC">
      <w:pPr>
        <w:spacing w:line="500" w:lineRule="exact"/>
        <w:ind w:firstLine="480" w:firstLineChars="200"/>
        <w:jc w:val="left"/>
        <w:rPr>
          <w:sz w:val="24"/>
          <w:szCs w:val="24"/>
        </w:rPr>
      </w:pPr>
      <w:r>
        <w:rPr>
          <w:rFonts w:hint="eastAsia"/>
          <w:sz w:val="24"/>
          <w:szCs w:val="24"/>
        </w:rPr>
        <w:t>27.2 有下列情形之一的，视为投标人串通投标，投标无效：</w:t>
      </w:r>
    </w:p>
    <w:p w14:paraId="0DEAE3D9">
      <w:pPr>
        <w:spacing w:line="500" w:lineRule="exact"/>
        <w:ind w:firstLine="480" w:firstLineChars="200"/>
        <w:jc w:val="left"/>
        <w:rPr>
          <w:sz w:val="24"/>
          <w:szCs w:val="24"/>
        </w:rPr>
      </w:pPr>
      <w:r>
        <w:rPr>
          <w:rFonts w:hint="eastAsia"/>
          <w:sz w:val="24"/>
          <w:szCs w:val="24"/>
        </w:rPr>
        <w:t>（1）不同投标人的投标文件由同一单位或者个人编制。</w:t>
      </w:r>
    </w:p>
    <w:p w14:paraId="52200234">
      <w:pPr>
        <w:spacing w:line="500" w:lineRule="exact"/>
        <w:ind w:firstLine="480" w:firstLineChars="200"/>
        <w:jc w:val="left"/>
        <w:rPr>
          <w:sz w:val="24"/>
          <w:szCs w:val="24"/>
        </w:rPr>
      </w:pPr>
      <w:r>
        <w:rPr>
          <w:rFonts w:hint="eastAsia"/>
          <w:sz w:val="24"/>
          <w:szCs w:val="24"/>
        </w:rPr>
        <w:t>（2）不同投标人委托同一单位或者个人办理投标事宜。</w:t>
      </w:r>
    </w:p>
    <w:p w14:paraId="7E97F879">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57B70FFF">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31573422">
      <w:pPr>
        <w:spacing w:line="500" w:lineRule="exact"/>
        <w:ind w:firstLine="480" w:firstLineChars="200"/>
        <w:jc w:val="left"/>
        <w:rPr>
          <w:sz w:val="24"/>
          <w:szCs w:val="24"/>
        </w:rPr>
      </w:pPr>
      <w:r>
        <w:rPr>
          <w:rFonts w:hint="eastAsia"/>
          <w:sz w:val="24"/>
          <w:szCs w:val="24"/>
        </w:rPr>
        <w:t>27.3 废标条款</w:t>
      </w:r>
    </w:p>
    <w:p w14:paraId="113104C2">
      <w:pPr>
        <w:spacing w:line="500" w:lineRule="exact"/>
        <w:ind w:firstLine="480" w:firstLineChars="200"/>
        <w:jc w:val="left"/>
        <w:rPr>
          <w:sz w:val="24"/>
          <w:szCs w:val="24"/>
        </w:rPr>
      </w:pPr>
      <w:r>
        <w:rPr>
          <w:rFonts w:hint="eastAsia"/>
          <w:sz w:val="24"/>
          <w:szCs w:val="24"/>
        </w:rPr>
        <w:t>（1）因“苏采云”系统系统故障原因造成开标不成功的。</w:t>
      </w:r>
    </w:p>
    <w:p w14:paraId="00E462AD">
      <w:pPr>
        <w:spacing w:line="500" w:lineRule="exact"/>
        <w:ind w:firstLine="480" w:firstLineChars="200"/>
        <w:jc w:val="left"/>
        <w:rPr>
          <w:sz w:val="24"/>
          <w:szCs w:val="24"/>
        </w:rPr>
      </w:pPr>
      <w:r>
        <w:rPr>
          <w:rFonts w:hint="eastAsia"/>
          <w:sz w:val="24"/>
          <w:szCs w:val="24"/>
        </w:rPr>
        <w:t>（2）评委会认定招标文件存在歧义、重大缺陷导致评审工作无法进行的。</w:t>
      </w:r>
    </w:p>
    <w:p w14:paraId="15A1CD59">
      <w:pPr>
        <w:spacing w:line="500" w:lineRule="exact"/>
        <w:ind w:firstLine="480" w:firstLineChars="200"/>
        <w:jc w:val="left"/>
        <w:rPr>
          <w:sz w:val="24"/>
          <w:szCs w:val="24"/>
        </w:rPr>
      </w:pPr>
      <w:r>
        <w:rPr>
          <w:rFonts w:hint="eastAsia"/>
          <w:sz w:val="24"/>
          <w:szCs w:val="24"/>
        </w:rPr>
        <w:t>（3）符合专业条件的</w:t>
      </w:r>
      <w:r>
        <w:rPr>
          <w:rFonts w:hint="eastAsia" w:ascii="Calibri" w:hAnsi="Calibri" w:eastAsia="宋体" w:cs="Times New Roman"/>
          <w:sz w:val="24"/>
          <w:szCs w:val="24"/>
          <w:lang w:val="en-US" w:eastAsia="zh-CN"/>
        </w:rPr>
        <w:t>投标人</w:t>
      </w:r>
      <w:r>
        <w:rPr>
          <w:rFonts w:hint="eastAsia"/>
          <w:sz w:val="24"/>
          <w:szCs w:val="24"/>
        </w:rPr>
        <w:t>或者对招标文件作实质响应的</w:t>
      </w:r>
      <w:r>
        <w:rPr>
          <w:rFonts w:hint="eastAsia" w:ascii="Calibri" w:hAnsi="Calibri" w:eastAsia="宋体" w:cs="Times New Roman"/>
          <w:sz w:val="24"/>
          <w:szCs w:val="24"/>
          <w:lang w:val="en-US" w:eastAsia="zh-CN"/>
        </w:rPr>
        <w:t>投标人</w:t>
      </w:r>
      <w:r>
        <w:rPr>
          <w:rFonts w:hint="eastAsia"/>
          <w:sz w:val="24"/>
          <w:szCs w:val="24"/>
        </w:rPr>
        <w:t>不足三家的。</w:t>
      </w:r>
    </w:p>
    <w:p w14:paraId="7E36FB12">
      <w:pPr>
        <w:spacing w:line="500" w:lineRule="exact"/>
        <w:ind w:firstLine="480" w:firstLineChars="200"/>
        <w:jc w:val="left"/>
        <w:rPr>
          <w:sz w:val="24"/>
          <w:szCs w:val="24"/>
        </w:rPr>
      </w:pPr>
      <w:r>
        <w:rPr>
          <w:rFonts w:hint="eastAsia"/>
          <w:sz w:val="24"/>
          <w:szCs w:val="24"/>
        </w:rPr>
        <w:t>（4）出现影响采购公正的违法、违规行为的。</w:t>
      </w:r>
    </w:p>
    <w:p w14:paraId="1063CCF2">
      <w:pPr>
        <w:spacing w:line="500" w:lineRule="exact"/>
        <w:ind w:firstLine="480" w:firstLineChars="200"/>
        <w:jc w:val="left"/>
        <w:rPr>
          <w:sz w:val="24"/>
          <w:szCs w:val="24"/>
        </w:rPr>
      </w:pPr>
      <w:r>
        <w:rPr>
          <w:rFonts w:hint="eastAsia"/>
          <w:sz w:val="24"/>
          <w:szCs w:val="24"/>
        </w:rPr>
        <w:t>（5）因重大变故，采购任务取消的。</w:t>
      </w:r>
    </w:p>
    <w:p w14:paraId="08FB8669">
      <w:pPr>
        <w:spacing w:line="500" w:lineRule="exact"/>
        <w:ind w:firstLine="480" w:firstLineChars="200"/>
        <w:jc w:val="left"/>
        <w:rPr>
          <w:sz w:val="24"/>
          <w:szCs w:val="24"/>
        </w:rPr>
      </w:pPr>
      <w:r>
        <w:rPr>
          <w:rFonts w:hint="eastAsia"/>
          <w:sz w:val="24"/>
          <w:szCs w:val="24"/>
        </w:rPr>
        <w:t>27.4 出现投标截止时间结束后参加投标的</w:t>
      </w:r>
      <w:r>
        <w:rPr>
          <w:rFonts w:hint="eastAsia" w:ascii="Calibri" w:hAnsi="Calibri" w:eastAsia="宋体" w:cs="Times New Roman"/>
          <w:sz w:val="24"/>
          <w:szCs w:val="24"/>
          <w:lang w:val="en-US" w:eastAsia="zh-CN"/>
        </w:rPr>
        <w:t>投标人</w:t>
      </w:r>
      <w:r>
        <w:rPr>
          <w:rFonts w:hint="eastAsia"/>
          <w:sz w:val="24"/>
          <w:szCs w:val="24"/>
        </w:rPr>
        <w:t>或者在评标期间对招标文件做出实质响应的</w:t>
      </w:r>
      <w:r>
        <w:rPr>
          <w:rFonts w:hint="eastAsia" w:ascii="Calibri" w:hAnsi="Calibri" w:eastAsia="宋体" w:cs="Times New Roman"/>
          <w:sz w:val="24"/>
          <w:szCs w:val="24"/>
          <w:lang w:val="en-US" w:eastAsia="zh-CN"/>
        </w:rPr>
        <w:t>投标人</w:t>
      </w:r>
      <w:r>
        <w:rPr>
          <w:rFonts w:hint="eastAsia"/>
          <w:sz w:val="24"/>
          <w:szCs w:val="24"/>
        </w:rPr>
        <w:t>不足三家情况的，按照政府采购相关规定执行。</w:t>
      </w:r>
    </w:p>
    <w:p w14:paraId="1D59D117">
      <w:pPr>
        <w:pStyle w:val="5"/>
        <w:spacing w:before="0" w:after="0" w:line="360" w:lineRule="auto"/>
        <w:rPr>
          <w:rFonts w:ascii="黑体" w:hAnsi="黑体" w:eastAsia="黑体"/>
          <w:b w:val="0"/>
        </w:rPr>
      </w:pPr>
      <w:r>
        <w:rPr>
          <w:rFonts w:hint="eastAsia" w:ascii="黑体" w:hAnsi="黑体" w:eastAsia="黑体"/>
          <w:b w:val="0"/>
        </w:rPr>
        <w:t>六、定标</w:t>
      </w:r>
    </w:p>
    <w:p w14:paraId="643E255A">
      <w:pPr>
        <w:pStyle w:val="6"/>
        <w:spacing w:before="0" w:after="0" w:line="360" w:lineRule="auto"/>
        <w:ind w:firstLine="562" w:firstLineChars="200"/>
        <w:jc w:val="left"/>
        <w:rPr>
          <w:sz w:val="28"/>
          <w:szCs w:val="28"/>
        </w:rPr>
      </w:pPr>
      <w:r>
        <w:rPr>
          <w:rFonts w:hint="eastAsia"/>
          <w:sz w:val="28"/>
          <w:szCs w:val="28"/>
        </w:rPr>
        <w:t>28、确定中标单位</w:t>
      </w:r>
    </w:p>
    <w:p w14:paraId="676C62ED">
      <w:pPr>
        <w:spacing w:line="500" w:lineRule="exact"/>
        <w:ind w:firstLine="480" w:firstLineChars="200"/>
        <w:jc w:val="left"/>
        <w:rPr>
          <w:sz w:val="24"/>
          <w:szCs w:val="24"/>
        </w:rPr>
      </w:pPr>
      <w:r>
        <w:rPr>
          <w:rFonts w:hint="eastAsia"/>
          <w:sz w:val="24"/>
          <w:szCs w:val="24"/>
        </w:rPr>
        <w:t xml:space="preserve">28.1 中标候选人的选取原则和数量详见招标文件第五章规定。 </w:t>
      </w:r>
    </w:p>
    <w:p w14:paraId="6422BBD1">
      <w:pPr>
        <w:spacing w:line="500" w:lineRule="exact"/>
        <w:ind w:firstLine="480" w:firstLineChars="200"/>
        <w:jc w:val="left"/>
        <w:rPr>
          <w:sz w:val="24"/>
          <w:szCs w:val="24"/>
        </w:rPr>
      </w:pPr>
      <w:r>
        <w:rPr>
          <w:rFonts w:hint="eastAsia"/>
          <w:sz w:val="24"/>
          <w:szCs w:val="24"/>
        </w:rPr>
        <w:t>28.2 采购人应根据评委会推荐的中标候选人确定中标人。</w:t>
      </w:r>
    </w:p>
    <w:p w14:paraId="3EAE9BB5">
      <w:pPr>
        <w:spacing w:line="500" w:lineRule="exact"/>
        <w:ind w:firstLine="480" w:firstLineChars="200"/>
        <w:jc w:val="left"/>
        <w:rPr>
          <w:sz w:val="24"/>
          <w:szCs w:val="24"/>
        </w:rPr>
      </w:pPr>
      <w:r>
        <w:rPr>
          <w:rFonts w:hint="eastAsia"/>
          <w:sz w:val="24"/>
          <w:szCs w:val="24"/>
        </w:rPr>
        <w:t xml:space="preserve">28.3 </w:t>
      </w:r>
      <w:r>
        <w:rPr>
          <w:rFonts w:hint="eastAsia"/>
          <w:sz w:val="24"/>
          <w:szCs w:val="24"/>
          <w:lang w:val="en-US" w:eastAsia="zh-CN"/>
        </w:rPr>
        <w:t>代理机构</w:t>
      </w:r>
      <w:r>
        <w:rPr>
          <w:rFonts w:hint="eastAsia"/>
          <w:sz w:val="24"/>
          <w:szCs w:val="24"/>
        </w:rPr>
        <w:t>将在江苏政府采购网发布中标公告，公告期限为1个工作日。</w:t>
      </w:r>
    </w:p>
    <w:p w14:paraId="2309A29D">
      <w:pPr>
        <w:spacing w:line="500" w:lineRule="exact"/>
        <w:ind w:firstLine="480" w:firstLineChars="200"/>
        <w:jc w:val="left"/>
        <w:rPr>
          <w:sz w:val="24"/>
          <w:szCs w:val="24"/>
        </w:rPr>
      </w:pPr>
      <w:r>
        <w:rPr>
          <w:rFonts w:hint="eastAsia"/>
          <w:sz w:val="24"/>
          <w:szCs w:val="24"/>
        </w:rPr>
        <w:t>28.4 若有充分证据证明，中标人存在下列情况之一的，一经查实，将被取消中标资格：</w:t>
      </w:r>
    </w:p>
    <w:p w14:paraId="68BFAADF">
      <w:pPr>
        <w:spacing w:line="500" w:lineRule="exact"/>
        <w:ind w:firstLine="480" w:firstLineChars="200"/>
        <w:jc w:val="left"/>
        <w:rPr>
          <w:sz w:val="24"/>
          <w:szCs w:val="24"/>
        </w:rPr>
      </w:pPr>
      <w:r>
        <w:rPr>
          <w:rFonts w:hint="eastAsia"/>
          <w:sz w:val="24"/>
          <w:szCs w:val="24"/>
        </w:rPr>
        <w:t>（1）提供虚假材料谋取中标、成交的。</w:t>
      </w:r>
    </w:p>
    <w:p w14:paraId="33FE4F58">
      <w:pPr>
        <w:spacing w:line="500" w:lineRule="exact"/>
        <w:ind w:firstLine="480" w:firstLineChars="200"/>
        <w:jc w:val="left"/>
        <w:rPr>
          <w:sz w:val="24"/>
          <w:szCs w:val="24"/>
        </w:rPr>
      </w:pPr>
      <w:r>
        <w:rPr>
          <w:rFonts w:hint="eastAsia"/>
          <w:sz w:val="24"/>
          <w:szCs w:val="24"/>
        </w:rPr>
        <w:t>（2）采取不正当手段诋毁、排挤其他供应商的。</w:t>
      </w:r>
    </w:p>
    <w:p w14:paraId="2E5A277A">
      <w:pPr>
        <w:spacing w:line="500" w:lineRule="exact"/>
        <w:ind w:firstLine="480" w:firstLineChars="200"/>
        <w:jc w:val="left"/>
        <w:rPr>
          <w:sz w:val="24"/>
          <w:szCs w:val="24"/>
        </w:rPr>
      </w:pPr>
      <w:r>
        <w:rPr>
          <w:rFonts w:hint="eastAsia"/>
          <w:sz w:val="24"/>
          <w:szCs w:val="24"/>
        </w:rPr>
        <w:t>（3）与采购人、其他</w:t>
      </w:r>
      <w:r>
        <w:rPr>
          <w:rFonts w:hint="eastAsia"/>
          <w:sz w:val="24"/>
          <w:szCs w:val="24"/>
          <w:lang w:val="en-US" w:eastAsia="zh-CN"/>
        </w:rPr>
        <w:t>投标人</w:t>
      </w:r>
      <w:r>
        <w:rPr>
          <w:rFonts w:hint="eastAsia"/>
          <w:sz w:val="24"/>
          <w:szCs w:val="24"/>
        </w:rPr>
        <w:t>或者采购代理机构恶意串通的。</w:t>
      </w:r>
    </w:p>
    <w:p w14:paraId="141D433B">
      <w:pPr>
        <w:spacing w:line="500" w:lineRule="exact"/>
        <w:ind w:firstLine="480" w:firstLineChars="200"/>
        <w:jc w:val="left"/>
        <w:rPr>
          <w:sz w:val="24"/>
          <w:szCs w:val="24"/>
        </w:rPr>
      </w:pPr>
      <w:r>
        <w:rPr>
          <w:rFonts w:hint="eastAsia"/>
          <w:sz w:val="24"/>
          <w:szCs w:val="24"/>
        </w:rPr>
        <w:t>（4）向采购人、</w:t>
      </w:r>
      <w:r>
        <w:rPr>
          <w:rFonts w:hint="eastAsia"/>
          <w:sz w:val="24"/>
          <w:szCs w:val="24"/>
          <w:lang w:val="en-US" w:eastAsia="zh-CN"/>
        </w:rPr>
        <w:t>代理机构</w:t>
      </w:r>
      <w:r>
        <w:rPr>
          <w:rFonts w:hint="eastAsia"/>
          <w:sz w:val="24"/>
          <w:szCs w:val="24"/>
        </w:rPr>
        <w:t>行贿或者提供其他不正当利益的。</w:t>
      </w:r>
    </w:p>
    <w:p w14:paraId="49C1BDCE">
      <w:pPr>
        <w:spacing w:line="500" w:lineRule="exact"/>
        <w:ind w:firstLine="480" w:firstLineChars="200"/>
        <w:jc w:val="left"/>
        <w:rPr>
          <w:sz w:val="24"/>
          <w:szCs w:val="24"/>
        </w:rPr>
      </w:pPr>
      <w:r>
        <w:rPr>
          <w:rFonts w:hint="eastAsia"/>
          <w:sz w:val="24"/>
          <w:szCs w:val="24"/>
        </w:rPr>
        <w:t>（5）在招标采购过程中与采购人进行协商谈判的。</w:t>
      </w:r>
    </w:p>
    <w:p w14:paraId="2BFAF2EA">
      <w:pPr>
        <w:spacing w:line="500" w:lineRule="exact"/>
        <w:ind w:firstLine="480" w:firstLineChars="200"/>
        <w:jc w:val="left"/>
        <w:rPr>
          <w:sz w:val="24"/>
          <w:szCs w:val="24"/>
        </w:rPr>
      </w:pPr>
      <w:r>
        <w:rPr>
          <w:rFonts w:hint="eastAsia"/>
          <w:sz w:val="24"/>
          <w:szCs w:val="24"/>
        </w:rPr>
        <w:t>（6）属于本文件规定的无效条件，但在评标过程中又未被评委会发现的。</w:t>
      </w:r>
    </w:p>
    <w:p w14:paraId="43F03B89">
      <w:pPr>
        <w:pStyle w:val="6"/>
        <w:spacing w:before="0" w:after="0" w:line="360" w:lineRule="auto"/>
        <w:ind w:firstLine="562" w:firstLineChars="200"/>
        <w:jc w:val="left"/>
        <w:rPr>
          <w:sz w:val="28"/>
          <w:szCs w:val="28"/>
        </w:rPr>
      </w:pPr>
      <w:r>
        <w:rPr>
          <w:rFonts w:hint="eastAsia"/>
          <w:sz w:val="28"/>
          <w:szCs w:val="28"/>
        </w:rPr>
        <w:t>29、中标通知书</w:t>
      </w:r>
    </w:p>
    <w:p w14:paraId="32ED7B3F">
      <w:pPr>
        <w:spacing w:line="500" w:lineRule="exact"/>
        <w:ind w:firstLine="480" w:firstLineChars="200"/>
        <w:jc w:val="left"/>
        <w:rPr>
          <w:sz w:val="24"/>
          <w:szCs w:val="24"/>
        </w:rPr>
      </w:pPr>
      <w:r>
        <w:rPr>
          <w:rFonts w:hint="eastAsia"/>
          <w:sz w:val="24"/>
          <w:szCs w:val="24"/>
        </w:rPr>
        <w:t>29.1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483CAB28">
      <w:pPr>
        <w:spacing w:line="500" w:lineRule="exact"/>
        <w:ind w:firstLine="480" w:firstLineChars="200"/>
        <w:jc w:val="left"/>
        <w:rPr>
          <w:sz w:val="24"/>
          <w:szCs w:val="24"/>
        </w:rPr>
      </w:pPr>
      <w:r>
        <w:rPr>
          <w:rFonts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717C4576">
      <w:pPr>
        <w:spacing w:line="500" w:lineRule="exact"/>
        <w:ind w:firstLine="480" w:firstLineChars="200"/>
        <w:jc w:val="left"/>
        <w:rPr>
          <w:sz w:val="24"/>
          <w:szCs w:val="24"/>
        </w:rPr>
      </w:pPr>
      <w:r>
        <w:rPr>
          <w:rFonts w:hint="eastAsia"/>
          <w:sz w:val="24"/>
          <w:szCs w:val="24"/>
        </w:rPr>
        <w:t>29.3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14:paraId="0628E9B5">
      <w:pPr>
        <w:pStyle w:val="5"/>
        <w:spacing w:before="0" w:after="0" w:line="360" w:lineRule="auto"/>
        <w:rPr>
          <w:rFonts w:ascii="黑体" w:hAnsi="黑体" w:eastAsia="黑体"/>
          <w:b w:val="0"/>
        </w:rPr>
      </w:pPr>
      <w:r>
        <w:rPr>
          <w:rFonts w:hint="eastAsia" w:ascii="黑体" w:hAnsi="黑体" w:eastAsia="黑体"/>
          <w:b w:val="0"/>
        </w:rPr>
        <w:t>七、授予合同</w:t>
      </w:r>
    </w:p>
    <w:p w14:paraId="66DE9A42">
      <w:pPr>
        <w:pStyle w:val="6"/>
        <w:spacing w:before="0" w:after="0" w:line="360" w:lineRule="auto"/>
        <w:ind w:firstLine="562" w:firstLineChars="200"/>
        <w:jc w:val="left"/>
        <w:rPr>
          <w:sz w:val="28"/>
          <w:szCs w:val="28"/>
        </w:rPr>
      </w:pPr>
      <w:r>
        <w:rPr>
          <w:rFonts w:hint="eastAsia"/>
          <w:sz w:val="28"/>
          <w:szCs w:val="28"/>
        </w:rPr>
        <w:t>30、签订合同</w:t>
      </w:r>
    </w:p>
    <w:p w14:paraId="55A8E636">
      <w:pPr>
        <w:spacing w:line="500" w:lineRule="exact"/>
        <w:ind w:firstLine="480" w:firstLineChars="200"/>
        <w:jc w:val="left"/>
        <w:rPr>
          <w:sz w:val="24"/>
          <w:szCs w:val="24"/>
        </w:rPr>
      </w:pPr>
      <w:r>
        <w:rPr>
          <w:rFonts w:hint="eastAsia"/>
          <w:sz w:val="24"/>
          <w:szCs w:val="24"/>
        </w:rPr>
        <w:t>30.1 中标人应当在中标通知书发出之日起三十日内，按照招标文件和中标人投标文件的规定，与采购人签订政府采购合同。</w:t>
      </w:r>
    </w:p>
    <w:p w14:paraId="742A3FED">
      <w:pPr>
        <w:spacing w:line="500" w:lineRule="exact"/>
        <w:ind w:firstLine="480" w:firstLineChars="200"/>
        <w:jc w:val="left"/>
        <w:rPr>
          <w:sz w:val="24"/>
          <w:szCs w:val="24"/>
        </w:rPr>
      </w:pPr>
      <w:r>
        <w:rPr>
          <w:rFonts w:hint="eastAsia"/>
          <w:sz w:val="24"/>
          <w:szCs w:val="24"/>
        </w:rPr>
        <w:t>30.2 招标文件、中标人的投标文件及招标过程中有关澄清、承诺等文件均应作为合同附件。</w:t>
      </w:r>
    </w:p>
    <w:p w14:paraId="1ADDAEF1">
      <w:pPr>
        <w:spacing w:line="500" w:lineRule="exact"/>
        <w:ind w:firstLine="480" w:firstLineChars="200"/>
        <w:jc w:val="left"/>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0434594A">
      <w:pPr>
        <w:pStyle w:val="6"/>
        <w:spacing w:before="0" w:after="0" w:line="360" w:lineRule="auto"/>
        <w:ind w:firstLine="562" w:firstLineChars="200"/>
        <w:jc w:val="left"/>
        <w:rPr>
          <w:sz w:val="28"/>
          <w:szCs w:val="28"/>
        </w:rPr>
      </w:pPr>
      <w:r>
        <w:rPr>
          <w:rFonts w:hint="eastAsia"/>
          <w:sz w:val="28"/>
          <w:szCs w:val="28"/>
        </w:rPr>
        <w:t>31、服务（包含与服务相关的货物）的追加</w:t>
      </w:r>
    </w:p>
    <w:p w14:paraId="7ECB2B3E">
      <w:pPr>
        <w:spacing w:line="500" w:lineRule="exact"/>
        <w:ind w:firstLine="480" w:firstLineChars="200"/>
        <w:jc w:val="left"/>
        <w:rPr>
          <w:sz w:val="24"/>
          <w:szCs w:val="24"/>
        </w:rPr>
      </w:pPr>
      <w:r>
        <w:rPr>
          <w:rFonts w:hint="eastAsia"/>
          <w:sz w:val="24"/>
          <w:szCs w:val="24"/>
        </w:rPr>
        <w:t>31.1 政府采购合同履行中，采购人需追加与合同标的相同的服务（包含与服务相关的货物）的，在不改变合同其他条款的前提下，可以与中标人协商签订补充合同，但所有补充合同的采购金额不超过原合同金额10%。</w:t>
      </w:r>
    </w:p>
    <w:p w14:paraId="687FD996">
      <w:pPr>
        <w:pStyle w:val="6"/>
        <w:spacing w:before="0" w:after="0" w:line="360" w:lineRule="auto"/>
        <w:ind w:firstLine="562" w:firstLineChars="200"/>
        <w:jc w:val="left"/>
        <w:rPr>
          <w:sz w:val="28"/>
          <w:szCs w:val="28"/>
        </w:rPr>
      </w:pPr>
      <w:r>
        <w:rPr>
          <w:rFonts w:hint="eastAsia"/>
          <w:sz w:val="28"/>
          <w:szCs w:val="28"/>
        </w:rPr>
        <w:t>32、政府采购履约资金扶持政策</w:t>
      </w:r>
    </w:p>
    <w:p w14:paraId="00974B50">
      <w:pPr>
        <w:spacing w:line="500" w:lineRule="exact"/>
        <w:ind w:firstLine="480" w:firstLineChars="200"/>
        <w:jc w:val="left"/>
        <w:rPr>
          <w:sz w:val="24"/>
          <w:szCs w:val="24"/>
        </w:rPr>
      </w:pPr>
      <w:r>
        <w:rPr>
          <w:rFonts w:hint="eastAsia"/>
          <w:sz w:val="24"/>
          <w:szCs w:val="24"/>
        </w:rPr>
        <w:t>32.1 中标人可凭政府采购合同办理融资贷款，详情请见江苏政府采购网“政采贷”专栏。</w:t>
      </w:r>
    </w:p>
    <w:p w14:paraId="11C06634">
      <w:pPr>
        <w:pStyle w:val="5"/>
        <w:spacing w:before="0" w:after="0" w:line="360" w:lineRule="auto"/>
        <w:rPr>
          <w:rFonts w:ascii="黑体" w:hAnsi="黑体" w:eastAsia="黑体"/>
          <w:b w:val="0"/>
        </w:rPr>
      </w:pPr>
      <w:r>
        <w:rPr>
          <w:rFonts w:hint="eastAsia" w:ascii="黑体" w:hAnsi="黑体" w:eastAsia="黑体"/>
          <w:b w:val="0"/>
        </w:rPr>
        <w:t>八、询问与质疑</w:t>
      </w:r>
    </w:p>
    <w:p w14:paraId="16EF64F6">
      <w:pPr>
        <w:pStyle w:val="6"/>
        <w:spacing w:before="0" w:after="0" w:line="360" w:lineRule="auto"/>
        <w:ind w:firstLine="562" w:firstLineChars="200"/>
        <w:jc w:val="left"/>
        <w:rPr>
          <w:sz w:val="28"/>
          <w:szCs w:val="28"/>
        </w:rPr>
      </w:pPr>
      <w:r>
        <w:rPr>
          <w:rFonts w:hint="eastAsia"/>
          <w:sz w:val="28"/>
          <w:szCs w:val="28"/>
        </w:rPr>
        <w:t>33、询问</w:t>
      </w:r>
    </w:p>
    <w:p w14:paraId="5D87A28E">
      <w:pPr>
        <w:spacing w:line="500" w:lineRule="exact"/>
        <w:ind w:firstLine="480" w:firstLineChars="200"/>
        <w:jc w:val="left"/>
        <w:rPr>
          <w:sz w:val="24"/>
          <w:szCs w:val="24"/>
        </w:rPr>
      </w:pPr>
      <w:r>
        <w:rPr>
          <w:rFonts w:hint="eastAsia"/>
          <w:sz w:val="24"/>
          <w:szCs w:val="24"/>
        </w:rPr>
        <w:t xml:space="preserve">33.1 </w:t>
      </w:r>
      <w:r>
        <w:rPr>
          <w:rFonts w:hint="eastAsia" w:ascii="Calibri" w:hAnsi="Calibri" w:eastAsia="宋体" w:cs="Times New Roman"/>
          <w:sz w:val="24"/>
          <w:szCs w:val="24"/>
          <w:lang w:val="en-US" w:eastAsia="zh-CN"/>
        </w:rPr>
        <w:t>投标人</w:t>
      </w:r>
      <w:r>
        <w:rPr>
          <w:rFonts w:hint="eastAsia"/>
          <w:sz w:val="24"/>
          <w:szCs w:val="24"/>
        </w:rPr>
        <w:t>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w:t>
      </w:r>
      <w:r>
        <w:rPr>
          <w:rFonts w:hint="eastAsia" w:ascii="Calibri" w:hAnsi="Calibri" w:eastAsia="宋体" w:cs="Times New Roman"/>
          <w:sz w:val="24"/>
          <w:szCs w:val="24"/>
          <w:lang w:val="en-US" w:eastAsia="zh-CN"/>
        </w:rPr>
        <w:t>投标人</w:t>
      </w:r>
      <w:r>
        <w:rPr>
          <w:rFonts w:hint="eastAsia"/>
          <w:sz w:val="24"/>
          <w:szCs w:val="24"/>
        </w:rPr>
        <w:t>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w:t>
      </w:r>
      <w:r>
        <w:rPr>
          <w:rFonts w:hint="eastAsia" w:ascii="Calibri" w:hAnsi="Calibri" w:eastAsia="宋体" w:cs="Times New Roman"/>
          <w:sz w:val="24"/>
          <w:szCs w:val="24"/>
          <w:lang w:val="en-US" w:eastAsia="zh-CN"/>
        </w:rPr>
        <w:t>投标人</w:t>
      </w:r>
      <w:r>
        <w:rPr>
          <w:rFonts w:hint="eastAsia"/>
          <w:sz w:val="24"/>
          <w:szCs w:val="24"/>
        </w:rPr>
        <w:t>向采购人提出。</w:t>
      </w:r>
    </w:p>
    <w:p w14:paraId="1706A26C">
      <w:pPr>
        <w:pStyle w:val="6"/>
        <w:spacing w:before="0" w:after="0" w:line="360" w:lineRule="auto"/>
        <w:ind w:firstLine="562" w:firstLineChars="200"/>
        <w:jc w:val="left"/>
        <w:rPr>
          <w:sz w:val="28"/>
          <w:szCs w:val="28"/>
        </w:rPr>
      </w:pPr>
      <w:r>
        <w:rPr>
          <w:rFonts w:hint="eastAsia"/>
          <w:sz w:val="28"/>
          <w:szCs w:val="28"/>
        </w:rPr>
        <w:t>34、质疑提出</w:t>
      </w:r>
    </w:p>
    <w:p w14:paraId="0F77E45F">
      <w:pPr>
        <w:spacing w:line="500" w:lineRule="exact"/>
        <w:ind w:firstLine="480" w:firstLineChars="200"/>
        <w:jc w:val="left"/>
        <w:rPr>
          <w:sz w:val="24"/>
          <w:szCs w:val="24"/>
        </w:rPr>
      </w:pPr>
      <w:r>
        <w:rPr>
          <w:rFonts w:hint="eastAsia"/>
          <w:sz w:val="24"/>
          <w:szCs w:val="24"/>
        </w:rPr>
        <w:t>34.1 提出质疑的</w:t>
      </w:r>
      <w:r>
        <w:rPr>
          <w:rFonts w:hint="eastAsia" w:ascii="Calibri" w:hAnsi="Calibri" w:eastAsia="宋体" w:cs="Times New Roman"/>
          <w:sz w:val="24"/>
          <w:szCs w:val="24"/>
          <w:lang w:val="en-US" w:eastAsia="zh-CN"/>
        </w:rPr>
        <w:t>投标人</w:t>
      </w:r>
      <w:r>
        <w:rPr>
          <w:rFonts w:hint="eastAsia"/>
          <w:sz w:val="24"/>
          <w:szCs w:val="24"/>
        </w:rPr>
        <w:t>应当是参与所质疑项目采购活动的</w:t>
      </w:r>
      <w:r>
        <w:rPr>
          <w:rFonts w:hint="eastAsia" w:ascii="Calibri" w:hAnsi="Calibri" w:eastAsia="宋体" w:cs="Times New Roman"/>
          <w:sz w:val="24"/>
          <w:szCs w:val="24"/>
          <w:lang w:val="en-US" w:eastAsia="zh-CN"/>
        </w:rPr>
        <w:t>投标人</w:t>
      </w:r>
      <w:r>
        <w:rPr>
          <w:rFonts w:hint="eastAsia"/>
          <w:sz w:val="24"/>
          <w:szCs w:val="24"/>
        </w:rPr>
        <w:t>。</w:t>
      </w:r>
    </w:p>
    <w:p w14:paraId="720E0577">
      <w:pPr>
        <w:spacing w:line="500" w:lineRule="exact"/>
        <w:ind w:firstLine="480" w:firstLineChars="200"/>
        <w:jc w:val="left"/>
        <w:rPr>
          <w:sz w:val="24"/>
          <w:szCs w:val="24"/>
        </w:rPr>
      </w:pPr>
      <w:r>
        <w:rPr>
          <w:rFonts w:hint="eastAsia"/>
          <w:sz w:val="24"/>
          <w:szCs w:val="24"/>
        </w:rPr>
        <w:t xml:space="preserve">34.2 </w:t>
      </w:r>
      <w:r>
        <w:rPr>
          <w:rFonts w:hint="eastAsia" w:ascii="Calibri" w:hAnsi="Calibri" w:eastAsia="宋体" w:cs="Times New Roman"/>
          <w:sz w:val="24"/>
          <w:szCs w:val="24"/>
          <w:lang w:val="en-US" w:eastAsia="zh-CN"/>
        </w:rPr>
        <w:t>投标人</w:t>
      </w:r>
      <w:r>
        <w:rPr>
          <w:rFonts w:hint="eastAsia"/>
          <w:sz w:val="24"/>
          <w:szCs w:val="24"/>
        </w:rPr>
        <w:t>认为</w:t>
      </w:r>
      <w:r>
        <w:rPr>
          <w:rFonts w:hint="eastAsia"/>
          <w:sz w:val="24"/>
          <w:szCs w:val="24"/>
          <w:lang w:val="en-US" w:eastAsia="zh-CN"/>
        </w:rPr>
        <w:t>招标</w:t>
      </w:r>
      <w:r>
        <w:rPr>
          <w:rFonts w:hint="eastAsia"/>
          <w:sz w:val="24"/>
          <w:szCs w:val="24"/>
        </w:rPr>
        <w:t>文件、</w:t>
      </w:r>
      <w:r>
        <w:rPr>
          <w:rFonts w:hint="eastAsia"/>
          <w:sz w:val="24"/>
          <w:szCs w:val="24"/>
          <w:lang w:val="en-US" w:eastAsia="zh-CN"/>
        </w:rPr>
        <w:t>招标</w:t>
      </w:r>
      <w:r>
        <w:rPr>
          <w:rFonts w:hint="eastAsia"/>
          <w:sz w:val="24"/>
          <w:szCs w:val="24"/>
        </w:rPr>
        <w:t>过程、</w:t>
      </w:r>
      <w:r>
        <w:rPr>
          <w:rFonts w:hint="eastAsia"/>
          <w:sz w:val="24"/>
          <w:szCs w:val="24"/>
          <w:lang w:val="en-US" w:eastAsia="zh-CN"/>
        </w:rPr>
        <w:t>招标</w:t>
      </w:r>
      <w:r>
        <w:rPr>
          <w:rFonts w:hint="eastAsia"/>
          <w:sz w:val="24"/>
          <w:szCs w:val="24"/>
        </w:rPr>
        <w:t>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14:paraId="2A6EB4B2">
      <w:pPr>
        <w:spacing w:line="500" w:lineRule="exact"/>
        <w:ind w:firstLine="480" w:firstLineChars="20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应当在法定质疑期内一次性提出针对同一采购程序环节的质疑，</w:t>
      </w:r>
      <w:r>
        <w:rPr>
          <w:rFonts w:hint="eastAsia" w:ascii="Calibri" w:hAnsi="Calibri" w:eastAsia="宋体" w:cs="Times New Roman"/>
          <w:sz w:val="24"/>
          <w:szCs w:val="24"/>
          <w:lang w:val="en-US" w:eastAsia="zh-CN"/>
        </w:rPr>
        <w:t>投标人</w:t>
      </w:r>
      <w:r>
        <w:rPr>
          <w:rFonts w:hint="eastAsia"/>
          <w:sz w:val="24"/>
          <w:szCs w:val="24"/>
        </w:rPr>
        <w:t>如在法定期限内对同一采购程序环节提出多次质疑的，采购人、</w:t>
      </w:r>
      <w:r>
        <w:rPr>
          <w:rFonts w:hint="eastAsia"/>
          <w:sz w:val="24"/>
          <w:szCs w:val="24"/>
          <w:lang w:val="en-US" w:eastAsia="zh-CN"/>
        </w:rPr>
        <w:t>代理机构</w:t>
      </w:r>
      <w:r>
        <w:rPr>
          <w:rFonts w:hint="eastAsia"/>
          <w:sz w:val="24"/>
          <w:szCs w:val="24"/>
        </w:rPr>
        <w:t>将只对</w:t>
      </w:r>
      <w:r>
        <w:rPr>
          <w:rFonts w:hint="eastAsia" w:ascii="Calibri" w:hAnsi="Calibri" w:eastAsia="宋体" w:cs="Times New Roman"/>
          <w:sz w:val="24"/>
          <w:szCs w:val="24"/>
          <w:lang w:val="en-US" w:eastAsia="zh-CN"/>
        </w:rPr>
        <w:t>投标人</w:t>
      </w:r>
      <w:r>
        <w:rPr>
          <w:rFonts w:hint="eastAsia"/>
          <w:sz w:val="24"/>
          <w:szCs w:val="24"/>
        </w:rPr>
        <w:t>第一次质疑作出答复。</w:t>
      </w:r>
    </w:p>
    <w:p w14:paraId="007FB083">
      <w:pPr>
        <w:spacing w:line="500" w:lineRule="exact"/>
        <w:ind w:firstLine="480" w:firstLineChars="200"/>
        <w:jc w:val="left"/>
        <w:rPr>
          <w:sz w:val="24"/>
          <w:szCs w:val="24"/>
        </w:rPr>
      </w:pPr>
      <w:r>
        <w:rPr>
          <w:rFonts w:hint="eastAsia"/>
          <w:sz w:val="24"/>
          <w:szCs w:val="24"/>
        </w:rPr>
        <w:t>未依照采购公告要求获取采购文件的</w:t>
      </w:r>
      <w:r>
        <w:rPr>
          <w:rFonts w:hint="eastAsia" w:ascii="Calibri" w:hAnsi="Calibri" w:eastAsia="宋体" w:cs="Times New Roman"/>
          <w:sz w:val="24"/>
          <w:szCs w:val="24"/>
          <w:lang w:val="en-US" w:eastAsia="zh-CN"/>
        </w:rPr>
        <w:t>投标人</w:t>
      </w:r>
      <w:r>
        <w:rPr>
          <w:rFonts w:hint="eastAsia"/>
          <w:sz w:val="24"/>
          <w:szCs w:val="24"/>
        </w:rPr>
        <w:t>，视为未参与该项目的采购活动，不具备对该采购文件提出质疑的法定权利。</w:t>
      </w:r>
    </w:p>
    <w:p w14:paraId="01DEAC5B">
      <w:pPr>
        <w:spacing w:line="500" w:lineRule="exact"/>
        <w:ind w:firstLine="480" w:firstLineChars="200"/>
        <w:jc w:val="left"/>
        <w:rPr>
          <w:sz w:val="24"/>
          <w:szCs w:val="24"/>
        </w:rPr>
      </w:pPr>
      <w:r>
        <w:rPr>
          <w:rFonts w:hint="eastAsia"/>
          <w:sz w:val="24"/>
          <w:szCs w:val="24"/>
        </w:rPr>
        <w:t>34.3 提出质疑时，必须坚持“实事求是”的原则，不能臆测。属于须由法定部门调查、侦查或先行作出相关认定的事项，质疑</w:t>
      </w:r>
      <w:r>
        <w:rPr>
          <w:rFonts w:hint="eastAsia" w:ascii="Calibri" w:hAnsi="Calibri" w:eastAsia="宋体" w:cs="Times New Roman"/>
          <w:sz w:val="24"/>
          <w:szCs w:val="24"/>
          <w:lang w:val="en-US" w:eastAsia="zh-CN"/>
        </w:rPr>
        <w:t>投标人</w:t>
      </w:r>
      <w:r>
        <w:rPr>
          <w:rFonts w:hint="eastAsia"/>
          <w:sz w:val="24"/>
          <w:szCs w:val="24"/>
        </w:rPr>
        <w:t>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14:paraId="47D3281E">
      <w:pPr>
        <w:spacing w:line="500" w:lineRule="exact"/>
        <w:ind w:firstLine="480" w:firstLineChars="200"/>
        <w:jc w:val="left"/>
        <w:rPr>
          <w:sz w:val="24"/>
          <w:szCs w:val="24"/>
        </w:rPr>
      </w:pPr>
      <w:r>
        <w:rPr>
          <w:rFonts w:hint="eastAsia"/>
          <w:sz w:val="24"/>
          <w:szCs w:val="24"/>
        </w:rPr>
        <w:t>34.4 质疑函的接收方式为</w:t>
      </w:r>
      <w:r>
        <w:rPr>
          <w:rFonts w:hint="eastAsia" w:ascii="Calibri" w:hAnsi="Calibri" w:eastAsia="宋体" w:cs="Times New Roman"/>
          <w:sz w:val="24"/>
          <w:szCs w:val="24"/>
          <w:lang w:val="en-US" w:eastAsia="zh-CN"/>
        </w:rPr>
        <w:t>投标人</w:t>
      </w:r>
      <w:r>
        <w:rPr>
          <w:rFonts w:hint="eastAsia"/>
          <w:sz w:val="24"/>
          <w:szCs w:val="24"/>
        </w:rPr>
        <w:t>书面原件提交。联系部门、联系电话和通讯地址详见招标文件第一章。质疑实行实名制，不得进行虚假、恶意质疑。</w:t>
      </w:r>
    </w:p>
    <w:p w14:paraId="1E6E6804">
      <w:pPr>
        <w:spacing w:line="500" w:lineRule="exact"/>
        <w:ind w:firstLine="480" w:firstLineChars="200"/>
        <w:jc w:val="left"/>
        <w:rPr>
          <w:sz w:val="24"/>
          <w:szCs w:val="24"/>
        </w:rPr>
      </w:pPr>
      <w:r>
        <w:rPr>
          <w:rFonts w:hint="eastAsia"/>
          <w:sz w:val="24"/>
          <w:szCs w:val="24"/>
        </w:rPr>
        <w:t>34.5 质疑函应当使用范本，详见招标文件第六章。</w:t>
      </w:r>
      <w:r>
        <w:rPr>
          <w:rFonts w:hint="eastAsia" w:ascii="Calibri" w:hAnsi="Calibri" w:eastAsia="宋体" w:cs="Times New Roman"/>
          <w:sz w:val="24"/>
          <w:szCs w:val="24"/>
          <w:lang w:val="en-US" w:eastAsia="zh-CN"/>
        </w:rPr>
        <w:t>投标人</w:t>
      </w:r>
      <w:r>
        <w:rPr>
          <w:rFonts w:hint="eastAsia"/>
          <w:sz w:val="24"/>
          <w:szCs w:val="24"/>
        </w:rPr>
        <w:t>提出质疑应当提交质疑函和必要的证明材料，应当包括下列内容：</w:t>
      </w:r>
    </w:p>
    <w:p w14:paraId="0C1D3E13">
      <w:pPr>
        <w:spacing w:line="500" w:lineRule="exact"/>
        <w:ind w:firstLine="480" w:firstLineChars="200"/>
        <w:jc w:val="left"/>
        <w:rPr>
          <w:sz w:val="24"/>
          <w:szCs w:val="24"/>
        </w:rPr>
      </w:pPr>
      <w:r>
        <w:rPr>
          <w:rFonts w:hint="eastAsia"/>
          <w:sz w:val="24"/>
          <w:szCs w:val="24"/>
        </w:rPr>
        <w:t>（1）</w:t>
      </w:r>
      <w:r>
        <w:rPr>
          <w:rFonts w:hint="eastAsia" w:ascii="Calibri" w:hAnsi="Calibri" w:eastAsia="宋体" w:cs="Times New Roman"/>
          <w:sz w:val="24"/>
          <w:szCs w:val="24"/>
          <w:lang w:val="en-US" w:eastAsia="zh-CN"/>
        </w:rPr>
        <w:t>投标人</w:t>
      </w:r>
      <w:r>
        <w:rPr>
          <w:rFonts w:hint="eastAsia"/>
          <w:sz w:val="24"/>
          <w:szCs w:val="24"/>
        </w:rPr>
        <w:t>的姓名或者名称、地址、邮编、联系人及联系电话；</w:t>
      </w:r>
    </w:p>
    <w:p w14:paraId="1D15549A">
      <w:pPr>
        <w:spacing w:line="500" w:lineRule="exact"/>
        <w:ind w:firstLine="480" w:firstLineChars="200"/>
        <w:jc w:val="left"/>
        <w:rPr>
          <w:sz w:val="24"/>
          <w:szCs w:val="24"/>
        </w:rPr>
      </w:pPr>
      <w:r>
        <w:rPr>
          <w:rFonts w:hint="eastAsia"/>
          <w:sz w:val="24"/>
          <w:szCs w:val="24"/>
        </w:rPr>
        <w:t>（2）质疑项目的名称、编号；</w:t>
      </w:r>
    </w:p>
    <w:p w14:paraId="2A90E6AD">
      <w:pPr>
        <w:spacing w:line="500" w:lineRule="exact"/>
        <w:ind w:firstLine="480" w:firstLineChars="200"/>
        <w:jc w:val="left"/>
        <w:rPr>
          <w:sz w:val="24"/>
          <w:szCs w:val="24"/>
        </w:rPr>
      </w:pPr>
      <w:r>
        <w:rPr>
          <w:rFonts w:hint="eastAsia"/>
          <w:sz w:val="24"/>
          <w:szCs w:val="24"/>
        </w:rPr>
        <w:t>（3）具体、明确的质疑事项和与质疑事项相关的请求；</w:t>
      </w:r>
    </w:p>
    <w:p w14:paraId="3530DAC0">
      <w:pPr>
        <w:spacing w:line="500" w:lineRule="exact"/>
        <w:ind w:firstLine="480" w:firstLineChars="200"/>
        <w:jc w:val="left"/>
        <w:rPr>
          <w:sz w:val="24"/>
          <w:szCs w:val="24"/>
        </w:rPr>
      </w:pPr>
      <w:r>
        <w:rPr>
          <w:rFonts w:hint="eastAsia"/>
          <w:sz w:val="24"/>
          <w:szCs w:val="24"/>
        </w:rPr>
        <w:t>（4）事实依据；</w:t>
      </w:r>
    </w:p>
    <w:p w14:paraId="22491093">
      <w:pPr>
        <w:spacing w:line="500" w:lineRule="exact"/>
        <w:ind w:firstLine="480" w:firstLineChars="200"/>
        <w:jc w:val="left"/>
        <w:rPr>
          <w:sz w:val="24"/>
          <w:szCs w:val="24"/>
        </w:rPr>
      </w:pPr>
      <w:r>
        <w:rPr>
          <w:rFonts w:hint="eastAsia"/>
          <w:sz w:val="24"/>
          <w:szCs w:val="24"/>
        </w:rPr>
        <w:t>（5）必要的法律依据；</w:t>
      </w:r>
    </w:p>
    <w:p w14:paraId="78444C17">
      <w:pPr>
        <w:spacing w:line="500" w:lineRule="exact"/>
        <w:ind w:firstLine="480" w:firstLineChars="200"/>
        <w:jc w:val="left"/>
        <w:rPr>
          <w:sz w:val="24"/>
          <w:szCs w:val="24"/>
        </w:rPr>
      </w:pPr>
      <w:r>
        <w:rPr>
          <w:rFonts w:hint="eastAsia"/>
          <w:sz w:val="24"/>
          <w:szCs w:val="24"/>
        </w:rPr>
        <w:t>（6）提出质疑的日期；</w:t>
      </w:r>
    </w:p>
    <w:p w14:paraId="1A2E1B9E">
      <w:pPr>
        <w:spacing w:line="500" w:lineRule="exact"/>
        <w:ind w:firstLine="480" w:firstLineChars="200"/>
        <w:jc w:val="left"/>
        <w:rPr>
          <w:sz w:val="24"/>
          <w:szCs w:val="24"/>
        </w:rPr>
      </w:pPr>
      <w:r>
        <w:rPr>
          <w:rFonts w:hint="eastAsia"/>
          <w:sz w:val="24"/>
          <w:szCs w:val="24"/>
        </w:rPr>
        <w:t>（7）必要的证明材料；</w:t>
      </w:r>
    </w:p>
    <w:p w14:paraId="0E24CEA8">
      <w:pPr>
        <w:spacing w:line="500" w:lineRule="exact"/>
        <w:ind w:firstLine="480" w:firstLineChars="200"/>
        <w:jc w:val="left"/>
        <w:rPr>
          <w:sz w:val="24"/>
          <w:szCs w:val="24"/>
        </w:rPr>
      </w:pPr>
      <w:r>
        <w:rPr>
          <w:rFonts w:hint="eastAsia"/>
          <w:sz w:val="24"/>
          <w:szCs w:val="24"/>
        </w:rPr>
        <w:t>（8）营业执照复印件及授权委托书原件、法定代表人（单位负责人）身份证复印件、委托代理人身份证复印件。</w:t>
      </w:r>
    </w:p>
    <w:p w14:paraId="5B6084A5">
      <w:pPr>
        <w:spacing w:line="500" w:lineRule="exact"/>
        <w:ind w:firstLine="480" w:firstLineChars="20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为自然人的，应当由本人签字；</w:t>
      </w:r>
      <w:r>
        <w:rPr>
          <w:rFonts w:hint="eastAsia" w:ascii="Calibri" w:hAnsi="Calibri" w:eastAsia="宋体" w:cs="Times New Roman"/>
          <w:sz w:val="24"/>
          <w:szCs w:val="24"/>
          <w:lang w:val="en-US" w:eastAsia="zh-CN"/>
        </w:rPr>
        <w:t>投标人</w:t>
      </w:r>
      <w:r>
        <w:rPr>
          <w:rFonts w:hint="eastAsia"/>
          <w:sz w:val="24"/>
          <w:szCs w:val="24"/>
        </w:rPr>
        <w:t>为法人或者其他组织的，应当由法定代表人、主要负责人，或者其委托代理人签字或者盖章，并加盖单位公章。</w:t>
      </w:r>
    </w:p>
    <w:p w14:paraId="39EA578C">
      <w:pPr>
        <w:pStyle w:val="6"/>
        <w:spacing w:before="0" w:after="0" w:line="360" w:lineRule="auto"/>
        <w:ind w:firstLine="562" w:firstLineChars="200"/>
        <w:jc w:val="left"/>
        <w:rPr>
          <w:sz w:val="24"/>
          <w:szCs w:val="24"/>
        </w:rPr>
      </w:pPr>
      <w:r>
        <w:rPr>
          <w:rFonts w:hint="eastAsia"/>
          <w:sz w:val="28"/>
          <w:szCs w:val="28"/>
        </w:rPr>
        <w:t>35、质疑函的受理和答复</w:t>
      </w:r>
    </w:p>
    <w:p w14:paraId="37E98DD7">
      <w:pPr>
        <w:spacing w:line="500" w:lineRule="exact"/>
        <w:ind w:firstLine="480" w:firstLineChars="200"/>
        <w:jc w:val="left"/>
        <w:rPr>
          <w:sz w:val="24"/>
          <w:szCs w:val="24"/>
        </w:rPr>
      </w:pPr>
      <w:r>
        <w:rPr>
          <w:rFonts w:hint="eastAsia"/>
          <w:sz w:val="24"/>
          <w:szCs w:val="24"/>
        </w:rPr>
        <w:t>35.1 质疑</w:t>
      </w:r>
      <w:r>
        <w:rPr>
          <w:rFonts w:hint="eastAsia" w:ascii="Calibri" w:hAnsi="Calibri" w:eastAsia="宋体" w:cs="Times New Roman"/>
          <w:sz w:val="24"/>
          <w:szCs w:val="24"/>
          <w:lang w:val="en-US" w:eastAsia="zh-CN"/>
        </w:rPr>
        <w:t>投标人</w:t>
      </w:r>
      <w:r>
        <w:rPr>
          <w:rFonts w:hint="eastAsia"/>
          <w:sz w:val="24"/>
          <w:szCs w:val="24"/>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14:paraId="3747B1E9">
      <w:pPr>
        <w:spacing w:line="500" w:lineRule="exact"/>
        <w:ind w:firstLine="480" w:firstLineChars="200"/>
        <w:jc w:val="left"/>
        <w:rPr>
          <w:sz w:val="24"/>
          <w:szCs w:val="24"/>
        </w:rPr>
      </w:pPr>
      <w:r>
        <w:rPr>
          <w:rFonts w:hint="eastAsia"/>
          <w:sz w:val="24"/>
          <w:szCs w:val="24"/>
        </w:rPr>
        <w:t>35.2 对符合质疑要求的，采购人、</w:t>
      </w:r>
      <w:r>
        <w:rPr>
          <w:rFonts w:hint="eastAsia"/>
          <w:sz w:val="24"/>
          <w:szCs w:val="24"/>
          <w:lang w:val="en-US" w:eastAsia="zh-CN"/>
        </w:rPr>
        <w:t>代理机构</w:t>
      </w:r>
      <w:r>
        <w:rPr>
          <w:rFonts w:hint="eastAsia"/>
          <w:sz w:val="24"/>
          <w:szCs w:val="24"/>
        </w:rPr>
        <w:t>接收并登记《质疑函登记表》。在处理过程中，发现需要质疑</w:t>
      </w:r>
      <w:r>
        <w:rPr>
          <w:rFonts w:hint="eastAsia" w:ascii="Calibri" w:hAnsi="Calibri" w:eastAsia="宋体" w:cs="Times New Roman"/>
          <w:sz w:val="24"/>
          <w:szCs w:val="24"/>
          <w:lang w:val="en-US" w:eastAsia="zh-CN"/>
        </w:rPr>
        <w:t>投标人</w:t>
      </w:r>
      <w:r>
        <w:rPr>
          <w:rFonts w:hint="eastAsia"/>
          <w:sz w:val="24"/>
          <w:szCs w:val="24"/>
        </w:rPr>
        <w:t>进一步补充必要的证明材料的，质疑</w:t>
      </w:r>
      <w:r>
        <w:rPr>
          <w:rFonts w:hint="eastAsia" w:ascii="Calibri" w:hAnsi="Calibri" w:eastAsia="宋体" w:cs="Times New Roman"/>
          <w:sz w:val="24"/>
          <w:szCs w:val="24"/>
          <w:lang w:val="en-US" w:eastAsia="zh-CN"/>
        </w:rPr>
        <w:t>投标人</w:t>
      </w:r>
      <w:r>
        <w:rPr>
          <w:rFonts w:hint="eastAsia"/>
          <w:sz w:val="24"/>
          <w:szCs w:val="24"/>
        </w:rPr>
        <w:t>应在法定的时间内提供，质疑答复时间相应顺延。质疑</w:t>
      </w:r>
      <w:r>
        <w:rPr>
          <w:rFonts w:hint="eastAsia" w:ascii="Calibri" w:hAnsi="Calibri" w:eastAsia="宋体" w:cs="Times New Roman"/>
          <w:sz w:val="24"/>
          <w:szCs w:val="24"/>
          <w:lang w:val="en-US" w:eastAsia="zh-CN"/>
        </w:rPr>
        <w:t>投标人</w:t>
      </w:r>
      <w:r>
        <w:rPr>
          <w:rFonts w:hint="eastAsia"/>
          <w:sz w:val="24"/>
          <w:szCs w:val="24"/>
        </w:rPr>
        <w:t>不能按时提供必要的证明材料的，视同放弃质疑。</w:t>
      </w:r>
    </w:p>
    <w:p w14:paraId="49763DDA">
      <w:pPr>
        <w:spacing w:line="500" w:lineRule="exact"/>
        <w:ind w:firstLine="480" w:firstLineChars="200"/>
        <w:jc w:val="left"/>
        <w:rPr>
          <w:sz w:val="24"/>
          <w:szCs w:val="24"/>
        </w:rPr>
      </w:pPr>
      <w:r>
        <w:rPr>
          <w:rFonts w:hint="eastAsia"/>
          <w:sz w:val="24"/>
          <w:szCs w:val="24"/>
        </w:rPr>
        <w:t>35.3 对不符合质疑要求的，采购人、</w:t>
      </w:r>
      <w:r>
        <w:rPr>
          <w:rFonts w:hint="eastAsia"/>
          <w:sz w:val="24"/>
          <w:szCs w:val="24"/>
          <w:lang w:val="en-US" w:eastAsia="zh-CN"/>
        </w:rPr>
        <w:t>代理机构</w:t>
      </w:r>
      <w:r>
        <w:rPr>
          <w:rFonts w:hint="eastAsia"/>
          <w:sz w:val="24"/>
          <w:szCs w:val="24"/>
        </w:rPr>
        <w:t>有权要求其补充必要的证明材料，质疑</w:t>
      </w:r>
      <w:r>
        <w:rPr>
          <w:rFonts w:hint="eastAsia" w:ascii="Calibri" w:hAnsi="Calibri" w:eastAsia="宋体" w:cs="Times New Roman"/>
          <w:sz w:val="24"/>
          <w:szCs w:val="24"/>
          <w:lang w:val="en-US" w:eastAsia="zh-CN"/>
        </w:rPr>
        <w:t>投标人</w:t>
      </w:r>
      <w:r>
        <w:rPr>
          <w:rFonts w:hint="eastAsia"/>
          <w:sz w:val="24"/>
          <w:szCs w:val="24"/>
        </w:rPr>
        <w:t>未在法定的时间内提供补充必要的证明材料的，视同放弃质疑。</w:t>
      </w:r>
    </w:p>
    <w:p w14:paraId="090D4845">
      <w:pPr>
        <w:spacing w:line="500" w:lineRule="exact"/>
        <w:ind w:firstLine="480" w:firstLineChars="200"/>
        <w:jc w:val="left"/>
        <w:rPr>
          <w:sz w:val="24"/>
          <w:szCs w:val="24"/>
        </w:rPr>
      </w:pPr>
      <w:r>
        <w:rPr>
          <w:rFonts w:hint="eastAsia"/>
          <w:sz w:val="24"/>
          <w:szCs w:val="24"/>
        </w:rPr>
        <w:t>35.4 以下情形的质疑不予受理</w:t>
      </w:r>
    </w:p>
    <w:p w14:paraId="1114E61E">
      <w:pPr>
        <w:spacing w:line="500" w:lineRule="exact"/>
        <w:ind w:firstLine="480" w:firstLineChars="200"/>
        <w:jc w:val="left"/>
        <w:rPr>
          <w:sz w:val="24"/>
          <w:szCs w:val="24"/>
        </w:rPr>
      </w:pPr>
      <w:r>
        <w:rPr>
          <w:rFonts w:hint="eastAsia"/>
          <w:sz w:val="24"/>
          <w:szCs w:val="24"/>
        </w:rPr>
        <w:t>（1）内容不符合《政府采购质疑和投诉办法》第十二条规定的质疑。</w:t>
      </w:r>
    </w:p>
    <w:p w14:paraId="249FD17A">
      <w:pPr>
        <w:spacing w:line="500" w:lineRule="exact"/>
        <w:ind w:firstLine="480" w:firstLineChars="200"/>
        <w:jc w:val="left"/>
        <w:rPr>
          <w:sz w:val="24"/>
          <w:szCs w:val="24"/>
        </w:rPr>
      </w:pPr>
      <w:r>
        <w:rPr>
          <w:rFonts w:hint="eastAsia"/>
          <w:sz w:val="24"/>
          <w:szCs w:val="24"/>
        </w:rPr>
        <w:t>（2）超出政府采购法定期限的质疑。</w:t>
      </w:r>
    </w:p>
    <w:p w14:paraId="665FDAEC">
      <w:pPr>
        <w:spacing w:line="500" w:lineRule="exact"/>
        <w:ind w:firstLine="480" w:firstLineChars="200"/>
        <w:jc w:val="left"/>
        <w:rPr>
          <w:sz w:val="24"/>
          <w:szCs w:val="24"/>
        </w:rPr>
      </w:pPr>
      <w:r>
        <w:rPr>
          <w:rFonts w:hint="eastAsia"/>
          <w:sz w:val="24"/>
          <w:szCs w:val="24"/>
        </w:rPr>
        <w:t>（3）以传真、电子邮件等方式递交的非原件形式的质疑。</w:t>
      </w:r>
    </w:p>
    <w:p w14:paraId="2AD67876">
      <w:pPr>
        <w:spacing w:line="500" w:lineRule="exact"/>
        <w:ind w:firstLine="480" w:firstLineChars="200"/>
        <w:jc w:val="left"/>
        <w:rPr>
          <w:sz w:val="24"/>
          <w:szCs w:val="24"/>
        </w:rPr>
      </w:pPr>
      <w:r>
        <w:rPr>
          <w:rFonts w:hint="eastAsia"/>
          <w:sz w:val="24"/>
          <w:szCs w:val="24"/>
        </w:rPr>
        <w:t>（4）未参加采购活动的</w:t>
      </w:r>
      <w:r>
        <w:rPr>
          <w:rFonts w:hint="eastAsia" w:ascii="Calibri" w:hAnsi="Calibri" w:eastAsia="宋体" w:cs="Times New Roman"/>
          <w:sz w:val="24"/>
          <w:szCs w:val="24"/>
          <w:lang w:val="en-US" w:eastAsia="zh-CN"/>
        </w:rPr>
        <w:t>投标人</w:t>
      </w:r>
      <w:r>
        <w:rPr>
          <w:rFonts w:hint="eastAsia"/>
          <w:sz w:val="24"/>
          <w:szCs w:val="24"/>
        </w:rPr>
        <w:t>或在采购活动中自身权益未受到损害的</w:t>
      </w:r>
      <w:r>
        <w:rPr>
          <w:rFonts w:hint="eastAsia" w:ascii="Calibri" w:hAnsi="Calibri" w:eastAsia="宋体" w:cs="Times New Roman"/>
          <w:sz w:val="24"/>
          <w:szCs w:val="24"/>
          <w:lang w:val="en-US" w:eastAsia="zh-CN"/>
        </w:rPr>
        <w:t>投标人</w:t>
      </w:r>
      <w:r>
        <w:rPr>
          <w:rFonts w:hint="eastAsia"/>
          <w:sz w:val="24"/>
          <w:szCs w:val="24"/>
        </w:rPr>
        <w:t>所提出的质疑。</w:t>
      </w:r>
    </w:p>
    <w:p w14:paraId="39B8CCE9">
      <w:pPr>
        <w:spacing w:line="500" w:lineRule="exact"/>
        <w:ind w:firstLine="480" w:firstLineChars="200"/>
        <w:jc w:val="left"/>
        <w:rPr>
          <w:sz w:val="24"/>
          <w:szCs w:val="24"/>
        </w:rPr>
      </w:pPr>
      <w:r>
        <w:rPr>
          <w:rFonts w:hint="eastAsia"/>
          <w:sz w:val="24"/>
          <w:szCs w:val="24"/>
        </w:rPr>
        <w:t>（5）</w:t>
      </w:r>
      <w:r>
        <w:rPr>
          <w:rFonts w:hint="eastAsia" w:ascii="Calibri" w:hAnsi="Calibri" w:eastAsia="宋体" w:cs="Times New Roman"/>
          <w:sz w:val="24"/>
          <w:szCs w:val="24"/>
          <w:lang w:val="en-US" w:eastAsia="zh-CN"/>
        </w:rPr>
        <w:t>投标人</w:t>
      </w:r>
      <w:r>
        <w:rPr>
          <w:rFonts w:hint="eastAsia"/>
          <w:sz w:val="24"/>
          <w:szCs w:val="24"/>
        </w:rPr>
        <w:t>组成联合体，联合体中任何一方或多方未按要求签字（盖章）、加盖公章的质疑。</w:t>
      </w:r>
    </w:p>
    <w:p w14:paraId="3F0EF12F">
      <w:pPr>
        <w:spacing w:line="500" w:lineRule="exact"/>
        <w:ind w:firstLine="480" w:firstLineChars="200"/>
        <w:jc w:val="left"/>
        <w:rPr>
          <w:sz w:val="24"/>
          <w:szCs w:val="24"/>
        </w:rPr>
      </w:pPr>
      <w:r>
        <w:rPr>
          <w:rFonts w:hint="eastAsia"/>
          <w:sz w:val="24"/>
          <w:szCs w:val="24"/>
        </w:rPr>
        <w:t>35.5 采购人、</w:t>
      </w:r>
      <w:r>
        <w:rPr>
          <w:rFonts w:hint="eastAsia"/>
          <w:sz w:val="24"/>
          <w:szCs w:val="24"/>
          <w:lang w:val="en-US" w:eastAsia="zh-CN"/>
        </w:rPr>
        <w:t>代理机构</w:t>
      </w:r>
      <w:r>
        <w:rPr>
          <w:rFonts w:hint="eastAsia"/>
          <w:sz w:val="24"/>
          <w:szCs w:val="24"/>
        </w:rPr>
        <w:t>依法受理的质疑，将按照政府采购有关规定，在法定期限内答复。</w:t>
      </w:r>
    </w:p>
    <w:p w14:paraId="4FB3FFBE">
      <w:pPr>
        <w:pStyle w:val="6"/>
        <w:spacing w:before="0" w:after="0" w:line="360" w:lineRule="auto"/>
        <w:ind w:firstLine="562" w:firstLineChars="200"/>
        <w:jc w:val="left"/>
        <w:rPr>
          <w:sz w:val="28"/>
          <w:szCs w:val="28"/>
        </w:rPr>
      </w:pPr>
      <w:r>
        <w:rPr>
          <w:rFonts w:hint="eastAsia"/>
          <w:sz w:val="28"/>
          <w:szCs w:val="28"/>
        </w:rPr>
        <w:t>36、质疑处理</w:t>
      </w:r>
    </w:p>
    <w:p w14:paraId="6BCA72B0">
      <w:pPr>
        <w:spacing w:line="500" w:lineRule="exact"/>
        <w:ind w:firstLine="480" w:firstLineChars="200"/>
        <w:jc w:val="left"/>
        <w:rPr>
          <w:sz w:val="24"/>
          <w:szCs w:val="24"/>
        </w:rPr>
      </w:pPr>
      <w:r>
        <w:rPr>
          <w:rFonts w:hint="eastAsia"/>
          <w:sz w:val="24"/>
          <w:szCs w:val="24"/>
        </w:rPr>
        <w:t>36.1 质疑</w:t>
      </w:r>
      <w:r>
        <w:rPr>
          <w:rFonts w:hint="eastAsia" w:ascii="Calibri" w:hAnsi="Calibri" w:eastAsia="宋体" w:cs="Times New Roman"/>
          <w:sz w:val="24"/>
          <w:szCs w:val="24"/>
          <w:lang w:val="en-US" w:eastAsia="zh-CN"/>
        </w:rPr>
        <w:t>投标人</w:t>
      </w:r>
      <w:r>
        <w:rPr>
          <w:rFonts w:hint="eastAsia"/>
          <w:sz w:val="24"/>
          <w:szCs w:val="24"/>
        </w:rPr>
        <w:t>未按照法定程序进行质疑投诉的，视为一般失信行为。</w:t>
      </w:r>
    </w:p>
    <w:p w14:paraId="6E9DB650">
      <w:pPr>
        <w:spacing w:line="500" w:lineRule="exact"/>
        <w:ind w:firstLine="480" w:firstLineChars="200"/>
        <w:jc w:val="left"/>
        <w:rPr>
          <w:sz w:val="24"/>
          <w:szCs w:val="24"/>
        </w:rPr>
      </w:pPr>
      <w:r>
        <w:rPr>
          <w:rFonts w:hint="eastAsia"/>
          <w:sz w:val="24"/>
          <w:szCs w:val="24"/>
        </w:rPr>
        <w:t>36.2 质疑</w:t>
      </w:r>
      <w:r>
        <w:rPr>
          <w:rFonts w:hint="eastAsia" w:ascii="Calibri" w:hAnsi="Calibri" w:eastAsia="宋体" w:cs="Times New Roman"/>
          <w:sz w:val="24"/>
          <w:szCs w:val="24"/>
          <w:lang w:val="en-US" w:eastAsia="zh-CN"/>
        </w:rPr>
        <w:t>投标人</w:t>
      </w:r>
      <w:r>
        <w:rPr>
          <w:rFonts w:hint="eastAsia"/>
          <w:sz w:val="24"/>
          <w:szCs w:val="24"/>
        </w:rPr>
        <w:t>不配合或者采用不正当手段干扰政府采购质疑、投诉处理工作的，视为一般失信行为。</w:t>
      </w:r>
    </w:p>
    <w:p w14:paraId="00A80445">
      <w:pPr>
        <w:spacing w:line="500" w:lineRule="exact"/>
        <w:ind w:firstLine="480" w:firstLineChars="200"/>
        <w:jc w:val="left"/>
        <w:rPr>
          <w:sz w:val="24"/>
          <w:szCs w:val="24"/>
        </w:rPr>
      </w:pPr>
      <w:r>
        <w:rPr>
          <w:rFonts w:hint="eastAsia"/>
          <w:sz w:val="24"/>
          <w:szCs w:val="24"/>
        </w:rPr>
        <w:t>36.3 质疑</w:t>
      </w:r>
      <w:r>
        <w:rPr>
          <w:rFonts w:hint="eastAsia" w:ascii="Calibri" w:hAnsi="Calibri" w:eastAsia="宋体" w:cs="Times New Roman"/>
          <w:sz w:val="24"/>
          <w:szCs w:val="24"/>
          <w:lang w:val="en-US" w:eastAsia="zh-CN"/>
        </w:rPr>
        <w:t>投标人</w:t>
      </w:r>
      <w:r>
        <w:rPr>
          <w:rFonts w:hint="eastAsia"/>
          <w:sz w:val="24"/>
          <w:szCs w:val="24"/>
        </w:rPr>
        <w:t>投诉受理期间，就同一事项多头举报，干扰财政部门投诉处理的，视为一般失信行为。</w:t>
      </w:r>
    </w:p>
    <w:p w14:paraId="22673E20">
      <w:pPr>
        <w:spacing w:line="500" w:lineRule="exact"/>
        <w:ind w:firstLine="480" w:firstLineChars="200"/>
        <w:jc w:val="left"/>
        <w:rPr>
          <w:sz w:val="24"/>
          <w:szCs w:val="24"/>
        </w:rPr>
      </w:pPr>
      <w:r>
        <w:rPr>
          <w:rFonts w:hint="eastAsia"/>
          <w:sz w:val="24"/>
          <w:szCs w:val="24"/>
        </w:rPr>
        <w:t>36.4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在全国范围12个月内三次以上质疑查无实据的，视为一般失信行为。</w:t>
      </w:r>
    </w:p>
    <w:p w14:paraId="279DC72E">
      <w:pPr>
        <w:spacing w:line="500" w:lineRule="exact"/>
        <w:ind w:firstLine="480" w:firstLineChars="200"/>
        <w:jc w:val="left"/>
        <w:rPr>
          <w:sz w:val="24"/>
          <w:szCs w:val="24"/>
        </w:rPr>
      </w:pPr>
      <w:r>
        <w:rPr>
          <w:rFonts w:hint="eastAsia"/>
          <w:sz w:val="24"/>
          <w:szCs w:val="24"/>
        </w:rPr>
        <w:t>36.5 质疑</w:t>
      </w:r>
      <w:r>
        <w:rPr>
          <w:rFonts w:hint="eastAsia" w:ascii="Calibri" w:hAnsi="Calibri" w:eastAsia="宋体" w:cs="Times New Roman"/>
          <w:sz w:val="24"/>
          <w:szCs w:val="24"/>
          <w:lang w:val="en-US" w:eastAsia="zh-CN"/>
        </w:rPr>
        <w:t>投标人</w:t>
      </w:r>
      <w:r>
        <w:rPr>
          <w:rFonts w:hint="eastAsia"/>
          <w:sz w:val="24"/>
          <w:szCs w:val="24"/>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C2B7C7C">
      <w:pPr>
        <w:spacing w:line="500" w:lineRule="exact"/>
        <w:ind w:firstLine="480" w:firstLineChars="200"/>
        <w:jc w:val="left"/>
        <w:rPr>
          <w:sz w:val="24"/>
          <w:szCs w:val="24"/>
        </w:rPr>
      </w:pPr>
      <w:r>
        <w:rPr>
          <w:rFonts w:hint="eastAsia"/>
          <w:sz w:val="24"/>
          <w:szCs w:val="24"/>
        </w:rPr>
        <w:t>36.6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在全国范围12个月内三次以上投诉查无实据的，视为严重失信行为。</w:t>
      </w:r>
    </w:p>
    <w:p w14:paraId="74996335">
      <w:pPr>
        <w:spacing w:line="500" w:lineRule="exact"/>
        <w:ind w:firstLine="480" w:firstLineChars="200"/>
        <w:jc w:val="left"/>
        <w:rPr>
          <w:sz w:val="24"/>
          <w:szCs w:val="24"/>
        </w:rPr>
      </w:pPr>
      <w:r>
        <w:rPr>
          <w:rFonts w:hint="eastAsia"/>
          <w:sz w:val="24"/>
          <w:szCs w:val="24"/>
        </w:rPr>
        <w:t>36.7 未尽事宜，依照有关法律、法规执行。</w:t>
      </w:r>
    </w:p>
    <w:p w14:paraId="48EEAA01">
      <w:pPr>
        <w:pStyle w:val="5"/>
        <w:spacing w:before="0" w:after="0" w:line="360" w:lineRule="auto"/>
        <w:rPr>
          <w:rFonts w:ascii="黑体" w:hAnsi="黑体" w:eastAsia="黑体"/>
          <w:b w:val="0"/>
          <w:highlight w:val="none"/>
        </w:rPr>
      </w:pPr>
      <w:r>
        <w:rPr>
          <w:rFonts w:hint="eastAsia" w:ascii="黑体" w:hAnsi="黑体" w:eastAsia="黑体"/>
          <w:b w:val="0"/>
        </w:rPr>
        <w:t>九</w:t>
      </w:r>
      <w:r>
        <w:rPr>
          <w:rFonts w:hint="eastAsia" w:ascii="黑体" w:hAnsi="黑体" w:eastAsia="黑体"/>
          <w:b w:val="0"/>
          <w:highlight w:val="none"/>
        </w:rPr>
        <w:t>、政府采购政策功能</w:t>
      </w:r>
    </w:p>
    <w:p w14:paraId="78036DB7">
      <w:pPr>
        <w:pStyle w:val="6"/>
        <w:spacing w:before="0" w:after="0" w:line="360" w:lineRule="auto"/>
        <w:ind w:firstLine="562" w:firstLineChars="200"/>
        <w:jc w:val="left"/>
        <w:rPr>
          <w:sz w:val="28"/>
          <w:szCs w:val="28"/>
          <w:highlight w:val="none"/>
        </w:rPr>
      </w:pPr>
      <w:r>
        <w:rPr>
          <w:rFonts w:hint="eastAsia"/>
          <w:sz w:val="28"/>
          <w:szCs w:val="28"/>
          <w:highlight w:val="none"/>
        </w:rPr>
        <w:t>37、促进中小企业发展</w:t>
      </w:r>
    </w:p>
    <w:p w14:paraId="7583BEF9">
      <w:pPr>
        <w:spacing w:line="500" w:lineRule="exact"/>
        <w:ind w:firstLine="480" w:firstLineChars="200"/>
        <w:jc w:val="left"/>
        <w:rPr>
          <w:sz w:val="24"/>
          <w:szCs w:val="24"/>
          <w:highlight w:val="none"/>
        </w:rPr>
      </w:pPr>
      <w:r>
        <w:rPr>
          <w:rFonts w:hint="eastAsia"/>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434CF650">
      <w:pPr>
        <w:spacing w:line="500" w:lineRule="exact"/>
        <w:ind w:firstLine="480" w:firstLineChars="200"/>
        <w:jc w:val="left"/>
        <w:rPr>
          <w:sz w:val="24"/>
          <w:szCs w:val="24"/>
          <w:highlight w:val="none"/>
        </w:rPr>
      </w:pPr>
      <w:r>
        <w:rPr>
          <w:rFonts w:hint="eastAsia"/>
          <w:sz w:val="24"/>
          <w:szCs w:val="24"/>
          <w:highlight w:val="none"/>
        </w:rPr>
        <w:t>37.2 参加本项目政府采购活动的</w:t>
      </w:r>
      <w:r>
        <w:rPr>
          <w:rFonts w:hint="eastAsia" w:ascii="Calibri" w:hAnsi="Calibri" w:eastAsia="宋体" w:cs="Times New Roman"/>
          <w:sz w:val="24"/>
          <w:szCs w:val="24"/>
          <w:lang w:val="en-US" w:eastAsia="zh-CN"/>
        </w:rPr>
        <w:t>投标人</w:t>
      </w:r>
      <w:r>
        <w:rPr>
          <w:rFonts w:hint="eastAsia"/>
          <w:sz w:val="24"/>
          <w:szCs w:val="24"/>
          <w:highlight w:val="none"/>
        </w:rPr>
        <w:t xml:space="preserve">应当提供的材料： </w:t>
      </w:r>
    </w:p>
    <w:p w14:paraId="12C7670B">
      <w:pPr>
        <w:spacing w:line="500" w:lineRule="exact"/>
        <w:ind w:firstLine="480" w:firstLineChars="200"/>
        <w:jc w:val="left"/>
        <w:rPr>
          <w:sz w:val="24"/>
          <w:szCs w:val="24"/>
          <w:highlight w:val="none"/>
        </w:rPr>
      </w:pPr>
      <w:r>
        <w:rPr>
          <w:rFonts w:hint="eastAsia"/>
          <w:sz w:val="24"/>
          <w:szCs w:val="24"/>
          <w:highlight w:val="none"/>
        </w:rPr>
        <w:t>（1）投标人为中型企业、小型企业、微型企业的，提供《中小企业声明函》（第六章 投标文件格式）。</w:t>
      </w:r>
    </w:p>
    <w:p w14:paraId="66C185C7">
      <w:pPr>
        <w:spacing w:line="500" w:lineRule="exact"/>
        <w:ind w:firstLine="480" w:firstLineChars="20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3538C3C3">
      <w:pPr>
        <w:spacing w:line="500" w:lineRule="exact"/>
        <w:ind w:firstLine="480" w:firstLineChars="20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173E8006">
      <w:pPr>
        <w:spacing w:line="500" w:lineRule="exact"/>
        <w:ind w:firstLine="480" w:firstLineChars="200"/>
        <w:jc w:val="left"/>
        <w:rPr>
          <w:sz w:val="24"/>
          <w:szCs w:val="24"/>
          <w:highlight w:val="none"/>
        </w:rPr>
      </w:pPr>
      <w:r>
        <w:rPr>
          <w:rFonts w:hint="eastAsia"/>
          <w:sz w:val="24"/>
          <w:szCs w:val="24"/>
          <w:highlight w:val="none"/>
        </w:rPr>
        <w:t>37.3 享受扶持政策获得政府采购合同的，小微企业不得将合同分包给大中型企业，中型企业不得将合同分包给大型企业。</w:t>
      </w:r>
    </w:p>
    <w:p w14:paraId="356FDC50">
      <w:pPr>
        <w:pStyle w:val="6"/>
        <w:spacing w:before="0" w:after="0" w:line="360" w:lineRule="auto"/>
        <w:ind w:firstLine="562" w:firstLineChars="200"/>
        <w:jc w:val="left"/>
        <w:rPr>
          <w:sz w:val="28"/>
          <w:szCs w:val="28"/>
        </w:rPr>
      </w:pPr>
      <w:r>
        <w:rPr>
          <w:rFonts w:hint="eastAsia"/>
          <w:sz w:val="28"/>
          <w:szCs w:val="28"/>
        </w:rPr>
        <w:t>38、支持绿色发展</w:t>
      </w:r>
    </w:p>
    <w:p w14:paraId="6C22ED37">
      <w:pPr>
        <w:spacing w:line="500" w:lineRule="exact"/>
        <w:ind w:firstLine="480" w:firstLineChars="20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39D9179C">
      <w:pPr>
        <w:spacing w:line="500" w:lineRule="exact"/>
        <w:ind w:firstLine="480" w:firstLineChars="20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2E2EC81">
      <w:pPr>
        <w:pStyle w:val="6"/>
        <w:spacing w:before="0" w:after="0" w:line="360" w:lineRule="auto"/>
        <w:ind w:firstLine="562" w:firstLineChars="200"/>
        <w:jc w:val="left"/>
        <w:rPr>
          <w:sz w:val="28"/>
          <w:szCs w:val="28"/>
        </w:rPr>
      </w:pPr>
      <w:r>
        <w:rPr>
          <w:rFonts w:hint="eastAsia"/>
          <w:sz w:val="28"/>
          <w:szCs w:val="28"/>
        </w:rPr>
        <w:t>39、政府采购需求标准</w:t>
      </w:r>
    </w:p>
    <w:p w14:paraId="2678D9E3">
      <w:pPr>
        <w:spacing w:line="500" w:lineRule="exact"/>
        <w:ind w:firstLine="480" w:firstLineChars="20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304B7CCF">
      <w:pPr>
        <w:widowControl/>
        <w:jc w:val="left"/>
        <w:rPr>
          <w:sz w:val="24"/>
          <w:szCs w:val="24"/>
        </w:rPr>
      </w:pPr>
      <w:r>
        <w:rPr>
          <w:sz w:val="24"/>
          <w:szCs w:val="24"/>
        </w:rPr>
        <w:br w:type="page"/>
      </w:r>
    </w:p>
    <w:p w14:paraId="4F815203">
      <w:pPr>
        <w:pStyle w:val="4"/>
        <w:numPr>
          <w:ilvl w:val="0"/>
          <w:numId w:val="1"/>
        </w:numPr>
        <w:spacing w:beforeLines="50" w:afterLines="50" w:line="360" w:lineRule="auto"/>
        <w:jc w:val="center"/>
        <w:rPr>
          <w:rFonts w:hint="eastAsia" w:ascii="黑体" w:hAnsi="黑体" w:eastAsia="黑体"/>
          <w:b w:val="0"/>
        </w:rPr>
      </w:pPr>
      <w:bookmarkStart w:id="2" w:name="_Toc155796358"/>
      <w:r>
        <w:rPr>
          <w:rFonts w:hint="eastAsia" w:ascii="黑体" w:hAnsi="黑体" w:eastAsia="黑体"/>
          <w:b w:val="0"/>
        </w:rPr>
        <w:t xml:space="preserve"> 合同文本</w:t>
      </w:r>
      <w:bookmarkEnd w:id="2"/>
    </w:p>
    <w:p w14:paraId="7C1509BB">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5030AF5D">
      <w:pPr>
        <w:spacing w:line="360" w:lineRule="auto"/>
        <w:ind w:left="437" w:firstLine="823"/>
        <w:rPr>
          <w:rFonts w:hint="eastAsia" w:ascii="宋体" w:hAnsi="宋体" w:eastAsia="宋体" w:cs="宋体"/>
          <w:b/>
          <w:bCs/>
          <w:color w:val="auto"/>
          <w:sz w:val="52"/>
        </w:rPr>
      </w:pPr>
      <w:r>
        <w:rPr>
          <w:rFonts w:hint="eastAsia" w:ascii="宋体" w:hAnsi="宋体" w:eastAsia="宋体" w:cs="宋体"/>
          <w:b/>
          <w:bCs/>
          <w:color w:val="auto"/>
          <w:sz w:val="52"/>
          <w:lang w:val="en-US" w:eastAsia="zh-CN"/>
        </w:rPr>
        <w:t xml:space="preserve">东 海 县 </w:t>
      </w:r>
      <w:r>
        <w:rPr>
          <w:rFonts w:hint="eastAsia" w:ascii="宋体" w:hAnsi="宋体" w:eastAsia="宋体" w:cs="宋体"/>
          <w:b/>
          <w:bCs/>
          <w:color w:val="auto"/>
          <w:sz w:val="52"/>
        </w:rPr>
        <w:t>政 府 采 购</w:t>
      </w:r>
    </w:p>
    <w:p w14:paraId="2726D31E">
      <w:pPr>
        <w:pStyle w:val="2"/>
        <w:rPr>
          <w:rFonts w:hint="eastAsia"/>
          <w:lang w:val="en-US" w:eastAsia="zh-CN"/>
        </w:rPr>
      </w:pPr>
    </w:p>
    <w:p w14:paraId="7CC481F0">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5861C433">
      <w:pPr>
        <w:spacing w:line="360" w:lineRule="auto"/>
        <w:ind w:firstLine="820" w:firstLineChars="200"/>
        <w:rPr>
          <w:rFonts w:hint="eastAsia" w:ascii="宋体" w:hAnsi="宋体" w:eastAsia="宋体" w:cs="宋体"/>
          <w:color w:val="auto"/>
          <w:lang w:val="en-US" w:eastAsia="zh-CN"/>
        </w:rPr>
      </w:pPr>
      <w:r>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t xml:space="preserve">                          合同</w:t>
      </w:r>
    </w:p>
    <w:p w14:paraId="62B25BE2">
      <w:pPr>
        <w:spacing w:line="360" w:lineRule="auto"/>
        <w:ind w:left="437" w:hanging="17"/>
        <w:rPr>
          <w:rFonts w:hint="eastAsia" w:ascii="宋体" w:hAnsi="宋体" w:eastAsia="宋体" w:cs="宋体"/>
          <w:color w:val="auto"/>
        </w:rPr>
      </w:pPr>
    </w:p>
    <w:p w14:paraId="6F251E7A">
      <w:pPr>
        <w:spacing w:line="360" w:lineRule="auto"/>
        <w:ind w:left="437" w:hanging="17"/>
        <w:rPr>
          <w:rFonts w:hint="eastAsia" w:ascii="宋体" w:hAnsi="宋体" w:eastAsia="宋体" w:cs="宋体"/>
          <w:color w:val="auto"/>
        </w:rPr>
      </w:pPr>
    </w:p>
    <w:p w14:paraId="44941ABF">
      <w:pPr>
        <w:spacing w:line="360" w:lineRule="auto"/>
        <w:ind w:left="437" w:hanging="17"/>
        <w:rPr>
          <w:rFonts w:hint="eastAsia" w:ascii="宋体" w:hAnsi="宋体" w:eastAsia="宋体" w:cs="宋体"/>
          <w:color w:val="auto"/>
        </w:rPr>
      </w:pPr>
    </w:p>
    <w:p w14:paraId="43F93C0E">
      <w:pPr>
        <w:spacing w:before="139" w:line="360" w:lineRule="auto"/>
        <w:ind w:left="626" w:firstLine="1276"/>
        <w:jc w:val="left"/>
        <w:outlineLvl w:val="0"/>
        <w:rPr>
          <w:rFonts w:hint="eastAsia" w:ascii="宋体" w:hAnsi="宋体" w:eastAsia="宋体" w:cs="宋体"/>
          <w:color w:val="auto"/>
          <w:sz w:val="35"/>
          <w:szCs w:val="35"/>
        </w:rPr>
      </w:pPr>
      <w:bookmarkStart w:id="3" w:name="_Toc20355"/>
      <w:r>
        <w:rPr>
          <w:rFonts w:hint="eastAsia" w:ascii="宋体" w:hAnsi="宋体" w:eastAsia="宋体" w:cs="宋体"/>
          <w:color w:val="auto"/>
          <w:spacing w:val="5"/>
          <w:sz w:val="43"/>
          <w:szCs w:val="43"/>
          <w14:textOutline w14:w="7975" w14:cap="sq" w14:cmpd="sng" w14:algn="ctr">
            <w14:solidFill>
              <w14:srgbClr w14:val="000000"/>
            </w14:solidFill>
            <w14:prstDash w14:val="solid"/>
            <w14:bevel/>
          </w14:textOutline>
        </w:rPr>
        <w:t>合同编号</w:t>
      </w:r>
      <w:r>
        <w:rPr>
          <w:rFonts w:hint="eastAsia" w:ascii="宋体" w:hAnsi="宋体" w:eastAsia="宋体" w:cs="宋体"/>
          <w:color w:val="auto"/>
          <w:spacing w:val="4"/>
          <w:sz w:val="35"/>
          <w:szCs w:val="35"/>
          <w14:textOutline w14:w="6540" w14:cap="sq" w14:cmpd="sng" w14:algn="ctr">
            <w14:solidFill>
              <w14:srgbClr w14:val="000000"/>
            </w14:solidFill>
            <w14:prstDash w14:val="solid"/>
            <w14:bevel/>
          </w14:textOutline>
        </w:rPr>
        <w:t>：</w:t>
      </w:r>
      <w:bookmarkEnd w:id="3"/>
    </w:p>
    <w:p w14:paraId="2A47C392">
      <w:pPr>
        <w:spacing w:line="360" w:lineRule="auto"/>
        <w:ind w:left="437" w:hanging="17"/>
        <w:rPr>
          <w:rFonts w:hint="eastAsia" w:ascii="宋体" w:hAnsi="宋体" w:eastAsia="宋体" w:cs="宋体"/>
          <w:color w:val="auto"/>
        </w:rPr>
      </w:pPr>
    </w:p>
    <w:p w14:paraId="57A5800D">
      <w:pPr>
        <w:spacing w:line="360" w:lineRule="auto"/>
        <w:ind w:left="437" w:hanging="17"/>
        <w:rPr>
          <w:rFonts w:hint="eastAsia" w:ascii="宋体" w:hAnsi="宋体" w:eastAsia="宋体" w:cs="宋体"/>
          <w:color w:val="auto"/>
        </w:rPr>
      </w:pPr>
    </w:p>
    <w:p w14:paraId="003C0C8C">
      <w:pPr>
        <w:spacing w:line="360" w:lineRule="auto"/>
        <w:ind w:left="437" w:hanging="17"/>
        <w:rPr>
          <w:rFonts w:hint="eastAsia" w:ascii="宋体" w:hAnsi="宋体" w:eastAsia="宋体" w:cs="宋体"/>
          <w:color w:val="auto"/>
        </w:rPr>
      </w:pPr>
    </w:p>
    <w:p w14:paraId="46FFF6B2">
      <w:pPr>
        <w:spacing w:line="360" w:lineRule="auto"/>
        <w:ind w:left="437" w:hanging="17"/>
        <w:rPr>
          <w:rFonts w:hint="eastAsia" w:ascii="宋体" w:hAnsi="宋体" w:eastAsia="宋体" w:cs="宋体"/>
          <w:color w:val="auto"/>
        </w:rPr>
      </w:pPr>
    </w:p>
    <w:p w14:paraId="77CD57DE">
      <w:pPr>
        <w:spacing w:line="360" w:lineRule="auto"/>
        <w:ind w:left="437" w:hanging="17"/>
        <w:rPr>
          <w:rFonts w:hint="eastAsia" w:ascii="宋体" w:hAnsi="宋体" w:eastAsia="宋体" w:cs="宋体"/>
          <w:color w:val="auto"/>
        </w:rPr>
      </w:pPr>
    </w:p>
    <w:p w14:paraId="12F75BE9">
      <w:pPr>
        <w:spacing w:line="360" w:lineRule="auto"/>
        <w:ind w:left="437" w:hanging="17"/>
        <w:rPr>
          <w:rFonts w:hint="eastAsia" w:ascii="宋体" w:hAnsi="宋体" w:eastAsia="宋体" w:cs="宋体"/>
          <w:color w:val="auto"/>
        </w:rPr>
      </w:pPr>
    </w:p>
    <w:p w14:paraId="6CDF08E3">
      <w:pPr>
        <w:spacing w:before="140" w:line="360" w:lineRule="auto"/>
        <w:ind w:firstLine="450" w:firstLineChars="100"/>
        <w:outlineLvl w:val="1"/>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pPr>
      <w:bookmarkStart w:id="4" w:name="_Toc23471"/>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采  购 人：</w:t>
      </w:r>
      <w:bookmarkEnd w:id="4"/>
      <w:r>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t>东海县住房和城乡建设局</w:t>
      </w:r>
    </w:p>
    <w:p w14:paraId="15D12174">
      <w:pPr>
        <w:spacing w:before="140" w:line="360" w:lineRule="auto"/>
        <w:ind w:firstLine="450" w:firstLineChars="100"/>
        <w:outlineLvl w:val="1"/>
        <w:rPr>
          <w:rFonts w:hint="eastAsia" w:ascii="宋体" w:hAnsi="宋体" w:eastAsia="宋体" w:cs="宋体"/>
          <w:color w:val="auto"/>
          <w:sz w:val="35"/>
          <w:szCs w:val="35"/>
        </w:rPr>
      </w:pPr>
      <w:bookmarkStart w:id="5" w:name="_Toc7356"/>
      <w:r>
        <w:rPr>
          <w:rFonts w:hint="eastAsia" w:ascii="宋体" w:hAnsi="宋体" w:eastAsia="宋体" w:cs="宋体"/>
          <w:color w:val="auto"/>
          <w:spacing w:val="10"/>
          <w:sz w:val="43"/>
          <w:szCs w:val="43"/>
          <w:lang w:val="en-US" w:eastAsia="zh-CN"/>
          <w14:textOutline w14:w="7975" w14:cap="sq" w14:cmpd="sng" w14:algn="ctr">
            <w14:solidFill>
              <w14:srgbClr w14:val="000000"/>
            </w14:solidFill>
            <w14:prstDash w14:val="solid"/>
            <w14:bevel/>
          </w14:textOutline>
        </w:rPr>
        <w:t>中标 单位</w:t>
      </w:r>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w:t>
      </w:r>
      <w:bookmarkEnd w:id="5"/>
    </w:p>
    <w:p w14:paraId="1A9E2D67">
      <w:pPr>
        <w:ind w:firstLine="418" w:firstLineChars="100"/>
        <w:rPr>
          <w:rFonts w:hint="eastAsia" w:ascii="黑体" w:hAnsi="黑体" w:eastAsia="黑体"/>
          <w:b w:val="0"/>
        </w:rPr>
      </w:pPr>
      <w:bookmarkStart w:id="6" w:name="_Toc5462"/>
      <w:r>
        <w:rPr>
          <w:rFonts w:hint="eastAsia" w:ascii="宋体" w:hAnsi="宋体" w:eastAsia="宋体" w:cs="宋体"/>
          <w:color w:val="auto"/>
          <w:spacing w:val="-6"/>
          <w:sz w:val="43"/>
          <w:szCs w:val="43"/>
          <w14:textOutline w14:w="7975" w14:cap="sq" w14:cmpd="sng" w14:algn="ctr">
            <w14:solidFill>
              <w14:srgbClr w14:val="000000"/>
            </w14:solidFill>
            <w14:prstDash w14:val="solid"/>
            <w14:bevel/>
          </w14:textOutline>
        </w:rPr>
        <w:t>日</w:t>
      </w:r>
      <w:r>
        <w:rPr>
          <w:rFonts w:hint="eastAsia" w:ascii="宋体" w:hAnsi="宋体" w:eastAsia="宋体" w:cs="宋体"/>
          <w:color w:val="auto"/>
          <w:spacing w:val="-4"/>
          <w:sz w:val="43"/>
          <w:szCs w:val="43"/>
        </w:rPr>
        <w:t xml:space="preserve">      </w:t>
      </w:r>
      <w:r>
        <w:rPr>
          <w:rFonts w:hint="eastAsia" w:ascii="宋体" w:hAnsi="宋体" w:eastAsia="宋体" w:cs="宋体"/>
          <w:color w:val="auto"/>
          <w:spacing w:val="-4"/>
          <w:sz w:val="43"/>
          <w:szCs w:val="43"/>
          <w14:textOutline w14:w="7975" w14:cap="sq" w14:cmpd="sng" w14:algn="ctr">
            <w14:solidFill>
              <w14:srgbClr w14:val="000000"/>
            </w14:solidFill>
            <w14:prstDash w14:val="solid"/>
            <w14:bevel/>
          </w14:textOutline>
        </w:rPr>
        <w:t>期：</w:t>
      </w:r>
      <w:bookmarkEnd w:id="6"/>
    </w:p>
    <w:p w14:paraId="1F7EB4B8">
      <w:pPr>
        <w:rPr>
          <w:rFonts w:hint="eastAsia"/>
        </w:rPr>
      </w:pPr>
    </w:p>
    <w:p w14:paraId="307289E4">
      <w:pPr>
        <w:rPr>
          <w:rFonts w:hint="eastAsia" w:ascii="宋体" w:hAnsi="宋体" w:eastAsia="宋体" w:cs="宋体"/>
          <w:b/>
          <w:bCs/>
          <w:color w:val="auto"/>
          <w:spacing w:val="-6"/>
          <w:sz w:val="40"/>
          <w:szCs w:val="40"/>
        </w:rPr>
      </w:pPr>
      <w:r>
        <w:rPr>
          <w:rFonts w:hint="eastAsia" w:ascii="宋体" w:hAnsi="宋体" w:eastAsia="宋体" w:cs="宋体"/>
          <w:b/>
          <w:bCs/>
          <w:color w:val="auto"/>
          <w:spacing w:val="-6"/>
          <w:sz w:val="40"/>
          <w:szCs w:val="40"/>
        </w:rPr>
        <w:br w:type="page"/>
      </w:r>
    </w:p>
    <w:p w14:paraId="625FBDD1">
      <w:pPr>
        <w:spacing w:before="130" w:line="360" w:lineRule="auto"/>
        <w:jc w:val="center"/>
        <w:rPr>
          <w:rFonts w:hint="eastAsia" w:ascii="宋体" w:hAnsi="宋体" w:eastAsia="宋体" w:cs="宋体"/>
          <w:color w:val="auto"/>
          <w:sz w:val="40"/>
          <w:szCs w:val="40"/>
        </w:rPr>
      </w:pPr>
      <w:r>
        <w:rPr>
          <w:rFonts w:hint="eastAsia" w:ascii="宋体" w:hAnsi="宋体" w:eastAsia="宋体" w:cs="宋体"/>
          <w:b/>
          <w:bCs/>
          <w:color w:val="auto"/>
          <w:spacing w:val="-6"/>
          <w:sz w:val="40"/>
          <w:szCs w:val="40"/>
        </w:rPr>
        <w:t>政府采购合同协议书</w:t>
      </w:r>
    </w:p>
    <w:p w14:paraId="0C65FC01">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标段名称：</w:t>
      </w:r>
    </w:p>
    <w:p w14:paraId="07D9AD26">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标段编号：</w:t>
      </w:r>
    </w:p>
    <w:p w14:paraId="49F4C016">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委托方(甲方):</w:t>
      </w:r>
      <w:r>
        <w:rPr>
          <w:rFonts w:hint="eastAsia" w:ascii="宋体" w:hAnsi="宋体" w:eastAsia="宋体" w:cs="宋体"/>
          <w:color w:val="auto"/>
          <w:sz w:val="24"/>
          <w:szCs w:val="24"/>
          <w:u w:val="single"/>
          <w:lang w:val="en-US" w:eastAsia="zh-CN"/>
        </w:rPr>
        <w:t>东海县住房和城乡建设局</w:t>
      </w:r>
      <w:r>
        <w:rPr>
          <w:rFonts w:hint="eastAsia" w:ascii="宋体" w:hAnsi="宋体" w:eastAsia="宋体" w:cs="宋体"/>
          <w:color w:val="auto"/>
          <w:sz w:val="24"/>
          <w:szCs w:val="24"/>
        </w:rPr>
        <w:t>(简称“甲方”)</w:t>
      </w:r>
    </w:p>
    <w:p w14:paraId="59478B60">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受托</w:t>
      </w:r>
      <w:r>
        <w:rPr>
          <w:rFonts w:hint="eastAsia" w:ascii="宋体" w:hAnsi="宋体" w:eastAsia="宋体" w:cs="宋体"/>
          <w:color w:val="auto"/>
          <w:sz w:val="24"/>
          <w:szCs w:val="24"/>
        </w:rPr>
        <w:t>方(乙方):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(简称“乙方”)</w:t>
      </w:r>
    </w:p>
    <w:p w14:paraId="69073EA5">
      <w:pPr>
        <w:spacing w:line="360" w:lineRule="auto"/>
        <w:ind w:left="13" w:firstLine="24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见证方：江苏国兴建设项目管理有限公司</w:t>
      </w:r>
    </w:p>
    <w:p w14:paraId="5EF6E82A">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rPr>
        <w:t>为认真贯彻执行《中华人民共和国环境保护法》、《中华人民共和国固体废物污染环境防治法》,切实解决</w:t>
      </w:r>
      <w:r>
        <w:rPr>
          <w:rFonts w:hint="eastAsia" w:ascii="宋体" w:hAnsi="宋体" w:eastAsia="宋体" w:cs="宋体"/>
          <w:color w:val="auto"/>
          <w:sz w:val="24"/>
          <w:szCs w:val="24"/>
          <w:highlight w:val="none"/>
        </w:rPr>
        <w:t>东海县</w:t>
      </w:r>
      <w:r>
        <w:rPr>
          <w:rFonts w:hint="eastAsia" w:ascii="宋体" w:hAnsi="宋体" w:eastAsia="宋体" w:cs="宋体"/>
          <w:color w:val="auto"/>
          <w:sz w:val="24"/>
          <w:szCs w:val="24"/>
          <w:highlight w:val="none"/>
          <w:lang w:val="en-US" w:eastAsia="zh-CN"/>
        </w:rPr>
        <w:t>城</w:t>
      </w:r>
      <w:r>
        <w:rPr>
          <w:rFonts w:hint="eastAsia" w:ascii="宋体" w:hAnsi="宋体" w:eastAsia="宋体" w:cs="宋体"/>
          <w:color w:val="auto"/>
          <w:sz w:val="24"/>
          <w:szCs w:val="24"/>
          <w:highlight w:val="none"/>
        </w:rPr>
        <w:t>镇</w:t>
      </w:r>
      <w:r>
        <w:rPr>
          <w:rFonts w:hint="eastAsia" w:ascii="宋体" w:hAnsi="宋体" w:eastAsia="宋体" w:cs="宋体"/>
          <w:color w:val="auto"/>
          <w:sz w:val="24"/>
          <w:szCs w:val="24"/>
          <w:highlight w:val="none"/>
          <w:lang w:val="en-US" w:eastAsia="zh-CN"/>
        </w:rPr>
        <w:t>生活</w:t>
      </w:r>
      <w:r>
        <w:rPr>
          <w:rFonts w:hint="eastAsia" w:ascii="宋体" w:hAnsi="宋体" w:eastAsia="宋体" w:cs="宋体"/>
          <w:color w:val="auto"/>
          <w:sz w:val="24"/>
          <w:szCs w:val="24"/>
          <w:highlight w:val="none"/>
        </w:rPr>
        <w:t>污水处理厂污泥处置问题，防止污染环境、保障人民健康、促进社会和谐发展。根据国家生态环境部门一般固废处置相关规定以及本着符合环境保护的要求、平等互利的原则，根据采购文件及该文件的</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方签订本合同。</w:t>
      </w:r>
    </w:p>
    <w:p w14:paraId="7A4F0EF4">
      <w:pPr>
        <w:pStyle w:val="9"/>
        <w:spacing w:line="360" w:lineRule="auto"/>
        <w:ind w:right="420" w:firstLine="240"/>
        <w:outlineLvl w:val="1"/>
        <w:rPr>
          <w:rFonts w:hint="eastAsia" w:ascii="宋体" w:hAnsi="宋体" w:eastAsia="宋体" w:cs="宋体"/>
          <w:b/>
          <w:color w:val="auto"/>
          <w:highlight w:val="none"/>
        </w:rPr>
      </w:pPr>
      <w:bookmarkStart w:id="7" w:name="_Toc29434"/>
      <w:r>
        <w:rPr>
          <w:rFonts w:hint="eastAsia" w:ascii="宋体" w:hAnsi="宋体" w:eastAsia="宋体" w:cs="宋体"/>
          <w:color w:val="auto"/>
          <w:sz w:val="24"/>
          <w:szCs w:val="24"/>
          <w:highlight w:val="none"/>
        </w:rPr>
        <w:t>一、项目标的</w:t>
      </w:r>
      <w:bookmarkEnd w:id="7"/>
    </w:p>
    <w:p w14:paraId="43781AAA">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服务内容：东海县城镇生活污水处理厂污泥处置项目。</w:t>
      </w:r>
    </w:p>
    <w:p w14:paraId="2D6D7657">
      <w:pPr>
        <w:spacing w:line="360" w:lineRule="auto"/>
        <w:ind w:left="0"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2、服务期限：暂定</w:t>
      </w:r>
      <w:r>
        <w:rPr>
          <w:rFonts w:hint="eastAsia" w:ascii="宋体" w:hAnsi="宋体" w:eastAsia="宋体" w:cs="宋体"/>
          <w:b/>
          <w:bCs/>
          <w:color w:val="auto"/>
          <w:sz w:val="24"/>
          <w:szCs w:val="24"/>
          <w:highlight w:val="none"/>
        </w:rPr>
        <w:t>一年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中标金额（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万元）支付完合同自行终止。</w:t>
      </w:r>
    </w:p>
    <w:p w14:paraId="66A60136">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具体内容：</w:t>
      </w:r>
    </w:p>
    <w:p w14:paraId="49122540">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东海县城镇生活污水处理厂污泥处置(雨水管网70公里，方沟10公里，以上里程范围内包含雨水井、雨水蓖及支管)。</w:t>
      </w:r>
    </w:p>
    <w:p w14:paraId="0BEB860B">
      <w:pPr>
        <w:spacing w:line="360" w:lineRule="auto"/>
        <w:ind w:left="13" w:firstLine="249"/>
        <w:outlineLvl w:val="1"/>
        <w:rPr>
          <w:rFonts w:hint="eastAsia" w:ascii="宋体" w:hAnsi="宋体" w:eastAsia="宋体" w:cs="宋体"/>
          <w:color w:val="auto"/>
          <w:sz w:val="24"/>
          <w:szCs w:val="24"/>
          <w:highlight w:val="none"/>
        </w:rPr>
      </w:pPr>
      <w:bookmarkStart w:id="8" w:name="_Toc21412"/>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方职责</w:t>
      </w:r>
      <w:bookmarkEnd w:id="8"/>
    </w:p>
    <w:p w14:paraId="230E9CC5">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1、甲方为污泥处置的监管单位。负责监督乙</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规范、安全运输及处置污泥，审核污泥运输处置量，审核</w:t>
      </w:r>
      <w:r>
        <w:rPr>
          <w:rFonts w:hint="eastAsia" w:ascii="宋体" w:hAnsi="宋体" w:eastAsia="宋体" w:cs="宋体"/>
          <w:color w:val="auto"/>
          <w:sz w:val="24"/>
          <w:szCs w:val="24"/>
          <w:highlight w:val="none"/>
          <w:lang w:eastAsia="zh-CN"/>
        </w:rPr>
        <w:t>乙方支付资料</w:t>
      </w:r>
      <w:r>
        <w:rPr>
          <w:rFonts w:hint="eastAsia" w:ascii="宋体" w:hAnsi="宋体" w:eastAsia="宋体" w:cs="宋体"/>
          <w:color w:val="auto"/>
          <w:sz w:val="24"/>
          <w:szCs w:val="24"/>
          <w:highlight w:val="none"/>
        </w:rPr>
        <w:t>并向财政部门申请拨付污泥运输处置费用。</w:t>
      </w:r>
    </w:p>
    <w:p w14:paraId="30319732">
      <w:pPr>
        <w:spacing w:line="360" w:lineRule="auto"/>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方为污泥处置企业。负责污泥转运及规范化处置。确保符合环保及相关部门要求，如违规处置，独立承担法律后果。</w:t>
      </w:r>
    </w:p>
    <w:p w14:paraId="394AF6F6">
      <w:pPr>
        <w:spacing w:line="360" w:lineRule="auto"/>
        <w:ind w:left="13" w:firstLine="249"/>
        <w:outlineLvl w:val="1"/>
        <w:rPr>
          <w:rFonts w:hint="eastAsia" w:ascii="宋体" w:hAnsi="宋体" w:eastAsia="宋体" w:cs="宋体"/>
          <w:color w:val="auto"/>
          <w:sz w:val="24"/>
          <w:szCs w:val="24"/>
          <w:highlight w:val="none"/>
        </w:rPr>
      </w:pPr>
      <w:bookmarkStart w:id="9" w:name="_Toc5394"/>
      <w:r>
        <w:rPr>
          <w:rFonts w:hint="eastAsia" w:ascii="宋体" w:hAnsi="宋体" w:eastAsia="宋体" w:cs="宋体"/>
          <w:color w:val="auto"/>
          <w:sz w:val="24"/>
          <w:szCs w:val="24"/>
          <w:highlight w:val="none"/>
        </w:rPr>
        <w:t>三、污泥来源和质量</w:t>
      </w:r>
      <w:bookmarkEnd w:id="9"/>
    </w:p>
    <w:p w14:paraId="60081E5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污泥应为</w:t>
      </w:r>
      <w:r>
        <w:rPr>
          <w:rFonts w:hint="eastAsia" w:ascii="宋体" w:hAnsi="宋体" w:eastAsia="宋体" w:cs="宋体"/>
          <w:color w:val="auto"/>
          <w:sz w:val="24"/>
          <w:szCs w:val="24"/>
          <w:highlight w:val="none"/>
          <w:lang w:val="en-US" w:eastAsia="zh-CN"/>
        </w:rPr>
        <w:t>东海县城镇生活</w:t>
      </w:r>
      <w:r>
        <w:rPr>
          <w:rFonts w:hint="eastAsia" w:ascii="宋体" w:hAnsi="宋体" w:eastAsia="宋体" w:cs="宋体"/>
          <w:color w:val="auto"/>
          <w:sz w:val="24"/>
          <w:szCs w:val="24"/>
          <w:highlight w:val="none"/>
        </w:rPr>
        <w:t>污水处理厂脱水后污泥。脱水污泥年加权平均含水率一般不得大于85%,其中固体颗粒直径不得大于10mm,并不得含有影响污泥输送的垃圾杂质。</w:t>
      </w:r>
    </w:p>
    <w:p w14:paraId="19142E35">
      <w:pPr>
        <w:spacing w:line="360" w:lineRule="auto"/>
        <w:ind w:left="13" w:firstLine="249"/>
        <w:outlineLvl w:val="1"/>
        <w:rPr>
          <w:rFonts w:hint="eastAsia" w:ascii="宋体" w:hAnsi="宋体" w:eastAsia="宋体" w:cs="宋体"/>
          <w:color w:val="auto"/>
          <w:sz w:val="24"/>
          <w:szCs w:val="24"/>
          <w:highlight w:val="none"/>
        </w:rPr>
      </w:pPr>
      <w:bookmarkStart w:id="10" w:name="_Toc30193"/>
      <w:r>
        <w:rPr>
          <w:rFonts w:hint="eastAsia" w:ascii="宋体" w:hAnsi="宋体" w:eastAsia="宋体" w:cs="宋体"/>
          <w:color w:val="auto"/>
          <w:sz w:val="24"/>
          <w:szCs w:val="24"/>
          <w:highlight w:val="none"/>
        </w:rPr>
        <w:t>四、污泥的计量与结算方式</w:t>
      </w:r>
      <w:bookmarkEnd w:id="10"/>
    </w:p>
    <w:p w14:paraId="07360990">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1、运输车辆装车完毕后，对一般固废进行计量，填写转运处置联单，联单填写污泥的重量、车号等，</w:t>
      </w:r>
      <w:r>
        <w:rPr>
          <w:rFonts w:hint="eastAsia" w:ascii="宋体" w:hAnsi="宋体" w:eastAsia="宋体" w:cs="宋体"/>
          <w:color w:val="auto"/>
          <w:sz w:val="24"/>
          <w:szCs w:val="24"/>
          <w:highlight w:val="none"/>
          <w:lang w:val="en-US" w:eastAsia="zh-CN"/>
        </w:rPr>
        <w:t>乙方与污泥产生单位</w:t>
      </w:r>
      <w:r>
        <w:rPr>
          <w:rFonts w:hint="eastAsia" w:ascii="宋体" w:hAnsi="宋体" w:eastAsia="宋体" w:cs="宋体"/>
          <w:color w:val="auto"/>
          <w:sz w:val="24"/>
          <w:szCs w:val="24"/>
          <w:highlight w:val="none"/>
        </w:rPr>
        <w:t>相关人员签字、单位盖章。</w:t>
      </w:r>
    </w:p>
    <w:p w14:paraId="4450EBB1">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2、计量工具：污泥计量工具为电子地磅，以吨为计量单位，结算根据双方实际台账予以确认。</w:t>
      </w:r>
    </w:p>
    <w:p w14:paraId="15552BF0">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3、转运联单：</w:t>
      </w:r>
      <w:r>
        <w:rPr>
          <w:rFonts w:hint="eastAsia" w:ascii="宋体" w:hAnsi="宋体" w:eastAsia="宋体" w:cs="宋体"/>
          <w:color w:val="auto"/>
          <w:sz w:val="24"/>
          <w:szCs w:val="24"/>
          <w:highlight w:val="none"/>
          <w:lang w:val="en-US" w:eastAsia="zh-CN"/>
        </w:rPr>
        <w:t>乙方与产泥单位</w:t>
      </w:r>
      <w:r>
        <w:rPr>
          <w:rFonts w:hint="eastAsia" w:ascii="宋体" w:hAnsi="宋体" w:eastAsia="宋体" w:cs="宋体"/>
          <w:color w:val="auto"/>
          <w:sz w:val="24"/>
          <w:szCs w:val="24"/>
          <w:highlight w:val="none"/>
        </w:rPr>
        <w:t>双方相关人员对每批次一般固废的运输量进行核对并在转移联单上签字确认。</w:t>
      </w:r>
    </w:p>
    <w:p w14:paraId="240400C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4、单价：污泥处置单价为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元/吨(含税、含运输费用</w:t>
      </w:r>
      <w:r>
        <w:rPr>
          <w:rFonts w:hint="eastAsia" w:ascii="宋体" w:hAnsi="宋体" w:eastAsia="宋体" w:cs="宋体"/>
          <w:color w:val="auto"/>
          <w:sz w:val="24"/>
          <w:szCs w:val="24"/>
          <w:highlight w:val="none"/>
          <w:lang w:eastAsia="zh-CN"/>
        </w:rPr>
        <w:t>，其中运输费用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元/吨)。</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方按此价格收取一般固废运输处置费用。</w:t>
      </w:r>
    </w:p>
    <w:p w14:paraId="3C1FD68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5、审核：</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方按月汇总污泥处置明细及总量，月度转运记录经</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方签字后按季度报甲方审核确认。</w:t>
      </w:r>
    </w:p>
    <w:p w14:paraId="2493BA1A">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6、结算：</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方收到</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方按季度汇总量开具的发票后5个工作日内，由甲方向财政部门申请支付</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方该季度一般固废的处置费用。</w:t>
      </w:r>
    </w:p>
    <w:p w14:paraId="308EDE09">
      <w:pPr>
        <w:spacing w:line="360" w:lineRule="auto"/>
        <w:ind w:left="13" w:firstLine="249"/>
        <w:outlineLvl w:val="1"/>
        <w:rPr>
          <w:rFonts w:hint="eastAsia" w:ascii="宋体" w:hAnsi="宋体" w:eastAsia="宋体" w:cs="宋体"/>
          <w:color w:val="auto"/>
          <w:sz w:val="24"/>
          <w:szCs w:val="24"/>
          <w:highlight w:val="none"/>
        </w:rPr>
      </w:pPr>
      <w:bookmarkStart w:id="11" w:name="_Toc13707"/>
      <w:r>
        <w:rPr>
          <w:rFonts w:hint="eastAsia" w:ascii="宋体" w:hAnsi="宋体" w:eastAsia="宋体" w:cs="宋体"/>
          <w:color w:val="auto"/>
          <w:sz w:val="24"/>
          <w:szCs w:val="24"/>
          <w:highlight w:val="none"/>
        </w:rPr>
        <w:t>五、污泥调蓄能力</w:t>
      </w:r>
      <w:bookmarkEnd w:id="11"/>
    </w:p>
    <w:p w14:paraId="6DA03808">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方须具备针对本项目的不低于500立方米的污泥调蓄能力(指除正常处置污泥量外，能够足量调蓄存储本项目的污泥量)。</w:t>
      </w:r>
    </w:p>
    <w:p w14:paraId="2F36924C">
      <w:pPr>
        <w:spacing w:line="360" w:lineRule="auto"/>
        <w:ind w:left="13" w:firstLine="249"/>
        <w:outlineLvl w:val="1"/>
        <w:rPr>
          <w:rFonts w:hint="eastAsia" w:ascii="宋体" w:hAnsi="宋体" w:eastAsia="宋体" w:cs="宋体"/>
          <w:color w:val="auto"/>
          <w:sz w:val="24"/>
          <w:szCs w:val="24"/>
          <w:highlight w:val="none"/>
        </w:rPr>
      </w:pPr>
      <w:bookmarkStart w:id="12" w:name="_Toc6924"/>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的责任与义务</w:t>
      </w:r>
      <w:bookmarkEnd w:id="12"/>
    </w:p>
    <w:p w14:paraId="60D7F23D">
      <w:pPr>
        <w:spacing w:line="360" w:lineRule="auto"/>
        <w:ind w:left="13" w:firstLine="249"/>
        <w:outlineLvl w:val="2"/>
        <w:rPr>
          <w:rFonts w:hint="eastAsia" w:ascii="宋体" w:hAnsi="宋体" w:eastAsia="宋体" w:cs="宋体"/>
          <w:color w:val="auto"/>
          <w:sz w:val="24"/>
          <w:szCs w:val="24"/>
          <w:highlight w:val="none"/>
        </w:rPr>
      </w:pPr>
      <w:bookmarkStart w:id="13" w:name="_Toc23759"/>
      <w:r>
        <w:rPr>
          <w:rFonts w:hint="eastAsia" w:ascii="宋体" w:hAnsi="宋体" w:eastAsia="宋体" w:cs="宋体"/>
          <w:color w:val="auto"/>
          <w:sz w:val="24"/>
          <w:szCs w:val="24"/>
          <w:highlight w:val="none"/>
        </w:rPr>
        <w:t>(一)甲方的责任与义务</w:t>
      </w:r>
      <w:bookmarkEnd w:id="13"/>
    </w:p>
    <w:p w14:paraId="42152094">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1、甲方依据本协议结合行业管理规范及要求做好污泥运输处置的管理工作。</w:t>
      </w:r>
    </w:p>
    <w:p w14:paraId="2FDB167C">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2、甲方应监督审核乙方的污泥运输及处置量，有权查看乙方污泥运输、处置台账。</w:t>
      </w:r>
    </w:p>
    <w:p w14:paraId="4417B5C4">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3、甲方应据实及时向财政部门申请拨付污泥处置费用。</w:t>
      </w:r>
    </w:p>
    <w:p w14:paraId="39695B35">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方委托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方处置的一般固废须满足本合同第二条关于标的物质量要求。保证提供符合本合同要求的质量标的，即不含有不明工业污染物和危废在其中等，若违反</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方有权终止合同，且由此引起的一切责任由</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方承担。</w:t>
      </w:r>
    </w:p>
    <w:p w14:paraId="5CB79F28">
      <w:pPr>
        <w:spacing w:line="360" w:lineRule="auto"/>
        <w:ind w:left="13" w:firstLine="249"/>
        <w:outlineLvl w:val="2"/>
        <w:rPr>
          <w:rFonts w:hint="eastAsia" w:ascii="宋体" w:hAnsi="宋体" w:eastAsia="宋体" w:cs="宋体"/>
          <w:color w:val="auto"/>
          <w:sz w:val="24"/>
          <w:szCs w:val="24"/>
        </w:rPr>
      </w:pPr>
      <w:bookmarkStart w:id="14" w:name="_Toc17917"/>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方的责任与义务</w:t>
      </w:r>
      <w:bookmarkEnd w:id="14"/>
    </w:p>
    <w:p w14:paraId="3EFC1CBB">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方保证对</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方提供的一般固废进行无害化、资源化处置利用，处置场所符合行业及环保部门管理要求，如</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方因处置不当引起的一切后果，由</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方自行承担，与甲方无关。</w:t>
      </w:r>
    </w:p>
    <w:p w14:paraId="7717C203">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方要本着优先接收处置</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方污泥的原则，及时接收</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方的一般固废，做好过磅签收工作，并做好接收、处置一般固废的有效台账，按行业管理部门及环保部门相关要求建立完整的污泥处置台账(包括但不限于接收、处置记录、月度、年度统计报表等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污泥制成品最终去向</w:t>
      </w:r>
      <w:r>
        <w:rPr>
          <w:rFonts w:hint="eastAsia" w:ascii="宋体" w:hAnsi="宋体" w:eastAsia="宋体" w:cs="宋体"/>
          <w:color w:val="auto"/>
          <w:sz w:val="24"/>
          <w:szCs w:val="24"/>
        </w:rPr>
        <w:t>),并接受现场监督检查。</w:t>
      </w:r>
    </w:p>
    <w:p w14:paraId="327BC045">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、因处置费用为财政部门直接支付，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方应充分考虑政府财政状况并接受，</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方不得以污泥处置费用拨付情况降低服务质量和解除合同。</w:t>
      </w:r>
    </w:p>
    <w:p w14:paraId="7E59774C">
      <w:pPr>
        <w:pStyle w:val="2"/>
        <w:spacing w:line="360" w:lineRule="auto"/>
        <w:ind w:firstLine="240"/>
        <w:rPr>
          <w:rFonts w:hint="eastAsia" w:eastAsia="宋体"/>
          <w:color w:val="auto"/>
          <w:lang w:val="en-US" w:eastAsia="zh-CN"/>
        </w:rPr>
      </w:pPr>
      <w:r>
        <w:rPr>
          <w:rFonts w:hint="eastAsia" w:ascii="宋体" w:hAnsi="宋体" w:eastAsia="宋体" w:cs="宋体"/>
          <w:color w:val="auto"/>
          <w:sz w:val="24"/>
          <w:szCs w:val="24"/>
          <w:lang w:val="en-US" w:eastAsia="zh-CN"/>
        </w:rPr>
        <w:t>4、乙方应配合产泥填写并建立一般固废的有效台账。</w:t>
      </w:r>
    </w:p>
    <w:p w14:paraId="3B135577">
      <w:pPr>
        <w:spacing w:line="360" w:lineRule="auto"/>
        <w:ind w:left="13" w:firstLine="249"/>
        <w:outlineLvl w:val="1"/>
        <w:rPr>
          <w:rFonts w:hint="eastAsia" w:ascii="宋体" w:hAnsi="宋体" w:eastAsia="宋体" w:cs="宋体"/>
          <w:color w:val="auto"/>
          <w:sz w:val="24"/>
          <w:szCs w:val="24"/>
          <w:highlight w:val="none"/>
        </w:rPr>
      </w:pPr>
      <w:bookmarkStart w:id="15" w:name="_Toc29153"/>
      <w:r>
        <w:rPr>
          <w:rFonts w:hint="eastAsia" w:ascii="宋体" w:hAnsi="宋体" w:eastAsia="宋体" w:cs="宋体"/>
          <w:color w:val="auto"/>
          <w:sz w:val="24"/>
          <w:szCs w:val="24"/>
          <w:highlight w:val="none"/>
        </w:rPr>
        <w:t>七、保密信息</w:t>
      </w:r>
      <w:bookmarkEnd w:id="15"/>
    </w:p>
    <w:p w14:paraId="1526F147">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就本协议而言，保密信息是指本协议所涉及的价格、一般固废量、承诺及其它信息及由协议一方在执行本协议期间所获得的协议另一方关于经营、工艺、计划、产品信息、技术信息、设计权、商业秘密、软件、市场机会、客户及其它商业、技术或财务信息资料或资料等。</w:t>
      </w:r>
    </w:p>
    <w:p w14:paraId="596A7DF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2、协议一方在未得到另一方书面同意时，不得因任何商业目的披露本合同的任何内容。</w:t>
      </w:r>
    </w:p>
    <w:p w14:paraId="53FEBB1E">
      <w:pPr>
        <w:spacing w:line="360" w:lineRule="auto"/>
        <w:ind w:left="13" w:firstLine="249"/>
        <w:outlineLvl w:val="2"/>
        <w:rPr>
          <w:rFonts w:hint="eastAsia" w:ascii="宋体" w:hAnsi="宋体" w:eastAsia="宋体" w:cs="宋体"/>
          <w:color w:val="auto"/>
          <w:sz w:val="24"/>
          <w:szCs w:val="24"/>
          <w:highlight w:val="none"/>
        </w:rPr>
      </w:pPr>
      <w:bookmarkStart w:id="16" w:name="_Toc3856"/>
      <w:r>
        <w:rPr>
          <w:rFonts w:hint="eastAsia" w:ascii="宋体" w:hAnsi="宋体" w:eastAsia="宋体" w:cs="宋体"/>
          <w:color w:val="auto"/>
          <w:sz w:val="24"/>
          <w:szCs w:val="24"/>
          <w:highlight w:val="none"/>
        </w:rPr>
        <w:t>3、本保密协议在本协议期限内及本协议终止或解除后五年内有效。</w:t>
      </w:r>
      <w:bookmarkEnd w:id="16"/>
    </w:p>
    <w:p w14:paraId="5B3C8955">
      <w:pPr>
        <w:spacing w:line="360" w:lineRule="auto"/>
        <w:ind w:left="13" w:firstLine="249"/>
        <w:outlineLvl w:val="1"/>
        <w:rPr>
          <w:rFonts w:hint="eastAsia" w:ascii="宋体" w:hAnsi="宋体" w:eastAsia="宋体" w:cs="宋体"/>
          <w:color w:val="auto"/>
          <w:sz w:val="24"/>
          <w:szCs w:val="24"/>
          <w:highlight w:val="none"/>
        </w:rPr>
      </w:pPr>
      <w:bookmarkStart w:id="17" w:name="_Toc14947"/>
      <w:r>
        <w:rPr>
          <w:rFonts w:hint="eastAsia" w:ascii="宋体" w:hAnsi="宋体" w:eastAsia="宋体" w:cs="宋体"/>
          <w:color w:val="auto"/>
          <w:sz w:val="24"/>
          <w:szCs w:val="24"/>
          <w:highlight w:val="none"/>
        </w:rPr>
        <w:t>八、其他约定</w:t>
      </w:r>
      <w:bookmarkEnd w:id="17"/>
    </w:p>
    <w:p w14:paraId="5787C35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方因生产、检修等缘由不能按量按质提供给</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方应提前3天书面通知</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方做好生产计划。</w:t>
      </w:r>
    </w:p>
    <w:p w14:paraId="2FED5941">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方因生产、检修等缘由不能及时处置</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方的一般固废，</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方应提前3天通知</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方做好一般固废的储备计划。</w:t>
      </w:r>
    </w:p>
    <w:p w14:paraId="73990F85">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3、在本合同履行过程中，如因国家或地方的法律、法规、政策等发生变化，相关行业主管部门对</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方污泥处置工艺不予认可，本合同自行终止，</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不承担违约责任。</w:t>
      </w:r>
    </w:p>
    <w:p w14:paraId="2A0542B7">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4、合同履行过程中，</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方必须</w:t>
      </w:r>
      <w:r>
        <w:rPr>
          <w:rFonts w:hint="eastAsia" w:ascii="宋体" w:hAnsi="宋体" w:eastAsia="宋体" w:cs="宋体"/>
          <w:b/>
          <w:bCs/>
          <w:color w:val="auto"/>
          <w:sz w:val="24"/>
          <w:szCs w:val="24"/>
          <w:highlight w:val="none"/>
          <w:lang w:eastAsia="zh-CN"/>
        </w:rPr>
        <w:t>严格</w:t>
      </w:r>
      <w:r>
        <w:rPr>
          <w:rFonts w:hint="eastAsia" w:ascii="宋体" w:hAnsi="宋体" w:eastAsia="宋体" w:cs="宋体"/>
          <w:b/>
          <w:bCs/>
          <w:color w:val="auto"/>
          <w:sz w:val="24"/>
          <w:szCs w:val="24"/>
          <w:highlight w:val="none"/>
        </w:rPr>
        <w:t>履行合同内容，如</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方确定不能履行合同内容，甲方有权启用</w:t>
      </w:r>
      <w:r>
        <w:rPr>
          <w:rFonts w:hint="eastAsia" w:ascii="宋体" w:hAnsi="宋体" w:eastAsia="宋体" w:cs="宋体"/>
          <w:b/>
          <w:bCs/>
          <w:color w:val="auto"/>
          <w:sz w:val="24"/>
          <w:szCs w:val="24"/>
          <w:highlight w:val="none"/>
          <w:lang w:eastAsia="zh-CN"/>
        </w:rPr>
        <w:t>另一标段</w:t>
      </w:r>
      <w:r>
        <w:rPr>
          <w:rFonts w:hint="eastAsia" w:ascii="宋体" w:hAnsi="宋体" w:eastAsia="宋体" w:cs="宋体"/>
          <w:b/>
          <w:bCs/>
          <w:color w:val="auto"/>
          <w:sz w:val="24"/>
          <w:szCs w:val="24"/>
          <w:highlight w:val="none"/>
        </w:rPr>
        <w:t>的成交单位，完成</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方未完成的合同义务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同时，乙方也需无条件接收甲方指定的另一标段污泥紧急处置事宜</w:t>
      </w:r>
      <w:r>
        <w:rPr>
          <w:rFonts w:hint="eastAsia" w:ascii="宋体" w:hAnsi="宋体" w:eastAsia="宋体" w:cs="宋体"/>
          <w:b/>
          <w:bCs/>
          <w:color w:val="auto"/>
          <w:sz w:val="24"/>
          <w:szCs w:val="24"/>
          <w:highlight w:val="none"/>
        </w:rPr>
        <w:t>。</w:t>
      </w:r>
    </w:p>
    <w:p w14:paraId="0E45BEEC">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若因</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方原因不能正常接收污泥，影响</w:t>
      </w:r>
      <w:r>
        <w:rPr>
          <w:rFonts w:hint="eastAsia" w:ascii="宋体" w:hAnsi="宋体" w:eastAsia="宋体" w:cs="宋体"/>
          <w:b/>
          <w:bCs/>
          <w:color w:val="auto"/>
          <w:sz w:val="24"/>
          <w:szCs w:val="24"/>
          <w:highlight w:val="none"/>
          <w:lang w:val="en-US" w:eastAsia="zh-CN"/>
        </w:rPr>
        <w:t>产泥单位</w:t>
      </w:r>
      <w:r>
        <w:rPr>
          <w:rFonts w:hint="eastAsia" w:ascii="宋体" w:hAnsi="宋体" w:eastAsia="宋体" w:cs="宋体"/>
          <w:b/>
          <w:bCs/>
          <w:color w:val="auto"/>
          <w:sz w:val="24"/>
          <w:szCs w:val="24"/>
          <w:highlight w:val="none"/>
        </w:rPr>
        <w:t>正常</w:t>
      </w:r>
      <w:r>
        <w:rPr>
          <w:rFonts w:hint="eastAsia" w:ascii="宋体" w:hAnsi="宋体" w:eastAsia="宋体" w:cs="宋体"/>
          <w:b/>
          <w:bCs/>
          <w:color w:val="auto"/>
          <w:sz w:val="24"/>
          <w:szCs w:val="24"/>
          <w:highlight w:val="none"/>
          <w:lang w:val="en-US" w:eastAsia="zh-CN"/>
        </w:rPr>
        <w:t>生产运行</w:t>
      </w:r>
      <w:r>
        <w:rPr>
          <w:rFonts w:hint="eastAsia" w:ascii="宋体" w:hAnsi="宋体" w:eastAsia="宋体" w:cs="宋体"/>
          <w:b/>
          <w:bCs/>
          <w:color w:val="auto"/>
          <w:sz w:val="24"/>
          <w:szCs w:val="24"/>
          <w:highlight w:val="none"/>
        </w:rPr>
        <w:t>，甲方有权解除合同，</w:t>
      </w:r>
      <w:r>
        <w:rPr>
          <w:rFonts w:hint="eastAsia" w:ascii="宋体" w:hAnsi="宋体" w:eastAsia="宋体" w:cs="宋体"/>
          <w:b/>
          <w:bCs/>
          <w:color w:val="auto"/>
          <w:sz w:val="24"/>
          <w:szCs w:val="24"/>
          <w:highlight w:val="none"/>
          <w:lang w:eastAsia="zh-CN"/>
        </w:rPr>
        <w:t>甲</w:t>
      </w:r>
      <w:r>
        <w:rPr>
          <w:rFonts w:hint="eastAsia" w:ascii="宋体" w:hAnsi="宋体" w:eastAsia="宋体" w:cs="宋体"/>
          <w:b/>
          <w:bCs/>
          <w:color w:val="auto"/>
          <w:sz w:val="24"/>
          <w:szCs w:val="24"/>
          <w:highlight w:val="none"/>
        </w:rPr>
        <w:t>方因污泥紧急处置和运输产生的一切费用由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方承担，相关费用在未支付污泥处置费中扣除或由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方另行支付。</w:t>
      </w:r>
    </w:p>
    <w:p w14:paraId="4BB09DCC">
      <w:pPr>
        <w:pStyle w:val="2"/>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6、关于运输费用的约定</w:t>
      </w:r>
      <w:r>
        <w:rPr>
          <w:rFonts w:hint="eastAsia" w:ascii="宋体" w:hAnsi="宋体" w:eastAsia="宋体" w:cs="宋体"/>
          <w:color w:val="auto"/>
          <w:sz w:val="24"/>
          <w:szCs w:val="24"/>
          <w:highlight w:val="none"/>
        </w:rPr>
        <w:t>：</w:t>
      </w:r>
    </w:p>
    <w:p w14:paraId="3316D8BF">
      <w:pPr>
        <w:pStyle w:val="2"/>
        <w:spacing w:line="360" w:lineRule="auto"/>
        <w:ind w:left="0" w:firstLine="21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在东海县县域范围内，东海县城镇生活污水处理厂污泥处置(</w:t>
      </w:r>
      <w:r>
        <w:rPr>
          <w:rFonts w:hint="eastAsia" w:ascii="宋体" w:hAnsi="宋体" w:eastAsia="宋体" w:cs="宋体"/>
          <w:b/>
          <w:bCs/>
          <w:color w:val="auto"/>
          <w:sz w:val="24"/>
          <w:szCs w:val="24"/>
          <w:highlight w:val="none"/>
          <w:lang w:eastAsia="zh-CN"/>
        </w:rPr>
        <w:t>西湖、大众污水处理厂</w:t>
      </w:r>
      <w:r>
        <w:rPr>
          <w:rFonts w:hint="eastAsia" w:ascii="宋体" w:hAnsi="宋体" w:eastAsia="宋体" w:cs="宋体"/>
          <w:b/>
          <w:bCs/>
          <w:color w:val="auto"/>
          <w:sz w:val="24"/>
          <w:szCs w:val="24"/>
          <w:highlight w:val="none"/>
        </w:rPr>
        <w:t>)产生污泥由产泥单位自行转运至处置单位，</w:t>
      </w:r>
      <w:r>
        <w:rPr>
          <w:rFonts w:hint="eastAsia" w:ascii="宋体" w:hAnsi="宋体" w:eastAsia="宋体" w:cs="宋体"/>
          <w:b/>
          <w:bCs/>
          <w:color w:val="auto"/>
          <w:sz w:val="24"/>
          <w:szCs w:val="24"/>
          <w:highlight w:val="none"/>
          <w:lang w:eastAsia="zh-CN"/>
        </w:rPr>
        <w:t>结算时扣除运输费用。</w:t>
      </w:r>
    </w:p>
    <w:p w14:paraId="57E3D962">
      <w:pPr>
        <w:pStyle w:val="2"/>
        <w:spacing w:line="360" w:lineRule="auto"/>
        <w:ind w:left="0" w:firstLine="21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在东海县县域范围外，</w:t>
      </w:r>
      <w:r>
        <w:rPr>
          <w:rFonts w:hint="eastAsia" w:ascii="宋体" w:hAnsi="宋体" w:eastAsia="宋体" w:cs="宋体"/>
          <w:b/>
          <w:bCs/>
          <w:color w:val="auto"/>
          <w:sz w:val="24"/>
          <w:szCs w:val="24"/>
          <w:highlight w:val="none"/>
          <w:lang w:eastAsia="zh-CN"/>
        </w:rPr>
        <w:t>污泥运输由乙方负责，结算时含运输费用</w:t>
      </w:r>
      <w:r>
        <w:rPr>
          <w:rFonts w:hint="eastAsia" w:ascii="宋体" w:hAnsi="宋体" w:eastAsia="宋体" w:cs="宋体"/>
          <w:b/>
          <w:bCs/>
          <w:color w:val="auto"/>
          <w:sz w:val="24"/>
          <w:szCs w:val="24"/>
          <w:highlight w:val="none"/>
        </w:rPr>
        <w:t>。</w:t>
      </w:r>
    </w:p>
    <w:p w14:paraId="09D4AB7F">
      <w:pPr>
        <w:spacing w:line="360" w:lineRule="auto"/>
        <w:ind w:left="13" w:firstLine="523" w:firstLineChars="21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highlight w:val="none"/>
        </w:rPr>
        <w:t>、本合同一式六份，</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各执</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份。本合同</w:t>
      </w:r>
      <w:r>
        <w:rPr>
          <w:rFonts w:hint="eastAsia" w:ascii="宋体" w:hAnsi="宋体" w:eastAsia="宋体" w:cs="宋体"/>
          <w:color w:val="auto"/>
          <w:sz w:val="24"/>
          <w:szCs w:val="24"/>
          <w:highlight w:val="none"/>
          <w:lang w:eastAsia="zh-CN"/>
        </w:rPr>
        <w:t>自双方</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盖章后生效</w:t>
      </w:r>
      <w:r>
        <w:rPr>
          <w:rFonts w:hint="eastAsia" w:ascii="宋体" w:hAnsi="宋体" w:eastAsia="宋体" w:cs="宋体"/>
          <w:color w:val="auto"/>
          <w:sz w:val="24"/>
          <w:szCs w:val="24"/>
          <w:highlight w:val="none"/>
          <w:lang w:eastAsia="zh-CN"/>
        </w:rPr>
        <w:t>。</w:t>
      </w:r>
    </w:p>
    <w:p w14:paraId="79AFEA51">
      <w:pPr>
        <w:pStyle w:val="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、本合同在履行过程中，若发生争议，应协商解决，协商不成任何一方可提起诉讼解决。</w:t>
      </w:r>
    </w:p>
    <w:p w14:paraId="47E3A34E">
      <w:pPr>
        <w:spacing w:line="500" w:lineRule="exact"/>
        <w:ind w:firstLine="480" w:firstLineChars="200"/>
        <w:jc w:val="left"/>
        <w:rPr>
          <w:rFonts w:hint="eastAsia"/>
          <w:sz w:val="24"/>
          <w:szCs w:val="24"/>
        </w:rPr>
      </w:pPr>
    </w:p>
    <w:p w14:paraId="00074291">
      <w:pPr>
        <w:spacing w:line="500" w:lineRule="exact"/>
        <w:ind w:firstLine="480" w:firstLineChars="200"/>
        <w:jc w:val="left"/>
        <w:rPr>
          <w:sz w:val="24"/>
          <w:szCs w:val="24"/>
        </w:rPr>
      </w:pPr>
      <w:r>
        <w:rPr>
          <w:rFonts w:hint="eastAsia"/>
          <w:sz w:val="24"/>
          <w:szCs w:val="24"/>
        </w:rPr>
        <w:t xml:space="preserve">甲方：                        乙方： </w:t>
      </w:r>
    </w:p>
    <w:p w14:paraId="0E64101E">
      <w:pPr>
        <w:spacing w:line="500" w:lineRule="exact"/>
        <w:ind w:firstLine="480" w:firstLineChars="200"/>
        <w:jc w:val="left"/>
        <w:rPr>
          <w:rFonts w:hint="eastAsia"/>
          <w:sz w:val="24"/>
          <w:szCs w:val="24"/>
        </w:rPr>
      </w:pPr>
    </w:p>
    <w:p w14:paraId="1C8A1D2E">
      <w:pPr>
        <w:spacing w:line="500" w:lineRule="exact"/>
        <w:ind w:firstLine="480" w:firstLineChars="200"/>
        <w:jc w:val="left"/>
        <w:rPr>
          <w:sz w:val="24"/>
          <w:szCs w:val="24"/>
        </w:rPr>
      </w:pPr>
      <w:r>
        <w:rPr>
          <w:rFonts w:hint="eastAsia"/>
          <w:sz w:val="24"/>
          <w:szCs w:val="24"/>
        </w:rPr>
        <w:t xml:space="preserve">地址：                        地址： </w:t>
      </w:r>
    </w:p>
    <w:p w14:paraId="31DCFE1D">
      <w:pPr>
        <w:spacing w:line="500" w:lineRule="exact"/>
        <w:ind w:firstLine="480" w:firstLineChars="200"/>
        <w:jc w:val="left"/>
        <w:rPr>
          <w:rFonts w:hint="eastAsia"/>
          <w:sz w:val="24"/>
          <w:szCs w:val="24"/>
        </w:rPr>
      </w:pPr>
    </w:p>
    <w:p w14:paraId="284AFE6E">
      <w:pPr>
        <w:spacing w:line="500" w:lineRule="exact"/>
        <w:ind w:firstLine="480" w:firstLineChars="200"/>
        <w:jc w:val="left"/>
        <w:rPr>
          <w:sz w:val="24"/>
          <w:szCs w:val="24"/>
        </w:rPr>
      </w:pPr>
      <w:r>
        <w:rPr>
          <w:rFonts w:hint="eastAsia"/>
          <w:sz w:val="24"/>
          <w:szCs w:val="24"/>
        </w:rPr>
        <w:t>法定代表人或授权代表：        法定代表人或授权代表：</w:t>
      </w:r>
    </w:p>
    <w:p w14:paraId="15178E53">
      <w:pPr>
        <w:spacing w:line="500" w:lineRule="exact"/>
        <w:ind w:firstLine="480" w:firstLineChars="200"/>
        <w:jc w:val="left"/>
        <w:rPr>
          <w:rFonts w:hint="eastAsia"/>
          <w:sz w:val="24"/>
          <w:szCs w:val="24"/>
        </w:rPr>
      </w:pPr>
    </w:p>
    <w:p w14:paraId="1D1231C6">
      <w:pPr>
        <w:spacing w:line="500" w:lineRule="exact"/>
        <w:ind w:firstLine="480" w:firstLineChars="200"/>
        <w:jc w:val="left"/>
        <w:rPr>
          <w:sz w:val="24"/>
          <w:szCs w:val="24"/>
        </w:rPr>
      </w:pPr>
      <w:r>
        <w:rPr>
          <w:rFonts w:hint="eastAsia"/>
          <w:sz w:val="24"/>
          <w:szCs w:val="24"/>
        </w:rPr>
        <w:t xml:space="preserve">联系电话：                    联系电话：     </w:t>
      </w:r>
    </w:p>
    <w:p w14:paraId="0A030BC7">
      <w:pPr>
        <w:spacing w:line="500" w:lineRule="exact"/>
        <w:ind w:firstLine="480" w:firstLineChars="200"/>
        <w:jc w:val="left"/>
        <w:rPr>
          <w:sz w:val="24"/>
          <w:szCs w:val="24"/>
        </w:rPr>
      </w:pPr>
      <w:r>
        <w:rPr>
          <w:rFonts w:hint="eastAsia"/>
          <w:sz w:val="24"/>
          <w:szCs w:val="24"/>
        </w:rPr>
        <w:t xml:space="preserve">                                     </w:t>
      </w:r>
    </w:p>
    <w:p w14:paraId="5D18D8EA">
      <w:pPr>
        <w:pStyle w:val="2"/>
        <w:rPr>
          <w:rFonts w:hint="eastAsia" w:ascii="宋体" w:hAnsi="宋体" w:eastAsia="宋体" w:cs="宋体"/>
          <w:color w:val="auto"/>
          <w:sz w:val="24"/>
          <w:szCs w:val="24"/>
        </w:rPr>
      </w:pPr>
      <w:r>
        <w:rPr>
          <w:rFonts w:hint="eastAsia"/>
          <w:sz w:val="24"/>
          <w:szCs w:val="24"/>
        </w:rPr>
        <w:t>签订日期：       年    月    日</w:t>
      </w:r>
    </w:p>
    <w:p w14:paraId="50264109">
      <w:pPr>
        <w:tabs>
          <w:tab w:val="left" w:pos="2367"/>
        </w:tabs>
        <w:spacing w:line="500" w:lineRule="exact"/>
        <w:ind w:firstLine="480" w:firstLineChars="200"/>
        <w:jc w:val="left"/>
        <w:rPr>
          <w:rFonts w:hint="eastAsia" w:eastAsiaTheme="minorEastAsia"/>
          <w:sz w:val="24"/>
          <w:szCs w:val="24"/>
          <w:lang w:eastAsia="zh-CN"/>
        </w:rPr>
      </w:pPr>
      <w:r>
        <w:rPr>
          <w:rFonts w:hint="eastAsia"/>
          <w:sz w:val="24"/>
          <w:szCs w:val="24"/>
          <w:lang w:eastAsia="zh-CN"/>
        </w:rPr>
        <w:tab/>
      </w:r>
    </w:p>
    <w:p w14:paraId="2F81B4D7">
      <w:pPr>
        <w:widowControl/>
        <w:jc w:val="left"/>
        <w:rPr>
          <w:sz w:val="24"/>
          <w:szCs w:val="24"/>
        </w:rPr>
      </w:pPr>
      <w:r>
        <w:rPr>
          <w:sz w:val="24"/>
          <w:szCs w:val="24"/>
        </w:rPr>
        <w:br w:type="page"/>
      </w:r>
    </w:p>
    <w:p w14:paraId="33866999">
      <w:pPr>
        <w:pStyle w:val="4"/>
        <w:spacing w:beforeLines="50" w:afterLines="50" w:line="360" w:lineRule="auto"/>
        <w:jc w:val="center"/>
        <w:rPr>
          <w:rFonts w:ascii="黑体" w:hAnsi="黑体" w:eastAsia="黑体"/>
          <w:b w:val="0"/>
        </w:rPr>
      </w:pPr>
      <w:bookmarkStart w:id="18" w:name="_Toc155796359"/>
      <w:bookmarkStart w:id="19" w:name="_Toc155796360"/>
      <w:r>
        <w:rPr>
          <w:rFonts w:hint="eastAsia" w:ascii="黑体" w:hAnsi="黑体" w:eastAsia="黑体"/>
          <w:b w:val="0"/>
        </w:rPr>
        <w:t>第四章  采购需求</w:t>
      </w:r>
      <w:bookmarkEnd w:id="18"/>
    </w:p>
    <w:p w14:paraId="331BB129">
      <w:pPr>
        <w:spacing w:line="500" w:lineRule="exact"/>
        <w:ind w:firstLine="480" w:firstLineChars="200"/>
        <w:jc w:val="left"/>
        <w:rPr>
          <w:sz w:val="24"/>
          <w:szCs w:val="24"/>
          <w:u w:val="single"/>
        </w:rPr>
      </w:pPr>
      <w:r>
        <w:rPr>
          <w:rFonts w:hint="eastAsia"/>
          <w:sz w:val="24"/>
          <w:szCs w:val="24"/>
        </w:rPr>
        <w:t>说明：</w:t>
      </w:r>
      <w:r>
        <w:rPr>
          <w:rFonts w:hint="eastAsia" w:ascii="宋体" w:hAnsi="宋体" w:eastAsia="宋体" w:cs="宋体"/>
          <w:b w:val="0"/>
          <w:bCs w:val="0"/>
          <w:color w:val="auto"/>
          <w:sz w:val="24"/>
          <w:szCs w:val="24"/>
        </w:rPr>
        <w:t>本项目采购方式为</w:t>
      </w:r>
      <w:r>
        <w:rPr>
          <w:rFonts w:hint="eastAsia" w:ascii="宋体" w:hAnsi="宋体" w:eastAsia="宋体" w:cs="宋体"/>
          <w:b/>
          <w:bCs/>
          <w:color w:val="auto"/>
          <w:sz w:val="24"/>
          <w:szCs w:val="24"/>
          <w:lang w:val="en-US" w:eastAsia="zh-CN"/>
        </w:rPr>
        <w:t>公开招标，</w:t>
      </w:r>
      <w:r>
        <w:rPr>
          <w:rFonts w:hint="eastAsia"/>
          <w:sz w:val="24"/>
          <w:szCs w:val="24"/>
        </w:rPr>
        <w:t>本项目属性为</w:t>
      </w:r>
      <w:r>
        <w:rPr>
          <w:rFonts w:hint="eastAsia"/>
          <w:b/>
          <w:sz w:val="24"/>
          <w:szCs w:val="24"/>
        </w:rPr>
        <w:t>服务</w:t>
      </w:r>
      <w:r>
        <w:rPr>
          <w:rFonts w:hint="eastAsia"/>
          <w:sz w:val="24"/>
          <w:szCs w:val="24"/>
        </w:rPr>
        <w:t>，采购标的对应的中小企业划分标准所属行业为：</w:t>
      </w:r>
      <w:r>
        <w:rPr>
          <w:rFonts w:hint="eastAsia"/>
          <w:b/>
          <w:bCs/>
          <w:sz w:val="24"/>
          <w:szCs w:val="24"/>
          <w:u w:val="single"/>
        </w:rPr>
        <w:t>其他未列明行业。</w:t>
      </w:r>
    </w:p>
    <w:p w14:paraId="3D46A0F4">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14:paraId="7DAAE2C2">
      <w:pPr>
        <w:spacing w:line="500" w:lineRule="exact"/>
        <w:ind w:firstLine="480" w:firstLineChars="200"/>
        <w:jc w:val="left"/>
        <w:rPr>
          <w:sz w:val="24"/>
          <w:szCs w:val="24"/>
        </w:rPr>
      </w:pPr>
      <w:r>
        <w:rPr>
          <w:rFonts w:hint="eastAsia"/>
          <w:sz w:val="24"/>
          <w:szCs w:val="24"/>
        </w:rPr>
        <w:t>2、</w:t>
      </w:r>
      <w:r>
        <w:rPr>
          <w:rFonts w:hint="eastAsia"/>
          <w:b/>
          <w:sz w:val="24"/>
          <w:szCs w:val="24"/>
        </w:rPr>
        <w:t>本招标文件中</w:t>
      </w:r>
      <w:r>
        <w:rPr>
          <w:rFonts w:hint="eastAsia"/>
          <w:b/>
          <w:bCs w:val="0"/>
          <w:i w:val="0"/>
          <w:iCs/>
          <w:color w:val="auto"/>
          <w:sz w:val="24"/>
          <w:szCs w:val="24"/>
          <w:u w:val="none"/>
          <w:lang w:val="en-US" w:eastAsia="zh-CN"/>
        </w:rPr>
        <w:t>标</w:t>
      </w:r>
      <w:r>
        <w:rPr>
          <w:rFonts w:hint="eastAsia"/>
          <w:b/>
          <w:bCs w:val="0"/>
          <w:i w:val="0"/>
          <w:iCs/>
          <w:sz w:val="24"/>
          <w:szCs w:val="24"/>
          <w:u w:val="none"/>
        </w:rPr>
        <w:t>★</w:t>
      </w:r>
      <w:r>
        <w:rPr>
          <w:rFonts w:hint="eastAsia"/>
          <w:b/>
          <w:bCs w:val="0"/>
          <w:i w:val="0"/>
          <w:iCs/>
          <w:sz w:val="24"/>
          <w:szCs w:val="24"/>
          <w:u w:val="none"/>
          <w:lang w:val="en-US" w:eastAsia="zh-CN"/>
        </w:rPr>
        <w:t>项</w:t>
      </w:r>
      <w:r>
        <w:rPr>
          <w:rFonts w:hint="eastAsia"/>
          <w:b/>
          <w:bCs w:val="0"/>
          <w:i w:val="0"/>
          <w:iCs/>
          <w:color w:val="auto"/>
          <w:sz w:val="24"/>
          <w:szCs w:val="24"/>
          <w:u w:val="none"/>
        </w:rPr>
        <w:t>部分</w:t>
      </w:r>
      <w:r>
        <w:rPr>
          <w:rFonts w:hint="eastAsia"/>
          <w:b/>
          <w:bCs w:val="0"/>
          <w:i w:val="0"/>
          <w:iCs/>
          <w:sz w:val="24"/>
          <w:szCs w:val="24"/>
          <w:u w:val="none"/>
        </w:rPr>
        <w:t>为</w:t>
      </w:r>
      <w:r>
        <w:rPr>
          <w:rFonts w:hint="eastAsia"/>
          <w:b/>
          <w:sz w:val="24"/>
          <w:szCs w:val="24"/>
        </w:rPr>
        <w:t>实质性要求和条件</w:t>
      </w:r>
      <w:r>
        <w:rPr>
          <w:rFonts w:hint="eastAsia"/>
          <w:sz w:val="24"/>
          <w:szCs w:val="24"/>
        </w:rPr>
        <w:t>，由采购人根据实际情况设置，投标人必须逐条明确作出满足实质性要求和条件的响应，否则将按无效投标处理。</w:t>
      </w:r>
    </w:p>
    <w:p w14:paraId="2F4B8D2D">
      <w:pPr>
        <w:pStyle w:val="55"/>
        <w:spacing w:before="156"/>
        <w:ind w:firstLine="480"/>
        <w:rPr>
          <w:rFonts w:hint="default" w:eastAsiaTheme="minorEastAsia"/>
          <w:b/>
          <w:bCs/>
          <w:sz w:val="28"/>
          <w:szCs w:val="28"/>
          <w:lang w:val="en-US" w:eastAsia="zh-CN"/>
        </w:rPr>
      </w:pPr>
      <w:bookmarkStart w:id="20" w:name="_Toc11256"/>
      <w:r>
        <w:rPr>
          <w:rFonts w:hint="eastAsia"/>
          <w:b/>
          <w:bCs/>
          <w:sz w:val="28"/>
          <w:szCs w:val="28"/>
        </w:rPr>
        <w:t>一、项目内容</w:t>
      </w:r>
      <w:bookmarkEnd w:id="20"/>
      <w:r>
        <w:rPr>
          <w:rFonts w:hint="eastAsia"/>
          <w:b/>
          <w:bCs/>
          <w:sz w:val="28"/>
          <w:szCs w:val="28"/>
          <w:lang w:val="en-US" w:eastAsia="zh-CN"/>
        </w:rPr>
        <w:t>及技术要求</w:t>
      </w:r>
    </w:p>
    <w:p w14:paraId="3CEF26C1">
      <w:pPr>
        <w:pStyle w:val="55"/>
        <w:spacing w:before="156"/>
        <w:ind w:firstLine="480"/>
        <w:rPr>
          <w:rFonts w:hint="eastAsia"/>
          <w:sz w:val="24"/>
          <w:szCs w:val="24"/>
        </w:rPr>
      </w:pPr>
      <w:r>
        <w:rPr>
          <w:rFonts w:hint="eastAsia"/>
          <w:color w:val="auto"/>
          <w:sz w:val="24"/>
          <w:szCs w:val="24"/>
          <w:highlight w:val="none"/>
        </w:rPr>
        <w:t>1、</w:t>
      </w: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1.15万吨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万元，按环保部门要求，全部进行无害化处置。本次采购</w:t>
      </w:r>
      <w:r>
        <w:rPr>
          <w:rFonts w:hint="eastAsia"/>
          <w:sz w:val="24"/>
          <w:szCs w:val="24"/>
        </w:rPr>
        <w:t>主要目的为确定污泥运输处置单位及污泥处置单价。合同签订后，</w:t>
      </w:r>
      <w:r>
        <w:rPr>
          <w:rFonts w:hint="eastAsia"/>
          <w:sz w:val="24"/>
          <w:szCs w:val="24"/>
          <w:lang w:val="en-US" w:eastAsia="zh-CN"/>
        </w:rPr>
        <w:t>中标人需</w:t>
      </w:r>
      <w:r>
        <w:rPr>
          <w:rFonts w:hint="eastAsia"/>
          <w:sz w:val="24"/>
          <w:szCs w:val="24"/>
        </w:rPr>
        <w:t>具备及时履约条件，可以马上接收和处置污泥。</w:t>
      </w:r>
    </w:p>
    <w:p w14:paraId="6B4EBD4C">
      <w:pPr>
        <w:pStyle w:val="55"/>
        <w:spacing w:before="156"/>
        <w:ind w:firstLine="480"/>
        <w:rPr>
          <w:rFonts w:hint="eastAsia"/>
          <w:sz w:val="24"/>
          <w:szCs w:val="24"/>
        </w:rPr>
      </w:pPr>
      <w:r>
        <w:rPr>
          <w:rFonts w:hint="eastAsia"/>
          <w:sz w:val="24"/>
          <w:szCs w:val="24"/>
        </w:rPr>
        <w:t>★</w:t>
      </w:r>
      <w:r>
        <w:rPr>
          <w:rFonts w:hint="eastAsia"/>
          <w:sz w:val="24"/>
          <w:szCs w:val="24"/>
          <w:lang w:val="en-US" w:eastAsia="zh-CN"/>
        </w:rPr>
        <w:t>2</w:t>
      </w:r>
      <w:r>
        <w:rPr>
          <w:rFonts w:hint="eastAsia"/>
          <w:sz w:val="24"/>
          <w:szCs w:val="24"/>
        </w:rPr>
        <w:t>、污泥处置要求：</w:t>
      </w:r>
    </w:p>
    <w:p w14:paraId="569EACA5">
      <w:pPr>
        <w:pStyle w:val="55"/>
        <w:spacing w:before="156"/>
        <w:ind w:firstLine="480"/>
        <w:rPr>
          <w:rFonts w:hint="eastAsia"/>
          <w:sz w:val="24"/>
          <w:szCs w:val="24"/>
        </w:rPr>
      </w:pPr>
      <w:r>
        <w:rPr>
          <w:rFonts w:hint="eastAsia"/>
          <w:sz w:val="24"/>
          <w:szCs w:val="24"/>
        </w:rPr>
        <w:t>要求污泥处置工艺符合现行环保及住建部门规范要求，处置工艺通过所在地环保部门同意，污泥的运输处置获得双方所在地环保部门备案同意。</w:t>
      </w:r>
    </w:p>
    <w:p w14:paraId="777489F5">
      <w:pPr>
        <w:pStyle w:val="55"/>
        <w:spacing w:before="156"/>
        <w:ind w:firstLine="480"/>
        <w:rPr>
          <w:rFonts w:hint="eastAsia"/>
          <w:sz w:val="24"/>
          <w:szCs w:val="24"/>
        </w:rPr>
      </w:pPr>
      <w:r>
        <w:rPr>
          <w:rFonts w:hint="eastAsia"/>
          <w:sz w:val="24"/>
          <w:szCs w:val="24"/>
          <w:lang w:val="en-US" w:eastAsia="zh-CN"/>
        </w:rPr>
        <w:t>3</w:t>
      </w:r>
      <w:r>
        <w:rPr>
          <w:rFonts w:hint="eastAsia"/>
          <w:sz w:val="24"/>
          <w:szCs w:val="24"/>
        </w:rPr>
        <w:t>、其他要求</w:t>
      </w:r>
    </w:p>
    <w:p w14:paraId="766881AF">
      <w:pPr>
        <w:pStyle w:val="55"/>
        <w:spacing w:before="156"/>
        <w:ind w:firstLine="480"/>
        <w:rPr>
          <w:rFonts w:hint="eastAsia"/>
          <w:sz w:val="24"/>
          <w:szCs w:val="24"/>
        </w:rPr>
      </w:pPr>
      <w:r>
        <w:rPr>
          <w:rFonts w:hint="eastAsia"/>
          <w:sz w:val="24"/>
          <w:szCs w:val="24"/>
        </w:rPr>
        <w:t>★</w:t>
      </w: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eastAsia"/>
          <w:sz w:val="24"/>
          <w:szCs w:val="24"/>
          <w:lang w:val="en-US" w:eastAsia="zh-CN"/>
        </w:rPr>
        <w:t>投标人</w:t>
      </w:r>
      <w:r>
        <w:rPr>
          <w:rFonts w:hint="eastAsia"/>
          <w:sz w:val="24"/>
          <w:szCs w:val="24"/>
        </w:rPr>
        <w:t>须按要求提供污泥转运处置服务，及时清运处置相关污水处理厂脱水后的污泥，不得影响污水处理厂的正常生产。</w:t>
      </w:r>
    </w:p>
    <w:p w14:paraId="4452303A">
      <w:pPr>
        <w:pStyle w:val="55"/>
        <w:spacing w:before="156"/>
        <w:ind w:firstLine="480"/>
        <w:rPr>
          <w:rFonts w:hint="eastAsia"/>
          <w:sz w:val="24"/>
          <w:szCs w:val="24"/>
        </w:rPr>
      </w:pPr>
      <w:r>
        <w:rPr>
          <w:rFonts w:hint="eastAsia"/>
          <w:sz w:val="24"/>
          <w:szCs w:val="24"/>
        </w:rPr>
        <w:t>★</w:t>
      </w: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rFonts w:hint="eastAsia"/>
          <w:sz w:val="24"/>
          <w:szCs w:val="24"/>
        </w:rPr>
        <w:t>如</w:t>
      </w:r>
      <w:r>
        <w:rPr>
          <w:rFonts w:hint="eastAsia"/>
          <w:sz w:val="24"/>
          <w:szCs w:val="24"/>
          <w:lang w:val="en-US" w:eastAsia="zh-CN"/>
        </w:rPr>
        <w:t>投标人</w:t>
      </w:r>
      <w:r>
        <w:rPr>
          <w:rFonts w:hint="eastAsia"/>
          <w:sz w:val="24"/>
          <w:szCs w:val="24"/>
        </w:rPr>
        <w:t>为新取得相关污泥处置资质，必须在取得中标通知书后15日内完善所有手续，并满足正常处置污泥要求，否则采购人有权取消合作。</w:t>
      </w:r>
    </w:p>
    <w:p w14:paraId="0A5DDF15">
      <w:pPr>
        <w:pStyle w:val="55"/>
        <w:spacing w:before="156"/>
        <w:ind w:firstLine="480"/>
        <w:rPr>
          <w:rFonts w:hint="eastAsia"/>
          <w:sz w:val="24"/>
          <w:szCs w:val="24"/>
          <w:lang w:val="en-US" w:eastAsia="zh-CN"/>
        </w:rPr>
      </w:pPr>
      <w:r>
        <w:rPr>
          <w:rFonts w:hint="eastAsia"/>
          <w:sz w:val="24"/>
          <w:szCs w:val="24"/>
        </w:rPr>
        <w:t>★</w:t>
      </w:r>
      <w:r>
        <w:rPr>
          <w:rFonts w:hint="eastAsia"/>
          <w:b/>
          <w:bCs/>
          <w:sz w:val="24"/>
          <w:szCs w:val="24"/>
          <w:lang w:eastAsia="zh-CN"/>
        </w:rPr>
        <w:t>（</w:t>
      </w:r>
      <w:r>
        <w:rPr>
          <w:rFonts w:hint="eastAsia"/>
          <w:b/>
          <w:bCs/>
          <w:sz w:val="24"/>
          <w:szCs w:val="24"/>
          <w:lang w:val="en-US" w:eastAsia="zh-CN"/>
        </w:rPr>
        <w:t>3</w:t>
      </w:r>
      <w:r>
        <w:rPr>
          <w:rFonts w:hint="eastAsia"/>
          <w:b/>
          <w:bCs/>
          <w:sz w:val="24"/>
          <w:szCs w:val="24"/>
          <w:lang w:eastAsia="zh-CN"/>
        </w:rPr>
        <w:t>）</w:t>
      </w:r>
      <w:r>
        <w:rPr>
          <w:rFonts w:hint="eastAsia"/>
          <w:b/>
          <w:bCs/>
          <w:sz w:val="24"/>
          <w:szCs w:val="24"/>
        </w:rPr>
        <w:t>环保“三同时”验收报告</w:t>
      </w:r>
      <w:r>
        <w:rPr>
          <w:rFonts w:hint="eastAsia"/>
          <w:b/>
          <w:bCs/>
          <w:sz w:val="24"/>
          <w:szCs w:val="24"/>
          <w:lang w:eastAsia="zh-CN"/>
        </w:rPr>
        <w:t>，</w:t>
      </w:r>
      <w:r>
        <w:rPr>
          <w:rFonts w:hint="eastAsia"/>
          <w:b/>
          <w:bCs/>
          <w:sz w:val="24"/>
          <w:szCs w:val="24"/>
          <w:lang w:val="en-US" w:eastAsia="zh-CN"/>
        </w:rPr>
        <w:t>实行承诺制；投标人需承诺在成交后污泥处置完提供“</w:t>
      </w:r>
      <w:r>
        <w:rPr>
          <w:rFonts w:hint="eastAsia"/>
          <w:b/>
          <w:bCs/>
          <w:sz w:val="24"/>
          <w:szCs w:val="24"/>
        </w:rPr>
        <w:t>环保“三同时”验收报告</w:t>
      </w:r>
      <w:r>
        <w:rPr>
          <w:rFonts w:hint="eastAsia"/>
          <w:b/>
          <w:bCs/>
          <w:sz w:val="24"/>
          <w:szCs w:val="24"/>
          <w:lang w:val="en-US" w:eastAsia="zh-CN"/>
        </w:rPr>
        <w:t>”。（需提供承诺书，格式自拟</w:t>
      </w:r>
      <w:r>
        <w:rPr>
          <w:rFonts w:hint="eastAsia"/>
          <w:sz w:val="24"/>
          <w:szCs w:val="24"/>
          <w:lang w:val="en-US" w:eastAsia="zh-CN"/>
        </w:rPr>
        <w:t>）</w:t>
      </w:r>
    </w:p>
    <w:p w14:paraId="245E5510">
      <w:pPr>
        <w:pStyle w:val="55"/>
        <w:spacing w:before="156"/>
        <w:ind w:firstLine="480"/>
        <w:rPr>
          <w:rFonts w:hint="eastAsia"/>
          <w:sz w:val="24"/>
          <w:szCs w:val="24"/>
        </w:rPr>
      </w:pPr>
      <w:r>
        <w:rPr>
          <w:rFonts w:hint="eastAsia"/>
          <w:sz w:val="24"/>
          <w:szCs w:val="24"/>
        </w:rPr>
        <w:t>★</w:t>
      </w:r>
      <w:r>
        <w:rPr>
          <w:rFonts w:hint="eastAsia"/>
          <w:sz w:val="24"/>
          <w:szCs w:val="24"/>
          <w:lang w:val="en-US" w:eastAsia="zh-CN"/>
        </w:rPr>
        <w:t>（4）现场</w:t>
      </w:r>
      <w:r>
        <w:rPr>
          <w:rFonts w:hint="eastAsia"/>
          <w:sz w:val="24"/>
          <w:szCs w:val="24"/>
        </w:rPr>
        <w:t>踏勘</w:t>
      </w:r>
      <w:r>
        <w:rPr>
          <w:rFonts w:hint="eastAsia"/>
          <w:sz w:val="24"/>
          <w:szCs w:val="24"/>
          <w:lang w:val="en-US" w:eastAsia="zh-CN"/>
        </w:rPr>
        <w:t>：由于本项目涉及污泥运输问题，请投标人务必自行组织现场</w:t>
      </w:r>
      <w:r>
        <w:rPr>
          <w:rFonts w:hint="eastAsia"/>
          <w:sz w:val="24"/>
          <w:szCs w:val="24"/>
        </w:rPr>
        <w:t>踏勘</w:t>
      </w:r>
      <w:r>
        <w:rPr>
          <w:rFonts w:hint="eastAsia"/>
          <w:sz w:val="24"/>
          <w:szCs w:val="24"/>
          <w:lang w:val="en-US" w:eastAsia="zh-CN"/>
        </w:rPr>
        <w:t>。投标人</w:t>
      </w:r>
      <w:r>
        <w:rPr>
          <w:rFonts w:hint="eastAsia"/>
          <w:sz w:val="24"/>
          <w:szCs w:val="24"/>
        </w:rPr>
        <w:t>无论</w:t>
      </w:r>
      <w:r>
        <w:rPr>
          <w:rFonts w:hint="eastAsia"/>
          <w:sz w:val="24"/>
          <w:szCs w:val="24"/>
          <w:lang w:val="en-US" w:eastAsia="zh-CN"/>
        </w:rPr>
        <w:t>勘查</w:t>
      </w:r>
      <w:r>
        <w:rPr>
          <w:rFonts w:hint="eastAsia"/>
          <w:sz w:val="24"/>
          <w:szCs w:val="24"/>
        </w:rPr>
        <w:t>与否，都将被视为已经对本项目的</w:t>
      </w:r>
      <w:r>
        <w:rPr>
          <w:rFonts w:hint="eastAsia"/>
          <w:sz w:val="24"/>
          <w:szCs w:val="24"/>
          <w:lang w:val="en-US" w:eastAsia="zh-CN"/>
        </w:rPr>
        <w:t>项目</w:t>
      </w:r>
      <w:r>
        <w:rPr>
          <w:rFonts w:hint="eastAsia"/>
          <w:sz w:val="24"/>
          <w:szCs w:val="24"/>
        </w:rPr>
        <w:t>位置、情况、道路、储存空间、装卸条件及任何其它足以影响成本价</w:t>
      </w:r>
      <w:r>
        <w:rPr>
          <w:rFonts w:hint="eastAsia"/>
          <w:sz w:val="24"/>
          <w:szCs w:val="24"/>
          <w:lang w:val="en-US" w:eastAsia="zh-CN"/>
        </w:rPr>
        <w:t>等</w:t>
      </w:r>
      <w:r>
        <w:rPr>
          <w:rFonts w:hint="eastAsia"/>
          <w:sz w:val="24"/>
          <w:szCs w:val="24"/>
        </w:rPr>
        <w:t>有关情况充分了解以及</w:t>
      </w:r>
      <w:r>
        <w:rPr>
          <w:rFonts w:hint="eastAsia"/>
          <w:sz w:val="24"/>
          <w:szCs w:val="24"/>
          <w:lang w:val="en-US" w:eastAsia="zh-CN"/>
        </w:rPr>
        <w:t>成交</w:t>
      </w:r>
      <w:r>
        <w:rPr>
          <w:rFonts w:hint="eastAsia"/>
          <w:sz w:val="24"/>
          <w:szCs w:val="24"/>
        </w:rPr>
        <w:t>后有可能承担的风险、责任和义务。现场踏勘后，应根据自身实际情况，制订</w:t>
      </w:r>
      <w:r>
        <w:rPr>
          <w:rFonts w:hint="eastAsia"/>
          <w:sz w:val="24"/>
          <w:szCs w:val="24"/>
          <w:lang w:val="en-US" w:eastAsia="zh-CN"/>
        </w:rPr>
        <w:t>实施</w:t>
      </w:r>
      <w:r>
        <w:rPr>
          <w:rFonts w:hint="eastAsia"/>
          <w:sz w:val="24"/>
          <w:szCs w:val="24"/>
        </w:rPr>
        <w:t>方案</w:t>
      </w:r>
      <w:r>
        <w:rPr>
          <w:rFonts w:hint="eastAsia"/>
          <w:sz w:val="24"/>
          <w:szCs w:val="24"/>
          <w:lang w:val="en-US" w:eastAsia="zh-CN"/>
        </w:rPr>
        <w:t>并</w:t>
      </w:r>
      <w:r>
        <w:rPr>
          <w:rFonts w:hint="eastAsia"/>
          <w:sz w:val="24"/>
          <w:szCs w:val="24"/>
        </w:rPr>
        <w:t>进行投标报价。成交后，不论</w:t>
      </w:r>
      <w:r>
        <w:rPr>
          <w:rFonts w:hint="eastAsia"/>
          <w:sz w:val="24"/>
          <w:szCs w:val="24"/>
          <w:lang w:val="en-US" w:eastAsia="zh-CN"/>
        </w:rPr>
        <w:t>采购内容</w:t>
      </w:r>
      <w:r>
        <w:rPr>
          <w:rFonts w:hint="eastAsia"/>
          <w:sz w:val="24"/>
          <w:szCs w:val="24"/>
        </w:rPr>
        <w:t>发生任何变化，合同价款均不予调整，任何因忽视或误解</w:t>
      </w:r>
      <w:r>
        <w:rPr>
          <w:rFonts w:hint="eastAsia"/>
          <w:sz w:val="24"/>
          <w:szCs w:val="24"/>
          <w:lang w:val="en-US" w:eastAsia="zh-CN"/>
        </w:rPr>
        <w:t>采购内容</w:t>
      </w:r>
      <w:r>
        <w:rPr>
          <w:rFonts w:hint="eastAsia"/>
          <w:sz w:val="24"/>
          <w:szCs w:val="24"/>
        </w:rPr>
        <w:t>而导致的索赔或</w:t>
      </w:r>
      <w:r>
        <w:rPr>
          <w:rFonts w:hint="eastAsia"/>
          <w:sz w:val="24"/>
          <w:szCs w:val="24"/>
          <w:lang w:val="en-US" w:eastAsia="zh-CN"/>
        </w:rPr>
        <w:t>服务期限</w:t>
      </w:r>
      <w:r>
        <w:rPr>
          <w:rFonts w:hint="eastAsia"/>
          <w:sz w:val="24"/>
          <w:szCs w:val="24"/>
        </w:rPr>
        <w:t>延长申请将不被批准。现场踏勘的费用由</w:t>
      </w:r>
      <w:r>
        <w:rPr>
          <w:rFonts w:hint="eastAsia"/>
          <w:sz w:val="24"/>
          <w:szCs w:val="24"/>
          <w:lang w:val="en-US" w:eastAsia="zh-CN"/>
        </w:rPr>
        <w:t>投标人</w:t>
      </w:r>
      <w:r>
        <w:rPr>
          <w:rFonts w:hint="eastAsia"/>
          <w:sz w:val="24"/>
          <w:szCs w:val="24"/>
        </w:rPr>
        <w:t>自行负担。</w:t>
      </w:r>
    </w:p>
    <w:p w14:paraId="09B9914E">
      <w:pPr>
        <w:pStyle w:val="55"/>
        <w:spacing w:before="156"/>
        <w:ind w:firstLine="480"/>
        <w:rPr>
          <w:rFonts w:hint="eastAsia"/>
          <w:b/>
          <w:bCs/>
          <w:sz w:val="24"/>
          <w:szCs w:val="24"/>
          <w:lang w:val="en-US" w:eastAsia="zh-CN"/>
        </w:rPr>
      </w:pPr>
      <w:r>
        <w:rPr>
          <w:rFonts w:hint="eastAsia"/>
          <w:b/>
          <w:bCs/>
          <w:sz w:val="24"/>
          <w:szCs w:val="24"/>
        </w:rPr>
        <w:t>★</w:t>
      </w:r>
      <w:r>
        <w:rPr>
          <w:rFonts w:hint="eastAsia"/>
          <w:b/>
          <w:bCs/>
          <w:sz w:val="24"/>
          <w:szCs w:val="24"/>
          <w:lang w:val="en-US" w:eastAsia="zh-CN"/>
        </w:rPr>
        <w:t>（5）投标人污泥处置全过程必须具备视频监控，且监控数据保存不低于6个月。（需提供承诺书，格式自拟）</w:t>
      </w:r>
    </w:p>
    <w:p w14:paraId="7117922D">
      <w:pPr>
        <w:pStyle w:val="55"/>
        <w:numPr>
          <w:ilvl w:val="0"/>
          <w:numId w:val="2"/>
        </w:numPr>
        <w:spacing w:before="156"/>
        <w:ind w:left="-60" w:leftChars="0" w:firstLine="480" w:firstLineChars="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运输费用，投标单位如为县外企业，处置费用报价包含运输费用，如为县内企业，投标报价包含处置费用和运输费用，其中运输费用固定为30元/吨（来回一趟共约88km）。西湖水厂如负责县内运输的则扣除中标单位的该项运费，城东，乡镇运费按此结算。</w:t>
      </w:r>
    </w:p>
    <w:p w14:paraId="6B62FD79">
      <w:pPr>
        <w:pStyle w:val="55"/>
        <w:numPr>
          <w:ilvl w:val="0"/>
          <w:numId w:val="2"/>
        </w:numPr>
        <w:spacing w:before="156"/>
        <w:ind w:left="-60" w:leftChars="0" w:firstLine="480" w:firstLineChars="0"/>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投标方未生产期间或因故不能正常生产，需提供不少于2000平方米暂</w:t>
      </w:r>
      <w:r>
        <w:rPr>
          <w:rFonts w:hint="eastAsia"/>
          <w:b w:val="0"/>
          <w:bCs w:val="0"/>
          <w:color w:val="000000" w:themeColor="text1"/>
          <w:sz w:val="24"/>
          <w:szCs w:val="24"/>
          <w:lang w:val="en-US" w:eastAsia="zh-CN"/>
          <w14:textFill>
            <w14:solidFill>
              <w14:schemeClr w14:val="tx1"/>
            </w14:solidFill>
          </w14:textFill>
        </w:rPr>
        <w:t>存仓库，仓库有“三防”措施，符合环保要求。</w:t>
      </w:r>
    </w:p>
    <w:p w14:paraId="6423014E">
      <w:pPr>
        <w:pStyle w:val="55"/>
        <w:spacing w:before="156"/>
        <w:ind w:firstLine="480"/>
        <w:rPr>
          <w:sz w:val="24"/>
          <w:szCs w:val="24"/>
        </w:rPr>
      </w:pPr>
      <w:r>
        <w:rPr>
          <w:rFonts w:hint="eastAsia"/>
          <w:sz w:val="24"/>
          <w:szCs w:val="24"/>
        </w:rPr>
        <w:t>以上需求加★项作为实质性要求，必须完全响应。</w:t>
      </w:r>
    </w:p>
    <w:p w14:paraId="6153EB08">
      <w:pPr>
        <w:spacing w:line="360" w:lineRule="auto"/>
        <w:ind w:firstLine="562" w:firstLineChars="200"/>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二</w:t>
      </w:r>
      <w:r>
        <w:rPr>
          <w:rFonts w:hint="eastAsia" w:ascii="Times New Roman" w:hAnsi="Times New Roman" w:eastAsia="宋体" w:cs="Times New Roman"/>
          <w:b/>
          <w:color w:val="auto"/>
          <w:sz w:val="28"/>
          <w:szCs w:val="28"/>
        </w:rPr>
        <w:t>、人员配备要求</w:t>
      </w:r>
    </w:p>
    <w:p w14:paraId="35F85A97">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i w:val="0"/>
          <w:iCs w:val="0"/>
          <w:color w:val="auto"/>
          <w:kern w:val="2"/>
          <w:sz w:val="24"/>
          <w:szCs w:val="24"/>
          <w:u w:val="none"/>
          <w:lang w:val="en-US" w:eastAsia="zh-CN" w:bidi="ar-SA"/>
        </w:rPr>
      </w:pPr>
      <w:r>
        <w:rPr>
          <w:rFonts w:hint="eastAsia" w:ascii="宋体" w:hAnsi="宋体" w:eastAsia="宋体" w:cs="Times New Roman"/>
          <w:b w:val="0"/>
          <w:bCs/>
          <w:i w:val="0"/>
          <w:iCs w:val="0"/>
          <w:color w:val="auto"/>
          <w:kern w:val="0"/>
          <w:sz w:val="24"/>
          <w:szCs w:val="24"/>
          <w:u w:val="none"/>
          <w:lang w:val="en-US" w:eastAsia="zh-CN" w:bidi="ar-SA"/>
        </w:rPr>
        <w:t>（一）</w:t>
      </w:r>
      <w:r>
        <w:rPr>
          <w:rFonts w:hint="eastAsia" w:ascii="宋体" w:hAnsi="宋体" w:eastAsia="宋体" w:cs="宋体"/>
          <w:b w:val="0"/>
          <w:bCs/>
          <w:i w:val="0"/>
          <w:iCs w:val="0"/>
          <w:color w:val="auto"/>
          <w:kern w:val="2"/>
          <w:sz w:val="24"/>
          <w:szCs w:val="24"/>
          <w:u w:val="none"/>
          <w:lang w:val="en-US" w:eastAsia="zh-CN" w:bidi="ar-SA"/>
        </w:rPr>
        <w:t>负责人1名、技术员不少于2名，贯彻执行有关工作的各项规章制度、技术措施、规定等，保证项目顺利进行。</w:t>
      </w:r>
    </w:p>
    <w:p w14:paraId="6FECD3D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投标人配备</w:t>
      </w:r>
      <w:r>
        <w:rPr>
          <w:rFonts w:hint="eastAsia" w:ascii="宋体" w:hAnsi="宋体" w:eastAsia="宋体" w:cs="宋体"/>
          <w:color w:val="auto"/>
          <w:sz w:val="24"/>
          <w:szCs w:val="24"/>
        </w:rPr>
        <w:t>的人员的交通、食宿和其他方面由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自行解决。</w:t>
      </w:r>
    </w:p>
    <w:p w14:paraId="0435187B">
      <w:pPr>
        <w:spacing w:line="360" w:lineRule="auto"/>
        <w:ind w:firstLine="562" w:firstLineChars="200"/>
        <w:rPr>
          <w:rFonts w:hint="default" w:ascii="Times New Roman" w:hAnsi="Times New Roman" w:eastAsia="宋体" w:cs="Times New Roman"/>
          <w:b/>
          <w:color w:val="auto"/>
          <w:sz w:val="28"/>
          <w:szCs w:val="28"/>
          <w:lang w:val="en-US" w:eastAsia="zh-CN"/>
        </w:rPr>
      </w:pPr>
      <w:r>
        <w:rPr>
          <w:rFonts w:hint="eastAsia" w:ascii="Times New Roman" w:hAnsi="Times New Roman" w:eastAsia="宋体" w:cs="Times New Roman"/>
          <w:b/>
          <w:color w:val="auto"/>
          <w:sz w:val="28"/>
          <w:szCs w:val="28"/>
          <w:lang w:val="en-US" w:eastAsia="zh-CN"/>
        </w:rPr>
        <w:t>三</w:t>
      </w:r>
      <w:r>
        <w:rPr>
          <w:rFonts w:hint="eastAsia" w:ascii="Times New Roman" w:hAnsi="Times New Roman" w:eastAsia="宋体" w:cs="Times New Roman"/>
          <w:b/>
          <w:color w:val="auto"/>
          <w:sz w:val="28"/>
          <w:szCs w:val="28"/>
        </w:rPr>
        <w:t>、服务期限</w:t>
      </w:r>
    </w:p>
    <w:p w14:paraId="73CC38D0">
      <w:pPr>
        <w:spacing w:line="360" w:lineRule="auto"/>
        <w:ind w:firstLine="482" w:firstLineChars="200"/>
        <w:rPr>
          <w:rFonts w:hint="eastAsia"/>
          <w:b w:val="0"/>
          <w:bCs/>
          <w:i/>
          <w:iCs/>
          <w:color w:val="auto"/>
          <w:sz w:val="24"/>
          <w:highlight w:val="none"/>
          <w:u w:val="single"/>
        </w:rPr>
      </w:pPr>
      <w:r>
        <w:rPr>
          <w:rFonts w:hint="eastAsia"/>
          <w:b/>
          <w:bCs/>
          <w:color w:val="auto"/>
          <w:sz w:val="24"/>
          <w:szCs w:val="24"/>
          <w:highlight w:val="none"/>
        </w:rPr>
        <w:t>★</w:t>
      </w:r>
      <w:r>
        <w:rPr>
          <w:rFonts w:hint="eastAsia"/>
          <w:b w:val="0"/>
          <w:bCs/>
          <w:i w:val="0"/>
          <w:iCs w:val="0"/>
          <w:color w:val="auto"/>
          <w:sz w:val="24"/>
          <w:highlight w:val="none"/>
          <w:u w:val="none"/>
        </w:rPr>
        <w:t>服务期限</w:t>
      </w:r>
      <w:r>
        <w:rPr>
          <w:rFonts w:hint="eastAsia"/>
          <w:b w:val="0"/>
          <w:bCs/>
          <w:i w:val="0"/>
          <w:iCs w:val="0"/>
          <w:color w:val="auto"/>
          <w:sz w:val="24"/>
          <w:highlight w:val="none"/>
          <w:u w:val="none"/>
          <w:lang w:eastAsia="zh-CN"/>
        </w:rPr>
        <w:t>：服务期</w:t>
      </w:r>
      <w:r>
        <w:rPr>
          <w:rFonts w:hint="eastAsia"/>
          <w:b w:val="0"/>
          <w:bCs/>
          <w:i w:val="0"/>
          <w:iCs w:val="0"/>
          <w:color w:val="auto"/>
          <w:sz w:val="24"/>
          <w:highlight w:val="none"/>
          <w:u w:val="none"/>
          <w:lang w:val="en-US" w:eastAsia="zh-CN"/>
        </w:rPr>
        <w:t>暂定</w:t>
      </w:r>
      <w:r>
        <w:rPr>
          <w:rFonts w:hint="eastAsia"/>
          <w:b w:val="0"/>
          <w:bCs/>
          <w:i w:val="0"/>
          <w:iCs w:val="0"/>
          <w:color w:val="auto"/>
          <w:sz w:val="24"/>
          <w:highlight w:val="none"/>
          <w:u w:val="none"/>
          <w:lang w:eastAsia="zh-CN"/>
        </w:rPr>
        <w:t>一年</w:t>
      </w:r>
      <w:r>
        <w:rPr>
          <w:rFonts w:hint="eastAsia"/>
          <w:b w:val="0"/>
          <w:bCs/>
          <w:i w:val="0"/>
          <w:iCs w:val="0"/>
          <w:color w:val="auto"/>
          <w:sz w:val="24"/>
          <w:highlight w:val="none"/>
          <w:u w:val="none"/>
        </w:rPr>
        <w:t>。</w:t>
      </w:r>
      <w:r>
        <w:rPr>
          <w:rFonts w:hint="eastAsia" w:ascii="宋体" w:hAnsi="宋体" w:cs="宋体"/>
          <w:b w:val="0"/>
          <w:bCs w:val="0"/>
          <w:i w:val="0"/>
          <w:iCs w:val="0"/>
          <w:color w:val="auto"/>
          <w:sz w:val="24"/>
          <w:highlight w:val="none"/>
          <w:u w:val="none"/>
        </w:rPr>
        <w:t>（特殊情况以合同为准）</w:t>
      </w:r>
    </w:p>
    <w:p w14:paraId="4E7E4A83">
      <w:pPr>
        <w:numPr>
          <w:ilvl w:val="0"/>
          <w:numId w:val="0"/>
        </w:numPr>
        <w:spacing w:line="360" w:lineRule="auto"/>
        <w:ind w:firstLine="562" w:firstLineChars="200"/>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四、</w:t>
      </w:r>
      <w:r>
        <w:rPr>
          <w:rFonts w:hint="eastAsia" w:ascii="Times New Roman" w:hAnsi="Times New Roman" w:eastAsia="宋体" w:cs="Times New Roman"/>
          <w:b/>
          <w:color w:val="auto"/>
          <w:sz w:val="28"/>
          <w:szCs w:val="28"/>
        </w:rPr>
        <w:t>服务标准</w:t>
      </w:r>
    </w:p>
    <w:p w14:paraId="27B06E48">
      <w:pPr>
        <w:tabs>
          <w:tab w:val="left" w:pos="420"/>
          <w:tab w:val="left" w:pos="540"/>
        </w:tabs>
        <w:adjustRightInd w:val="0"/>
        <w:snapToGrid w:val="0"/>
        <w:spacing w:line="360" w:lineRule="auto"/>
        <w:ind w:firstLine="480" w:firstLineChars="200"/>
        <w:rPr>
          <w:rFonts w:hint="eastAsia" w:ascii="宋体" w:hAnsi="宋体" w:cs="宋体"/>
          <w:b w:val="0"/>
          <w:bCs w:val="0"/>
          <w:color w:val="auto"/>
          <w:sz w:val="24"/>
          <w:szCs w:val="22"/>
          <w:lang w:val="en-US" w:eastAsia="zh-CN"/>
        </w:rPr>
      </w:pPr>
      <w:r>
        <w:rPr>
          <w:rFonts w:hint="eastAsia" w:ascii="宋体" w:hAnsi="宋体" w:cs="宋体"/>
          <w:b w:val="0"/>
          <w:bCs w:val="0"/>
          <w:color w:val="auto"/>
          <w:sz w:val="24"/>
          <w:szCs w:val="22"/>
          <w:lang w:val="en-US" w:eastAsia="zh-CN"/>
        </w:rPr>
        <w:t>符合国家、地方和行业现行的规定标准。</w:t>
      </w:r>
      <w:r>
        <w:rPr>
          <w:rFonts w:hint="eastAsia" w:ascii="宋体" w:hAnsi="宋体" w:cs="宋体"/>
          <w:b w:val="0"/>
          <w:bCs w:val="0"/>
          <w:i w:val="0"/>
          <w:iCs w:val="0"/>
          <w:color w:val="auto"/>
          <w:sz w:val="24"/>
          <w:u w:val="none"/>
          <w:lang w:val="en-US" w:eastAsia="zh-CN"/>
        </w:rPr>
        <w:t>乙方不得因财政延时付款等原因降低服务标准。</w:t>
      </w:r>
    </w:p>
    <w:p w14:paraId="6349730F">
      <w:pPr>
        <w:tabs>
          <w:tab w:val="left" w:pos="420"/>
          <w:tab w:val="left" w:pos="540"/>
        </w:tabs>
        <w:adjustRightInd w:val="0"/>
        <w:snapToGrid w:val="0"/>
        <w:spacing w:line="360" w:lineRule="auto"/>
        <w:ind w:firstLine="562" w:firstLineChars="200"/>
        <w:rPr>
          <w:rFonts w:hint="eastAsia" w:ascii="宋体" w:hAnsi="宋体" w:cs="宋体"/>
          <w:b/>
          <w:bCs/>
          <w:color w:val="auto"/>
          <w:sz w:val="28"/>
          <w:szCs w:val="24"/>
        </w:rPr>
      </w:pPr>
      <w:r>
        <w:rPr>
          <w:rFonts w:hint="eastAsia" w:ascii="宋体" w:hAnsi="宋体" w:cs="宋体"/>
          <w:b/>
          <w:bCs/>
          <w:color w:val="auto"/>
          <w:sz w:val="28"/>
          <w:szCs w:val="24"/>
          <w:lang w:val="en-US" w:eastAsia="zh-CN"/>
        </w:rPr>
        <w:t>五、</w:t>
      </w:r>
      <w:r>
        <w:rPr>
          <w:rFonts w:hint="eastAsia" w:ascii="宋体" w:hAnsi="宋体" w:cs="宋体"/>
          <w:b/>
          <w:bCs/>
          <w:color w:val="auto"/>
          <w:sz w:val="28"/>
          <w:szCs w:val="24"/>
        </w:rPr>
        <w:t>履约验收</w:t>
      </w:r>
    </w:p>
    <w:p w14:paraId="3E4D7742">
      <w:pPr>
        <w:tabs>
          <w:tab w:val="left" w:pos="420"/>
          <w:tab w:val="left" w:pos="540"/>
        </w:tabs>
        <w:adjustRightInd w:val="0"/>
        <w:snapToGrid w:val="0"/>
        <w:spacing w:line="360" w:lineRule="auto"/>
        <w:ind w:firstLine="480" w:firstLineChars="200"/>
        <w:rPr>
          <w:rFonts w:hint="eastAsia" w:ascii="Times New Roman" w:hAnsi="Times New Roman" w:eastAsia="宋体" w:cs="Times New Roman"/>
          <w:b/>
          <w:color w:val="auto"/>
          <w:sz w:val="28"/>
          <w:szCs w:val="28"/>
        </w:rPr>
      </w:pPr>
      <w:r>
        <w:rPr>
          <w:rFonts w:hint="eastAsia" w:ascii="宋体" w:hAnsi="宋体" w:cs="宋体"/>
          <w:color w:val="auto"/>
          <w:sz w:val="24"/>
          <w:lang w:val="en-US" w:eastAsia="zh-CN"/>
        </w:rPr>
        <w:t>按照采购合同的约定和招标文件所有技术要求、商务要求及项目需求书的要求，结合现行国家标准、行业标准或企业标准对服务的履约情况进行考核与验收。必要时，采购人有权邀请参加本项目的其他投标人或者第三方机构参与验收。参与验收的投标人或者第三方机构的意见作为验收书的参考资料一并存档。验收结束后，应当出具验收书，列明各服务的考核验收情况及项目总体评价，由验收双方共同签署。</w:t>
      </w:r>
    </w:p>
    <w:p w14:paraId="357AEF22">
      <w:pPr>
        <w:spacing w:line="360" w:lineRule="auto"/>
        <w:ind w:firstLine="562" w:firstLineChars="200"/>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六</w:t>
      </w:r>
      <w:r>
        <w:rPr>
          <w:rFonts w:hint="eastAsia" w:ascii="Times New Roman" w:hAnsi="Times New Roman" w:eastAsia="宋体" w:cs="Times New Roman"/>
          <w:b/>
          <w:color w:val="auto"/>
          <w:sz w:val="28"/>
          <w:szCs w:val="28"/>
        </w:rPr>
        <w:t>、付款方式与履约保证金</w:t>
      </w:r>
    </w:p>
    <w:p w14:paraId="7A9F835C">
      <w:pPr>
        <w:spacing w:line="360" w:lineRule="auto"/>
        <w:ind w:firstLine="482" w:firstLineChars="200"/>
        <w:jc w:val="left"/>
        <w:rPr>
          <w:rFonts w:cs="Times New Roman" w:asciiTheme="minorEastAsia" w:hAnsiTheme="minorEastAsia"/>
          <w:b w:val="0"/>
          <w:bCs w:val="0"/>
          <w:i/>
          <w:iCs/>
          <w:color w:val="auto"/>
          <w:sz w:val="24"/>
          <w:szCs w:val="24"/>
        </w:rPr>
      </w:pPr>
      <w:r>
        <w:rPr>
          <w:rFonts w:hint="eastAsia"/>
          <w:b/>
          <w:bCs/>
          <w:color w:val="auto"/>
          <w:sz w:val="24"/>
          <w:szCs w:val="24"/>
        </w:rPr>
        <w:t>★</w:t>
      </w:r>
      <w:r>
        <w:rPr>
          <w:rFonts w:hint="eastAsia" w:ascii="宋体" w:hAnsi="宋体" w:cs="宋体"/>
          <w:b w:val="0"/>
          <w:bCs w:val="0"/>
          <w:i w:val="0"/>
          <w:iCs w:val="0"/>
          <w:color w:val="auto"/>
          <w:sz w:val="24"/>
          <w:u w:val="none"/>
          <w:lang w:val="en-US" w:eastAsia="zh-CN"/>
        </w:rPr>
        <w:t>1、付款方式：乙方按月汇总污泥处置明细及总量，月度转运记录，经乙方和产泥单位双方签字后按季度报甲方审核确认。甲方收到乙方按季度汇总量开具的发票后5个工作日内，由甲方向财政部门申请支付乙方该季度一般固度的处置费用。</w:t>
      </w:r>
      <w:r>
        <w:rPr>
          <w:rFonts w:hint="eastAsia" w:ascii="宋体" w:hAnsi="宋体" w:cs="宋体"/>
          <w:b w:val="0"/>
          <w:bCs w:val="0"/>
          <w:i w:val="0"/>
          <w:iCs w:val="0"/>
          <w:color w:val="auto"/>
          <w:sz w:val="24"/>
          <w:u w:val="none"/>
        </w:rPr>
        <w:t>（特殊情况以合同为准）</w:t>
      </w:r>
    </w:p>
    <w:p w14:paraId="1042DDC8">
      <w:pPr>
        <w:spacing w:line="360" w:lineRule="auto"/>
        <w:ind w:firstLine="480" w:firstLineChars="200"/>
        <w:jc w:val="left"/>
        <w:rPr>
          <w:rFonts w:cs="Times New Roman" w:asciiTheme="minorEastAsia" w:hAnsiTheme="minorEastAsia"/>
          <w:color w:val="auto"/>
          <w:sz w:val="24"/>
          <w:szCs w:val="24"/>
        </w:rPr>
      </w:pPr>
      <w:r>
        <w:rPr>
          <w:rFonts w:hint="eastAsia" w:cs="Times New Roman" w:asciiTheme="minorEastAsia" w:hAnsiTheme="minorEastAsia"/>
          <w:color w:val="auto"/>
          <w:sz w:val="24"/>
          <w:szCs w:val="24"/>
        </w:rPr>
        <w:t>2、履约保证金</w:t>
      </w: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rPr>
        <w:t>本项目不收取履约保证金。</w:t>
      </w:r>
    </w:p>
    <w:p w14:paraId="2576653B">
      <w:pPr>
        <w:spacing w:line="360" w:lineRule="auto"/>
        <w:ind w:firstLine="562" w:firstLineChars="200"/>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七</w:t>
      </w:r>
      <w:r>
        <w:rPr>
          <w:rFonts w:hint="eastAsia" w:ascii="Times New Roman" w:hAnsi="Times New Roman" w:eastAsia="宋体" w:cs="Times New Roman"/>
          <w:b/>
          <w:color w:val="auto"/>
          <w:sz w:val="28"/>
          <w:szCs w:val="28"/>
        </w:rPr>
        <w:t>、报价要求</w:t>
      </w:r>
    </w:p>
    <w:p w14:paraId="0190887F">
      <w:pPr>
        <w:spacing w:line="360" w:lineRule="auto"/>
        <w:ind w:firstLine="480" w:firstLineChars="200"/>
        <w:rPr>
          <w:rFonts w:hint="eastAsia" w:ascii="Times New Roman" w:hAnsi="Times New Roman" w:eastAsia="宋体" w:cs="Times New Roman"/>
          <w:b w:val="0"/>
          <w:bCs/>
          <w:color w:val="auto"/>
          <w:sz w:val="24"/>
          <w:szCs w:val="24"/>
          <w:lang w:val="en-US" w:eastAsia="zh-CN"/>
        </w:rPr>
      </w:pPr>
      <w:r>
        <w:rPr>
          <w:rFonts w:hint="eastAsia" w:ascii="Times New Roman" w:hAnsi="Times New Roman" w:eastAsia="宋体" w:cs="Times New Roman"/>
          <w:b w:val="0"/>
          <w:bCs/>
          <w:color w:val="auto"/>
          <w:sz w:val="24"/>
          <w:szCs w:val="24"/>
          <w:lang w:val="en-US" w:eastAsia="zh-CN"/>
        </w:rPr>
        <w:t>1、本项目以人民币报价，报价不得超过预算最高限价。</w:t>
      </w:r>
    </w:p>
    <w:p w14:paraId="1E07F3B6">
      <w:pPr>
        <w:spacing w:line="360" w:lineRule="auto"/>
        <w:ind w:firstLine="480" w:firstLineChars="200"/>
        <w:rPr>
          <w:rFonts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lang w:val="en-US" w:eastAsia="zh-CN"/>
          <w14:textFill>
            <w14:solidFill>
              <w14:schemeClr w14:val="tx1"/>
            </w14:solidFill>
          </w14:textFill>
        </w:rPr>
        <w:t>2、</w:t>
      </w:r>
      <w:r>
        <w:rPr>
          <w:rFonts w:hint="eastAsia" w:ascii="宋体" w:hAnsi="宋体" w:eastAsia="宋体" w:cs="Times New Roman"/>
          <w:b w:val="0"/>
          <w:bCs w:val="0"/>
          <w:color w:val="000000" w:themeColor="text1"/>
          <w:sz w:val="24"/>
          <w:szCs w:val="24"/>
          <w14:textFill>
            <w14:solidFill>
              <w14:schemeClr w14:val="tx1"/>
            </w14:solidFill>
          </w14:textFill>
        </w:rPr>
        <w:t>报价内容应包括</w:t>
      </w:r>
      <w:r>
        <w:rPr>
          <w:rFonts w:ascii="Times New Roman" w:hAnsi="Times New Roman" w:cs="Times New Roman"/>
          <w:color w:val="000000" w:themeColor="text1"/>
          <w:sz w:val="24"/>
          <w:szCs w:val="24"/>
          <w:lang w:val="en-US" w:eastAsia="zh-CN"/>
          <w14:textFill>
            <w14:solidFill>
              <w14:schemeClr w14:val="tx1"/>
            </w14:solidFill>
          </w14:textFill>
        </w:rPr>
        <w:t>但不限于人员成本、各类劳务费用、社会保障缴费、福利、工具、通讯设施、办公设备、利润、税费、政策性文件规定及合同包含的所有风险、责任等。要充分考虑所有工作人员的值休、轮休、法定假日休息以及岗位顶班、日常机动人员的配备，以上所有费用均计入总价。</w:t>
      </w:r>
    </w:p>
    <w:p w14:paraId="45CBBA01">
      <w:pPr>
        <w:spacing w:line="360" w:lineRule="auto"/>
        <w:ind w:firstLine="562" w:firstLineChars="200"/>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八</w:t>
      </w:r>
      <w:r>
        <w:rPr>
          <w:rFonts w:hint="eastAsia" w:ascii="Times New Roman" w:hAnsi="Times New Roman" w:eastAsia="宋体" w:cs="Times New Roman"/>
          <w:b/>
          <w:color w:val="000000" w:themeColor="text1"/>
          <w:sz w:val="28"/>
          <w:szCs w:val="28"/>
          <w14:textFill>
            <w14:solidFill>
              <w14:schemeClr w14:val="tx1"/>
            </w14:solidFill>
          </w14:textFill>
        </w:rPr>
        <w:t>、其他</w:t>
      </w:r>
    </w:p>
    <w:p w14:paraId="2EB71A2B">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特别提醒投标人：应根据国家收费标准并结合市场实际进行报价，总价包干。</w:t>
      </w:r>
    </w:p>
    <w:p w14:paraId="3896487D">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工作中涉及的敏感资料、电子数据等相关信息，中标人应严格执行保密的相关规定，不得以任何方式向任何第三人披露、泄露或许可第三人使用，否则追究其相应法律责任。</w:t>
      </w:r>
    </w:p>
    <w:p w14:paraId="6844C2B3">
      <w:pPr>
        <w:widowControl/>
        <w:jc w:val="left"/>
        <w:rPr>
          <w:rFonts w:ascii="黑体" w:hAnsi="黑体" w:eastAsia="黑体"/>
          <w:bCs/>
          <w:kern w:val="44"/>
          <w:sz w:val="44"/>
          <w:szCs w:val="44"/>
        </w:rPr>
      </w:pPr>
      <w:r>
        <w:rPr>
          <w:rFonts w:ascii="黑体" w:hAnsi="黑体" w:eastAsia="黑体"/>
          <w:b/>
          <w:color w:val="FF0000"/>
        </w:rPr>
        <w:br w:type="page"/>
      </w:r>
    </w:p>
    <w:p w14:paraId="34923D40">
      <w:pPr>
        <w:pStyle w:val="4"/>
        <w:spacing w:beforeLines="50" w:afterLines="50"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9"/>
    </w:p>
    <w:p w14:paraId="1838E8CC">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14:paraId="15BAFEC2">
      <w:pPr>
        <w:spacing w:line="500" w:lineRule="exact"/>
        <w:ind w:firstLine="480" w:firstLineChars="20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764693AA">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14:paraId="4F6B02FA">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49488CB5">
      <w:pPr>
        <w:spacing w:line="500" w:lineRule="exact"/>
        <w:ind w:firstLine="480" w:firstLineChars="200"/>
        <w:jc w:val="left"/>
        <w:rPr>
          <w:sz w:val="24"/>
          <w:szCs w:val="24"/>
        </w:rPr>
      </w:pPr>
      <w:r>
        <w:rPr>
          <w:rFonts w:hint="eastAsia"/>
          <w:sz w:val="24"/>
          <w:szCs w:val="24"/>
        </w:rPr>
        <w:t>（2）本项目评分总分为100分，按四舍五入取至小数点后两位。</w:t>
      </w:r>
    </w:p>
    <w:p w14:paraId="6F0A312D">
      <w:pPr>
        <w:spacing w:line="500" w:lineRule="exact"/>
        <w:ind w:firstLine="480" w:firstLineChars="200"/>
        <w:jc w:val="left"/>
        <w:rPr>
          <w:sz w:val="24"/>
          <w:szCs w:val="24"/>
        </w:rPr>
      </w:pPr>
      <w:r>
        <w:rPr>
          <w:rFonts w:hint="eastAsia"/>
          <w:sz w:val="24"/>
          <w:szCs w:val="24"/>
        </w:rPr>
        <w:t>（3）总得分=价格分+商务分+技术分。</w:t>
      </w:r>
    </w:p>
    <w:p w14:paraId="10BB2D5F">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4EB1BA3B">
      <w:pPr>
        <w:spacing w:line="500" w:lineRule="exact"/>
        <w:ind w:firstLine="482" w:firstLineChars="200"/>
        <w:jc w:val="left"/>
        <w:rPr>
          <w:b/>
          <w:bCs/>
          <w:color w:val="auto"/>
          <w:sz w:val="24"/>
          <w:szCs w:val="24"/>
        </w:rPr>
      </w:pPr>
      <w:r>
        <w:rPr>
          <w:rFonts w:hint="eastAsia"/>
          <w:b/>
          <w:bCs/>
          <w:color w:val="auto"/>
          <w:sz w:val="24"/>
          <w:szCs w:val="24"/>
        </w:rPr>
        <w:t>（1）价格（</w:t>
      </w:r>
      <w:r>
        <w:rPr>
          <w:rFonts w:hint="eastAsia"/>
          <w:b/>
          <w:bCs/>
          <w:color w:val="auto"/>
          <w:sz w:val="24"/>
          <w:szCs w:val="24"/>
          <w:lang w:val="en-US" w:eastAsia="zh-CN"/>
        </w:rPr>
        <w:t>30</w:t>
      </w:r>
      <w:r>
        <w:rPr>
          <w:rFonts w:hint="eastAsia"/>
          <w:b/>
          <w:bCs/>
          <w:color w:val="auto"/>
          <w:sz w:val="24"/>
          <w:szCs w:val="24"/>
        </w:rPr>
        <w:t>分）</w:t>
      </w:r>
    </w:p>
    <w:p w14:paraId="432E9976">
      <w:pPr>
        <w:spacing w:line="500" w:lineRule="exact"/>
        <w:ind w:firstLine="480" w:firstLineChars="200"/>
        <w:jc w:val="left"/>
        <w:rPr>
          <w:color w:val="auto"/>
          <w:sz w:val="24"/>
          <w:szCs w:val="24"/>
        </w:rPr>
      </w:pPr>
      <w:r>
        <w:rPr>
          <w:rFonts w:hint="eastAsia"/>
          <w:color w:val="auto"/>
          <w:sz w:val="24"/>
          <w:szCs w:val="24"/>
        </w:rPr>
        <w:t>采用低价优先法计算，即满足招标文件要求且投标价格最低的投标报价为评标基准价，其价格分为满分。其他投标人的价格分统一按照下列公式计算：</w:t>
      </w:r>
    </w:p>
    <w:p w14:paraId="63454E2A">
      <w:pPr>
        <w:spacing w:line="500" w:lineRule="exact"/>
        <w:ind w:firstLine="480" w:firstLineChars="200"/>
        <w:jc w:val="left"/>
        <w:rPr>
          <w:color w:val="auto"/>
          <w:sz w:val="24"/>
          <w:szCs w:val="24"/>
        </w:rPr>
      </w:pPr>
      <w:r>
        <w:rPr>
          <w:rFonts w:hint="eastAsia"/>
          <w:color w:val="auto"/>
          <w:sz w:val="24"/>
          <w:szCs w:val="24"/>
        </w:rPr>
        <w:t>投标报价得分=（评标基准价/投标报价）×</w:t>
      </w:r>
      <w:r>
        <w:rPr>
          <w:rFonts w:hint="eastAsia"/>
          <w:color w:val="auto"/>
          <w:sz w:val="24"/>
          <w:szCs w:val="24"/>
          <w:lang w:val="en-US" w:eastAsia="zh-CN"/>
        </w:rPr>
        <w:t>30</w:t>
      </w:r>
      <w:r>
        <w:rPr>
          <w:rFonts w:hint="eastAsia"/>
          <w:color w:val="auto"/>
          <w:sz w:val="24"/>
          <w:szCs w:val="24"/>
        </w:rPr>
        <w:t>分</w:t>
      </w:r>
    </w:p>
    <w:p w14:paraId="13AD3D3E">
      <w:pPr>
        <w:spacing w:line="500" w:lineRule="exact"/>
        <w:ind w:firstLine="482" w:firstLineChars="200"/>
        <w:jc w:val="left"/>
        <w:rPr>
          <w:b/>
          <w:bCs/>
          <w:color w:val="auto"/>
          <w:sz w:val="24"/>
          <w:szCs w:val="24"/>
        </w:rPr>
      </w:pPr>
      <w:r>
        <w:rPr>
          <w:rFonts w:hint="eastAsia"/>
          <w:b/>
          <w:bCs/>
          <w:color w:val="auto"/>
          <w:sz w:val="24"/>
          <w:szCs w:val="24"/>
        </w:rPr>
        <w:t>（2）商务分（</w:t>
      </w:r>
      <w:r>
        <w:rPr>
          <w:rFonts w:hint="eastAsia"/>
          <w:b/>
          <w:bCs/>
          <w:color w:val="auto"/>
          <w:sz w:val="24"/>
          <w:szCs w:val="24"/>
          <w:lang w:val="en-US" w:eastAsia="zh-CN"/>
        </w:rPr>
        <w:t>30</w:t>
      </w:r>
      <w:r>
        <w:rPr>
          <w:rFonts w:hint="eastAsia"/>
          <w:b/>
          <w:bCs/>
          <w:color w:val="auto"/>
          <w:sz w:val="24"/>
          <w:szCs w:val="24"/>
        </w:rPr>
        <w:t>分）</w:t>
      </w:r>
    </w:p>
    <w:tbl>
      <w:tblPr>
        <w:tblStyle w:val="21"/>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7"/>
        <w:gridCol w:w="7456"/>
      </w:tblGrid>
      <w:tr w14:paraId="220F0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297" w:type="dxa"/>
            <w:vAlign w:val="center"/>
          </w:tcPr>
          <w:p w14:paraId="4306917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评审因素</w:t>
            </w:r>
          </w:p>
        </w:tc>
        <w:tc>
          <w:tcPr>
            <w:tcW w:w="7456" w:type="dxa"/>
            <w:vAlign w:val="center"/>
          </w:tcPr>
          <w:p w14:paraId="66FBCB2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评审标准</w:t>
            </w:r>
          </w:p>
        </w:tc>
      </w:tr>
      <w:tr w14:paraId="500BC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vAlign w:val="center"/>
          </w:tcPr>
          <w:p w14:paraId="02743D4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投标人业绩</w:t>
            </w:r>
          </w:p>
          <w:p w14:paraId="0BB6CDD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Times New Roman"/>
                <w:bCs/>
                <w:color w:val="auto"/>
                <w:kern w:val="2"/>
                <w:sz w:val="24"/>
                <w:szCs w:val="28"/>
                <w:highlight w:val="none"/>
                <w:lang w:val="en-US" w:eastAsia="zh-CN" w:bidi="ar-SA"/>
              </w:rPr>
            </w:pPr>
            <w:r>
              <w:rPr>
                <w:rFonts w:hint="eastAsia" w:ascii="宋体" w:hAnsi="宋体" w:eastAsia="宋体" w:cs="Times New Roman"/>
                <w:bCs/>
                <w:color w:val="auto"/>
                <w:sz w:val="24"/>
                <w:szCs w:val="28"/>
                <w:highlight w:val="none"/>
                <w:lang w:val="en-US" w:eastAsia="zh-CN"/>
              </w:rPr>
              <w:t>（15分）</w:t>
            </w:r>
          </w:p>
        </w:tc>
        <w:tc>
          <w:tcPr>
            <w:tcW w:w="7456" w:type="dxa"/>
            <w:vAlign w:val="center"/>
          </w:tcPr>
          <w:p w14:paraId="657028CE">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自2021年1月1日（含）以来，投标人承担过类似污泥处置的相关业绩，每有一个得5分，最高得15分。</w:t>
            </w:r>
          </w:p>
          <w:p w14:paraId="1055FB6D">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注：时间以合同签订时间为准，投标文件中需提供有效服务合同的原件扫描件，否则不得分。</w:t>
            </w:r>
          </w:p>
        </w:tc>
      </w:tr>
      <w:tr w14:paraId="0668E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vAlign w:val="center"/>
          </w:tcPr>
          <w:p w14:paraId="3A5F3725">
            <w:pPr>
              <w:spacing w:before="180" w:line="221" w:lineRule="auto"/>
              <w:jc w:val="center"/>
              <w:rPr>
                <w:rFonts w:hint="default"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人员评价</w:t>
            </w:r>
          </w:p>
          <w:p w14:paraId="35304A45">
            <w:pPr>
              <w:spacing w:before="180" w:line="221" w:lineRule="auto"/>
              <w:jc w:val="center"/>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(15分)</w:t>
            </w:r>
          </w:p>
        </w:tc>
        <w:tc>
          <w:tcPr>
            <w:tcW w:w="7456" w:type="dxa"/>
            <w:vAlign w:val="top"/>
          </w:tcPr>
          <w:p w14:paraId="756E65FB">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项目组成员配备：</w:t>
            </w:r>
          </w:p>
          <w:p w14:paraId="67B3163C">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（1）技术负责人（具有中级及以上职称），有一人得5分；</w:t>
            </w:r>
          </w:p>
          <w:p w14:paraId="2B235A7A">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（2）技术员（具有中级及以上职称）每提供一人得5分，最高得10分。</w:t>
            </w:r>
          </w:p>
          <w:p w14:paraId="7D400BA8">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注：投标人应提供有效的证书原件扫描件上传响应文件，以上材料未提供或提供不全的不得分。</w:t>
            </w:r>
          </w:p>
        </w:tc>
      </w:tr>
    </w:tbl>
    <w:p w14:paraId="06774975">
      <w:pPr>
        <w:keepNext w:val="0"/>
        <w:keepLines w:val="0"/>
        <w:pageBreakBefore w:val="0"/>
        <w:kinsoku/>
        <w:wordWrap/>
        <w:overflowPunct/>
        <w:topLinePunct w:val="0"/>
        <w:autoSpaceDE/>
        <w:autoSpaceDN/>
        <w:bidi w:val="0"/>
        <w:adjustRightInd w:val="0"/>
        <w:snapToGrid w:val="0"/>
        <w:spacing w:line="240" w:lineRule="auto"/>
        <w:ind w:firstLine="482" w:firstLineChars="200"/>
        <w:jc w:val="left"/>
        <w:textAlignment w:val="auto"/>
        <w:rPr>
          <w:rFonts w:hint="eastAsia" w:ascii="宋体" w:hAnsi="宋体" w:eastAsia="宋体" w:cs="Times New Roman"/>
          <w:b/>
          <w:bCs w:val="0"/>
          <w:color w:val="auto"/>
          <w:sz w:val="24"/>
          <w:szCs w:val="28"/>
          <w:highlight w:val="none"/>
          <w:lang w:val="en-US" w:eastAsia="zh-CN"/>
        </w:rPr>
      </w:pPr>
      <w:r>
        <w:rPr>
          <w:rFonts w:hint="eastAsia" w:ascii="宋体" w:hAnsi="宋体" w:eastAsia="宋体" w:cs="Times New Roman"/>
          <w:b/>
          <w:bCs w:val="0"/>
          <w:color w:val="auto"/>
          <w:sz w:val="24"/>
          <w:szCs w:val="28"/>
          <w:highlight w:val="none"/>
          <w:lang w:val="en-US" w:eastAsia="zh-CN"/>
        </w:rPr>
        <w:t>（3）技术分（40分）</w:t>
      </w:r>
    </w:p>
    <w:tbl>
      <w:tblPr>
        <w:tblStyle w:val="21"/>
        <w:tblW w:w="87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2"/>
        <w:gridCol w:w="7471"/>
      </w:tblGrid>
      <w:tr w14:paraId="73FC4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312" w:type="dxa"/>
            <w:vAlign w:val="center"/>
          </w:tcPr>
          <w:p w14:paraId="1860BDB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评审因素</w:t>
            </w:r>
          </w:p>
        </w:tc>
        <w:tc>
          <w:tcPr>
            <w:tcW w:w="7471" w:type="dxa"/>
            <w:vAlign w:val="center"/>
          </w:tcPr>
          <w:p w14:paraId="26E9762D">
            <w:pPr>
              <w:keepNext w:val="0"/>
              <w:keepLines w:val="0"/>
              <w:pageBreakBefore w:val="0"/>
              <w:kinsoku/>
              <w:wordWrap/>
              <w:overflowPunct/>
              <w:topLinePunct w:val="0"/>
              <w:autoSpaceDE/>
              <w:autoSpaceDN/>
              <w:bidi w:val="0"/>
              <w:adjustRightInd w:val="0"/>
              <w:snapToGrid w:val="0"/>
              <w:spacing w:line="240" w:lineRule="auto"/>
              <w:ind w:firstLine="482" w:firstLineChars="200"/>
              <w:jc w:val="center"/>
              <w:textAlignment w:val="auto"/>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评审标准</w:t>
            </w:r>
          </w:p>
        </w:tc>
      </w:tr>
      <w:tr w14:paraId="04C86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restart"/>
            <w:vAlign w:val="center"/>
          </w:tcPr>
          <w:p w14:paraId="68D79491">
            <w:pPr>
              <w:adjustRightInd w:val="0"/>
              <w:snapToGrid w:val="0"/>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服务方案（36分）</w:t>
            </w:r>
          </w:p>
          <w:p w14:paraId="08CCAAE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08CE9233">
            <w:pPr>
              <w:adjustRightInd w:val="0"/>
              <w:snapToGrid w:val="0"/>
              <w:spacing w:line="360" w:lineRule="auto"/>
              <w:rPr>
                <w:rFonts w:hint="eastAsia" w:ascii="宋体" w:hAnsi="宋体" w:cs="宋体"/>
                <w:bCs/>
                <w:color w:val="auto"/>
                <w:sz w:val="24"/>
                <w:szCs w:val="24"/>
              </w:rPr>
            </w:pPr>
            <w:r>
              <w:rPr>
                <w:rFonts w:hint="eastAsia" w:ascii="宋体" w:hAnsi="宋体" w:eastAsia="宋体" w:cs="宋体"/>
                <w:b/>
                <w:bCs/>
                <w:color w:val="auto"/>
                <w:sz w:val="24"/>
                <w:szCs w:val="24"/>
                <w:lang w:val="en-US" w:eastAsia="zh-CN"/>
              </w:rPr>
              <w:t>1、服务方案（6分）</w:t>
            </w:r>
          </w:p>
          <w:p w14:paraId="1D097315">
            <w:pPr>
              <w:adjustRightInd w:val="0"/>
              <w:snapToGrid w:val="0"/>
              <w:spacing w:line="360" w:lineRule="auto"/>
              <w:rPr>
                <w:rFonts w:hint="eastAsia" w:ascii="宋体" w:hAnsi="宋体" w:cs="宋体" w:eastAsiaTheme="minorEastAsia"/>
                <w:bCs/>
                <w:color w:val="auto"/>
                <w:sz w:val="24"/>
                <w:szCs w:val="24"/>
                <w:lang w:eastAsia="zh-CN"/>
              </w:rPr>
            </w:pPr>
            <w:r>
              <w:rPr>
                <w:rFonts w:hint="eastAsia" w:ascii="宋体" w:hAnsi="宋体" w:cs="宋体"/>
                <w:bCs/>
                <w:color w:val="auto"/>
                <w:sz w:val="24"/>
                <w:szCs w:val="24"/>
              </w:rPr>
              <w:t>制定本项目总体服务方案，包括但不限于场地设施建设、人员安排、车辆保管、规章制度、服务承诺等内容进行评审</w:t>
            </w:r>
            <w:r>
              <w:rPr>
                <w:rFonts w:hint="eastAsia" w:ascii="宋体" w:hAnsi="宋体" w:cs="宋体"/>
                <w:bCs/>
                <w:color w:val="auto"/>
                <w:sz w:val="24"/>
                <w:szCs w:val="24"/>
                <w:lang w:eastAsia="zh-CN"/>
              </w:rPr>
              <w:t>：</w:t>
            </w:r>
          </w:p>
          <w:p w14:paraId="4F6A441B">
            <w:pPr>
              <w:adjustRightInd w:val="0"/>
              <w:snapToGrid w:val="0"/>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计划及措施科学可行，安排得当：</w:t>
            </w:r>
            <w:r>
              <w:rPr>
                <w:rFonts w:hint="eastAsia" w:ascii="宋体" w:hAnsi="宋体" w:cs="宋体"/>
                <w:bCs/>
                <w:color w:val="auto"/>
                <w:sz w:val="24"/>
                <w:szCs w:val="24"/>
                <w:lang w:val="en-US" w:eastAsia="zh-CN"/>
              </w:rPr>
              <w:t>6</w:t>
            </w:r>
            <w:r>
              <w:rPr>
                <w:rFonts w:hint="eastAsia" w:ascii="宋体" w:hAnsi="宋体" w:cs="宋体"/>
                <w:bCs/>
                <w:color w:val="auto"/>
                <w:sz w:val="24"/>
                <w:szCs w:val="24"/>
              </w:rPr>
              <w:t>分</w:t>
            </w:r>
          </w:p>
          <w:p w14:paraId="79B965D5">
            <w:pPr>
              <w:adjustRightInd w:val="0"/>
              <w:snapToGrid w:val="0"/>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计划及措施比较合理，安排基本满足：</w:t>
            </w:r>
            <w:r>
              <w:rPr>
                <w:rFonts w:hint="eastAsia" w:ascii="宋体" w:hAnsi="宋体" w:cs="宋体"/>
                <w:bCs/>
                <w:color w:val="auto"/>
                <w:sz w:val="24"/>
                <w:szCs w:val="24"/>
                <w:lang w:val="en-US" w:eastAsia="zh-CN"/>
              </w:rPr>
              <w:t>4</w:t>
            </w:r>
            <w:r>
              <w:rPr>
                <w:rFonts w:hint="eastAsia" w:ascii="宋体" w:hAnsi="宋体" w:cs="宋体"/>
                <w:bCs/>
                <w:color w:val="auto"/>
                <w:sz w:val="24"/>
                <w:szCs w:val="24"/>
              </w:rPr>
              <w:t>分；</w:t>
            </w:r>
          </w:p>
          <w:p w14:paraId="58981355">
            <w:pPr>
              <w:adjustRightInd w:val="0"/>
              <w:snapToGrid w:val="0"/>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计划及措施一般，安排一般：</w:t>
            </w:r>
            <w:r>
              <w:rPr>
                <w:rFonts w:hint="eastAsia" w:ascii="宋体" w:hAnsi="宋体" w:cs="宋体"/>
                <w:bCs/>
                <w:color w:val="auto"/>
                <w:sz w:val="24"/>
                <w:szCs w:val="24"/>
                <w:lang w:val="en-US" w:eastAsia="zh-CN"/>
              </w:rPr>
              <w:t>2</w:t>
            </w:r>
            <w:r>
              <w:rPr>
                <w:rFonts w:hint="eastAsia" w:ascii="宋体" w:hAnsi="宋体" w:cs="宋体"/>
                <w:bCs/>
                <w:color w:val="auto"/>
                <w:sz w:val="24"/>
                <w:szCs w:val="24"/>
              </w:rPr>
              <w:t>分。</w:t>
            </w:r>
          </w:p>
          <w:p w14:paraId="66EA1078">
            <w:pPr>
              <w:adjustRightInd w:val="0"/>
              <w:snapToGrid w:val="0"/>
              <w:spacing w:line="360" w:lineRule="auto"/>
              <w:rPr>
                <w:rFonts w:hint="eastAsia" w:ascii="宋体" w:hAnsi="宋体" w:cs="宋体"/>
                <w:bCs/>
                <w:color w:val="auto"/>
                <w:sz w:val="24"/>
                <w:szCs w:val="24"/>
              </w:rPr>
            </w:pPr>
            <w:r>
              <w:rPr>
                <w:rFonts w:hint="eastAsia" w:ascii="宋体" w:hAnsi="宋体" w:cs="宋体"/>
                <w:bCs/>
                <w:color w:val="auto"/>
                <w:sz w:val="24"/>
                <w:szCs w:val="24"/>
              </w:rPr>
              <w:t>不提供不得分。</w:t>
            </w:r>
          </w:p>
        </w:tc>
      </w:tr>
      <w:tr w14:paraId="7D0B7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5028DC6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49FEC2DB">
            <w:pPr>
              <w:spacing w:line="360" w:lineRule="auto"/>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运输、应急预案(</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分)</w:t>
            </w:r>
          </w:p>
          <w:p w14:paraId="6DD1576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运输方案、应急预案详细，滴漏抛洒等保障；</w:t>
            </w:r>
          </w:p>
          <w:p w14:paraId="2A855A3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4911002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131C40B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552903F1">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不提供不得分。</w:t>
            </w:r>
          </w:p>
        </w:tc>
      </w:tr>
      <w:tr w14:paraId="228B3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23B2382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4D030980">
            <w:pPr>
              <w:pStyle w:val="9"/>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机具设备及劳动力配置方案（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34B113CA">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机具配置、劳动力配置合理，方案及措施切实可行：</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0E43D911">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机具配置、劳动力配置较为合理，方案及措施可行性较强：</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4ED2EDE2">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机具配置、劳动力配置不合理，方案及措施实施性差：2分；</w:t>
            </w:r>
          </w:p>
          <w:p w14:paraId="7D87142D">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不提供不得分。</w:t>
            </w:r>
          </w:p>
        </w:tc>
      </w:tr>
      <w:tr w14:paraId="41573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72C0ACA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7C301DB3">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4、污泥处置专业</w:t>
            </w:r>
            <w:r>
              <w:rPr>
                <w:rFonts w:hint="eastAsia" w:ascii="宋体" w:hAnsi="宋体" w:eastAsia="宋体" w:cs="宋体"/>
                <w:b/>
                <w:bCs/>
                <w:color w:val="auto"/>
                <w:sz w:val="24"/>
                <w:szCs w:val="24"/>
              </w:rPr>
              <w:t>方案</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6E9628D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污泥处置</w:t>
            </w:r>
            <w:r>
              <w:rPr>
                <w:rFonts w:hint="eastAsia" w:ascii="宋体" w:hAnsi="宋体" w:eastAsia="宋体" w:cs="宋体"/>
                <w:color w:val="auto"/>
                <w:sz w:val="24"/>
                <w:szCs w:val="24"/>
              </w:rPr>
              <w:t>方案的可行性、合理性、可操作性、可拓展性进行评分。</w:t>
            </w:r>
          </w:p>
          <w:p w14:paraId="6A48889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完善且科学合理得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5167A9B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较合理的得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6A87BA8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欠缺的得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6AC2945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不提供不得分。</w:t>
            </w:r>
          </w:p>
        </w:tc>
      </w:tr>
      <w:tr w14:paraId="50179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7F24901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7A88348C">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安全文明施工</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3EC36B3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提供针对本项目的安全文明施工和环境保护措施</w:t>
            </w:r>
          </w:p>
          <w:p w14:paraId="0416D8A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703A01D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13526F2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078D194D">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不提供不得分。</w:t>
            </w:r>
          </w:p>
        </w:tc>
      </w:tr>
      <w:tr w14:paraId="0AB5A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4B7E5EB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2C7F319D">
            <w:pPr>
              <w:spacing w:line="360" w:lineRule="auto"/>
              <w:jc w:val="left"/>
              <w:rPr>
                <w:rFonts w:hint="eastAsia" w:ascii="宋体" w:hAnsi="宋体" w:eastAsia="宋体" w:cs="宋体"/>
                <w:bCs/>
                <w:color w:val="auto"/>
                <w:sz w:val="24"/>
                <w:szCs w:val="24"/>
              </w:rPr>
            </w:pP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售后服务方案（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273E3A00">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包括但不限于售后服务及响应速度、售后服务内容、问题解决方案、响应次数、响应时间、技术升级、专业技术人员保障及售后技术装备、备品备件等内容。</w:t>
            </w:r>
          </w:p>
          <w:p w14:paraId="3CD6A7BE">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方案科学合理且可实施性强的：</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64E0F6F4">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方案较科学合理、可实施性较强的：</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57135258">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方案一般、可实施性一般的：2分；</w:t>
            </w:r>
          </w:p>
          <w:p w14:paraId="0CEC6BFC">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bCs/>
                <w:color w:val="auto"/>
                <w:sz w:val="24"/>
                <w:szCs w:val="24"/>
              </w:rPr>
              <w:t>不提供不得分。</w:t>
            </w:r>
          </w:p>
        </w:tc>
      </w:tr>
      <w:tr w14:paraId="751F3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312" w:type="dxa"/>
            <w:vAlign w:val="center"/>
          </w:tcPr>
          <w:p w14:paraId="4991A037">
            <w:pPr>
              <w:spacing w:before="68" w:line="221" w:lineRule="auto"/>
              <w:jc w:val="center"/>
              <w:rPr>
                <w:rFonts w:hint="eastAsia" w:ascii="宋体" w:hAnsi="宋体" w:eastAsia="宋体" w:cs="宋体"/>
                <w:color w:val="auto"/>
                <w:spacing w:val="6"/>
                <w:sz w:val="24"/>
                <w:szCs w:val="24"/>
                <w:lang w:val="en-US" w:eastAsia="zh-CN"/>
              </w:rPr>
            </w:pPr>
            <w:bookmarkStart w:id="21" w:name="_Toc155796361"/>
            <w:r>
              <w:rPr>
                <w:rFonts w:hint="eastAsia" w:ascii="宋体" w:hAnsi="宋体" w:eastAsia="宋体" w:cs="宋体"/>
                <w:color w:val="auto"/>
                <w:spacing w:val="6"/>
                <w:sz w:val="24"/>
                <w:szCs w:val="24"/>
                <w:lang w:val="en-US" w:eastAsia="zh-CN"/>
              </w:rPr>
              <w:t>合理化建议方案</w:t>
            </w:r>
          </w:p>
          <w:p w14:paraId="029C9983">
            <w:pPr>
              <w:spacing w:before="68" w:line="221" w:lineRule="auto"/>
              <w:jc w:val="center"/>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（4分）</w:t>
            </w:r>
          </w:p>
          <w:p w14:paraId="1324A42C">
            <w:pPr>
              <w:spacing w:before="68" w:line="221" w:lineRule="auto"/>
              <w:jc w:val="center"/>
              <w:rPr>
                <w:rFonts w:hint="eastAsia" w:ascii="宋体" w:hAnsi="宋体" w:eastAsia="宋体" w:cs="宋体"/>
                <w:color w:val="auto"/>
                <w:spacing w:val="6"/>
                <w:sz w:val="24"/>
                <w:szCs w:val="24"/>
                <w:lang w:val="en-US" w:eastAsia="zh-CN"/>
              </w:rPr>
            </w:pPr>
          </w:p>
        </w:tc>
        <w:tc>
          <w:tcPr>
            <w:tcW w:w="7471" w:type="dxa"/>
            <w:shd w:val="clear" w:color="auto" w:fill="FFFFFF"/>
            <w:vAlign w:val="center"/>
          </w:tcPr>
          <w:p w14:paraId="4883D2A5">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对本项目的难点、重点、合理化建议和技术支持。</w:t>
            </w:r>
          </w:p>
          <w:p w14:paraId="597C48A4">
            <w:pPr>
              <w:adjustRightInd w:val="0"/>
              <w:snapToGrid w:val="0"/>
              <w:spacing w:line="360" w:lineRule="auto"/>
              <w:rPr>
                <w:rFonts w:hint="eastAsia" w:ascii="宋体" w:hAnsi="宋体" w:cs="宋体"/>
                <w:color w:val="auto"/>
                <w:sz w:val="24"/>
                <w:szCs w:val="24"/>
              </w:rPr>
            </w:pPr>
            <w:r>
              <w:rPr>
                <w:rFonts w:hint="eastAsia" w:ascii="宋体" w:hAnsi="宋体" w:cs="宋体"/>
                <w:color w:val="auto"/>
                <w:sz w:val="24"/>
                <w:szCs w:val="24"/>
              </w:rPr>
              <w:t>方案合理，技术可行性高的得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p w14:paraId="7C784B83">
            <w:pPr>
              <w:adjustRightInd w:val="0"/>
              <w:snapToGrid w:val="0"/>
              <w:spacing w:line="360" w:lineRule="auto"/>
              <w:rPr>
                <w:rFonts w:hint="eastAsia" w:ascii="宋体" w:hAnsi="宋体" w:cs="宋体"/>
                <w:color w:val="auto"/>
                <w:sz w:val="24"/>
                <w:szCs w:val="24"/>
              </w:rPr>
            </w:pPr>
            <w:r>
              <w:rPr>
                <w:rFonts w:hint="eastAsia" w:ascii="宋体" w:hAnsi="宋体" w:cs="宋体"/>
                <w:color w:val="auto"/>
                <w:sz w:val="24"/>
                <w:szCs w:val="24"/>
              </w:rPr>
              <w:t>方案普通，技术可行性较弱的得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p>
          <w:p w14:paraId="45C42A94">
            <w:pPr>
              <w:adjustRightInd w:val="0"/>
              <w:snapToGrid w:val="0"/>
              <w:spacing w:line="360" w:lineRule="auto"/>
              <w:rPr>
                <w:rFonts w:hint="eastAsia" w:ascii="宋体" w:hAnsi="宋体" w:cs="宋体"/>
                <w:color w:val="auto"/>
                <w:sz w:val="24"/>
                <w:szCs w:val="24"/>
                <w:lang w:eastAsia="zh-CN"/>
              </w:rPr>
            </w:pPr>
            <w:r>
              <w:rPr>
                <w:rFonts w:hint="eastAsia" w:ascii="宋体" w:hAnsi="宋体" w:cs="宋体"/>
                <w:color w:val="auto"/>
                <w:sz w:val="24"/>
                <w:szCs w:val="24"/>
              </w:rPr>
              <w:t>方案不合理、技术可行性低的得</w:t>
            </w:r>
            <w:r>
              <w:rPr>
                <w:rFonts w:hint="eastAsia" w:ascii="宋体" w:hAnsi="宋体" w:cs="宋体"/>
                <w:color w:val="auto"/>
                <w:sz w:val="24"/>
                <w:szCs w:val="24"/>
                <w:lang w:val="en-US" w:eastAsia="zh-CN"/>
              </w:rPr>
              <w:t>1</w:t>
            </w:r>
            <w:r>
              <w:rPr>
                <w:rFonts w:hint="eastAsia" w:ascii="宋体" w:hAnsi="宋体" w:cs="宋体"/>
                <w:color w:val="auto"/>
                <w:sz w:val="24"/>
                <w:szCs w:val="24"/>
              </w:rPr>
              <w:t>分</w:t>
            </w:r>
            <w:r>
              <w:rPr>
                <w:rFonts w:hint="eastAsia" w:ascii="宋体" w:hAnsi="宋体" w:cs="宋体"/>
                <w:color w:val="auto"/>
                <w:sz w:val="24"/>
                <w:szCs w:val="24"/>
                <w:lang w:eastAsia="zh-CN"/>
              </w:rPr>
              <w:t>；</w:t>
            </w:r>
          </w:p>
          <w:p w14:paraId="48F359C1">
            <w:pPr>
              <w:adjustRightInd w:val="0"/>
              <w:snapToGrid w:val="0"/>
              <w:spacing w:line="360" w:lineRule="auto"/>
              <w:rPr>
                <w:rFonts w:hint="eastAsia" w:ascii="宋体" w:hAnsi="宋体" w:cs="宋体" w:eastAsiaTheme="minorEastAsia"/>
                <w:color w:val="auto"/>
                <w:kern w:val="2"/>
                <w:sz w:val="24"/>
                <w:szCs w:val="24"/>
                <w:lang w:val="en-US" w:eastAsia="zh-CN" w:bidi="ar-SA"/>
              </w:rPr>
            </w:pPr>
            <w:r>
              <w:rPr>
                <w:rFonts w:hint="eastAsia" w:ascii="宋体" w:hAnsi="宋体" w:cs="宋体"/>
                <w:bCs/>
                <w:color w:val="auto"/>
                <w:sz w:val="24"/>
                <w:szCs w:val="24"/>
                <w:lang w:val="en-US" w:eastAsia="zh-CN"/>
              </w:rPr>
              <w:t>未提供0分</w:t>
            </w:r>
            <w:r>
              <w:rPr>
                <w:rFonts w:hint="eastAsia" w:ascii="宋体" w:hAnsi="宋体" w:cs="宋体"/>
                <w:color w:val="auto"/>
                <w:sz w:val="24"/>
                <w:szCs w:val="24"/>
              </w:rPr>
              <w:t>。</w:t>
            </w:r>
          </w:p>
        </w:tc>
      </w:tr>
    </w:tbl>
    <w:p w14:paraId="5C57E60C">
      <w:pPr>
        <w:rPr>
          <w:rFonts w:hint="eastAsia" w:ascii="黑体" w:hAnsi="黑体" w:eastAsia="黑体"/>
          <w:b w:val="0"/>
        </w:rPr>
      </w:pPr>
    </w:p>
    <w:p w14:paraId="11730B6C">
      <w:pPr>
        <w:rPr>
          <w:rFonts w:hint="eastAsia" w:ascii="黑体" w:hAnsi="黑体" w:eastAsia="黑体"/>
          <w:b w:val="0"/>
        </w:rPr>
      </w:pPr>
      <w:r>
        <w:rPr>
          <w:rFonts w:hint="eastAsia" w:ascii="黑体" w:hAnsi="黑体" w:eastAsia="黑体"/>
          <w:b w:val="0"/>
        </w:rPr>
        <w:br w:type="page"/>
      </w:r>
    </w:p>
    <w:p w14:paraId="6CCCCE36">
      <w:pPr>
        <w:pStyle w:val="4"/>
        <w:spacing w:beforeLines="50" w:afterLines="50" w:line="360" w:lineRule="auto"/>
        <w:jc w:val="center"/>
        <w:rPr>
          <w:rFonts w:ascii="黑体" w:hAnsi="黑体" w:eastAsia="黑体"/>
          <w:b w:val="0"/>
        </w:rPr>
      </w:pPr>
      <w:r>
        <w:rPr>
          <w:rFonts w:hint="eastAsia" w:ascii="黑体" w:hAnsi="黑体" w:eastAsia="黑体"/>
          <w:b w:val="0"/>
        </w:rPr>
        <w:t>第六章  投标文件格式</w:t>
      </w:r>
      <w:bookmarkEnd w:id="21"/>
    </w:p>
    <w:p w14:paraId="4323E91C">
      <w:pPr>
        <w:spacing w:line="500" w:lineRule="exact"/>
        <w:jc w:val="left"/>
        <w:rPr>
          <w:sz w:val="24"/>
          <w:szCs w:val="24"/>
        </w:rPr>
      </w:pPr>
    </w:p>
    <w:p w14:paraId="2FBBB80E">
      <w:pPr>
        <w:jc w:val="center"/>
        <w:rPr>
          <w:rFonts w:ascii="宋体" w:hAnsi="宋体" w:eastAsia="宋体" w:cs="Times New Roman"/>
          <w:b/>
          <w:color w:val="000000"/>
          <w:kern w:val="0"/>
          <w:sz w:val="72"/>
          <w:szCs w:val="21"/>
        </w:rPr>
      </w:pPr>
    </w:p>
    <w:p w14:paraId="68FDA9D6">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14:paraId="6C757A08">
      <w:pPr>
        <w:jc w:val="center"/>
        <w:rPr>
          <w:rFonts w:ascii="宋体" w:hAnsi="宋体" w:eastAsia="宋体" w:cs="Times New Roman"/>
          <w:b/>
          <w:color w:val="000000"/>
          <w:kern w:val="0"/>
          <w:sz w:val="72"/>
          <w:szCs w:val="21"/>
        </w:rPr>
      </w:pPr>
    </w:p>
    <w:p w14:paraId="160A9BFA">
      <w:pPr>
        <w:jc w:val="center"/>
        <w:rPr>
          <w:rFonts w:ascii="宋体" w:hAnsi="宋体" w:eastAsia="宋体" w:cs="Times New Roman"/>
          <w:b/>
          <w:color w:val="000000"/>
          <w:kern w:val="0"/>
          <w:sz w:val="72"/>
          <w:szCs w:val="21"/>
        </w:rPr>
      </w:pPr>
    </w:p>
    <w:p w14:paraId="798F2592">
      <w:pPr>
        <w:jc w:val="center"/>
        <w:rPr>
          <w:rFonts w:ascii="宋体" w:hAnsi="宋体" w:eastAsia="宋体" w:cs="Times New Roman"/>
          <w:b/>
          <w:color w:val="000000"/>
          <w:kern w:val="0"/>
          <w:sz w:val="36"/>
          <w:szCs w:val="21"/>
        </w:rPr>
      </w:pPr>
    </w:p>
    <w:p w14:paraId="3ACFD54A">
      <w:pPr>
        <w:jc w:val="center"/>
        <w:rPr>
          <w:rFonts w:ascii="宋体" w:hAnsi="宋体" w:eastAsia="宋体" w:cs="Times New Roman"/>
          <w:b/>
          <w:color w:val="000000"/>
          <w:kern w:val="0"/>
          <w:sz w:val="36"/>
          <w:szCs w:val="21"/>
        </w:rPr>
      </w:pPr>
    </w:p>
    <w:p w14:paraId="10F1A27D">
      <w:pPr>
        <w:jc w:val="center"/>
        <w:rPr>
          <w:rFonts w:ascii="宋体" w:hAnsi="宋体" w:eastAsia="宋体" w:cs="Times New Roman"/>
          <w:b/>
          <w:color w:val="000000"/>
          <w:kern w:val="0"/>
          <w:sz w:val="36"/>
          <w:szCs w:val="21"/>
        </w:rPr>
      </w:pPr>
    </w:p>
    <w:p w14:paraId="3994EFE2">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14:paraId="72A5546B">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14:paraId="3E6EA6EA">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14:paraId="49C511DE">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14:paraId="3FD3580C">
      <w:pPr>
        <w:spacing w:line="440" w:lineRule="exact"/>
        <w:jc w:val="center"/>
        <w:rPr>
          <w:rFonts w:ascii="宋体" w:hAnsi="宋体" w:eastAsia="宋体" w:cs="Times New Roman"/>
          <w:b/>
          <w:bCs/>
          <w:color w:val="000000"/>
          <w:kern w:val="0"/>
          <w:sz w:val="32"/>
          <w:szCs w:val="32"/>
        </w:rPr>
      </w:pPr>
    </w:p>
    <w:p w14:paraId="27B80E56">
      <w:pPr>
        <w:spacing w:line="440" w:lineRule="exact"/>
        <w:rPr>
          <w:rFonts w:ascii="宋体" w:hAnsi="宋体" w:eastAsia="宋体" w:cs="Times New Roman"/>
          <w:color w:val="000000"/>
          <w:kern w:val="0"/>
          <w:szCs w:val="21"/>
        </w:rPr>
      </w:pPr>
    </w:p>
    <w:p w14:paraId="0ECC9877">
      <w:pPr>
        <w:spacing w:line="500" w:lineRule="exact"/>
        <w:jc w:val="left"/>
        <w:rPr>
          <w:sz w:val="24"/>
          <w:szCs w:val="24"/>
        </w:rPr>
      </w:pPr>
    </w:p>
    <w:p w14:paraId="7FFB75EF">
      <w:pPr>
        <w:spacing w:line="500" w:lineRule="exact"/>
        <w:jc w:val="left"/>
        <w:rPr>
          <w:sz w:val="24"/>
          <w:szCs w:val="24"/>
        </w:rPr>
      </w:pPr>
    </w:p>
    <w:p w14:paraId="23C361B9">
      <w:pPr>
        <w:spacing w:line="500" w:lineRule="exact"/>
        <w:jc w:val="left"/>
        <w:rPr>
          <w:sz w:val="24"/>
          <w:szCs w:val="24"/>
        </w:rPr>
      </w:pPr>
    </w:p>
    <w:p w14:paraId="16FD6429">
      <w:pPr>
        <w:widowControl/>
        <w:jc w:val="left"/>
        <w:rPr>
          <w:sz w:val="24"/>
          <w:szCs w:val="24"/>
        </w:rPr>
      </w:pPr>
      <w:r>
        <w:rPr>
          <w:sz w:val="24"/>
          <w:szCs w:val="24"/>
        </w:rPr>
        <w:br w:type="page"/>
      </w:r>
    </w:p>
    <w:p w14:paraId="7AB9CF79">
      <w:pPr>
        <w:keepNext/>
        <w:keepLines/>
        <w:spacing w:before="360" w:after="200" w:line="360" w:lineRule="auto"/>
        <w:jc w:val="left"/>
        <w:outlineLvl w:val="1"/>
        <w:rPr>
          <w:rFonts w:ascii="宋体" w:hAnsi="宋体" w:eastAsia="宋体" w:cs="宋体"/>
          <w:i/>
          <w:kern w:val="0"/>
          <w:sz w:val="36"/>
          <w:szCs w:val="36"/>
          <w:u w:val="single"/>
        </w:rPr>
      </w:pPr>
      <w:r>
        <w:rPr>
          <w:rFonts w:hint="eastAsia" w:ascii="宋体" w:hAnsi="宋体" w:eastAsia="宋体" w:cs="宋体"/>
          <w:i/>
          <w:kern w:val="0"/>
          <w:sz w:val="36"/>
          <w:szCs w:val="36"/>
          <w:u w:val="single"/>
        </w:rPr>
        <w:t>一、法人或者其他组织的营业执照等证明文件，自然人的身份证明</w:t>
      </w:r>
    </w:p>
    <w:p w14:paraId="2763263B"/>
    <w:p w14:paraId="69219A3F"/>
    <w:p w14:paraId="30463B2D">
      <w:pPr>
        <w:rPr>
          <w:rFonts w:hint="eastAsia" w:ascii="Arial" w:hAnsi="Arial" w:eastAsia="宋体" w:cs="Arial"/>
          <w:i/>
          <w:kern w:val="0"/>
          <w:sz w:val="36"/>
          <w:u w:val="single"/>
        </w:rPr>
      </w:pPr>
      <w:r>
        <w:rPr>
          <w:rFonts w:hint="eastAsia" w:ascii="Arial" w:hAnsi="Arial" w:eastAsia="宋体" w:cs="Arial"/>
          <w:i/>
          <w:kern w:val="0"/>
          <w:sz w:val="36"/>
          <w:u w:val="single"/>
        </w:rPr>
        <w:br w:type="page"/>
      </w:r>
    </w:p>
    <w:p w14:paraId="53E03019">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二、上一年度的财务状况报告</w:t>
      </w:r>
    </w:p>
    <w:p w14:paraId="06F7AD1D">
      <w:pPr>
        <w:spacing w:line="500" w:lineRule="exact"/>
        <w:ind w:firstLine="480" w:firstLineChars="200"/>
        <w:jc w:val="left"/>
        <w:rPr>
          <w:sz w:val="24"/>
          <w:szCs w:val="24"/>
        </w:rPr>
      </w:pPr>
      <w:r>
        <w:rPr>
          <w:rFonts w:hint="eastAsia"/>
          <w:sz w:val="24"/>
          <w:szCs w:val="24"/>
        </w:rPr>
        <w:t>（成立不满一年无需提供）</w:t>
      </w:r>
    </w:p>
    <w:p w14:paraId="108759C4"/>
    <w:p w14:paraId="3DE37307"/>
    <w:p w14:paraId="74CE32B8">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0A7F5812">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三、依法缴纳税收和社会保障资金的相关材料</w:t>
      </w:r>
    </w:p>
    <w:p w14:paraId="1C2319C1">
      <w:pPr>
        <w:spacing w:line="500" w:lineRule="exact"/>
        <w:ind w:firstLine="480" w:firstLineChars="20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3FCE11F4"/>
    <w:p w14:paraId="3F83F5C7"/>
    <w:p w14:paraId="70EB331F">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7A20164A">
      <w:pPr>
        <w:autoSpaceDE w:val="0"/>
        <w:autoSpaceDN w:val="0"/>
        <w:adjustRightInd w:val="0"/>
        <w:jc w:val="left"/>
        <w:rPr>
          <w:rFonts w:ascii="MS Mincho" w:hAnsi="Calibri" w:eastAsia="宋体" w:cs="Times New Roman"/>
          <w:color w:val="000000"/>
          <w:szCs w:val="24"/>
        </w:rPr>
      </w:pPr>
    </w:p>
    <w:p w14:paraId="1267C8A4">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63E5D55B">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ascii="Calibri" w:hAnsi="Calibri" w:eastAsia="宋体" w:cs="Times New Roman"/>
          <w:i/>
          <w:iCs/>
          <w:sz w:val="24"/>
          <w:szCs w:val="24"/>
          <w:u w:val="single"/>
          <w:lang w:val="en-US" w:eastAsia="zh-CN"/>
        </w:rPr>
        <w:t>投标人</w:t>
      </w:r>
      <w:r>
        <w:rPr>
          <w:rFonts w:hint="eastAsia" w:ascii="Calibri" w:hAnsi="Calibri" w:eastAsia="宋体" w:cs="Times New Roman"/>
          <w:i/>
          <w:iCs/>
          <w:sz w:val="24"/>
          <w:szCs w:val="24"/>
          <w:u w:val="single"/>
        </w:rPr>
        <w:t>名</w:t>
      </w:r>
      <w:r>
        <w:rPr>
          <w:rFonts w:hint="eastAsia" w:ascii="Calibri" w:hAnsi="Calibri" w:eastAsia="宋体" w:cs="Times New Roman"/>
          <w:i/>
          <w:sz w:val="24"/>
          <w:szCs w:val="24"/>
          <w:u w:val="single"/>
        </w:rPr>
        <w:t>称</w:t>
      </w:r>
      <w:r>
        <w:rPr>
          <w:rFonts w:hint="eastAsia" w:ascii="Calibri" w:hAnsi="Calibri" w:eastAsia="宋体" w:cs="Times New Roman"/>
          <w:sz w:val="24"/>
          <w:szCs w:val="24"/>
        </w:rPr>
        <w:t>参加</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rPr>
        <w:t>（</w:t>
      </w:r>
      <w:r>
        <w:rPr>
          <w:rFonts w:hint="eastAsia"/>
          <w:sz w:val="24"/>
          <w:szCs w:val="24"/>
          <w:u w:val="single"/>
        </w:rPr>
        <w:t>项目编号：</w:t>
      </w:r>
      <w:r>
        <w:rPr>
          <w:rFonts w:hint="eastAsia"/>
          <w:sz w:val="24"/>
          <w:szCs w:val="24"/>
          <w:u w:val="single"/>
          <w:lang w:eastAsia="zh-CN"/>
        </w:rPr>
        <w:t>JSZC-320722-BLZB-G2024-0020</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B672A8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43683F52">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0C280CEC">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06BA8FB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2955706A">
      <w:pPr>
        <w:spacing w:line="500" w:lineRule="exact"/>
        <w:ind w:firstLine="480" w:firstLineChars="200"/>
        <w:jc w:val="left"/>
        <w:rPr>
          <w:rFonts w:ascii="Calibri" w:hAnsi="Calibri" w:eastAsia="宋体" w:cs="Times New Roman"/>
          <w:sz w:val="24"/>
          <w:szCs w:val="24"/>
        </w:rPr>
      </w:pPr>
    </w:p>
    <w:p w14:paraId="5054F53F">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（公章）：</w:t>
      </w:r>
    </w:p>
    <w:p w14:paraId="2D642755">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7755178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FC9FD0D"/>
    <w:p w14:paraId="4D07173C"/>
    <w:p w14:paraId="785EB5EB">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03C2B565">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四、具备履行合同所必需的设备和专业技术能力的声明及证明材料</w:t>
      </w:r>
    </w:p>
    <w:p w14:paraId="29519274">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3A49AE4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0D35D835">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6774C1E8">
      <w:pPr>
        <w:autoSpaceDE w:val="0"/>
        <w:autoSpaceDN w:val="0"/>
        <w:adjustRightInd w:val="0"/>
        <w:jc w:val="left"/>
        <w:rPr>
          <w:rFonts w:ascii="Calibri" w:hAnsi="Calibri" w:eastAsia="宋体" w:cs="Times New Roman"/>
          <w:sz w:val="24"/>
          <w:szCs w:val="24"/>
        </w:rPr>
      </w:pPr>
    </w:p>
    <w:p w14:paraId="32844C0F">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7386AADF">
      <w:pPr>
        <w:spacing w:line="360" w:lineRule="auto"/>
        <w:ind w:firstLine="480" w:firstLineChars="200"/>
        <w:rPr>
          <w:rFonts w:ascii="Calibri" w:hAnsi="Calibri" w:eastAsia="宋体" w:cs="Times New Roman"/>
          <w:sz w:val="24"/>
          <w:szCs w:val="24"/>
        </w:rPr>
      </w:pPr>
    </w:p>
    <w:p w14:paraId="0F20F685">
      <w:pPr>
        <w:spacing w:line="360" w:lineRule="auto"/>
        <w:ind w:firstLine="480" w:firstLineChars="200"/>
        <w:rPr>
          <w:rFonts w:ascii="Calibri" w:hAnsi="Calibri" w:eastAsia="宋体" w:cs="Times New Roman"/>
          <w:sz w:val="24"/>
          <w:szCs w:val="24"/>
        </w:rPr>
      </w:pPr>
    </w:p>
    <w:p w14:paraId="1AB41F13">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投标人（盖章）：</w:t>
      </w:r>
    </w:p>
    <w:p w14:paraId="59B012F2">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12739EFF">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    年     月     日</w:t>
      </w:r>
    </w:p>
    <w:p w14:paraId="35F0FEA4">
      <w:pPr>
        <w:autoSpaceDE w:val="0"/>
        <w:autoSpaceDN w:val="0"/>
        <w:adjustRightInd w:val="0"/>
        <w:jc w:val="left"/>
        <w:rPr>
          <w:rFonts w:ascii="MS Mincho" w:hAnsi="Calibri" w:eastAsia="宋体" w:cs="Times New Roman"/>
          <w:color w:val="000000"/>
          <w:szCs w:val="24"/>
        </w:rPr>
      </w:pPr>
    </w:p>
    <w:p w14:paraId="71B629F8">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4E05989C">
      <w:pPr>
        <w:spacing w:line="360" w:lineRule="auto"/>
        <w:jc w:val="left"/>
        <w:rPr>
          <w:rFonts w:ascii="Times New Roman" w:hAnsi="Times New Roman" w:eastAsia="宋体" w:cs="Times New Roman"/>
          <w:color w:val="000000"/>
          <w:sz w:val="24"/>
          <w:szCs w:val="24"/>
        </w:rPr>
      </w:pPr>
    </w:p>
    <w:p w14:paraId="14830E5D">
      <w:pPr>
        <w:spacing w:line="360" w:lineRule="auto"/>
        <w:jc w:val="left"/>
        <w:rPr>
          <w:rFonts w:ascii="Times New Roman" w:hAnsi="Times New Roman" w:eastAsia="宋体" w:cs="Times New Roman"/>
          <w:color w:val="000000"/>
          <w:sz w:val="24"/>
          <w:szCs w:val="24"/>
        </w:rPr>
      </w:pPr>
    </w:p>
    <w:p w14:paraId="3C868CD1">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778AC1CE">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五、参加政府采购活动前3年内在经营活动中没有重大违法记录的书面声明</w:t>
      </w:r>
    </w:p>
    <w:p w14:paraId="4830B736">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14:paraId="46A8D2A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37B6F6CE">
      <w:pPr>
        <w:spacing w:line="500" w:lineRule="exact"/>
        <w:ind w:firstLine="480" w:firstLineChars="200"/>
        <w:jc w:val="left"/>
        <w:rPr>
          <w:rFonts w:ascii="Calibri" w:hAnsi="Calibri" w:eastAsia="宋体" w:cs="Times New Roman"/>
          <w:sz w:val="24"/>
          <w:szCs w:val="24"/>
        </w:rPr>
      </w:pPr>
    </w:p>
    <w:p w14:paraId="1017B522">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0C3968D1">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9134AEF">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2154EB2C"/>
    <w:p w14:paraId="20EC7E53"/>
    <w:p w14:paraId="684AE1A2">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5A20BCAA">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六、落实政府采购政策需满足的资格要求的证明文件</w:t>
      </w:r>
    </w:p>
    <w:p w14:paraId="6675963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4E49D6F8"/>
    <w:p w14:paraId="0BFA414F"/>
    <w:p w14:paraId="29A2DAA7">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A7D32AA">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七、特定资格要求的证明文件</w:t>
      </w:r>
    </w:p>
    <w:p w14:paraId="3785624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385169E"/>
    <w:p w14:paraId="3CAA0B5F"/>
    <w:p w14:paraId="1690D7E1">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5DD4350">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lang w:val="en-US" w:eastAsia="zh-CN"/>
        </w:rPr>
        <w:t>八</w:t>
      </w:r>
      <w:r>
        <w:rPr>
          <w:rFonts w:hint="eastAsia" w:ascii="Arial" w:hAnsi="Arial" w:eastAsia="宋体" w:cs="Arial"/>
          <w:i/>
          <w:iCs/>
          <w:kern w:val="0"/>
          <w:sz w:val="36"/>
          <w:u w:val="single"/>
        </w:rPr>
        <w:t>、授权委托书与法定代表人（单位负责人）身份证明</w:t>
      </w:r>
    </w:p>
    <w:p w14:paraId="78F87BF1">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294CF962">
      <w:pPr>
        <w:spacing w:line="360" w:lineRule="auto"/>
        <w:rPr>
          <w:rFonts w:hint="eastAsia" w:ascii="Calibri" w:hAnsi="Calibri" w:eastAsia="宋体" w:cs="Times New Roman"/>
          <w:sz w:val="24"/>
          <w:szCs w:val="24"/>
          <w:lang w:eastAsia="zh-CN"/>
        </w:rPr>
      </w:pPr>
      <w:r>
        <w:rPr>
          <w:rFonts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48707102">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w:t>
      </w:r>
      <w:r>
        <w:rPr>
          <w:rFonts w:hint="eastAsia"/>
          <w:sz w:val="24"/>
          <w:szCs w:val="24"/>
        </w:rPr>
        <w:t>项目编号：</w:t>
      </w:r>
      <w:r>
        <w:rPr>
          <w:rFonts w:hint="eastAsia"/>
          <w:sz w:val="24"/>
          <w:szCs w:val="24"/>
          <w:u w:val="single"/>
          <w:lang w:eastAsia="zh-CN"/>
        </w:rPr>
        <w:t>JSZC-320722-BLZB-G2024-0020</w:t>
      </w:r>
      <w:r>
        <w:rPr>
          <w:rFonts w:hint="eastAsia" w:ascii="Calibri" w:hAnsi="Calibri" w:eastAsia="宋体" w:cs="Times New Roman"/>
          <w:sz w:val="24"/>
          <w:szCs w:val="24"/>
          <w:u w:val="single"/>
        </w:rPr>
        <w:t>）</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1B943697">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34C8D298">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cr/>
      </w:r>
    </w:p>
    <w:p w14:paraId="3D968DD2">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5E8D69CF">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5F369425">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5A0725EB">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7608A261">
      <w:pPr>
        <w:tabs>
          <w:tab w:val="left" w:pos="5580"/>
        </w:tabs>
        <w:spacing w:line="360" w:lineRule="auto"/>
        <w:ind w:firstLine="480" w:firstLineChars="200"/>
        <w:rPr>
          <w:rFonts w:ascii="宋体" w:hAnsi="宋体" w:eastAsia="宋体" w:cs="Times New Roman"/>
          <w:color w:val="000000"/>
          <w:sz w:val="24"/>
          <w:szCs w:val="20"/>
        </w:rPr>
      </w:pPr>
    </w:p>
    <w:p w14:paraId="08335397">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1"/>
        <w:tblW w:w="8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63"/>
      </w:tblGrid>
      <w:tr w14:paraId="6A589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tcPr>
          <w:p w14:paraId="490888F4">
            <w:pPr>
              <w:tabs>
                <w:tab w:val="left" w:pos="5580"/>
              </w:tabs>
              <w:spacing w:line="360" w:lineRule="auto"/>
              <w:jc w:val="left"/>
              <w:rPr>
                <w:rFonts w:ascii="宋体" w:hAnsi="宋体" w:eastAsia="宋体" w:cs="Times New Roman"/>
                <w:color w:val="000000"/>
                <w:sz w:val="24"/>
                <w:szCs w:val="20"/>
              </w:rPr>
            </w:pPr>
          </w:p>
          <w:p w14:paraId="22792E38">
            <w:pPr>
              <w:tabs>
                <w:tab w:val="left" w:pos="5580"/>
              </w:tabs>
              <w:spacing w:line="360" w:lineRule="auto"/>
              <w:jc w:val="left"/>
              <w:rPr>
                <w:rFonts w:ascii="宋体" w:hAnsi="宋体" w:eastAsia="宋体" w:cs="Times New Roman"/>
                <w:color w:val="000000"/>
                <w:sz w:val="24"/>
                <w:szCs w:val="20"/>
              </w:rPr>
            </w:pPr>
          </w:p>
          <w:p w14:paraId="7E6B2C08">
            <w:pPr>
              <w:tabs>
                <w:tab w:val="left" w:pos="5580"/>
              </w:tabs>
              <w:spacing w:line="360" w:lineRule="auto"/>
              <w:jc w:val="left"/>
              <w:rPr>
                <w:rFonts w:ascii="宋体" w:hAnsi="宋体" w:eastAsia="宋体" w:cs="Times New Roman"/>
                <w:color w:val="000000"/>
                <w:sz w:val="24"/>
                <w:szCs w:val="20"/>
              </w:rPr>
            </w:pPr>
          </w:p>
        </w:tc>
        <w:tc>
          <w:tcPr>
            <w:tcW w:w="3763" w:type="dxa"/>
          </w:tcPr>
          <w:p w14:paraId="0D1F54FB">
            <w:pPr>
              <w:tabs>
                <w:tab w:val="left" w:pos="5580"/>
              </w:tabs>
              <w:spacing w:line="360" w:lineRule="auto"/>
              <w:jc w:val="left"/>
              <w:rPr>
                <w:rFonts w:ascii="宋体" w:hAnsi="宋体" w:eastAsia="宋体" w:cs="Times New Roman"/>
                <w:color w:val="000000"/>
                <w:sz w:val="24"/>
                <w:szCs w:val="20"/>
              </w:rPr>
            </w:pPr>
          </w:p>
          <w:p w14:paraId="117A6089">
            <w:pPr>
              <w:tabs>
                <w:tab w:val="left" w:pos="5580"/>
              </w:tabs>
              <w:spacing w:line="360" w:lineRule="auto"/>
              <w:jc w:val="left"/>
              <w:rPr>
                <w:rFonts w:ascii="宋体" w:hAnsi="宋体" w:eastAsia="宋体" w:cs="Times New Roman"/>
                <w:color w:val="000000"/>
                <w:sz w:val="24"/>
                <w:szCs w:val="20"/>
              </w:rPr>
            </w:pPr>
          </w:p>
          <w:p w14:paraId="41164789">
            <w:pPr>
              <w:tabs>
                <w:tab w:val="left" w:pos="5580"/>
              </w:tabs>
              <w:spacing w:line="360" w:lineRule="auto"/>
              <w:jc w:val="left"/>
              <w:rPr>
                <w:rFonts w:ascii="宋体" w:hAnsi="宋体" w:eastAsia="宋体" w:cs="Times New Roman"/>
                <w:color w:val="000000"/>
                <w:sz w:val="24"/>
                <w:szCs w:val="20"/>
              </w:rPr>
            </w:pPr>
          </w:p>
        </w:tc>
      </w:tr>
    </w:tbl>
    <w:p w14:paraId="67EAE0CC">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1"/>
        <w:tblW w:w="8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77"/>
      </w:tblGrid>
      <w:tr w14:paraId="11F25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tcPr>
          <w:p w14:paraId="1B5699EB">
            <w:pPr>
              <w:tabs>
                <w:tab w:val="left" w:pos="5580"/>
              </w:tabs>
              <w:spacing w:line="360" w:lineRule="auto"/>
              <w:jc w:val="left"/>
              <w:rPr>
                <w:rFonts w:ascii="宋体" w:hAnsi="宋体" w:eastAsia="宋体" w:cs="Times New Roman"/>
                <w:color w:val="000000"/>
                <w:sz w:val="24"/>
                <w:szCs w:val="20"/>
              </w:rPr>
            </w:pPr>
          </w:p>
          <w:p w14:paraId="48845336">
            <w:pPr>
              <w:tabs>
                <w:tab w:val="left" w:pos="5580"/>
              </w:tabs>
              <w:spacing w:line="360" w:lineRule="auto"/>
              <w:jc w:val="left"/>
              <w:rPr>
                <w:rFonts w:ascii="宋体" w:hAnsi="宋体" w:eastAsia="宋体" w:cs="Times New Roman"/>
                <w:color w:val="000000"/>
                <w:sz w:val="24"/>
                <w:szCs w:val="20"/>
              </w:rPr>
            </w:pPr>
          </w:p>
          <w:p w14:paraId="126AAC3C">
            <w:pPr>
              <w:tabs>
                <w:tab w:val="left" w:pos="5580"/>
              </w:tabs>
              <w:spacing w:line="360" w:lineRule="auto"/>
              <w:jc w:val="left"/>
              <w:rPr>
                <w:rFonts w:ascii="宋体" w:hAnsi="宋体" w:eastAsia="宋体" w:cs="Times New Roman"/>
                <w:color w:val="000000"/>
                <w:sz w:val="24"/>
                <w:szCs w:val="20"/>
              </w:rPr>
            </w:pPr>
          </w:p>
        </w:tc>
        <w:tc>
          <w:tcPr>
            <w:tcW w:w="3777" w:type="dxa"/>
          </w:tcPr>
          <w:p w14:paraId="09380845">
            <w:pPr>
              <w:tabs>
                <w:tab w:val="left" w:pos="5580"/>
              </w:tabs>
              <w:spacing w:line="360" w:lineRule="auto"/>
              <w:jc w:val="left"/>
              <w:rPr>
                <w:rFonts w:ascii="宋体" w:hAnsi="宋体" w:eastAsia="宋体" w:cs="Times New Roman"/>
                <w:color w:val="000000"/>
                <w:sz w:val="24"/>
                <w:szCs w:val="20"/>
              </w:rPr>
            </w:pPr>
          </w:p>
          <w:p w14:paraId="0F821022">
            <w:pPr>
              <w:tabs>
                <w:tab w:val="left" w:pos="5580"/>
              </w:tabs>
              <w:spacing w:line="360" w:lineRule="auto"/>
              <w:jc w:val="left"/>
              <w:rPr>
                <w:rFonts w:ascii="宋体" w:hAnsi="宋体" w:eastAsia="宋体" w:cs="Times New Roman"/>
                <w:color w:val="000000"/>
                <w:sz w:val="24"/>
                <w:szCs w:val="20"/>
              </w:rPr>
            </w:pPr>
          </w:p>
          <w:p w14:paraId="24B1F149">
            <w:pPr>
              <w:tabs>
                <w:tab w:val="left" w:pos="5580"/>
              </w:tabs>
              <w:spacing w:line="360" w:lineRule="auto"/>
              <w:jc w:val="left"/>
              <w:rPr>
                <w:rFonts w:ascii="宋体" w:hAnsi="宋体" w:eastAsia="宋体" w:cs="Times New Roman"/>
                <w:color w:val="000000"/>
                <w:sz w:val="24"/>
                <w:szCs w:val="20"/>
              </w:rPr>
            </w:pPr>
          </w:p>
        </w:tc>
      </w:tr>
    </w:tbl>
    <w:p w14:paraId="0E05D46D">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64AA7818">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w:t>
      </w:r>
      <w:r>
        <w:rPr>
          <w:rFonts w:hint="eastAsia" w:ascii="Calibri" w:hAnsi="Calibri" w:eastAsia="宋体" w:cs="Times New Roman"/>
          <w:sz w:val="24"/>
          <w:szCs w:val="24"/>
          <w:lang w:val="en-US" w:eastAsia="zh-CN"/>
        </w:rPr>
        <w:t>投标人</w:t>
      </w:r>
      <w:r>
        <w:rPr>
          <w:rFonts w:ascii="Calibri" w:hAnsi="Calibri" w:eastAsia="宋体" w:cs="Times New Roman"/>
          <w:sz w:val="24"/>
          <w:szCs w:val="24"/>
        </w:rPr>
        <w:t>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052D468B">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644FDFB7">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2B980252"/>
    <w:p w14:paraId="24003D12"/>
    <w:p w14:paraId="58A9D63C">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九、</w:t>
      </w:r>
      <w:r>
        <w:rPr>
          <w:rFonts w:ascii="宋体" w:hAnsi="宋体" w:eastAsia="宋体" w:cs="Times New Roman"/>
          <w:b/>
          <w:color w:val="000000"/>
          <w:sz w:val="36"/>
          <w:szCs w:val="36"/>
        </w:rPr>
        <w:t>法定代表人（单位负责人）身份证明</w:t>
      </w:r>
    </w:p>
    <w:p w14:paraId="3F419948">
      <w:pPr>
        <w:kinsoku w:val="0"/>
        <w:overflowPunct w:val="0"/>
        <w:spacing w:line="200" w:lineRule="exact"/>
        <w:rPr>
          <w:rFonts w:ascii="宋体" w:hAnsi="宋体" w:eastAsia="宋体" w:cs="Times New Roman"/>
          <w:sz w:val="20"/>
          <w:szCs w:val="20"/>
        </w:rPr>
      </w:pPr>
    </w:p>
    <w:p w14:paraId="23CDB3DA">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东海县住房和城乡建设局</w:t>
      </w:r>
      <w:r>
        <w:rPr>
          <w:rFonts w:hint="eastAsia" w:ascii="Times New Roman" w:hAnsi="Times New Roman" w:eastAsia="宋体" w:cs="Times New Roman"/>
          <w:sz w:val="24"/>
          <w:szCs w:val="24"/>
          <w:u w:val="single"/>
        </w:rPr>
        <w:t xml:space="preserve"> </w:t>
      </w:r>
    </w:p>
    <w:p w14:paraId="3D99ED92">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14:paraId="0148ADEF">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05508E68">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4D969517">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2704C6CD">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7A6F5008">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3E373295">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21"/>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2"/>
        <w:gridCol w:w="4104"/>
      </w:tblGrid>
      <w:tr w14:paraId="2B8D2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92" w:type="dxa"/>
          </w:tcPr>
          <w:p w14:paraId="29CE7959">
            <w:pPr>
              <w:tabs>
                <w:tab w:val="left" w:pos="5580"/>
              </w:tabs>
              <w:spacing w:line="360" w:lineRule="auto"/>
              <w:jc w:val="left"/>
              <w:rPr>
                <w:rFonts w:ascii="宋体" w:hAnsi="宋体" w:eastAsia="宋体" w:cs="Times New Roman"/>
                <w:color w:val="000000"/>
                <w:sz w:val="24"/>
                <w:szCs w:val="20"/>
              </w:rPr>
            </w:pPr>
          </w:p>
          <w:p w14:paraId="177EBE23">
            <w:pPr>
              <w:tabs>
                <w:tab w:val="left" w:pos="5580"/>
              </w:tabs>
              <w:spacing w:line="360" w:lineRule="auto"/>
              <w:jc w:val="left"/>
              <w:rPr>
                <w:rFonts w:ascii="宋体" w:hAnsi="宋体" w:eastAsia="宋体" w:cs="Times New Roman"/>
                <w:color w:val="000000"/>
                <w:sz w:val="24"/>
                <w:szCs w:val="20"/>
              </w:rPr>
            </w:pPr>
          </w:p>
          <w:p w14:paraId="338E900D">
            <w:pPr>
              <w:tabs>
                <w:tab w:val="left" w:pos="5580"/>
              </w:tabs>
              <w:spacing w:line="360" w:lineRule="auto"/>
              <w:jc w:val="left"/>
              <w:rPr>
                <w:rFonts w:ascii="宋体" w:hAnsi="宋体" w:eastAsia="宋体" w:cs="Times New Roman"/>
                <w:color w:val="000000"/>
                <w:sz w:val="24"/>
                <w:szCs w:val="20"/>
              </w:rPr>
            </w:pPr>
          </w:p>
        </w:tc>
        <w:tc>
          <w:tcPr>
            <w:tcW w:w="4104" w:type="dxa"/>
          </w:tcPr>
          <w:p w14:paraId="7161EC16">
            <w:pPr>
              <w:tabs>
                <w:tab w:val="left" w:pos="5580"/>
              </w:tabs>
              <w:spacing w:line="360" w:lineRule="auto"/>
              <w:jc w:val="left"/>
              <w:rPr>
                <w:rFonts w:ascii="宋体" w:hAnsi="宋体" w:eastAsia="宋体" w:cs="Times New Roman"/>
                <w:color w:val="000000"/>
                <w:sz w:val="24"/>
                <w:szCs w:val="20"/>
              </w:rPr>
            </w:pPr>
          </w:p>
          <w:p w14:paraId="26D7E81A">
            <w:pPr>
              <w:tabs>
                <w:tab w:val="left" w:pos="5580"/>
              </w:tabs>
              <w:spacing w:line="360" w:lineRule="auto"/>
              <w:jc w:val="left"/>
              <w:rPr>
                <w:rFonts w:ascii="宋体" w:hAnsi="宋体" w:eastAsia="宋体" w:cs="Times New Roman"/>
                <w:color w:val="000000"/>
                <w:sz w:val="24"/>
                <w:szCs w:val="20"/>
              </w:rPr>
            </w:pPr>
          </w:p>
          <w:p w14:paraId="25DFAC49">
            <w:pPr>
              <w:tabs>
                <w:tab w:val="left" w:pos="5580"/>
              </w:tabs>
              <w:spacing w:line="360" w:lineRule="auto"/>
              <w:jc w:val="left"/>
              <w:rPr>
                <w:rFonts w:ascii="宋体" w:hAnsi="宋体" w:eastAsia="宋体" w:cs="Times New Roman"/>
                <w:color w:val="000000"/>
                <w:sz w:val="24"/>
                <w:szCs w:val="20"/>
              </w:rPr>
            </w:pPr>
          </w:p>
        </w:tc>
      </w:tr>
    </w:tbl>
    <w:p w14:paraId="0DE2A0C3">
      <w:pPr>
        <w:tabs>
          <w:tab w:val="left" w:pos="567"/>
        </w:tabs>
        <w:kinsoku w:val="0"/>
        <w:overflowPunct w:val="0"/>
        <w:spacing w:before="120" w:line="583" w:lineRule="auto"/>
        <w:ind w:right="4305"/>
        <w:rPr>
          <w:rFonts w:ascii="宋体" w:hAnsi="宋体" w:eastAsia="宋体" w:cs="Times New Roman"/>
          <w:spacing w:val="-3"/>
          <w:sz w:val="24"/>
          <w:szCs w:val="24"/>
        </w:rPr>
      </w:pPr>
    </w:p>
    <w:p w14:paraId="6F0FFF91">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4100A3A2">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33700479">
      <w:pPr>
        <w:autoSpaceDE w:val="0"/>
        <w:autoSpaceDN w:val="0"/>
        <w:adjustRightInd w:val="0"/>
        <w:snapToGrid w:val="0"/>
        <w:spacing w:line="360" w:lineRule="auto"/>
        <w:rPr>
          <w:rFonts w:ascii="Calibri" w:hAnsi="Calibri" w:eastAsia="宋体" w:cs="Times New Roman"/>
          <w:sz w:val="24"/>
          <w:szCs w:val="24"/>
        </w:rPr>
      </w:pPr>
    </w:p>
    <w:p w14:paraId="1B00AC21">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410A2C31">
      <w:pPr>
        <w:autoSpaceDE w:val="0"/>
        <w:autoSpaceDN w:val="0"/>
        <w:adjustRightInd w:val="0"/>
        <w:snapToGrid w:val="0"/>
        <w:spacing w:line="360" w:lineRule="auto"/>
        <w:rPr>
          <w:rFonts w:ascii="Calibri" w:hAnsi="Calibri" w:eastAsia="宋体" w:cs="Times New Roman"/>
          <w:sz w:val="24"/>
          <w:szCs w:val="24"/>
        </w:rPr>
      </w:pPr>
    </w:p>
    <w:p w14:paraId="297E7932"/>
    <w:p w14:paraId="5424FDFA">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C18EAC1">
      <w:pPr>
        <w:keepNext/>
        <w:keepLines/>
        <w:spacing w:before="260" w:after="260" w:line="416" w:lineRule="auto"/>
        <w:jc w:val="left"/>
        <w:outlineLvl w:val="1"/>
        <w:rPr>
          <w:rFonts w:ascii="黑体" w:hAnsi="黑体" w:eastAsia="黑体" w:cs="Times New Roman"/>
          <w:b/>
          <w:i/>
          <w:color w:val="000000"/>
          <w:kern w:val="0"/>
          <w:sz w:val="32"/>
          <w:szCs w:val="32"/>
          <w:u w:val="single"/>
        </w:rPr>
      </w:pPr>
      <w:r>
        <w:rPr>
          <w:rFonts w:hint="eastAsia" w:ascii="Arial" w:hAnsi="Arial" w:eastAsia="宋体" w:cs="Arial"/>
          <w:i/>
          <w:iCs/>
          <w:kern w:val="0"/>
          <w:sz w:val="36"/>
          <w:u w:val="single"/>
        </w:rPr>
        <w:t>十、投标函</w:t>
      </w:r>
    </w:p>
    <w:p w14:paraId="6FD0BD47">
      <w:pPr>
        <w:tabs>
          <w:tab w:val="left" w:pos="360"/>
        </w:tabs>
        <w:spacing w:line="360" w:lineRule="auto"/>
        <w:jc w:val="center"/>
        <w:rPr>
          <w:rFonts w:ascii="Times New Roman" w:hAnsi="Times New Roman" w:eastAsia="宋体" w:cs="Times New Roman"/>
          <w:color w:val="000000"/>
          <w:kern w:val="0"/>
          <w:sz w:val="24"/>
          <w:szCs w:val="24"/>
        </w:rPr>
      </w:pPr>
      <w:r>
        <w:rPr>
          <w:rFonts w:hint="eastAsia" w:ascii="黑体" w:hAnsi="黑体" w:eastAsia="黑体" w:cs="宋体"/>
          <w:bCs/>
          <w:sz w:val="36"/>
          <w:szCs w:val="28"/>
        </w:rPr>
        <w:t>投标函</w:t>
      </w:r>
    </w:p>
    <w:p w14:paraId="4F3C061C">
      <w:pPr>
        <w:spacing w:line="500" w:lineRule="exact"/>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致：江苏博伦项目管理有限公司</w:t>
      </w:r>
    </w:p>
    <w:p w14:paraId="2A77BD41">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w:t>
      </w:r>
      <w:r>
        <w:rPr>
          <w:rFonts w:hint="eastAsia"/>
          <w:sz w:val="24"/>
          <w:szCs w:val="24"/>
          <w:u w:val="single"/>
        </w:rPr>
        <w:t>项目名称：</w:t>
      </w:r>
      <w:r>
        <w:rPr>
          <w:rFonts w:hint="eastAsia"/>
          <w:sz w:val="24"/>
          <w:szCs w:val="24"/>
          <w:highlight w:val="none"/>
          <w:u w:val="single"/>
          <w:lang w:eastAsia="zh-CN"/>
        </w:rPr>
        <w:t>东海县城镇生活污水处理厂污泥处置项目</w:t>
      </w:r>
      <w:r>
        <w:rPr>
          <w:rFonts w:hint="eastAsia"/>
          <w:sz w:val="24"/>
          <w:szCs w:val="24"/>
          <w:highlight w:val="none"/>
          <w:u w:val="single"/>
          <w:lang w:val="en-US" w:eastAsia="zh-CN"/>
        </w:rPr>
        <w:t>（项目编号：JSZC-320722-BLZB-G2024-0020）</w:t>
      </w:r>
      <w:r>
        <w:rPr>
          <w:rFonts w:hint="eastAsia" w:ascii="宋体" w:hAnsi="宋体" w:eastAsia="宋体" w:cs="Times New Roman"/>
          <w:color w:val="000000"/>
          <w:kern w:val="0"/>
          <w:sz w:val="24"/>
          <w:szCs w:val="21"/>
        </w:rPr>
        <w:t>招标文件，正式授权下述签字人______________(姓名)代表我方____________（投标人的名称），全权处理本次项目投标的有关事宜。</w:t>
      </w:r>
    </w:p>
    <w:p w14:paraId="712222DE">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14:paraId="6F5BC3E0">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1.按招标文件规定的各项要求，向买方提供所需货物（包含与货物相关的服务）。</w:t>
      </w:r>
    </w:p>
    <w:p w14:paraId="045084BF">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2.我们完全理解贵方不一定将合同授予最低报价的投标人。</w:t>
      </w:r>
    </w:p>
    <w:p w14:paraId="68E63437">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3.我们已详细审核全部招标文件及其有效补充文件，我们知道必须放弃提出含糊不清或误解问题的权利。</w:t>
      </w:r>
    </w:p>
    <w:p w14:paraId="3731A7FA">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4.我们同意从规定的开标日期起遵循本投标文件，并在规定的投标有效期期满之前均具有约束力。</w:t>
      </w:r>
    </w:p>
    <w:p w14:paraId="6AA23B02">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.同意向贵方提供贵方可能另外要求的与投标有关的任何证据或资料，并保证我方已提供和将要提供的文件是真实的、准确的。</w:t>
      </w:r>
    </w:p>
    <w:p w14:paraId="60072385">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.一旦我方中标,我方将根据招标文件的规定，严格履行合同的责任和义务,并保证在招标文件规定的时间完成项目，交付买方验收、使用。</w:t>
      </w:r>
    </w:p>
    <w:p w14:paraId="426FA9FE">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.与本投标有关的正式通讯地址为：</w:t>
      </w:r>
    </w:p>
    <w:p w14:paraId="4674A38C">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14:paraId="3989F0D0">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14:paraId="377327B5">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14:paraId="13493BAA">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14:paraId="397AE0E6">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投标人开户行：</w:t>
      </w:r>
    </w:p>
    <w:p w14:paraId="4D1E134A">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14:paraId="710277F7"/>
    <w:p w14:paraId="46948D95"/>
    <w:p w14:paraId="28CFC19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9D96686">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4261EEC5">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2775FFD2"/>
    <w:p w14:paraId="0D4F8DDB"/>
    <w:p w14:paraId="6DE29CBB">
      <w:pPr>
        <w:rPr>
          <w:rFonts w:hint="eastAsia" w:ascii="Arial" w:hAnsi="Arial" w:eastAsia="宋体" w:cs="Arial"/>
          <w:kern w:val="0"/>
          <w:sz w:val="36"/>
        </w:rPr>
      </w:pPr>
      <w:r>
        <w:rPr>
          <w:rFonts w:hint="eastAsia" w:ascii="Arial" w:hAnsi="Arial" w:eastAsia="宋体" w:cs="Arial"/>
          <w:kern w:val="0"/>
          <w:sz w:val="36"/>
        </w:rPr>
        <w:br w:type="page"/>
      </w:r>
    </w:p>
    <w:p w14:paraId="0E6DDDC0">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十一、中小企业声明函（服务）</w:t>
      </w:r>
    </w:p>
    <w:p w14:paraId="1CF10D24">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14:paraId="7A565BC4">
      <w:pPr>
        <w:spacing w:line="500" w:lineRule="exact"/>
        <w:ind w:firstLine="480" w:firstLineChars="200"/>
        <w:rPr>
          <w:rFonts w:ascii="宋体" w:hAnsi="宋体"/>
          <w:sz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u w:val="single"/>
          <w:lang w:eastAsia="zh-CN"/>
        </w:rPr>
        <w:t>东海县住房和城乡建设局</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u w:val="single"/>
          <w:lang w:eastAsia="zh-CN"/>
        </w:rPr>
        <w:t>东海县城镇生活污水处理厂污泥处置项目</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lang w:eastAsia="zh-CN"/>
        </w:rPr>
        <w:t>JSZC-320722-BLZB-G2024-0020</w:t>
      </w:r>
      <w:r>
        <w:rPr>
          <w:rFonts w:hint="eastAsia" w:ascii="宋体" w:hAnsi="宋体" w:eastAsia="宋体" w:cs="Times New Roman"/>
          <w:color w:val="000000"/>
          <w:kern w:val="0"/>
          <w:sz w:val="24"/>
          <w:szCs w:val="24"/>
        </w:rPr>
        <w:t>）采购活动，提供的</w:t>
      </w:r>
      <w:r>
        <w:rPr>
          <w:rFonts w:ascii="宋体" w:hAnsi="宋体"/>
          <w:sz w:val="24"/>
        </w:rPr>
        <w:t>服务全部由符合政策要求的中小企业承接。</w:t>
      </w:r>
    </w:p>
    <w:p w14:paraId="75478C16">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u w:val="none"/>
          <w:lang w:val="en-US" w:eastAsia="zh-CN"/>
        </w:rPr>
        <w:t>1.</w:t>
      </w:r>
      <w:r>
        <w:rPr>
          <w:rFonts w:hint="eastAsia" w:ascii="宋体" w:hAnsi="宋体" w:eastAsia="宋体" w:cs="Times New Roman"/>
          <w:color w:val="000000"/>
          <w:kern w:val="0"/>
          <w:sz w:val="24"/>
          <w:szCs w:val="24"/>
          <w:u w:val="single"/>
          <w:lang w:eastAsia="zh-CN"/>
        </w:rPr>
        <w:t>东海县城镇生活污水处理厂污泥处置项目</w:t>
      </w:r>
      <w:r>
        <w:rPr>
          <w:rFonts w:hint="eastAsia" w:ascii="宋体" w:hAnsi="宋体" w:eastAsia="宋体" w:cs="Times New Roman"/>
          <w:color w:val="000000"/>
          <w:kern w:val="0"/>
          <w:sz w:val="24"/>
          <w:szCs w:val="24"/>
        </w:rPr>
        <w:t>，属于</w:t>
      </w:r>
      <w:r>
        <w:rPr>
          <w:rFonts w:hint="eastAsia"/>
          <w:sz w:val="24"/>
          <w:szCs w:val="24"/>
          <w:u w:val="single"/>
        </w:rPr>
        <w:t>其他未列明行业</w:t>
      </w:r>
      <w:r>
        <w:rPr>
          <w:rFonts w:hint="eastAsia" w:ascii="宋体" w:hAnsi="宋体" w:eastAsia="宋体" w:cs="Times New Roman"/>
          <w:color w:val="000000"/>
          <w:kern w:val="0"/>
          <w:sz w:val="24"/>
          <w:szCs w:val="24"/>
        </w:rPr>
        <w:t>；承接企业为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2D9A055B">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14:paraId="68A126E2">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14:paraId="7F910C49">
      <w:pPr>
        <w:spacing w:line="560" w:lineRule="exact"/>
        <w:ind w:right="1620"/>
        <w:rPr>
          <w:rFonts w:ascii="宋体" w:hAnsi="宋体" w:eastAsia="宋体" w:cs="Times New Roman"/>
          <w:color w:val="000000"/>
          <w:kern w:val="0"/>
          <w:sz w:val="24"/>
          <w:szCs w:val="24"/>
        </w:rPr>
      </w:pPr>
    </w:p>
    <w:p w14:paraId="32835452">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14:paraId="29405B9D">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78F45372">
      <w:pPr>
        <w:snapToGrid w:val="0"/>
        <w:spacing w:line="360" w:lineRule="auto"/>
        <w:ind w:right="480"/>
        <w:jc w:val="left"/>
        <w:rPr>
          <w:rFonts w:ascii="宋体" w:hAnsi="宋体" w:eastAsia="宋体" w:cs="Times New Roman"/>
          <w:sz w:val="24"/>
          <w:szCs w:val="24"/>
        </w:rPr>
      </w:pPr>
    </w:p>
    <w:p w14:paraId="28265552">
      <w:pPr>
        <w:snapToGrid w:val="0"/>
        <w:spacing w:line="360" w:lineRule="auto"/>
        <w:ind w:right="480"/>
        <w:jc w:val="left"/>
        <w:rPr>
          <w:rFonts w:ascii="宋体" w:hAnsi="宋体" w:eastAsia="宋体" w:cs="Times New Roman"/>
          <w:sz w:val="24"/>
          <w:szCs w:val="24"/>
        </w:rPr>
      </w:pPr>
    </w:p>
    <w:p w14:paraId="6CA46CEA">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3DF528FB">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55A5D058">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78DE6D27">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5F2B7A33"/>
    <w:p w14:paraId="23D906E5"/>
    <w:p w14:paraId="037A7ADB">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十二、残疾人福利性单位声明函</w:t>
      </w:r>
    </w:p>
    <w:p w14:paraId="6EE60708">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14:paraId="02D08157">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单位的</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项目（</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1"/>
        </w:rPr>
        <w:t>）采购活动由本单位提供全部服务。</w:t>
      </w:r>
    </w:p>
    <w:p w14:paraId="1BADF20C">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14:paraId="3FB2E48B">
      <w:pPr>
        <w:spacing w:line="500" w:lineRule="exact"/>
        <w:ind w:firstLine="480" w:firstLineChars="200"/>
        <w:rPr>
          <w:rFonts w:ascii="宋体" w:hAnsi="宋体" w:eastAsia="宋体" w:cs="Times New Roman"/>
          <w:color w:val="000000"/>
          <w:kern w:val="0"/>
          <w:sz w:val="24"/>
          <w:szCs w:val="21"/>
        </w:rPr>
      </w:pPr>
    </w:p>
    <w:p w14:paraId="4EB71BAE">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14:paraId="0EF38BC0">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5B62FAF7"/>
    <w:p w14:paraId="3F895A68"/>
    <w:p w14:paraId="69992AE6">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7433A34A">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409FD88A">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09A50762"/>
    <w:p w14:paraId="319CD369"/>
    <w:p w14:paraId="562D5116"/>
    <w:p w14:paraId="70C85244">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5F19C912">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w:t>
      </w:r>
      <w:r>
        <w:rPr>
          <w:rFonts w:hint="eastAsia" w:ascii="Arial" w:hAnsi="Arial" w:eastAsia="宋体" w:cs="Arial"/>
          <w:i/>
          <w:iCs/>
          <w:kern w:val="0"/>
          <w:sz w:val="36"/>
          <w:u w:val="single"/>
          <w:lang w:val="en-US" w:eastAsia="zh-CN"/>
        </w:rPr>
        <w:t>三</w:t>
      </w:r>
      <w:r>
        <w:rPr>
          <w:rFonts w:hint="eastAsia" w:ascii="Arial" w:hAnsi="Arial" w:eastAsia="宋体" w:cs="Arial"/>
          <w:i/>
          <w:iCs/>
          <w:kern w:val="0"/>
          <w:sz w:val="36"/>
          <w:u w:val="single"/>
        </w:rPr>
        <w:t>、投标分项报价表</w:t>
      </w:r>
    </w:p>
    <w:p w14:paraId="63D8B26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3482D2A6">
      <w:pPr>
        <w:autoSpaceDE w:val="0"/>
        <w:autoSpaceDN w:val="0"/>
        <w:adjustRightInd w:val="0"/>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12A533EE">
      <w:pPr>
        <w:autoSpaceDE w:val="0"/>
        <w:autoSpaceDN w:val="0"/>
        <w:adjustRightInd w:val="0"/>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JSZC-320722-BLZB-G2024-0020</w:t>
      </w:r>
      <w:r>
        <w:rPr>
          <w:rFonts w:hint="eastAsia" w:ascii="宋体" w:hAnsi="宋体" w:eastAsia="宋体" w:cs="方正仿宋_GBK"/>
          <w:color w:val="000000"/>
          <w:sz w:val="24"/>
          <w:szCs w:val="24"/>
        </w:rPr>
        <w:t xml:space="preserve">      </w:t>
      </w:r>
    </w:p>
    <w:p w14:paraId="7B0033E9">
      <w:pPr>
        <w:spacing w:line="360" w:lineRule="auto"/>
        <w:jc w:val="right"/>
        <w:rPr>
          <w:rFonts w:ascii="宋体" w:hAnsi="宋体" w:eastAsia="宋体" w:cs="Times New Roman"/>
          <w:color w:val="000000"/>
          <w:szCs w:val="24"/>
        </w:rPr>
      </w:pPr>
      <w:r>
        <w:rPr>
          <w:rFonts w:hint="eastAsia" w:ascii="宋体" w:hAnsi="宋体" w:eastAsia="宋体" w:cs="Times New Roman"/>
          <w:color w:val="000000"/>
          <w:sz w:val="24"/>
          <w:szCs w:val="32"/>
        </w:rPr>
        <w:t>单位：元</w:t>
      </w:r>
    </w:p>
    <w:tbl>
      <w:tblPr>
        <w:tblStyle w:val="2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700"/>
        <w:gridCol w:w="889"/>
        <w:gridCol w:w="1022"/>
        <w:gridCol w:w="1201"/>
        <w:gridCol w:w="2001"/>
      </w:tblGrid>
      <w:tr w14:paraId="5A2FD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692" w:type="dxa"/>
            <w:vAlign w:val="center"/>
          </w:tcPr>
          <w:p w14:paraId="0ADC6CEC">
            <w:pPr>
              <w:spacing w:line="560" w:lineRule="exact"/>
              <w:jc w:val="center"/>
              <w:rPr>
                <w:rFonts w:ascii="宋体" w:hAnsi="宋体"/>
                <w:color w:val="000000"/>
                <w:sz w:val="24"/>
              </w:rPr>
            </w:pPr>
            <w:r>
              <w:rPr>
                <w:rFonts w:hint="eastAsia" w:ascii="宋体" w:hAnsi="宋体"/>
                <w:color w:val="000000"/>
                <w:sz w:val="24"/>
              </w:rPr>
              <w:t>序号</w:t>
            </w:r>
          </w:p>
        </w:tc>
        <w:tc>
          <w:tcPr>
            <w:tcW w:w="2700" w:type="dxa"/>
            <w:vAlign w:val="center"/>
          </w:tcPr>
          <w:p w14:paraId="5831C8C3">
            <w:pPr>
              <w:spacing w:line="560" w:lineRule="exact"/>
              <w:jc w:val="center"/>
              <w:rPr>
                <w:rFonts w:ascii="宋体" w:hAnsi="宋体"/>
                <w:color w:val="000000"/>
                <w:sz w:val="24"/>
              </w:rPr>
            </w:pPr>
            <w:r>
              <w:rPr>
                <w:rFonts w:hint="eastAsia" w:ascii="宋体" w:hAnsi="宋体"/>
                <w:color w:val="000000"/>
                <w:sz w:val="24"/>
              </w:rPr>
              <w:t>产品、服务（标的）名称</w:t>
            </w:r>
          </w:p>
        </w:tc>
        <w:tc>
          <w:tcPr>
            <w:tcW w:w="889" w:type="dxa"/>
            <w:vAlign w:val="center"/>
          </w:tcPr>
          <w:p w14:paraId="22A6DB60">
            <w:pPr>
              <w:spacing w:line="560" w:lineRule="exact"/>
              <w:jc w:val="center"/>
              <w:rPr>
                <w:rFonts w:ascii="宋体" w:hAnsi="宋体"/>
                <w:color w:val="000000"/>
                <w:sz w:val="24"/>
              </w:rPr>
            </w:pPr>
            <w:r>
              <w:rPr>
                <w:rFonts w:hint="eastAsia" w:ascii="宋体" w:hAnsi="宋体"/>
                <w:color w:val="000000"/>
                <w:sz w:val="24"/>
              </w:rPr>
              <w:t>分项单位</w:t>
            </w:r>
          </w:p>
        </w:tc>
        <w:tc>
          <w:tcPr>
            <w:tcW w:w="1022" w:type="dxa"/>
            <w:vAlign w:val="center"/>
          </w:tcPr>
          <w:p w14:paraId="69C77041">
            <w:pPr>
              <w:spacing w:line="560" w:lineRule="exact"/>
              <w:jc w:val="center"/>
              <w:rPr>
                <w:rFonts w:ascii="宋体" w:hAnsi="宋体"/>
                <w:color w:val="000000"/>
                <w:sz w:val="24"/>
              </w:rPr>
            </w:pPr>
            <w:r>
              <w:rPr>
                <w:rFonts w:hint="eastAsia" w:ascii="宋体" w:hAnsi="宋体"/>
                <w:color w:val="000000"/>
                <w:sz w:val="24"/>
              </w:rPr>
              <w:t>数量</w:t>
            </w:r>
          </w:p>
        </w:tc>
        <w:tc>
          <w:tcPr>
            <w:tcW w:w="1201" w:type="dxa"/>
            <w:vAlign w:val="center"/>
          </w:tcPr>
          <w:p w14:paraId="7C72E60D">
            <w:pPr>
              <w:spacing w:line="560" w:lineRule="exact"/>
              <w:jc w:val="center"/>
              <w:rPr>
                <w:rFonts w:ascii="宋体" w:hAnsi="宋体"/>
                <w:color w:val="000000"/>
                <w:sz w:val="24"/>
              </w:rPr>
            </w:pPr>
            <w:r>
              <w:rPr>
                <w:rFonts w:hint="eastAsia" w:ascii="宋体" w:hAnsi="宋体"/>
                <w:color w:val="000000"/>
                <w:sz w:val="24"/>
              </w:rPr>
              <w:t>单价</w:t>
            </w:r>
          </w:p>
        </w:tc>
        <w:tc>
          <w:tcPr>
            <w:tcW w:w="2001" w:type="dxa"/>
            <w:vAlign w:val="center"/>
          </w:tcPr>
          <w:p w14:paraId="16C9A6B0">
            <w:pPr>
              <w:spacing w:line="560" w:lineRule="exact"/>
              <w:jc w:val="center"/>
              <w:rPr>
                <w:rFonts w:ascii="宋体" w:hAnsi="宋体"/>
                <w:color w:val="000000"/>
                <w:sz w:val="24"/>
              </w:rPr>
            </w:pPr>
            <w:r>
              <w:rPr>
                <w:rFonts w:hint="eastAsia" w:ascii="宋体" w:hAnsi="宋体"/>
                <w:color w:val="000000"/>
                <w:sz w:val="24"/>
              </w:rPr>
              <w:t>单项合计价</w:t>
            </w:r>
          </w:p>
        </w:tc>
      </w:tr>
      <w:tr w14:paraId="5E8E7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20AA8F17">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1</w:t>
            </w:r>
          </w:p>
        </w:tc>
        <w:tc>
          <w:tcPr>
            <w:tcW w:w="2700" w:type="dxa"/>
            <w:vAlign w:val="center"/>
          </w:tcPr>
          <w:p w14:paraId="288E4C1B">
            <w:pPr>
              <w:spacing w:line="560" w:lineRule="exact"/>
              <w:jc w:val="center"/>
              <w:rPr>
                <w:rFonts w:hint="default" w:ascii="宋体" w:hAnsi="宋体"/>
                <w:color w:val="000000"/>
                <w:sz w:val="24"/>
                <w:lang w:val="en-US"/>
              </w:rPr>
            </w:pPr>
            <w:r>
              <w:rPr>
                <w:rFonts w:hint="eastAsia" w:ascii="宋体" w:hAnsi="宋体"/>
                <w:color w:val="000000"/>
                <w:sz w:val="24"/>
                <w:lang w:eastAsia="zh-CN"/>
              </w:rPr>
              <w:t>东海县城镇生活污水处理厂污泥处置</w:t>
            </w:r>
            <w:r>
              <w:rPr>
                <w:rFonts w:hint="eastAsia" w:ascii="宋体" w:hAnsi="宋体"/>
                <w:color w:val="000000"/>
                <w:sz w:val="24"/>
                <w:lang w:val="en-US" w:eastAsia="zh-CN"/>
              </w:rPr>
              <w:t>费用（包含处理费及运输费）</w:t>
            </w:r>
          </w:p>
        </w:tc>
        <w:tc>
          <w:tcPr>
            <w:tcW w:w="889" w:type="dxa"/>
            <w:vAlign w:val="center"/>
          </w:tcPr>
          <w:p w14:paraId="38E2545C">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吨</w:t>
            </w:r>
          </w:p>
        </w:tc>
        <w:tc>
          <w:tcPr>
            <w:tcW w:w="1022" w:type="dxa"/>
            <w:vAlign w:val="center"/>
          </w:tcPr>
          <w:p w14:paraId="064AC882">
            <w:pPr>
              <w:spacing w:line="560" w:lineRule="exact"/>
              <w:jc w:val="center"/>
              <w:rPr>
                <w:rFonts w:hint="default" w:ascii="宋体" w:hAnsi="宋体" w:eastAsiaTheme="minorEastAsia"/>
                <w:color w:val="000000"/>
                <w:sz w:val="24"/>
                <w:lang w:val="en-US" w:eastAsia="zh-CN"/>
              </w:rPr>
            </w:pPr>
            <w:r>
              <w:rPr>
                <w:rFonts w:hint="eastAsia" w:ascii="宋体" w:hAnsi="宋体"/>
                <w:color w:val="000000"/>
                <w:sz w:val="24"/>
                <w:lang w:val="en-US" w:eastAsia="zh-CN"/>
              </w:rPr>
              <w:t>1.15万吨</w:t>
            </w:r>
          </w:p>
        </w:tc>
        <w:tc>
          <w:tcPr>
            <w:tcW w:w="1201" w:type="dxa"/>
            <w:vAlign w:val="center"/>
          </w:tcPr>
          <w:p w14:paraId="4AA2F858">
            <w:pPr>
              <w:spacing w:line="560" w:lineRule="exact"/>
              <w:jc w:val="center"/>
              <w:rPr>
                <w:rFonts w:ascii="宋体" w:hAnsi="宋体"/>
                <w:color w:val="000000"/>
                <w:sz w:val="24"/>
              </w:rPr>
            </w:pPr>
          </w:p>
        </w:tc>
        <w:tc>
          <w:tcPr>
            <w:tcW w:w="2001" w:type="dxa"/>
            <w:vAlign w:val="center"/>
          </w:tcPr>
          <w:p w14:paraId="6F0ECDC0">
            <w:pPr>
              <w:spacing w:line="560" w:lineRule="exact"/>
              <w:jc w:val="center"/>
              <w:rPr>
                <w:rFonts w:ascii="宋体" w:hAnsi="宋体"/>
                <w:color w:val="000000"/>
                <w:sz w:val="24"/>
              </w:rPr>
            </w:pPr>
          </w:p>
        </w:tc>
      </w:tr>
      <w:tr w14:paraId="36E1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535FD7C4">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2700" w:type="dxa"/>
            <w:vAlign w:val="center"/>
          </w:tcPr>
          <w:p w14:paraId="4A865784">
            <w:pPr>
              <w:spacing w:line="560" w:lineRule="exact"/>
              <w:jc w:val="center"/>
              <w:rPr>
                <w:rFonts w:hint="eastAsia" w:ascii="宋体" w:hAnsi="宋体"/>
                <w:color w:val="000000"/>
                <w:sz w:val="24"/>
                <w:lang w:eastAsia="zh-CN"/>
              </w:rPr>
            </w:pPr>
          </w:p>
        </w:tc>
        <w:tc>
          <w:tcPr>
            <w:tcW w:w="889" w:type="dxa"/>
            <w:vAlign w:val="center"/>
          </w:tcPr>
          <w:p w14:paraId="17429B6E">
            <w:pPr>
              <w:spacing w:line="560" w:lineRule="exact"/>
              <w:jc w:val="center"/>
              <w:rPr>
                <w:rFonts w:hint="eastAsia" w:ascii="宋体" w:hAnsi="宋体"/>
                <w:color w:val="000000"/>
                <w:sz w:val="24"/>
                <w:lang w:val="en-US" w:eastAsia="zh-CN"/>
              </w:rPr>
            </w:pPr>
          </w:p>
        </w:tc>
        <w:tc>
          <w:tcPr>
            <w:tcW w:w="1022" w:type="dxa"/>
            <w:vAlign w:val="center"/>
          </w:tcPr>
          <w:p w14:paraId="57A48ED2">
            <w:pPr>
              <w:spacing w:line="560" w:lineRule="exact"/>
              <w:jc w:val="center"/>
              <w:rPr>
                <w:rFonts w:hint="eastAsia" w:ascii="宋体" w:hAnsi="宋体"/>
                <w:color w:val="000000"/>
                <w:sz w:val="24"/>
                <w:lang w:val="en-US" w:eastAsia="zh-CN"/>
              </w:rPr>
            </w:pPr>
          </w:p>
        </w:tc>
        <w:tc>
          <w:tcPr>
            <w:tcW w:w="1201" w:type="dxa"/>
            <w:vAlign w:val="center"/>
          </w:tcPr>
          <w:p w14:paraId="439E334F">
            <w:pPr>
              <w:spacing w:line="560" w:lineRule="exact"/>
              <w:jc w:val="center"/>
              <w:rPr>
                <w:rFonts w:ascii="宋体" w:hAnsi="宋体"/>
                <w:color w:val="000000"/>
                <w:sz w:val="24"/>
              </w:rPr>
            </w:pPr>
          </w:p>
        </w:tc>
        <w:tc>
          <w:tcPr>
            <w:tcW w:w="2001" w:type="dxa"/>
            <w:vAlign w:val="center"/>
          </w:tcPr>
          <w:p w14:paraId="5BF798D1">
            <w:pPr>
              <w:spacing w:line="560" w:lineRule="exact"/>
              <w:jc w:val="center"/>
              <w:rPr>
                <w:rFonts w:ascii="宋体" w:hAnsi="宋体"/>
                <w:color w:val="000000"/>
                <w:sz w:val="24"/>
              </w:rPr>
            </w:pPr>
          </w:p>
        </w:tc>
      </w:tr>
      <w:tr w14:paraId="4E93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5E5033CC">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2700" w:type="dxa"/>
            <w:vAlign w:val="center"/>
          </w:tcPr>
          <w:p w14:paraId="044C4915">
            <w:pPr>
              <w:spacing w:line="560" w:lineRule="exact"/>
              <w:jc w:val="center"/>
              <w:rPr>
                <w:rFonts w:hint="eastAsia" w:ascii="宋体" w:hAnsi="宋体"/>
                <w:color w:val="000000"/>
                <w:sz w:val="24"/>
                <w:lang w:eastAsia="zh-CN"/>
              </w:rPr>
            </w:pPr>
          </w:p>
        </w:tc>
        <w:tc>
          <w:tcPr>
            <w:tcW w:w="889" w:type="dxa"/>
            <w:vAlign w:val="center"/>
          </w:tcPr>
          <w:p w14:paraId="7DB82F96">
            <w:pPr>
              <w:spacing w:line="560" w:lineRule="exact"/>
              <w:jc w:val="center"/>
              <w:rPr>
                <w:rFonts w:hint="eastAsia" w:ascii="宋体" w:hAnsi="宋体"/>
                <w:color w:val="000000"/>
                <w:sz w:val="24"/>
                <w:lang w:val="en-US" w:eastAsia="zh-CN"/>
              </w:rPr>
            </w:pPr>
          </w:p>
        </w:tc>
        <w:tc>
          <w:tcPr>
            <w:tcW w:w="1022" w:type="dxa"/>
            <w:vAlign w:val="center"/>
          </w:tcPr>
          <w:p w14:paraId="4215F896">
            <w:pPr>
              <w:spacing w:line="560" w:lineRule="exact"/>
              <w:jc w:val="center"/>
              <w:rPr>
                <w:rFonts w:hint="eastAsia" w:ascii="宋体" w:hAnsi="宋体"/>
                <w:color w:val="000000"/>
                <w:sz w:val="24"/>
                <w:lang w:val="en-US" w:eastAsia="zh-CN"/>
              </w:rPr>
            </w:pPr>
          </w:p>
        </w:tc>
        <w:tc>
          <w:tcPr>
            <w:tcW w:w="1201" w:type="dxa"/>
            <w:vAlign w:val="center"/>
          </w:tcPr>
          <w:p w14:paraId="0E433DDD">
            <w:pPr>
              <w:spacing w:line="560" w:lineRule="exact"/>
              <w:jc w:val="center"/>
              <w:rPr>
                <w:rFonts w:ascii="宋体" w:hAnsi="宋体"/>
                <w:color w:val="000000"/>
                <w:sz w:val="24"/>
              </w:rPr>
            </w:pPr>
          </w:p>
        </w:tc>
        <w:tc>
          <w:tcPr>
            <w:tcW w:w="2001" w:type="dxa"/>
            <w:vAlign w:val="center"/>
          </w:tcPr>
          <w:p w14:paraId="24BA928A">
            <w:pPr>
              <w:spacing w:line="560" w:lineRule="exact"/>
              <w:jc w:val="center"/>
              <w:rPr>
                <w:rFonts w:ascii="宋体" w:hAnsi="宋体"/>
                <w:color w:val="000000"/>
                <w:sz w:val="24"/>
              </w:rPr>
            </w:pPr>
          </w:p>
        </w:tc>
      </w:tr>
      <w:tr w14:paraId="633F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504" w:type="dxa"/>
            <w:gridSpan w:val="5"/>
            <w:vAlign w:val="center"/>
          </w:tcPr>
          <w:p w14:paraId="25C17072">
            <w:pPr>
              <w:spacing w:line="560" w:lineRule="exact"/>
              <w:jc w:val="center"/>
              <w:rPr>
                <w:rFonts w:ascii="宋体" w:hAnsi="宋体"/>
                <w:color w:val="000000"/>
                <w:sz w:val="24"/>
              </w:rPr>
            </w:pPr>
            <w:r>
              <w:rPr>
                <w:rFonts w:hint="eastAsia" w:ascii="宋体" w:hAnsi="宋体"/>
                <w:color w:val="000000"/>
                <w:sz w:val="24"/>
              </w:rPr>
              <w:t>总计（元）</w:t>
            </w:r>
          </w:p>
        </w:tc>
        <w:tc>
          <w:tcPr>
            <w:tcW w:w="2001" w:type="dxa"/>
            <w:vAlign w:val="center"/>
          </w:tcPr>
          <w:p w14:paraId="14722896">
            <w:pPr>
              <w:spacing w:line="560" w:lineRule="exact"/>
              <w:jc w:val="center"/>
              <w:rPr>
                <w:rFonts w:ascii="宋体" w:hAnsi="宋体"/>
                <w:color w:val="000000"/>
                <w:sz w:val="24"/>
              </w:rPr>
            </w:pPr>
          </w:p>
        </w:tc>
      </w:tr>
      <w:tr w14:paraId="70D22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505" w:type="dxa"/>
            <w:gridSpan w:val="6"/>
            <w:vAlign w:val="center"/>
          </w:tcPr>
          <w:p w14:paraId="71B777AC">
            <w:pPr>
              <w:spacing w:line="560" w:lineRule="exact"/>
              <w:jc w:val="center"/>
              <w:rPr>
                <w:rFonts w:hint="eastAsia" w:ascii="宋体" w:hAnsi="宋体" w:eastAsiaTheme="minorEastAsia"/>
                <w:color w:val="000000"/>
                <w:sz w:val="24"/>
                <w:lang w:val="en-US" w:eastAsia="zh-CN"/>
              </w:rPr>
            </w:pPr>
            <w:r>
              <w:rPr>
                <w:rFonts w:hint="eastAsia" w:ascii="宋体" w:hAnsi="宋体"/>
                <w:b/>
                <w:bCs/>
                <w:color w:val="auto"/>
                <w:sz w:val="24"/>
                <w:lang w:val="en-US" w:eastAsia="zh-CN"/>
              </w:rPr>
              <w:t>注：</w:t>
            </w:r>
            <w:r>
              <w:rPr>
                <w:rFonts w:hint="eastAsia"/>
                <w:b/>
                <w:bCs/>
                <w:color w:val="auto"/>
                <w:sz w:val="24"/>
                <w:szCs w:val="24"/>
                <w:highlight w:val="none"/>
                <w:lang w:val="en-US" w:eastAsia="zh-CN"/>
              </w:rPr>
              <w:t>运输费用固定为30元/吨（来回一趟共约88km）。西湖水厂如负责县内运输的则扣除中标单位的该项运费，城东，乡镇运费按此结算。</w:t>
            </w:r>
          </w:p>
        </w:tc>
      </w:tr>
    </w:tbl>
    <w:p w14:paraId="1FB55943">
      <w:pPr>
        <w:spacing w:line="360" w:lineRule="auto"/>
        <w:ind w:firstLine="420" w:firstLineChars="200"/>
        <w:rPr>
          <w:rFonts w:ascii="Times New Roman" w:hAnsi="Times New Roman" w:eastAsia="宋体" w:cs="Times New Roman"/>
          <w:color w:val="000000"/>
          <w:szCs w:val="24"/>
        </w:rPr>
      </w:pPr>
    </w:p>
    <w:p w14:paraId="2B23C867">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24B9F199">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14F6D4C7">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2CBE7BE8">
      <w:pPr>
        <w:spacing w:line="500" w:lineRule="exact"/>
        <w:ind w:firstLine="480" w:firstLineChars="200"/>
        <w:rPr>
          <w:rFonts w:ascii="宋体" w:hAnsi="宋体" w:eastAsia="宋体" w:cs="Times New Roman"/>
          <w:color w:val="000000"/>
          <w:kern w:val="0"/>
          <w:sz w:val="24"/>
          <w:szCs w:val="24"/>
          <w:highlight w:val="yellow"/>
        </w:rPr>
      </w:pPr>
    </w:p>
    <w:p w14:paraId="69998EB9">
      <w:pPr>
        <w:rPr>
          <w:rFonts w:hint="eastAsia" w:ascii="Arial" w:hAnsi="Arial" w:eastAsia="宋体" w:cs="Arial"/>
          <w:i/>
          <w:iCs/>
          <w:kern w:val="0"/>
          <w:sz w:val="36"/>
          <w:u w:val="single"/>
        </w:rPr>
      </w:pPr>
      <w:bookmarkStart w:id="35" w:name="_GoBack"/>
      <w:bookmarkEnd w:id="35"/>
      <w:r>
        <w:rPr>
          <w:rFonts w:hint="eastAsia" w:ascii="Arial" w:hAnsi="Arial" w:eastAsia="宋体" w:cs="Arial"/>
          <w:i/>
          <w:iCs/>
          <w:kern w:val="0"/>
          <w:sz w:val="36"/>
          <w:u w:val="single"/>
        </w:rPr>
        <w:br w:type="page"/>
      </w:r>
    </w:p>
    <w:p w14:paraId="26ADE7FF">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w:t>
      </w:r>
      <w:r>
        <w:rPr>
          <w:rFonts w:hint="eastAsia" w:ascii="Arial" w:hAnsi="Arial" w:eastAsia="宋体" w:cs="Arial"/>
          <w:i/>
          <w:iCs/>
          <w:kern w:val="0"/>
          <w:sz w:val="36"/>
          <w:u w:val="single"/>
          <w:lang w:val="en-US" w:eastAsia="zh-CN"/>
        </w:rPr>
        <w:t>四</w:t>
      </w:r>
      <w:r>
        <w:rPr>
          <w:rFonts w:hint="eastAsia" w:ascii="Arial" w:hAnsi="Arial" w:eastAsia="宋体" w:cs="Arial"/>
          <w:i/>
          <w:iCs/>
          <w:kern w:val="0"/>
          <w:sz w:val="36"/>
          <w:u w:val="single"/>
        </w:rPr>
        <w:t>、技术要求响应及偏离表</w:t>
      </w:r>
    </w:p>
    <w:p w14:paraId="37AC316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BA225B9">
      <w:pPr>
        <w:autoSpaceDE w:val="0"/>
        <w:autoSpaceDN w:val="0"/>
        <w:adjustRightInd w:val="0"/>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3F3A764A">
      <w:pPr>
        <w:autoSpaceDE w:val="0"/>
        <w:autoSpaceDN w:val="0"/>
        <w:adjustRightInd w:val="0"/>
        <w:spacing w:line="360" w:lineRule="auto"/>
        <w:jc w:val="left"/>
        <w:rPr>
          <w:rFonts w:ascii="Arial" w:hAnsi="Arial" w:eastAsia="宋体" w:cs="Arial"/>
          <w:kern w:val="0"/>
          <w:sz w:val="36"/>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JSZC-320722-BLZB-G2024-0020</w:t>
      </w:r>
      <w:r>
        <w:rPr>
          <w:rFonts w:ascii="宋体" w:hAnsi="宋体" w:eastAsia="宋体" w:cs="Times New Roman"/>
          <w:bCs/>
          <w:color w:val="000000"/>
          <w:sz w:val="24"/>
          <w:szCs w:val="24"/>
        </w:rPr>
        <w:t xml:space="preserve"> </w:t>
      </w:r>
    </w:p>
    <w:tbl>
      <w:tblPr>
        <w:tblStyle w:val="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BB6F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6037BFE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3273" w:type="dxa"/>
            <w:vAlign w:val="center"/>
          </w:tcPr>
          <w:p w14:paraId="5C2A960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24" w:type="dxa"/>
            <w:vAlign w:val="center"/>
          </w:tcPr>
          <w:p w14:paraId="3E06A79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9" w:type="dxa"/>
            <w:vAlign w:val="center"/>
          </w:tcPr>
          <w:p w14:paraId="2D91F7B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5FF9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22726D57">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73" w:type="dxa"/>
            <w:vAlign w:val="center"/>
          </w:tcPr>
          <w:p w14:paraId="44D00FAF">
            <w:pPr>
              <w:jc w:val="center"/>
              <w:rPr>
                <w:rFonts w:ascii="宋体" w:hAnsi="宋体" w:eastAsia="宋体" w:cs="Times New Roman"/>
                <w:color w:val="000000"/>
                <w:kern w:val="0"/>
                <w:sz w:val="24"/>
                <w:szCs w:val="24"/>
              </w:rPr>
            </w:pPr>
          </w:p>
        </w:tc>
        <w:tc>
          <w:tcPr>
            <w:tcW w:w="3024" w:type="dxa"/>
            <w:vAlign w:val="center"/>
          </w:tcPr>
          <w:p w14:paraId="3843E06A">
            <w:pPr>
              <w:jc w:val="center"/>
              <w:rPr>
                <w:rFonts w:ascii="宋体" w:hAnsi="宋体" w:eastAsia="宋体" w:cs="Times New Roman"/>
                <w:color w:val="000000"/>
                <w:kern w:val="0"/>
                <w:sz w:val="24"/>
                <w:szCs w:val="24"/>
              </w:rPr>
            </w:pPr>
          </w:p>
        </w:tc>
        <w:tc>
          <w:tcPr>
            <w:tcW w:w="1399" w:type="dxa"/>
            <w:vAlign w:val="center"/>
          </w:tcPr>
          <w:p w14:paraId="0D39519E">
            <w:pPr>
              <w:jc w:val="center"/>
              <w:rPr>
                <w:rFonts w:ascii="宋体" w:hAnsi="宋体" w:eastAsia="宋体" w:cs="Times New Roman"/>
                <w:color w:val="000000"/>
                <w:kern w:val="0"/>
                <w:sz w:val="24"/>
                <w:szCs w:val="24"/>
              </w:rPr>
            </w:pPr>
          </w:p>
        </w:tc>
      </w:tr>
      <w:tr w14:paraId="5F418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2A9DEDD">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73" w:type="dxa"/>
            <w:vAlign w:val="center"/>
          </w:tcPr>
          <w:p w14:paraId="50575443">
            <w:pPr>
              <w:jc w:val="center"/>
              <w:rPr>
                <w:rFonts w:ascii="宋体" w:hAnsi="宋体" w:eastAsia="宋体" w:cs="Times New Roman"/>
                <w:color w:val="000000"/>
                <w:kern w:val="0"/>
                <w:sz w:val="24"/>
                <w:szCs w:val="24"/>
              </w:rPr>
            </w:pPr>
          </w:p>
        </w:tc>
        <w:tc>
          <w:tcPr>
            <w:tcW w:w="3024" w:type="dxa"/>
            <w:vAlign w:val="center"/>
          </w:tcPr>
          <w:p w14:paraId="7C25910F">
            <w:pPr>
              <w:jc w:val="center"/>
              <w:rPr>
                <w:rFonts w:ascii="宋体" w:hAnsi="宋体" w:eastAsia="宋体" w:cs="Times New Roman"/>
                <w:color w:val="000000"/>
                <w:kern w:val="0"/>
                <w:sz w:val="24"/>
                <w:szCs w:val="24"/>
              </w:rPr>
            </w:pPr>
          </w:p>
        </w:tc>
        <w:tc>
          <w:tcPr>
            <w:tcW w:w="1399" w:type="dxa"/>
            <w:vAlign w:val="center"/>
          </w:tcPr>
          <w:p w14:paraId="570C7152">
            <w:pPr>
              <w:jc w:val="center"/>
              <w:rPr>
                <w:rFonts w:ascii="宋体" w:hAnsi="宋体" w:eastAsia="宋体" w:cs="Times New Roman"/>
                <w:color w:val="000000"/>
                <w:kern w:val="0"/>
                <w:sz w:val="24"/>
                <w:szCs w:val="24"/>
              </w:rPr>
            </w:pPr>
          </w:p>
        </w:tc>
      </w:tr>
      <w:tr w14:paraId="2DD76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ED5CEA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73" w:type="dxa"/>
            <w:vAlign w:val="center"/>
          </w:tcPr>
          <w:p w14:paraId="379B0727">
            <w:pPr>
              <w:jc w:val="center"/>
              <w:rPr>
                <w:rFonts w:ascii="宋体" w:hAnsi="宋体" w:eastAsia="宋体" w:cs="Times New Roman"/>
                <w:color w:val="000000"/>
                <w:kern w:val="0"/>
                <w:sz w:val="24"/>
                <w:szCs w:val="24"/>
              </w:rPr>
            </w:pPr>
          </w:p>
        </w:tc>
        <w:tc>
          <w:tcPr>
            <w:tcW w:w="3024" w:type="dxa"/>
            <w:vAlign w:val="center"/>
          </w:tcPr>
          <w:p w14:paraId="469D9101">
            <w:pPr>
              <w:jc w:val="center"/>
              <w:rPr>
                <w:rFonts w:ascii="宋体" w:hAnsi="宋体" w:eastAsia="宋体" w:cs="Times New Roman"/>
                <w:color w:val="000000"/>
                <w:kern w:val="0"/>
                <w:sz w:val="24"/>
                <w:szCs w:val="24"/>
              </w:rPr>
            </w:pPr>
          </w:p>
        </w:tc>
        <w:tc>
          <w:tcPr>
            <w:tcW w:w="1399" w:type="dxa"/>
            <w:vAlign w:val="center"/>
          </w:tcPr>
          <w:p w14:paraId="0264D4B6">
            <w:pPr>
              <w:jc w:val="center"/>
              <w:rPr>
                <w:rFonts w:ascii="宋体" w:hAnsi="宋体" w:eastAsia="宋体" w:cs="Times New Roman"/>
                <w:color w:val="000000"/>
                <w:kern w:val="0"/>
                <w:sz w:val="24"/>
                <w:szCs w:val="24"/>
              </w:rPr>
            </w:pPr>
          </w:p>
        </w:tc>
      </w:tr>
      <w:tr w14:paraId="68E8B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82F1E03">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73" w:type="dxa"/>
            <w:vAlign w:val="center"/>
          </w:tcPr>
          <w:p w14:paraId="21B3D8FB">
            <w:pPr>
              <w:jc w:val="center"/>
              <w:rPr>
                <w:rFonts w:ascii="宋体" w:hAnsi="宋体" w:eastAsia="宋体" w:cs="Times New Roman"/>
                <w:color w:val="000000"/>
                <w:kern w:val="0"/>
                <w:sz w:val="24"/>
                <w:szCs w:val="24"/>
              </w:rPr>
            </w:pPr>
          </w:p>
        </w:tc>
        <w:tc>
          <w:tcPr>
            <w:tcW w:w="3024" w:type="dxa"/>
            <w:vAlign w:val="center"/>
          </w:tcPr>
          <w:p w14:paraId="011D1185">
            <w:pPr>
              <w:jc w:val="center"/>
              <w:rPr>
                <w:rFonts w:ascii="宋体" w:hAnsi="宋体" w:eastAsia="宋体" w:cs="Times New Roman"/>
                <w:color w:val="000000"/>
                <w:kern w:val="0"/>
                <w:sz w:val="24"/>
                <w:szCs w:val="24"/>
              </w:rPr>
            </w:pPr>
          </w:p>
        </w:tc>
        <w:tc>
          <w:tcPr>
            <w:tcW w:w="1399" w:type="dxa"/>
            <w:vAlign w:val="center"/>
          </w:tcPr>
          <w:p w14:paraId="328DD28D">
            <w:pPr>
              <w:jc w:val="center"/>
              <w:rPr>
                <w:rFonts w:ascii="宋体" w:hAnsi="宋体" w:eastAsia="宋体" w:cs="Times New Roman"/>
                <w:color w:val="000000"/>
                <w:kern w:val="0"/>
                <w:sz w:val="24"/>
                <w:szCs w:val="24"/>
              </w:rPr>
            </w:pPr>
          </w:p>
        </w:tc>
      </w:tr>
    </w:tbl>
    <w:p w14:paraId="5917686E">
      <w:pPr>
        <w:spacing w:line="500" w:lineRule="exact"/>
        <w:ind w:firstLine="480" w:firstLineChars="200"/>
        <w:rPr>
          <w:rFonts w:ascii="宋体" w:hAnsi="宋体" w:eastAsia="宋体" w:cs="Times New Roman"/>
          <w:color w:val="000000"/>
          <w:kern w:val="0"/>
          <w:sz w:val="24"/>
          <w:szCs w:val="24"/>
        </w:rPr>
      </w:pPr>
    </w:p>
    <w:p w14:paraId="2CFD79A3">
      <w:pPr>
        <w:spacing w:line="500" w:lineRule="exact"/>
        <w:ind w:firstLine="480" w:firstLineChars="200"/>
        <w:rPr>
          <w:rFonts w:ascii="宋体" w:hAnsi="宋体" w:eastAsia="宋体" w:cs="Times New Roman"/>
          <w:color w:val="000000"/>
          <w:kern w:val="0"/>
          <w:sz w:val="24"/>
          <w:szCs w:val="24"/>
        </w:rPr>
      </w:pPr>
    </w:p>
    <w:p w14:paraId="0FBD2337">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5CF02F7">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0602BD66">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4F5D122"/>
    <w:p w14:paraId="519923DB"/>
    <w:p w14:paraId="1C84ADD9">
      <w:pPr>
        <w:rPr>
          <w:rFonts w:hint="eastAsia" w:ascii="Arial" w:hAnsi="Arial" w:eastAsia="宋体" w:cs="Arial"/>
          <w:i/>
          <w:iCs/>
          <w:kern w:val="0"/>
          <w:sz w:val="36"/>
          <w:u w:val="single"/>
        </w:rPr>
      </w:pPr>
      <w:bookmarkStart w:id="22" w:name="_Hlt26955054"/>
      <w:bookmarkEnd w:id="22"/>
      <w:r>
        <w:rPr>
          <w:rFonts w:hint="eastAsia" w:ascii="Arial" w:hAnsi="Arial" w:eastAsia="宋体" w:cs="Arial"/>
          <w:i/>
          <w:iCs/>
          <w:kern w:val="0"/>
          <w:sz w:val="36"/>
          <w:u w:val="single"/>
        </w:rPr>
        <w:br w:type="page"/>
      </w:r>
    </w:p>
    <w:p w14:paraId="70CCAB5D">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w:t>
      </w:r>
      <w:r>
        <w:rPr>
          <w:rFonts w:hint="eastAsia" w:ascii="Arial" w:hAnsi="Arial" w:eastAsia="宋体" w:cs="Arial"/>
          <w:i/>
          <w:iCs/>
          <w:kern w:val="0"/>
          <w:sz w:val="36"/>
          <w:u w:val="single"/>
          <w:lang w:val="en-US" w:eastAsia="zh-CN"/>
        </w:rPr>
        <w:t>五</w:t>
      </w:r>
      <w:r>
        <w:rPr>
          <w:rFonts w:hint="eastAsia" w:ascii="Arial" w:hAnsi="Arial" w:eastAsia="宋体" w:cs="Arial"/>
          <w:i/>
          <w:iCs/>
          <w:kern w:val="0"/>
          <w:sz w:val="36"/>
          <w:u w:val="single"/>
        </w:rPr>
        <w:t>、商务要求响应及偏离表</w:t>
      </w:r>
    </w:p>
    <w:p w14:paraId="652A62C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6DAE4D6E">
      <w:pPr>
        <w:autoSpaceDE w:val="0"/>
        <w:autoSpaceDN w:val="0"/>
        <w:adjustRightInd w:val="0"/>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628FF9F2">
      <w:pPr>
        <w:autoSpaceDE w:val="0"/>
        <w:autoSpaceDN w:val="0"/>
        <w:adjustRightInd w:val="0"/>
        <w:spacing w:line="360" w:lineRule="auto"/>
        <w:jc w:val="left"/>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JSZC-320722-BLZB-G2024-0020</w:t>
      </w:r>
      <w:r>
        <w:rPr>
          <w:rFonts w:ascii="宋体" w:hAnsi="宋体" w:eastAsia="宋体" w:cs="Times New Roman"/>
          <w:bCs/>
          <w:color w:val="000000"/>
          <w:sz w:val="24"/>
          <w:szCs w:val="24"/>
        </w:rPr>
        <w:t xml:space="preserve"> </w:t>
      </w:r>
    </w:p>
    <w:tbl>
      <w:tblPr>
        <w:tblStyle w:val="2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345A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009B2FCE">
            <w:pPr>
              <w:jc w:val="center"/>
              <w:rPr>
                <w:rFonts w:ascii="宋体" w:hAnsi="宋体" w:eastAsia="宋体" w:cs="Times New Roman"/>
                <w:color w:val="000000"/>
                <w:kern w:val="0"/>
                <w:sz w:val="24"/>
                <w:szCs w:val="24"/>
              </w:rPr>
            </w:pPr>
            <w:bookmarkStart w:id="23" w:name="_Hlt26580838"/>
            <w:bookmarkEnd w:id="23"/>
            <w:bookmarkStart w:id="24" w:name="_Hlt26671372"/>
            <w:bookmarkEnd w:id="24"/>
            <w:bookmarkStart w:id="25" w:name="_Hlt26782999"/>
            <w:bookmarkEnd w:id="25"/>
            <w:bookmarkStart w:id="26" w:name="_Hlt26671343"/>
            <w:bookmarkEnd w:id="26"/>
            <w:bookmarkStart w:id="27" w:name="_Hlt26955064"/>
            <w:bookmarkEnd w:id="27"/>
            <w:bookmarkStart w:id="28" w:name="_Hlt26955056"/>
            <w:bookmarkEnd w:id="28"/>
            <w:bookmarkStart w:id="29" w:name="_Hlt26609391"/>
            <w:bookmarkEnd w:id="29"/>
            <w:bookmarkStart w:id="30" w:name="_Hlt24879081"/>
            <w:bookmarkEnd w:id="30"/>
            <w:r>
              <w:rPr>
                <w:rFonts w:hint="eastAsia" w:ascii="宋体" w:hAnsi="宋体" w:eastAsia="宋体" w:cs="Times New Roman"/>
                <w:color w:val="000000"/>
                <w:kern w:val="0"/>
                <w:sz w:val="24"/>
                <w:szCs w:val="24"/>
              </w:rPr>
              <w:t>序号</w:t>
            </w:r>
          </w:p>
        </w:tc>
        <w:tc>
          <w:tcPr>
            <w:tcW w:w="3263" w:type="dxa"/>
            <w:vAlign w:val="center"/>
          </w:tcPr>
          <w:p w14:paraId="6643C7B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34" w:type="dxa"/>
            <w:vAlign w:val="center"/>
          </w:tcPr>
          <w:p w14:paraId="659A64B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1" w:type="dxa"/>
            <w:vAlign w:val="center"/>
          </w:tcPr>
          <w:p w14:paraId="716B20A2">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3305C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7E73FB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14:paraId="2F9FC09E">
            <w:pPr>
              <w:jc w:val="center"/>
              <w:rPr>
                <w:rFonts w:ascii="宋体" w:hAnsi="宋体" w:eastAsia="宋体" w:cs="Times New Roman"/>
                <w:color w:val="000000"/>
                <w:kern w:val="0"/>
                <w:sz w:val="24"/>
                <w:szCs w:val="24"/>
              </w:rPr>
            </w:pPr>
          </w:p>
        </w:tc>
        <w:tc>
          <w:tcPr>
            <w:tcW w:w="3034" w:type="dxa"/>
            <w:vAlign w:val="center"/>
          </w:tcPr>
          <w:p w14:paraId="56D08262">
            <w:pPr>
              <w:jc w:val="center"/>
              <w:rPr>
                <w:rFonts w:ascii="宋体" w:hAnsi="宋体" w:eastAsia="宋体" w:cs="Times New Roman"/>
                <w:color w:val="000000"/>
                <w:kern w:val="0"/>
                <w:sz w:val="24"/>
                <w:szCs w:val="24"/>
              </w:rPr>
            </w:pPr>
          </w:p>
        </w:tc>
        <w:tc>
          <w:tcPr>
            <w:tcW w:w="1391" w:type="dxa"/>
            <w:vAlign w:val="center"/>
          </w:tcPr>
          <w:p w14:paraId="501D734A">
            <w:pPr>
              <w:jc w:val="center"/>
              <w:rPr>
                <w:rFonts w:ascii="宋体" w:hAnsi="宋体" w:eastAsia="宋体" w:cs="Times New Roman"/>
                <w:color w:val="000000"/>
                <w:kern w:val="0"/>
                <w:sz w:val="24"/>
                <w:szCs w:val="24"/>
              </w:rPr>
            </w:pPr>
          </w:p>
        </w:tc>
      </w:tr>
      <w:tr w14:paraId="0264F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29318AF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14:paraId="299FE96B">
            <w:pPr>
              <w:jc w:val="center"/>
              <w:rPr>
                <w:rFonts w:ascii="宋体" w:hAnsi="宋体" w:eastAsia="宋体" w:cs="Times New Roman"/>
                <w:color w:val="000000"/>
                <w:kern w:val="0"/>
                <w:sz w:val="24"/>
                <w:szCs w:val="24"/>
              </w:rPr>
            </w:pPr>
          </w:p>
        </w:tc>
        <w:tc>
          <w:tcPr>
            <w:tcW w:w="3034" w:type="dxa"/>
            <w:vAlign w:val="center"/>
          </w:tcPr>
          <w:p w14:paraId="17B89AA0">
            <w:pPr>
              <w:jc w:val="center"/>
              <w:rPr>
                <w:rFonts w:ascii="宋体" w:hAnsi="宋体" w:eastAsia="宋体" w:cs="Times New Roman"/>
                <w:color w:val="000000"/>
                <w:kern w:val="0"/>
                <w:sz w:val="24"/>
                <w:szCs w:val="24"/>
              </w:rPr>
            </w:pPr>
          </w:p>
        </w:tc>
        <w:tc>
          <w:tcPr>
            <w:tcW w:w="1391" w:type="dxa"/>
            <w:vAlign w:val="center"/>
          </w:tcPr>
          <w:p w14:paraId="3FF29963">
            <w:pPr>
              <w:jc w:val="center"/>
              <w:rPr>
                <w:rFonts w:ascii="宋体" w:hAnsi="宋体" w:eastAsia="宋体" w:cs="Times New Roman"/>
                <w:color w:val="000000"/>
                <w:kern w:val="0"/>
                <w:sz w:val="24"/>
                <w:szCs w:val="24"/>
              </w:rPr>
            </w:pPr>
          </w:p>
        </w:tc>
      </w:tr>
      <w:tr w14:paraId="711CC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6F820B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14:paraId="5786BDA1">
            <w:pPr>
              <w:jc w:val="center"/>
              <w:rPr>
                <w:rFonts w:ascii="宋体" w:hAnsi="宋体" w:eastAsia="宋体" w:cs="Times New Roman"/>
                <w:color w:val="000000"/>
                <w:kern w:val="0"/>
                <w:sz w:val="24"/>
                <w:szCs w:val="24"/>
              </w:rPr>
            </w:pPr>
          </w:p>
        </w:tc>
        <w:tc>
          <w:tcPr>
            <w:tcW w:w="3034" w:type="dxa"/>
            <w:vAlign w:val="center"/>
          </w:tcPr>
          <w:p w14:paraId="407FC1CE">
            <w:pPr>
              <w:jc w:val="center"/>
              <w:rPr>
                <w:rFonts w:ascii="宋体" w:hAnsi="宋体" w:eastAsia="宋体" w:cs="Times New Roman"/>
                <w:color w:val="000000"/>
                <w:kern w:val="0"/>
                <w:sz w:val="24"/>
                <w:szCs w:val="24"/>
              </w:rPr>
            </w:pPr>
          </w:p>
        </w:tc>
        <w:tc>
          <w:tcPr>
            <w:tcW w:w="1391" w:type="dxa"/>
            <w:vAlign w:val="center"/>
          </w:tcPr>
          <w:p w14:paraId="213C59CE">
            <w:pPr>
              <w:jc w:val="center"/>
              <w:rPr>
                <w:rFonts w:ascii="宋体" w:hAnsi="宋体" w:eastAsia="宋体" w:cs="Times New Roman"/>
                <w:color w:val="000000"/>
                <w:kern w:val="0"/>
                <w:sz w:val="24"/>
                <w:szCs w:val="24"/>
              </w:rPr>
            </w:pPr>
          </w:p>
        </w:tc>
      </w:tr>
      <w:tr w14:paraId="70413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68F4D5F">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14:paraId="2DE65C0D">
            <w:pPr>
              <w:jc w:val="center"/>
              <w:rPr>
                <w:rFonts w:ascii="宋体" w:hAnsi="宋体" w:eastAsia="宋体" w:cs="Times New Roman"/>
                <w:color w:val="000000"/>
                <w:kern w:val="0"/>
                <w:sz w:val="24"/>
                <w:szCs w:val="24"/>
              </w:rPr>
            </w:pPr>
          </w:p>
        </w:tc>
        <w:tc>
          <w:tcPr>
            <w:tcW w:w="3034" w:type="dxa"/>
            <w:vAlign w:val="center"/>
          </w:tcPr>
          <w:p w14:paraId="6FE3EE63">
            <w:pPr>
              <w:jc w:val="center"/>
              <w:rPr>
                <w:rFonts w:ascii="宋体" w:hAnsi="宋体" w:eastAsia="宋体" w:cs="Times New Roman"/>
                <w:color w:val="000000"/>
                <w:kern w:val="0"/>
                <w:sz w:val="24"/>
                <w:szCs w:val="24"/>
              </w:rPr>
            </w:pPr>
          </w:p>
        </w:tc>
        <w:tc>
          <w:tcPr>
            <w:tcW w:w="1391" w:type="dxa"/>
            <w:vAlign w:val="center"/>
          </w:tcPr>
          <w:p w14:paraId="4DCBD120">
            <w:pPr>
              <w:jc w:val="center"/>
              <w:rPr>
                <w:rFonts w:ascii="宋体" w:hAnsi="宋体" w:eastAsia="宋体" w:cs="Times New Roman"/>
                <w:color w:val="000000"/>
                <w:kern w:val="0"/>
                <w:sz w:val="24"/>
                <w:szCs w:val="24"/>
              </w:rPr>
            </w:pPr>
          </w:p>
        </w:tc>
      </w:tr>
    </w:tbl>
    <w:p w14:paraId="2E1A98E7">
      <w:pPr>
        <w:spacing w:line="500" w:lineRule="exact"/>
        <w:ind w:firstLine="480" w:firstLineChars="200"/>
        <w:rPr>
          <w:rFonts w:ascii="宋体" w:hAnsi="宋体" w:eastAsia="宋体" w:cs="Times New Roman"/>
          <w:color w:val="000000"/>
          <w:kern w:val="0"/>
          <w:sz w:val="24"/>
          <w:szCs w:val="24"/>
        </w:rPr>
      </w:pPr>
    </w:p>
    <w:p w14:paraId="186840AF">
      <w:pPr>
        <w:spacing w:line="500" w:lineRule="exact"/>
        <w:ind w:firstLine="480" w:firstLineChars="200"/>
        <w:rPr>
          <w:rFonts w:ascii="宋体" w:hAnsi="宋体" w:eastAsia="宋体" w:cs="Times New Roman"/>
          <w:color w:val="000000"/>
          <w:kern w:val="0"/>
          <w:sz w:val="24"/>
          <w:szCs w:val="24"/>
        </w:rPr>
      </w:pPr>
    </w:p>
    <w:p w14:paraId="01F974E3">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98EFF4E">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1F5790E">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CFDACC6">
      <w:bookmarkStart w:id="31" w:name="_Hlt26671374"/>
      <w:bookmarkEnd w:id="31"/>
      <w:bookmarkStart w:id="32" w:name="_格式2__法定代表人授权书"/>
      <w:bookmarkEnd w:id="32"/>
      <w:bookmarkStart w:id="33" w:name="_Hlt26609389"/>
      <w:bookmarkEnd w:id="33"/>
      <w:bookmarkStart w:id="34" w:name="_Hlt26955066"/>
      <w:bookmarkEnd w:id="34"/>
    </w:p>
    <w:p w14:paraId="5128A40A"/>
    <w:p w14:paraId="12947C23">
      <w:pPr>
        <w:rPr>
          <w:rFonts w:hint="eastAsia" w:ascii="Arial" w:hAnsi="Arial" w:eastAsia="宋体" w:cs="Arial"/>
          <w:i/>
          <w:kern w:val="0"/>
          <w:sz w:val="36"/>
          <w:u w:val="single"/>
        </w:rPr>
      </w:pPr>
      <w:r>
        <w:rPr>
          <w:rFonts w:hint="eastAsia" w:ascii="Arial" w:hAnsi="Arial" w:eastAsia="宋体" w:cs="Arial"/>
          <w:i/>
          <w:kern w:val="0"/>
          <w:sz w:val="36"/>
          <w:u w:val="single"/>
        </w:rPr>
        <w:br w:type="page"/>
      </w:r>
    </w:p>
    <w:p w14:paraId="38962A56">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十</w:t>
      </w:r>
      <w:r>
        <w:rPr>
          <w:rFonts w:hint="eastAsia" w:ascii="Arial" w:hAnsi="Arial" w:eastAsia="宋体" w:cs="Arial"/>
          <w:i/>
          <w:kern w:val="0"/>
          <w:sz w:val="36"/>
          <w:u w:val="single"/>
          <w:lang w:val="en-US" w:eastAsia="zh-CN"/>
        </w:rPr>
        <w:t>六</w:t>
      </w:r>
      <w:r>
        <w:rPr>
          <w:rFonts w:hint="eastAsia" w:ascii="Arial" w:hAnsi="Arial" w:eastAsia="宋体" w:cs="Arial"/>
          <w:i/>
          <w:kern w:val="0"/>
          <w:sz w:val="36"/>
          <w:u w:val="single"/>
        </w:rPr>
        <w:t>、开标一览表</w:t>
      </w:r>
    </w:p>
    <w:p w14:paraId="3160F56C">
      <w:pPr>
        <w:autoSpaceDE w:val="0"/>
        <w:autoSpaceDN w:val="0"/>
        <w:adjustRightInd w:val="0"/>
        <w:spacing w:line="360" w:lineRule="auto"/>
        <w:jc w:val="left"/>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项目名称：</w:t>
      </w:r>
      <w:r>
        <w:rPr>
          <w:rFonts w:hint="eastAsia" w:ascii="宋体" w:hAnsi="宋体" w:eastAsia="宋体" w:cs="Times New Roman"/>
          <w:bCs/>
          <w:color w:val="000000" w:themeColor="text1"/>
          <w:sz w:val="24"/>
          <w:szCs w:val="24"/>
          <w:lang w:eastAsia="zh-CN"/>
          <w14:textFill>
            <w14:solidFill>
              <w14:schemeClr w14:val="tx1"/>
            </w14:solidFill>
          </w14:textFill>
        </w:rPr>
        <w:t>东海县城镇生活污水处理厂污泥处置项目</w:t>
      </w:r>
    </w:p>
    <w:p w14:paraId="5399D612">
      <w:pPr>
        <w:autoSpaceDE w:val="0"/>
        <w:autoSpaceDN w:val="0"/>
        <w:adjustRightInd w:val="0"/>
        <w:spacing w:line="360" w:lineRule="auto"/>
        <w:jc w:val="left"/>
        <w:rPr>
          <w:rFonts w:ascii="Arial" w:hAnsi="Arial" w:eastAsia="宋体" w:cs="Arial"/>
          <w:color w:val="000000" w:themeColor="text1"/>
          <w:kern w:val="0"/>
          <w:sz w:val="36"/>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项目编号：</w:t>
      </w:r>
      <w:r>
        <w:rPr>
          <w:rFonts w:hint="eastAsia" w:ascii="宋体" w:hAnsi="宋体" w:eastAsia="宋体" w:cs="Times New Roman"/>
          <w:bCs/>
          <w:color w:val="000000" w:themeColor="text1"/>
          <w:sz w:val="24"/>
          <w:szCs w:val="24"/>
          <w:lang w:eastAsia="zh-CN"/>
          <w14:textFill>
            <w14:solidFill>
              <w14:schemeClr w14:val="tx1"/>
            </w14:solidFill>
          </w14:textFill>
        </w:rPr>
        <w:t>JSZC-320722-BLZB-G2024-0020</w:t>
      </w:r>
      <w:r>
        <w:rPr>
          <w:rFonts w:ascii="宋体" w:hAnsi="宋体" w:eastAsia="宋体" w:cs="Times New Roman"/>
          <w:bCs/>
          <w:color w:val="000000" w:themeColor="text1"/>
          <w:sz w:val="24"/>
          <w:szCs w:val="24"/>
          <w14:textFill>
            <w14:solidFill>
              <w14:schemeClr w14:val="tx1"/>
            </w14:solidFill>
          </w14:textFill>
        </w:rPr>
        <w:t xml:space="preserve"> </w:t>
      </w:r>
    </w:p>
    <w:p w14:paraId="3B21AB82">
      <w:pPr>
        <w:spacing w:line="500" w:lineRule="exact"/>
        <w:ind w:firstLine="480" w:firstLineChars="200"/>
        <w:jc w:val="righ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货币单位：人民币元</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535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0598ACB">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项目名称</w:t>
            </w:r>
          </w:p>
        </w:tc>
        <w:tc>
          <w:tcPr>
            <w:tcW w:w="2841" w:type="dxa"/>
          </w:tcPr>
          <w:p w14:paraId="5074A0BA">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项目内容</w:t>
            </w:r>
          </w:p>
        </w:tc>
        <w:tc>
          <w:tcPr>
            <w:tcW w:w="2841" w:type="dxa"/>
          </w:tcPr>
          <w:p w14:paraId="66B779EF">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总价</w:t>
            </w:r>
            <w:r>
              <w:rPr>
                <w:rFonts w:hint="eastAsia" w:ascii="Times New Roman" w:hAnsi="Times New Roman" w:eastAsia="宋体" w:cs="Times New Roman"/>
                <w:color w:val="000000" w:themeColor="text1"/>
                <w:kern w:val="0"/>
                <w:sz w:val="24"/>
                <w:szCs w:val="24"/>
                <w14:textFill>
                  <w14:solidFill>
                    <w14:schemeClr w14:val="tx1"/>
                  </w14:solidFill>
                </w14:textFill>
              </w:rPr>
              <w:t>（小写）</w:t>
            </w:r>
          </w:p>
        </w:tc>
      </w:tr>
      <w:tr w14:paraId="3FD3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07AC474">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c>
          <w:tcPr>
            <w:tcW w:w="2841" w:type="dxa"/>
          </w:tcPr>
          <w:p w14:paraId="7DA7DC86">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详见投标文件</w:t>
            </w:r>
          </w:p>
        </w:tc>
        <w:tc>
          <w:tcPr>
            <w:tcW w:w="2841" w:type="dxa"/>
          </w:tcPr>
          <w:p w14:paraId="27C874AD">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元</w:t>
            </w:r>
          </w:p>
        </w:tc>
      </w:tr>
      <w:tr w14:paraId="3E35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0FD5E3B">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总价（大写）</w:t>
            </w:r>
          </w:p>
        </w:tc>
        <w:tc>
          <w:tcPr>
            <w:tcW w:w="5682" w:type="dxa"/>
            <w:gridSpan w:val="2"/>
          </w:tcPr>
          <w:p w14:paraId="71D30E42">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r>
    </w:tbl>
    <w:p w14:paraId="25B77BE4">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投标人公章：</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（电子签章）</w:t>
      </w:r>
    </w:p>
    <w:p w14:paraId="665599DE">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14:paraId="27A0055A">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14:paraId="2EDDA7C2">
      <w:pPr>
        <w:spacing w:line="500" w:lineRule="exact"/>
        <w:ind w:firstLine="480" w:firstLineChars="200"/>
        <w:rPr>
          <w:rFonts w:ascii="宋体" w:hAnsi="宋体" w:eastAsia="宋体" w:cs="Times New Roman"/>
          <w:bCs/>
          <w:color w:val="000000"/>
          <w:kern w:val="0"/>
          <w:sz w:val="24"/>
          <w:szCs w:val="21"/>
        </w:rPr>
      </w:pPr>
    </w:p>
    <w:p w14:paraId="35EB5962">
      <w:pPr>
        <w:widowControl/>
        <w:jc w:val="left"/>
        <w:rPr>
          <w:rFonts w:ascii="黑体" w:hAnsi="黑体" w:eastAsia="黑体" w:cs="仿宋"/>
          <w:bCs/>
          <w:color w:val="000000"/>
          <w:kern w:val="0"/>
          <w:sz w:val="40"/>
          <w:szCs w:val="32"/>
        </w:rPr>
      </w:pPr>
      <w:r>
        <w:rPr>
          <w:rFonts w:ascii="黑体" w:hAnsi="黑体" w:eastAsia="黑体" w:cs="仿宋"/>
          <w:bCs/>
          <w:color w:val="000000"/>
          <w:kern w:val="0"/>
          <w:sz w:val="40"/>
          <w:szCs w:val="32"/>
        </w:rPr>
        <w:br w:type="page"/>
      </w:r>
    </w:p>
    <w:p w14:paraId="7C50E1E1">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42317CFD">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14:paraId="3D6E1E14">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75D06508">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14:paraId="14925ABD">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3DCC8AD1">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3E70F882">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14:paraId="6F49EBFC">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7598DCEB">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629E12B3">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59D7F9AB">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14:paraId="0ECD47D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14:paraId="51393557">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14:paraId="06E2C94C">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14:paraId="75333BE9">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2D783728">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14:paraId="427FEA38">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14:paraId="0B1F5625">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14:paraId="7022B89D">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14:paraId="1F28FA1B">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14:paraId="058A2ABF">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17B2FED9">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0871B781">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415F1D7E">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14:paraId="5C3DF66E">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09A04A46">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7A164139">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19C2DEE0">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403C66F4">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65EA4DD">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79AF6E43">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20916FDF">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065079C7">
      <w:pPr>
        <w:widowControl/>
        <w:spacing w:line="500" w:lineRule="exact"/>
        <w:ind w:firstLine="480"/>
        <w:jc w:val="left"/>
        <w:rPr>
          <w:color w:val="auto"/>
          <w:sz w:val="24"/>
          <w:szCs w:val="24"/>
        </w:rPr>
      </w:pPr>
      <w:r>
        <w:rPr>
          <w:rFonts w:hint="eastAsia" w:ascii="宋体" w:hAnsi="宋体" w:eastAsia="宋体" w:cs="Times New Roman"/>
          <w:b/>
          <w:color w:val="auto"/>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0000012" w:usb3="00000000" w:csb0="0002009F" w:csb1="00000000"/>
  </w:font>
  <w:font w:name="方正仿宋_GBK">
    <w:altName w:val="微软雅黑"/>
    <w:panose1 w:val="00000000000000000000"/>
    <w:charset w:val="86"/>
    <w:family w:val="script"/>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65635">
    <w:pPr>
      <w:pStyle w:val="16"/>
      <w:jc w:val="center"/>
    </w:pPr>
  </w:p>
  <w:p w14:paraId="1C7E35E4">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68FF4522">
        <w:pPr>
          <w:pStyle w:val="16"/>
          <w:jc w:val="center"/>
        </w:pPr>
        <w:r>
          <w:fldChar w:fldCharType="begin"/>
        </w:r>
        <w:r>
          <w:instrText xml:space="preserve"> PAGE   \* MERGEFORMAT </w:instrText>
        </w:r>
        <w:r>
          <w:fldChar w:fldCharType="separate"/>
        </w:r>
        <w:r>
          <w:rPr>
            <w:lang w:val="zh-CN"/>
          </w:rPr>
          <w:t>1</w:t>
        </w:r>
        <w:r>
          <w:rPr>
            <w:lang w:val="zh-CN"/>
          </w:rPr>
          <w:fldChar w:fldCharType="end"/>
        </w:r>
      </w:p>
    </w:sdtContent>
  </w:sdt>
  <w:p w14:paraId="3044D590">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A79479"/>
    <w:multiLevelType w:val="singleLevel"/>
    <w:tmpl w:val="C7A79479"/>
    <w:lvl w:ilvl="0" w:tentative="0">
      <w:start w:val="6"/>
      <w:numFmt w:val="decimal"/>
      <w:suff w:val="nothing"/>
      <w:lvlText w:val="（%1）"/>
      <w:lvlJc w:val="left"/>
      <w:pPr>
        <w:ind w:left="-60"/>
      </w:pPr>
    </w:lvl>
  </w:abstractNum>
  <w:abstractNum w:abstractNumId="1">
    <w:nsid w:val="2CBAB186"/>
    <w:multiLevelType w:val="singleLevel"/>
    <w:tmpl w:val="2CBAB186"/>
    <w:lvl w:ilvl="0" w:tentative="0">
      <w:start w:val="3"/>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wMDhiODBhNTMxNTY2MjJlMDc0YjI3MjU3ZTIzNWEifQ=="/>
  </w:docVars>
  <w:rsids>
    <w:rsidRoot w:val="00650ECF"/>
    <w:rsid w:val="00020927"/>
    <w:rsid w:val="00020FD1"/>
    <w:rsid w:val="000211B8"/>
    <w:rsid w:val="00021B04"/>
    <w:rsid w:val="00031567"/>
    <w:rsid w:val="00057588"/>
    <w:rsid w:val="00070AAE"/>
    <w:rsid w:val="000716E2"/>
    <w:rsid w:val="00073803"/>
    <w:rsid w:val="000743C9"/>
    <w:rsid w:val="00080423"/>
    <w:rsid w:val="00082324"/>
    <w:rsid w:val="00084128"/>
    <w:rsid w:val="00090007"/>
    <w:rsid w:val="00097D02"/>
    <w:rsid w:val="000A7B4F"/>
    <w:rsid w:val="000C4223"/>
    <w:rsid w:val="000D287C"/>
    <w:rsid w:val="000D4335"/>
    <w:rsid w:val="000D43A0"/>
    <w:rsid w:val="001031C6"/>
    <w:rsid w:val="00111447"/>
    <w:rsid w:val="00111CE2"/>
    <w:rsid w:val="00111F90"/>
    <w:rsid w:val="0011455B"/>
    <w:rsid w:val="00117129"/>
    <w:rsid w:val="00121652"/>
    <w:rsid w:val="00122CA7"/>
    <w:rsid w:val="00124CDB"/>
    <w:rsid w:val="001707E4"/>
    <w:rsid w:val="001749ED"/>
    <w:rsid w:val="00175B2D"/>
    <w:rsid w:val="0018088B"/>
    <w:rsid w:val="00186AA1"/>
    <w:rsid w:val="001952ED"/>
    <w:rsid w:val="001A49E9"/>
    <w:rsid w:val="001B3D99"/>
    <w:rsid w:val="001B4899"/>
    <w:rsid w:val="001D7BE0"/>
    <w:rsid w:val="001D7DDB"/>
    <w:rsid w:val="001E17F5"/>
    <w:rsid w:val="001E5A8F"/>
    <w:rsid w:val="00216C92"/>
    <w:rsid w:val="00231199"/>
    <w:rsid w:val="0023477A"/>
    <w:rsid w:val="00234E1E"/>
    <w:rsid w:val="002515E5"/>
    <w:rsid w:val="00260933"/>
    <w:rsid w:val="002610A2"/>
    <w:rsid w:val="00267064"/>
    <w:rsid w:val="00286CFF"/>
    <w:rsid w:val="002945E0"/>
    <w:rsid w:val="0029572C"/>
    <w:rsid w:val="002C3CBD"/>
    <w:rsid w:val="002D11C9"/>
    <w:rsid w:val="002D7D71"/>
    <w:rsid w:val="002E2567"/>
    <w:rsid w:val="002F3C10"/>
    <w:rsid w:val="00302BA1"/>
    <w:rsid w:val="00322D61"/>
    <w:rsid w:val="00327788"/>
    <w:rsid w:val="00334AA7"/>
    <w:rsid w:val="003426AA"/>
    <w:rsid w:val="00347C08"/>
    <w:rsid w:val="0036088A"/>
    <w:rsid w:val="00360BE3"/>
    <w:rsid w:val="00382263"/>
    <w:rsid w:val="00386C9C"/>
    <w:rsid w:val="00391AB0"/>
    <w:rsid w:val="0039499C"/>
    <w:rsid w:val="003A2C9E"/>
    <w:rsid w:val="003A4A0C"/>
    <w:rsid w:val="003B4B92"/>
    <w:rsid w:val="003D22E5"/>
    <w:rsid w:val="003D5BF3"/>
    <w:rsid w:val="003E71D1"/>
    <w:rsid w:val="003F293D"/>
    <w:rsid w:val="003F69AF"/>
    <w:rsid w:val="00415E0B"/>
    <w:rsid w:val="00416A75"/>
    <w:rsid w:val="0042030A"/>
    <w:rsid w:val="004212EE"/>
    <w:rsid w:val="00427293"/>
    <w:rsid w:val="00430426"/>
    <w:rsid w:val="00430519"/>
    <w:rsid w:val="00431E25"/>
    <w:rsid w:val="00440D9E"/>
    <w:rsid w:val="00444482"/>
    <w:rsid w:val="00445C9D"/>
    <w:rsid w:val="004534D2"/>
    <w:rsid w:val="00456EC1"/>
    <w:rsid w:val="00465156"/>
    <w:rsid w:val="004710B1"/>
    <w:rsid w:val="004B33F0"/>
    <w:rsid w:val="004B52A5"/>
    <w:rsid w:val="004C3289"/>
    <w:rsid w:val="004D1F44"/>
    <w:rsid w:val="004D2123"/>
    <w:rsid w:val="004F36BE"/>
    <w:rsid w:val="004F500D"/>
    <w:rsid w:val="00526FBF"/>
    <w:rsid w:val="00540021"/>
    <w:rsid w:val="00547882"/>
    <w:rsid w:val="00554857"/>
    <w:rsid w:val="0056242B"/>
    <w:rsid w:val="005647D0"/>
    <w:rsid w:val="00573370"/>
    <w:rsid w:val="00573AA7"/>
    <w:rsid w:val="0058001B"/>
    <w:rsid w:val="00594993"/>
    <w:rsid w:val="005A1AEC"/>
    <w:rsid w:val="005A3219"/>
    <w:rsid w:val="005A5F55"/>
    <w:rsid w:val="005A7226"/>
    <w:rsid w:val="005C155C"/>
    <w:rsid w:val="005D2770"/>
    <w:rsid w:val="005D6FCC"/>
    <w:rsid w:val="005D7B37"/>
    <w:rsid w:val="00613096"/>
    <w:rsid w:val="00626A6E"/>
    <w:rsid w:val="006376DA"/>
    <w:rsid w:val="00643A40"/>
    <w:rsid w:val="00650ECF"/>
    <w:rsid w:val="006619FE"/>
    <w:rsid w:val="00662BA9"/>
    <w:rsid w:val="00663D37"/>
    <w:rsid w:val="00690E88"/>
    <w:rsid w:val="00691D20"/>
    <w:rsid w:val="006A231C"/>
    <w:rsid w:val="006B2B3D"/>
    <w:rsid w:val="006B3B0D"/>
    <w:rsid w:val="006C10B6"/>
    <w:rsid w:val="006C5827"/>
    <w:rsid w:val="006E0A22"/>
    <w:rsid w:val="00700F8E"/>
    <w:rsid w:val="00716642"/>
    <w:rsid w:val="00716CE3"/>
    <w:rsid w:val="0071734E"/>
    <w:rsid w:val="00717CF6"/>
    <w:rsid w:val="00720764"/>
    <w:rsid w:val="0072492E"/>
    <w:rsid w:val="00726CC3"/>
    <w:rsid w:val="00740802"/>
    <w:rsid w:val="00744474"/>
    <w:rsid w:val="00750CC6"/>
    <w:rsid w:val="00785D62"/>
    <w:rsid w:val="00787F75"/>
    <w:rsid w:val="007974AC"/>
    <w:rsid w:val="007A6267"/>
    <w:rsid w:val="007B2C5D"/>
    <w:rsid w:val="007B7E83"/>
    <w:rsid w:val="007C5DC0"/>
    <w:rsid w:val="007C7885"/>
    <w:rsid w:val="007D0E58"/>
    <w:rsid w:val="007D2291"/>
    <w:rsid w:val="007D49A3"/>
    <w:rsid w:val="007D76DA"/>
    <w:rsid w:val="007E0659"/>
    <w:rsid w:val="007F2A14"/>
    <w:rsid w:val="008079AB"/>
    <w:rsid w:val="00826AED"/>
    <w:rsid w:val="00833884"/>
    <w:rsid w:val="00863144"/>
    <w:rsid w:val="008676BB"/>
    <w:rsid w:val="008866D4"/>
    <w:rsid w:val="00892C5A"/>
    <w:rsid w:val="008B0364"/>
    <w:rsid w:val="008C0BAF"/>
    <w:rsid w:val="008C16F9"/>
    <w:rsid w:val="008C38D0"/>
    <w:rsid w:val="008C496A"/>
    <w:rsid w:val="008E5CB5"/>
    <w:rsid w:val="008F0138"/>
    <w:rsid w:val="00903269"/>
    <w:rsid w:val="009152A7"/>
    <w:rsid w:val="00915800"/>
    <w:rsid w:val="00957A6D"/>
    <w:rsid w:val="0096466B"/>
    <w:rsid w:val="00987B6A"/>
    <w:rsid w:val="00994BE2"/>
    <w:rsid w:val="009B5560"/>
    <w:rsid w:val="009B67A1"/>
    <w:rsid w:val="009C553D"/>
    <w:rsid w:val="00A006C3"/>
    <w:rsid w:val="00A032DF"/>
    <w:rsid w:val="00A045A4"/>
    <w:rsid w:val="00A058AE"/>
    <w:rsid w:val="00A14470"/>
    <w:rsid w:val="00A21093"/>
    <w:rsid w:val="00A36DA2"/>
    <w:rsid w:val="00A41382"/>
    <w:rsid w:val="00A53026"/>
    <w:rsid w:val="00A55B41"/>
    <w:rsid w:val="00A629DB"/>
    <w:rsid w:val="00A77916"/>
    <w:rsid w:val="00A80099"/>
    <w:rsid w:val="00A85517"/>
    <w:rsid w:val="00A96663"/>
    <w:rsid w:val="00AA2F43"/>
    <w:rsid w:val="00AA36F4"/>
    <w:rsid w:val="00AA48C3"/>
    <w:rsid w:val="00AA549B"/>
    <w:rsid w:val="00AD061C"/>
    <w:rsid w:val="00AD138B"/>
    <w:rsid w:val="00AE6986"/>
    <w:rsid w:val="00AF4AB0"/>
    <w:rsid w:val="00AF633B"/>
    <w:rsid w:val="00B07039"/>
    <w:rsid w:val="00B10D95"/>
    <w:rsid w:val="00B344D1"/>
    <w:rsid w:val="00B42C0E"/>
    <w:rsid w:val="00B53707"/>
    <w:rsid w:val="00B62782"/>
    <w:rsid w:val="00B65085"/>
    <w:rsid w:val="00B768E5"/>
    <w:rsid w:val="00BA550F"/>
    <w:rsid w:val="00BB0852"/>
    <w:rsid w:val="00BC7AAC"/>
    <w:rsid w:val="00BD3482"/>
    <w:rsid w:val="00BE71ED"/>
    <w:rsid w:val="00BE755B"/>
    <w:rsid w:val="00BF0475"/>
    <w:rsid w:val="00BF3CFC"/>
    <w:rsid w:val="00BF5B2A"/>
    <w:rsid w:val="00C01999"/>
    <w:rsid w:val="00C034F8"/>
    <w:rsid w:val="00C03BAE"/>
    <w:rsid w:val="00C1727A"/>
    <w:rsid w:val="00C22379"/>
    <w:rsid w:val="00C22B7B"/>
    <w:rsid w:val="00C27D9F"/>
    <w:rsid w:val="00C31411"/>
    <w:rsid w:val="00C42188"/>
    <w:rsid w:val="00C57061"/>
    <w:rsid w:val="00C61730"/>
    <w:rsid w:val="00C70FC4"/>
    <w:rsid w:val="00C7205F"/>
    <w:rsid w:val="00C80F87"/>
    <w:rsid w:val="00C90B81"/>
    <w:rsid w:val="00C90DF4"/>
    <w:rsid w:val="00CA0891"/>
    <w:rsid w:val="00CA143A"/>
    <w:rsid w:val="00CA53A4"/>
    <w:rsid w:val="00CA6875"/>
    <w:rsid w:val="00CE07C6"/>
    <w:rsid w:val="00CE4F59"/>
    <w:rsid w:val="00CF0F23"/>
    <w:rsid w:val="00CF3DCA"/>
    <w:rsid w:val="00D0158D"/>
    <w:rsid w:val="00D05E98"/>
    <w:rsid w:val="00D069D1"/>
    <w:rsid w:val="00D15E63"/>
    <w:rsid w:val="00D177C0"/>
    <w:rsid w:val="00D2609C"/>
    <w:rsid w:val="00D266B1"/>
    <w:rsid w:val="00D3330C"/>
    <w:rsid w:val="00D55CF7"/>
    <w:rsid w:val="00D77B6A"/>
    <w:rsid w:val="00D8792E"/>
    <w:rsid w:val="00D95EF9"/>
    <w:rsid w:val="00D967AE"/>
    <w:rsid w:val="00DA3ADE"/>
    <w:rsid w:val="00DC5025"/>
    <w:rsid w:val="00DE3709"/>
    <w:rsid w:val="00E2377F"/>
    <w:rsid w:val="00E25FBB"/>
    <w:rsid w:val="00E428F0"/>
    <w:rsid w:val="00E4653F"/>
    <w:rsid w:val="00E70FA6"/>
    <w:rsid w:val="00E86138"/>
    <w:rsid w:val="00E945AD"/>
    <w:rsid w:val="00EB1EA7"/>
    <w:rsid w:val="00EB31D2"/>
    <w:rsid w:val="00ED3031"/>
    <w:rsid w:val="00ED4175"/>
    <w:rsid w:val="00ED7DF6"/>
    <w:rsid w:val="00EE5AE8"/>
    <w:rsid w:val="00EF1874"/>
    <w:rsid w:val="00EF6E0B"/>
    <w:rsid w:val="00EF777E"/>
    <w:rsid w:val="00F03A25"/>
    <w:rsid w:val="00F074CD"/>
    <w:rsid w:val="00F1130D"/>
    <w:rsid w:val="00F22407"/>
    <w:rsid w:val="00F24AD7"/>
    <w:rsid w:val="00F53136"/>
    <w:rsid w:val="00F55470"/>
    <w:rsid w:val="00F61CCB"/>
    <w:rsid w:val="00F73F25"/>
    <w:rsid w:val="00F7547D"/>
    <w:rsid w:val="00F80039"/>
    <w:rsid w:val="00F8115F"/>
    <w:rsid w:val="00F81796"/>
    <w:rsid w:val="00F862E7"/>
    <w:rsid w:val="00F92B77"/>
    <w:rsid w:val="00FA5614"/>
    <w:rsid w:val="00FA6641"/>
    <w:rsid w:val="00FA668D"/>
    <w:rsid w:val="00FB2497"/>
    <w:rsid w:val="00FC49CE"/>
    <w:rsid w:val="00FC5E6F"/>
    <w:rsid w:val="00FD0E6E"/>
    <w:rsid w:val="00FD5177"/>
    <w:rsid w:val="00FE2AD4"/>
    <w:rsid w:val="00FE3D58"/>
    <w:rsid w:val="00FE4A73"/>
    <w:rsid w:val="00FE65ED"/>
    <w:rsid w:val="02847399"/>
    <w:rsid w:val="0509743D"/>
    <w:rsid w:val="06110369"/>
    <w:rsid w:val="076646E5"/>
    <w:rsid w:val="07E15B19"/>
    <w:rsid w:val="0890267A"/>
    <w:rsid w:val="0EDC703A"/>
    <w:rsid w:val="0FD4107F"/>
    <w:rsid w:val="0FE67B97"/>
    <w:rsid w:val="11E15093"/>
    <w:rsid w:val="13857CA0"/>
    <w:rsid w:val="17342109"/>
    <w:rsid w:val="1AD31C39"/>
    <w:rsid w:val="1AF71484"/>
    <w:rsid w:val="1FCF44DB"/>
    <w:rsid w:val="203159E0"/>
    <w:rsid w:val="20C067BC"/>
    <w:rsid w:val="221768AF"/>
    <w:rsid w:val="29B3332D"/>
    <w:rsid w:val="29EF3C6E"/>
    <w:rsid w:val="2CC31B0E"/>
    <w:rsid w:val="2CD40CF4"/>
    <w:rsid w:val="2D01244D"/>
    <w:rsid w:val="2EA27501"/>
    <w:rsid w:val="31771119"/>
    <w:rsid w:val="35AB1391"/>
    <w:rsid w:val="37F011A1"/>
    <w:rsid w:val="382A2A41"/>
    <w:rsid w:val="3B7566C9"/>
    <w:rsid w:val="3B985F13"/>
    <w:rsid w:val="3D5B3123"/>
    <w:rsid w:val="3D8726E3"/>
    <w:rsid w:val="3DCA5878"/>
    <w:rsid w:val="42287034"/>
    <w:rsid w:val="42CC7162"/>
    <w:rsid w:val="44531571"/>
    <w:rsid w:val="4B080428"/>
    <w:rsid w:val="4B3D4DDC"/>
    <w:rsid w:val="4CE30FB8"/>
    <w:rsid w:val="4E056C19"/>
    <w:rsid w:val="4ED0764A"/>
    <w:rsid w:val="50B25872"/>
    <w:rsid w:val="50E21CB3"/>
    <w:rsid w:val="528D20F2"/>
    <w:rsid w:val="54091C4C"/>
    <w:rsid w:val="548E21FA"/>
    <w:rsid w:val="55F62D74"/>
    <w:rsid w:val="565B28A2"/>
    <w:rsid w:val="57330E5B"/>
    <w:rsid w:val="58BA52C3"/>
    <w:rsid w:val="5B711BFD"/>
    <w:rsid w:val="5C78796F"/>
    <w:rsid w:val="5D1E0517"/>
    <w:rsid w:val="614A5EF5"/>
    <w:rsid w:val="61C344C1"/>
    <w:rsid w:val="61D373F6"/>
    <w:rsid w:val="62001A55"/>
    <w:rsid w:val="64E57B6C"/>
    <w:rsid w:val="66064078"/>
    <w:rsid w:val="68C33D20"/>
    <w:rsid w:val="693023CA"/>
    <w:rsid w:val="6B864DC2"/>
    <w:rsid w:val="6D4C437C"/>
    <w:rsid w:val="6E8509E0"/>
    <w:rsid w:val="71B97563"/>
    <w:rsid w:val="723D46B6"/>
    <w:rsid w:val="72C40DC1"/>
    <w:rsid w:val="730E4732"/>
    <w:rsid w:val="73412411"/>
    <w:rsid w:val="784D3FD0"/>
    <w:rsid w:val="7D4F4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3"/>
    <w:qFormat/>
    <w:uiPriority w:val="0"/>
    <w:pPr>
      <w:spacing w:line="500" w:lineRule="exact"/>
      <w:ind w:firstLine="0"/>
    </w:pPr>
    <w:rPr>
      <w:rFonts w:hAnsi="新宋体"/>
    </w:rPr>
  </w:style>
  <w:style w:type="paragraph" w:styleId="3">
    <w:name w:val="Normal Indent"/>
    <w:basedOn w:val="1"/>
    <w:qFormat/>
    <w:uiPriority w:val="0"/>
    <w:pPr>
      <w:ind w:firstLine="420" w:firstLineChars="200"/>
    </w:pPr>
  </w:style>
  <w:style w:type="paragraph" w:styleId="7">
    <w:name w:val="Document Map"/>
    <w:basedOn w:val="1"/>
    <w:link w:val="31"/>
    <w:semiHidden/>
    <w:unhideWhenUsed/>
    <w:qFormat/>
    <w:uiPriority w:val="99"/>
    <w:rPr>
      <w:rFonts w:ascii="宋体" w:eastAsia="宋体"/>
      <w:sz w:val="18"/>
      <w:szCs w:val="18"/>
    </w:rPr>
  </w:style>
  <w:style w:type="paragraph" w:styleId="8">
    <w:name w:val="annotation text"/>
    <w:basedOn w:val="1"/>
    <w:link w:val="35"/>
    <w:qFormat/>
    <w:uiPriority w:val="0"/>
    <w:pPr>
      <w:spacing w:line="360" w:lineRule="auto"/>
      <w:ind w:firstLine="922" w:firstLineChars="200"/>
      <w:jc w:val="left"/>
    </w:pPr>
    <w:rPr>
      <w:rFonts w:ascii="Times New Roman" w:hAnsi="Times New Roman" w:eastAsia="宋体" w:cs="Times New Roman"/>
      <w:szCs w:val="24"/>
    </w:rPr>
  </w:style>
  <w:style w:type="paragraph" w:styleId="9">
    <w:name w:val="Body Text"/>
    <w:basedOn w:val="1"/>
    <w:qFormat/>
    <w:uiPriority w:val="0"/>
    <w:rPr>
      <w:rFonts w:ascii="楷体_GB2312" w:eastAsia="楷体_GB2312"/>
      <w:sz w:val="28"/>
      <w:szCs w:val="20"/>
    </w:rPr>
  </w:style>
  <w:style w:type="paragraph" w:styleId="10">
    <w:name w:val="Body Text Indent"/>
    <w:basedOn w:val="1"/>
    <w:next w:val="11"/>
    <w:unhideWhenUsed/>
    <w:qFormat/>
    <w:uiPriority w:val="99"/>
    <w:pPr>
      <w:spacing w:after="120"/>
      <w:ind w:left="420" w:leftChars="200"/>
    </w:pPr>
    <w:rPr>
      <w:szCs w:val="24"/>
    </w:rPr>
  </w:style>
  <w:style w:type="paragraph" w:styleId="11">
    <w:name w:val="envelope return"/>
    <w:basedOn w:val="1"/>
    <w:qFormat/>
    <w:uiPriority w:val="0"/>
    <w:pPr>
      <w:snapToGrid w:val="0"/>
    </w:pPr>
    <w:rPr>
      <w:rFonts w:ascii="Arial" w:hAnsi="Arial"/>
    </w:rPr>
  </w:style>
  <w:style w:type="paragraph" w:styleId="12">
    <w:name w:val="Block Text"/>
    <w:basedOn w:val="1"/>
    <w:qFormat/>
    <w:uiPriority w:val="0"/>
    <w:pPr>
      <w:autoSpaceDE w:val="0"/>
      <w:autoSpaceDN w:val="0"/>
      <w:adjustRightInd w:val="0"/>
      <w:ind w:left="256" w:right="6" w:firstLine="624"/>
    </w:pPr>
    <w:rPr>
      <w:rFonts w:eastAsia="仿宋_GB2312"/>
      <w:kern w:val="0"/>
      <w:sz w:val="28"/>
      <w:szCs w:val="20"/>
    </w:rPr>
  </w:style>
  <w:style w:type="paragraph" w:styleId="13">
    <w:name w:val="Plain Text"/>
    <w:basedOn w:val="1"/>
    <w:next w:val="1"/>
    <w:link w:val="39"/>
    <w:qFormat/>
    <w:uiPriority w:val="0"/>
    <w:rPr>
      <w:rFonts w:ascii="宋体" w:hAnsi="Courier New" w:eastAsia="宋体" w:cs="Times New Roman"/>
      <w:szCs w:val="20"/>
    </w:rPr>
  </w:style>
  <w:style w:type="paragraph" w:styleId="14">
    <w:name w:val="Date"/>
    <w:basedOn w:val="1"/>
    <w:next w:val="1"/>
    <w:link w:val="34"/>
    <w:semiHidden/>
    <w:unhideWhenUsed/>
    <w:qFormat/>
    <w:uiPriority w:val="99"/>
    <w:pPr>
      <w:ind w:left="100" w:leftChars="2500"/>
    </w:pPr>
  </w:style>
  <w:style w:type="paragraph" w:styleId="15">
    <w:name w:val="Balloon Text"/>
    <w:basedOn w:val="1"/>
    <w:link w:val="36"/>
    <w:semiHidden/>
    <w:unhideWhenUsed/>
    <w:qFormat/>
    <w:uiPriority w:val="99"/>
    <w:rPr>
      <w:sz w:val="18"/>
      <w:szCs w:val="18"/>
    </w:rPr>
  </w:style>
  <w:style w:type="paragraph" w:styleId="16">
    <w:name w:val="footer"/>
    <w:basedOn w:val="1"/>
    <w:link w:val="29"/>
    <w:unhideWhenUsed/>
    <w:qFormat/>
    <w:uiPriority w:val="99"/>
    <w:pPr>
      <w:tabs>
        <w:tab w:val="center" w:pos="4153"/>
        <w:tab w:val="right" w:pos="8306"/>
      </w:tabs>
      <w:snapToGrid w:val="0"/>
      <w:jc w:val="left"/>
    </w:pPr>
    <w:rPr>
      <w:sz w:val="18"/>
      <w:szCs w:val="18"/>
    </w:rPr>
  </w:style>
  <w:style w:type="paragraph" w:styleId="17">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unhideWhenUsed/>
    <w:qFormat/>
    <w:uiPriority w:val="39"/>
  </w:style>
  <w:style w:type="paragraph" w:styleId="1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0">
    <w:name w:val="Body Text First Indent 2"/>
    <w:basedOn w:val="10"/>
    <w:next w:val="1"/>
    <w:qFormat/>
    <w:uiPriority w:val="99"/>
    <w:pPr>
      <w:autoSpaceDE w:val="0"/>
      <w:autoSpaceDN w:val="0"/>
      <w:adjustRightInd w:val="0"/>
      <w:ind w:firstLine="420" w:firstLineChars="200"/>
      <w:jc w:val="left"/>
    </w:pPr>
    <w:rPr>
      <w:rFonts w:ascii="宋体" w:hAnsi="宋体"/>
      <w:kern w:val="0"/>
      <w:sz w:val="34"/>
      <w:szCs w:val="20"/>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FollowedHyperlink"/>
    <w:basedOn w:val="23"/>
    <w:semiHidden/>
    <w:unhideWhenUsed/>
    <w:qFormat/>
    <w:uiPriority w:val="99"/>
    <w:rPr>
      <w:rFonts w:hint="eastAsia" w:ascii="微软雅黑" w:hAnsi="微软雅黑" w:eastAsia="微软雅黑" w:cs="微软雅黑"/>
      <w:color w:val="02396F"/>
      <w:u w:val="single"/>
    </w:rPr>
  </w:style>
  <w:style w:type="character" w:styleId="25">
    <w:name w:val="Hyperlink"/>
    <w:qFormat/>
    <w:uiPriority w:val="99"/>
    <w:rPr>
      <w:color w:val="0000FF"/>
      <w:u w:val="none"/>
    </w:rPr>
  </w:style>
  <w:style w:type="character" w:styleId="26">
    <w:name w:val="annotation reference"/>
    <w:qFormat/>
    <w:uiPriority w:val="0"/>
    <w:rPr>
      <w:sz w:val="21"/>
      <w:szCs w:val="21"/>
    </w:rPr>
  </w:style>
  <w:style w:type="paragraph" w:customStyle="1" w:styleId="27">
    <w:name w:val="首行缩进"/>
    <w:basedOn w:val="1"/>
    <w:qFormat/>
    <w:uiPriority w:val="0"/>
    <w:pPr>
      <w:ind w:firstLine="480" w:firstLineChars="200"/>
    </w:pPr>
    <w:rPr>
      <w:rFonts w:ascii="Times New Roman" w:hAnsi="Times New Roman" w:eastAsia="宋体" w:cs="Times New Roman"/>
      <w:lang w:val="zh-CN"/>
    </w:rPr>
  </w:style>
  <w:style w:type="character" w:customStyle="1" w:styleId="28">
    <w:name w:val="页眉 Char"/>
    <w:basedOn w:val="23"/>
    <w:link w:val="17"/>
    <w:semiHidden/>
    <w:qFormat/>
    <w:uiPriority w:val="99"/>
    <w:rPr>
      <w:sz w:val="18"/>
      <w:szCs w:val="18"/>
    </w:rPr>
  </w:style>
  <w:style w:type="character" w:customStyle="1" w:styleId="29">
    <w:name w:val="页脚 Char"/>
    <w:basedOn w:val="23"/>
    <w:link w:val="16"/>
    <w:qFormat/>
    <w:uiPriority w:val="99"/>
    <w:rPr>
      <w:sz w:val="18"/>
      <w:szCs w:val="18"/>
    </w:rPr>
  </w:style>
  <w:style w:type="character" w:customStyle="1" w:styleId="30">
    <w:name w:val="标题 1 Char"/>
    <w:basedOn w:val="23"/>
    <w:link w:val="4"/>
    <w:qFormat/>
    <w:uiPriority w:val="9"/>
    <w:rPr>
      <w:b/>
      <w:bCs/>
      <w:kern w:val="44"/>
      <w:sz w:val="44"/>
      <w:szCs w:val="44"/>
    </w:rPr>
  </w:style>
  <w:style w:type="character" w:customStyle="1" w:styleId="31">
    <w:name w:val="文档结构图 Char"/>
    <w:basedOn w:val="23"/>
    <w:link w:val="7"/>
    <w:semiHidden/>
    <w:qFormat/>
    <w:uiPriority w:val="99"/>
    <w:rPr>
      <w:rFonts w:ascii="宋体" w:eastAsia="宋体"/>
      <w:sz w:val="18"/>
      <w:szCs w:val="18"/>
    </w:rPr>
  </w:style>
  <w:style w:type="character" w:customStyle="1" w:styleId="32">
    <w:name w:val="标题 2 Char"/>
    <w:basedOn w:val="23"/>
    <w:link w:val="5"/>
    <w:qFormat/>
    <w:uiPriority w:val="9"/>
    <w:rPr>
      <w:rFonts w:asciiTheme="majorHAnsi" w:hAnsiTheme="majorHAnsi" w:eastAsiaTheme="majorEastAsia" w:cstheme="majorBidi"/>
      <w:b/>
      <w:bCs/>
      <w:sz w:val="32"/>
      <w:szCs w:val="32"/>
    </w:rPr>
  </w:style>
  <w:style w:type="character" w:customStyle="1" w:styleId="33">
    <w:name w:val="标题 3 Char"/>
    <w:basedOn w:val="23"/>
    <w:link w:val="6"/>
    <w:qFormat/>
    <w:uiPriority w:val="9"/>
    <w:rPr>
      <w:b/>
      <w:bCs/>
      <w:sz w:val="32"/>
      <w:szCs w:val="32"/>
    </w:rPr>
  </w:style>
  <w:style w:type="character" w:customStyle="1" w:styleId="34">
    <w:name w:val="日期 Char"/>
    <w:basedOn w:val="23"/>
    <w:link w:val="14"/>
    <w:semiHidden/>
    <w:qFormat/>
    <w:uiPriority w:val="99"/>
  </w:style>
  <w:style w:type="character" w:customStyle="1" w:styleId="35">
    <w:name w:val="批注文字 Char"/>
    <w:basedOn w:val="23"/>
    <w:link w:val="8"/>
    <w:qFormat/>
    <w:uiPriority w:val="0"/>
    <w:rPr>
      <w:rFonts w:ascii="Times New Roman" w:hAnsi="Times New Roman" w:eastAsia="宋体" w:cs="Times New Roman"/>
      <w:szCs w:val="24"/>
    </w:rPr>
  </w:style>
  <w:style w:type="character" w:customStyle="1" w:styleId="36">
    <w:name w:val="批注框文本 Char"/>
    <w:basedOn w:val="23"/>
    <w:link w:val="15"/>
    <w:semiHidden/>
    <w:qFormat/>
    <w:uiPriority w:val="99"/>
    <w:rPr>
      <w:sz w:val="18"/>
      <w:szCs w:val="18"/>
    </w:rPr>
  </w:style>
  <w:style w:type="paragraph" w:customStyle="1" w:styleId="37">
    <w:name w:val="Default"/>
    <w:link w:val="38"/>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38">
    <w:name w:val="Default Char"/>
    <w:link w:val="37"/>
    <w:qFormat/>
    <w:locked/>
    <w:uiPriority w:val="99"/>
    <w:rPr>
      <w:rFonts w:ascii="MS Mincho" w:hAnsi="Calibri" w:eastAsia="宋体" w:cs="Times New Roman"/>
      <w:color w:val="000000"/>
      <w:szCs w:val="24"/>
    </w:rPr>
  </w:style>
  <w:style w:type="character" w:customStyle="1" w:styleId="39">
    <w:name w:val="纯文本 Char"/>
    <w:basedOn w:val="23"/>
    <w:link w:val="13"/>
    <w:qFormat/>
    <w:uiPriority w:val="0"/>
    <w:rPr>
      <w:rFonts w:ascii="宋体" w:hAnsi="Courier New" w:eastAsia="宋体" w:cs="Times New Roman"/>
      <w:szCs w:val="20"/>
    </w:rPr>
  </w:style>
  <w:style w:type="table" w:customStyle="1" w:styleId="40">
    <w:name w:val="Table Normal"/>
    <w:semiHidden/>
    <w:unhideWhenUsed/>
    <w:qFormat/>
    <w:uiPriority w:val="0"/>
    <w:tblPr>
      <w:tblCellMar>
        <w:top w:w="0" w:type="dxa"/>
        <w:left w:w="0" w:type="dxa"/>
        <w:bottom w:w="0" w:type="dxa"/>
        <w:right w:w="0" w:type="dxa"/>
      </w:tblCellMar>
    </w:tblPr>
  </w:style>
  <w:style w:type="paragraph" w:customStyle="1" w:styleId="41">
    <w:name w:val="Table Paragraph"/>
    <w:basedOn w:val="1"/>
    <w:qFormat/>
    <w:uiPriority w:val="1"/>
    <w:rPr>
      <w:rFonts w:ascii="宋体" w:hAnsi="宋体" w:eastAsia="宋体" w:cs="宋体"/>
      <w:lang w:val="zh-CN" w:eastAsia="zh-CN" w:bidi="zh-CN"/>
    </w:rPr>
  </w:style>
  <w:style w:type="character" w:customStyle="1" w:styleId="42">
    <w:name w:val="cfdate"/>
    <w:basedOn w:val="23"/>
    <w:qFormat/>
    <w:uiPriority w:val="0"/>
    <w:rPr>
      <w:color w:val="333333"/>
      <w:sz w:val="12"/>
      <w:szCs w:val="12"/>
    </w:rPr>
  </w:style>
  <w:style w:type="character" w:customStyle="1" w:styleId="43">
    <w:name w:val="displayarti"/>
    <w:basedOn w:val="23"/>
    <w:qFormat/>
    <w:uiPriority w:val="0"/>
    <w:rPr>
      <w:color w:val="FFFFFF"/>
      <w:shd w:val="clear" w:fill="A00000"/>
    </w:rPr>
  </w:style>
  <w:style w:type="character" w:customStyle="1" w:styleId="44">
    <w:name w:val="gjfg"/>
    <w:basedOn w:val="23"/>
    <w:qFormat/>
    <w:uiPriority w:val="0"/>
  </w:style>
  <w:style w:type="character" w:customStyle="1" w:styleId="45">
    <w:name w:val="prev"/>
    <w:basedOn w:val="23"/>
    <w:qFormat/>
    <w:uiPriority w:val="0"/>
    <w:rPr>
      <w:color w:val="888888"/>
    </w:rPr>
  </w:style>
  <w:style w:type="character" w:customStyle="1" w:styleId="46">
    <w:name w:val="prev1"/>
    <w:basedOn w:val="23"/>
    <w:qFormat/>
    <w:uiPriority w:val="0"/>
    <w:rPr>
      <w:rFonts w:ascii="微软雅黑" w:hAnsi="微软雅黑" w:eastAsia="微软雅黑" w:cs="微软雅黑"/>
      <w:sz w:val="14"/>
      <w:szCs w:val="14"/>
    </w:rPr>
  </w:style>
  <w:style w:type="character" w:customStyle="1" w:styleId="47">
    <w:name w:val="redfilefwwh"/>
    <w:basedOn w:val="23"/>
    <w:qFormat/>
    <w:uiPriority w:val="0"/>
    <w:rPr>
      <w:color w:val="BA2636"/>
      <w:sz w:val="12"/>
      <w:szCs w:val="12"/>
    </w:rPr>
  </w:style>
  <w:style w:type="character" w:customStyle="1" w:styleId="48">
    <w:name w:val="redfilenumber"/>
    <w:basedOn w:val="23"/>
    <w:qFormat/>
    <w:uiPriority w:val="0"/>
    <w:rPr>
      <w:color w:val="BA2636"/>
      <w:sz w:val="12"/>
      <w:szCs w:val="12"/>
    </w:rPr>
  </w:style>
  <w:style w:type="character" w:customStyle="1" w:styleId="49">
    <w:name w:val="next2"/>
    <w:basedOn w:val="23"/>
    <w:qFormat/>
    <w:uiPriority w:val="0"/>
    <w:rPr>
      <w:color w:val="888888"/>
    </w:rPr>
  </w:style>
  <w:style w:type="character" w:customStyle="1" w:styleId="50">
    <w:name w:val="next3"/>
    <w:basedOn w:val="23"/>
    <w:qFormat/>
    <w:uiPriority w:val="0"/>
    <w:rPr>
      <w:rFonts w:hint="eastAsia" w:ascii="微软雅黑" w:hAnsi="微软雅黑" w:eastAsia="微软雅黑" w:cs="微软雅黑"/>
      <w:sz w:val="14"/>
      <w:szCs w:val="14"/>
    </w:rPr>
  </w:style>
  <w:style w:type="character" w:customStyle="1" w:styleId="51">
    <w:name w:val="qxdate"/>
    <w:basedOn w:val="23"/>
    <w:qFormat/>
    <w:uiPriority w:val="0"/>
    <w:rPr>
      <w:color w:val="333333"/>
      <w:sz w:val="12"/>
      <w:szCs w:val="12"/>
    </w:rPr>
  </w:style>
  <w:style w:type="character" w:customStyle="1" w:styleId="52">
    <w:name w:val="next"/>
    <w:basedOn w:val="23"/>
    <w:qFormat/>
    <w:uiPriority w:val="0"/>
    <w:rPr>
      <w:rFonts w:ascii="微软雅黑" w:hAnsi="微软雅黑" w:eastAsia="微软雅黑" w:cs="微软雅黑"/>
      <w:sz w:val="14"/>
      <w:szCs w:val="14"/>
    </w:rPr>
  </w:style>
  <w:style w:type="character" w:customStyle="1" w:styleId="53">
    <w:name w:val="next1"/>
    <w:basedOn w:val="23"/>
    <w:qFormat/>
    <w:uiPriority w:val="0"/>
    <w:rPr>
      <w:color w:val="888888"/>
    </w:rPr>
  </w:style>
  <w:style w:type="table" w:customStyle="1" w:styleId="54">
    <w:name w:val="网格型1"/>
    <w:basedOn w:val="21"/>
    <w:qFormat/>
    <w:uiPriority w:val="0"/>
    <w:pPr>
      <w:widowControl w:val="0"/>
      <w:spacing w:after="0" w:line="240" w:lineRule="auto"/>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5">
    <w:name w:val="正文（缩进）"/>
    <w:basedOn w:val="1"/>
    <w:autoRedefine/>
    <w:qFormat/>
    <w:uiPriority w:val="0"/>
    <w:pPr>
      <w:autoSpaceDE w:val="0"/>
      <w:autoSpaceDN w:val="0"/>
      <w:spacing w:line="360" w:lineRule="auto"/>
      <w:ind w:firstLine="200" w:firstLineChars="200"/>
    </w:pPr>
    <w:rPr>
      <w:rFonts w:ascii="宋体" w:hAnsi="宋体"/>
      <w:kern w:val="0"/>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8B3713-2C7B-4960-AC44-5B2427E706D4}">
  <ds:schemaRefs/>
</ds:datastoreItem>
</file>

<file path=docProps/app.xml><?xml version="1.0" encoding="utf-8"?>
<Properties xmlns="http://schemas.openxmlformats.org/officeDocument/2006/extended-properties" xmlns:vt="http://schemas.openxmlformats.org/officeDocument/2006/docPropsVTypes">
  <Template>Normal</Template>
  <Pages>53</Pages>
  <Words>14797</Words>
  <Characters>15660</Characters>
  <Lines>196</Lines>
  <Paragraphs>55</Paragraphs>
  <TotalTime>2</TotalTime>
  <ScaleCrop>false</ScaleCrop>
  <LinksUpToDate>false</LinksUpToDate>
  <CharactersWithSpaces>16044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修订者</cp:lastModifiedBy>
  <dcterms:modified xsi:type="dcterms:W3CDTF">2024-10-25T05:35:38Z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66888CF0B6154F20908AD8795BD0D1D9_13</vt:lpwstr>
  </property>
</Properties>
</file>