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tblpXSpec="center" w:tblpY="115"/>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9"/>
      </w:tblGrid>
      <w:tr w14:paraId="7746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1" w:hRule="atLeast"/>
          <w:jc w:val="center"/>
        </w:trPr>
        <w:tc>
          <w:tcPr>
            <w:tcW w:w="9739" w:type="dxa"/>
            <w:vAlign w:val="center"/>
          </w:tcPr>
          <w:p w14:paraId="1956FD74">
            <w:pPr>
              <w:spacing w:line="360" w:lineRule="auto"/>
              <w:ind w:right="141" w:rightChars="67" w:firstLine="424" w:firstLineChars="177"/>
              <w:rPr>
                <w:rFonts w:hint="default" w:ascii="宋体" w:hAnsi="宋体" w:eastAsia="宋体"/>
                <w:sz w:val="24"/>
                <w:lang w:val="en-US" w:eastAsia="zh-CN"/>
              </w:rPr>
            </w:pPr>
            <w:r>
              <w:rPr>
                <w:rFonts w:hint="eastAsia" w:ascii="宋体" w:hAnsi="宋体"/>
                <w:sz w:val="24"/>
              </w:rPr>
              <w:t>1、工程概况：</w:t>
            </w:r>
            <w:r>
              <w:rPr>
                <w:rFonts w:hint="eastAsia" w:ascii="宋体" w:hAnsi="宋体"/>
                <w:sz w:val="24"/>
                <w:lang w:val="en-US" w:eastAsia="zh-CN"/>
              </w:rPr>
              <w:t>本工程内容主要为河塘清淤；其余详见工程量清单。</w:t>
            </w:r>
          </w:p>
          <w:p w14:paraId="71D21FBA">
            <w:pPr>
              <w:spacing w:line="360" w:lineRule="auto"/>
              <w:ind w:right="141" w:rightChars="67" w:firstLine="424" w:firstLineChars="177"/>
              <w:rPr>
                <w:rFonts w:ascii="宋体" w:hAnsi="宋体"/>
                <w:sz w:val="24"/>
              </w:rPr>
            </w:pPr>
            <w:r>
              <w:rPr>
                <w:rFonts w:hint="eastAsia" w:ascii="宋体" w:hAnsi="宋体"/>
                <w:sz w:val="24"/>
              </w:rPr>
              <w:t>2、工程类别：</w:t>
            </w:r>
            <w:r>
              <w:rPr>
                <w:rFonts w:hint="eastAsia" w:ascii="宋体" w:hAnsi="宋体"/>
                <w:sz w:val="24"/>
                <w:lang w:val="en-US" w:eastAsia="zh-CN"/>
              </w:rPr>
              <w:t>市政</w:t>
            </w:r>
            <w:r>
              <w:rPr>
                <w:rFonts w:hint="eastAsia" w:ascii="宋体" w:hAnsi="宋体"/>
                <w:sz w:val="24"/>
              </w:rPr>
              <w:t xml:space="preserve">工程。   </w:t>
            </w:r>
          </w:p>
          <w:p w14:paraId="5A0115C1">
            <w:pPr>
              <w:spacing w:line="360" w:lineRule="auto"/>
              <w:ind w:right="141" w:rightChars="67" w:firstLine="424" w:firstLineChars="177"/>
              <w:rPr>
                <w:rFonts w:ascii="宋体" w:hAnsi="宋体"/>
                <w:sz w:val="24"/>
              </w:rPr>
            </w:pPr>
            <w:r>
              <w:rPr>
                <w:rFonts w:hint="eastAsia" w:ascii="宋体" w:hAnsi="宋体"/>
                <w:sz w:val="24"/>
              </w:rPr>
              <w:t>3、工程招标范围：详见清单。</w:t>
            </w:r>
          </w:p>
          <w:p w14:paraId="6BDFC18D">
            <w:pPr>
              <w:spacing w:line="360" w:lineRule="auto"/>
              <w:ind w:right="141" w:rightChars="67" w:firstLine="424" w:firstLineChars="177"/>
              <w:rPr>
                <w:rFonts w:ascii="宋体" w:hAnsi="宋体"/>
                <w:sz w:val="24"/>
              </w:rPr>
            </w:pPr>
            <w:r>
              <w:rPr>
                <w:rFonts w:hint="eastAsia" w:ascii="宋体" w:hAnsi="宋体"/>
                <w:sz w:val="24"/>
              </w:rPr>
              <w:t>4、编制依据及说明：</w:t>
            </w:r>
          </w:p>
          <w:p w14:paraId="56BAA6A0">
            <w:pPr>
              <w:spacing w:line="360" w:lineRule="auto"/>
              <w:ind w:right="141" w:rightChars="67" w:firstLine="878" w:firstLineChars="366"/>
              <w:rPr>
                <w:rFonts w:ascii="宋体" w:hAnsi="宋体"/>
                <w:sz w:val="24"/>
              </w:rPr>
            </w:pPr>
            <w:r>
              <w:rPr>
                <w:rFonts w:hint="eastAsia" w:ascii="宋体" w:hAnsi="宋体"/>
                <w:sz w:val="24"/>
              </w:rPr>
              <w:t>4.1、《建设工程工程量清单计价规范》</w:t>
            </w:r>
            <w:r>
              <w:rPr>
                <w:rFonts w:ascii="宋体" w:hAnsi="宋体"/>
                <w:sz w:val="24"/>
              </w:rPr>
              <w:t>GB50500-20</w:t>
            </w:r>
            <w:r>
              <w:rPr>
                <w:rFonts w:hint="eastAsia" w:ascii="宋体" w:hAnsi="宋体"/>
                <w:sz w:val="24"/>
              </w:rPr>
              <w:t>13、《2014江苏市政工程定额书》（2014年）、《江苏省建设工程费用定额》（2014）、江苏省住房和城乡建设厅发布的苏建价[2016]154号文《省住房城乡建设厅关于建筑业实施营改增后江苏省建设工程计价依据调整的通知》及现行相关政策性文件等；</w:t>
            </w:r>
          </w:p>
          <w:p w14:paraId="68E7AE3A">
            <w:pPr>
              <w:spacing w:line="360" w:lineRule="auto"/>
              <w:ind w:right="141" w:rightChars="67" w:firstLine="849" w:firstLineChars="354"/>
              <w:rPr>
                <w:rFonts w:ascii="宋体" w:hAnsi="宋体"/>
                <w:sz w:val="24"/>
              </w:rPr>
            </w:pPr>
            <w:r>
              <w:rPr>
                <w:rFonts w:hint="eastAsia" w:ascii="宋体" w:hAnsi="宋体"/>
                <w:sz w:val="24"/>
              </w:rPr>
              <w:t>4.2、人工单价按苏建函价{202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273</w:t>
            </w:r>
            <w:r>
              <w:rPr>
                <w:rFonts w:hint="eastAsia" w:ascii="宋体" w:hAnsi="宋体"/>
                <w:sz w:val="24"/>
              </w:rPr>
              <w:t>号文执行；</w:t>
            </w:r>
          </w:p>
          <w:p w14:paraId="5CBB57F2">
            <w:pPr>
              <w:spacing w:line="360" w:lineRule="auto"/>
              <w:ind w:right="141" w:rightChars="67" w:firstLine="849" w:firstLineChars="354"/>
              <w:rPr>
                <w:rFonts w:ascii="宋体" w:hAnsi="宋体"/>
                <w:sz w:val="24"/>
              </w:rPr>
            </w:pPr>
            <w:r>
              <w:rPr>
                <w:rFonts w:hint="eastAsia" w:ascii="宋体" w:hAnsi="宋体"/>
                <w:sz w:val="24"/>
              </w:rPr>
              <w:t>4.3、招标文件、施工现场条件及业主具体要求；</w:t>
            </w:r>
          </w:p>
          <w:p w14:paraId="380B4D21">
            <w:pPr>
              <w:spacing w:line="360" w:lineRule="auto"/>
              <w:ind w:right="141" w:rightChars="67" w:firstLine="849" w:firstLineChars="354"/>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、工程量清单计价格式符合省有关文件规定；</w:t>
            </w:r>
          </w:p>
          <w:p w14:paraId="5D3234AB">
            <w:pPr>
              <w:spacing w:line="360" w:lineRule="auto"/>
              <w:ind w:right="141" w:rightChars="67" w:firstLine="849" w:firstLineChars="354"/>
              <w:rPr>
                <w:rFonts w:ascii="宋体" w:hAnsi="宋体"/>
                <w:sz w:val="24"/>
              </w:rPr>
            </w:pPr>
            <w:r>
              <w:rPr>
                <w:rFonts w:hint="eastAsia" w:ascii="宋体" w:hAnsi="宋体"/>
                <w:sz w:val="24"/>
              </w:rPr>
              <w:t>4.</w:t>
            </w:r>
            <w:r>
              <w:rPr>
                <w:rFonts w:ascii="宋体" w:hAnsi="宋体"/>
                <w:sz w:val="24"/>
              </w:rPr>
              <w:t>5</w:t>
            </w:r>
            <w:r>
              <w:rPr>
                <w:rFonts w:hint="eastAsia" w:ascii="宋体" w:hAnsi="宋体"/>
                <w:sz w:val="24"/>
              </w:rPr>
              <w:t>、材料价格执行《南京工程造价管理》202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11</w:t>
            </w:r>
            <w:r>
              <w:rPr>
                <w:rFonts w:hint="eastAsia" w:ascii="宋体" w:hAnsi="宋体"/>
                <w:sz w:val="24"/>
              </w:rPr>
              <w:t>月工程建设材料市场指导价格及其相应的市场价；</w:t>
            </w:r>
          </w:p>
          <w:p w14:paraId="4182F033">
            <w:pPr>
              <w:spacing w:line="360" w:lineRule="auto"/>
              <w:ind w:right="141" w:rightChars="67" w:firstLine="849" w:firstLineChars="354"/>
              <w:rPr>
                <w:rFonts w:ascii="宋体" w:hAnsi="宋体"/>
                <w:sz w:val="24"/>
              </w:rPr>
            </w:pPr>
            <w:r>
              <w:rPr>
                <w:rFonts w:hint="eastAsia" w:ascii="宋体" w:hAnsi="宋体"/>
                <w:sz w:val="24"/>
              </w:rPr>
              <w:t>4.</w:t>
            </w:r>
            <w:r>
              <w:rPr>
                <w:rFonts w:ascii="宋体" w:hAnsi="宋体"/>
                <w:sz w:val="24"/>
              </w:rPr>
              <w:t>6</w:t>
            </w:r>
            <w:r>
              <w:rPr>
                <w:rFonts w:hint="eastAsia" w:ascii="宋体" w:hAnsi="宋体"/>
                <w:sz w:val="24"/>
              </w:rPr>
              <w:t xml:space="preserve">、现场安全文明施工措施费计取基本费； </w:t>
            </w:r>
          </w:p>
          <w:p w14:paraId="7A23EEC9">
            <w:pPr>
              <w:pStyle w:val="8"/>
              <w:ind w:right="141" w:rightChars="67" w:firstLine="849" w:firstLineChars="354"/>
              <w:rPr>
                <w:rFonts w:ascii="宋体" w:hAnsi="宋体"/>
              </w:rPr>
            </w:pPr>
            <w:r>
              <w:rPr>
                <w:rFonts w:hint="eastAsia" w:ascii="宋体" w:hAnsi="宋体"/>
              </w:rPr>
              <w:t>4.</w:t>
            </w:r>
            <w:r>
              <w:rPr>
                <w:rFonts w:ascii="宋体" w:hAnsi="宋体"/>
              </w:rPr>
              <w:t>7</w:t>
            </w:r>
            <w:r>
              <w:rPr>
                <w:rFonts w:hint="eastAsia" w:ascii="宋体" w:hAnsi="宋体"/>
              </w:rPr>
              <w:t>、中标人有义务配合招标人做好相关单位的协调工作；</w:t>
            </w:r>
          </w:p>
          <w:p w14:paraId="699CBADB">
            <w:pPr>
              <w:pStyle w:val="8"/>
              <w:ind w:right="141" w:rightChars="67" w:firstLine="849" w:firstLineChars="354"/>
              <w:rPr>
                <w:rFonts w:ascii="宋体" w:hAnsi="宋体"/>
              </w:rPr>
            </w:pPr>
            <w:r>
              <w:rPr>
                <w:rFonts w:hint="eastAsia" w:ascii="宋体" w:hAnsi="宋体"/>
              </w:rPr>
              <w:t>4.</w:t>
            </w:r>
            <w:r>
              <w:rPr>
                <w:rFonts w:ascii="宋体" w:hAnsi="宋体"/>
              </w:rPr>
              <w:t>8</w:t>
            </w:r>
            <w:r>
              <w:rPr>
                <w:rFonts w:hint="eastAsia" w:ascii="宋体" w:hAnsi="宋体"/>
              </w:rPr>
              <w:t>、清单项目特征描述不全者见相关规范。</w:t>
            </w:r>
          </w:p>
          <w:p w14:paraId="7BEE5DB3">
            <w:pPr>
              <w:spacing w:line="360" w:lineRule="auto"/>
              <w:ind w:right="141" w:rightChars="67" w:firstLine="424" w:firstLineChars="177"/>
              <w:rPr>
                <w:rFonts w:ascii="宋体" w:hAnsi="宋体"/>
                <w:sz w:val="24"/>
              </w:rPr>
            </w:pPr>
            <w:r>
              <w:rPr>
                <w:rFonts w:hint="eastAsia" w:ascii="宋体" w:hAnsi="宋体"/>
                <w:sz w:val="24"/>
              </w:rPr>
              <w:t>5、本工程</w:t>
            </w:r>
            <w:r>
              <w:rPr>
                <w:rFonts w:hint="eastAsia" w:ascii="宋体" w:hAnsi="宋体"/>
                <w:sz w:val="24"/>
                <w:lang w:val="en-US" w:eastAsia="zh-CN"/>
              </w:rPr>
              <w:t>招标控制价下浮系数14%。</w:t>
            </w:r>
          </w:p>
          <w:p w14:paraId="363E0CB1">
            <w:pPr>
              <w:snapToGrid w:val="0"/>
              <w:spacing w:line="360" w:lineRule="auto"/>
              <w:ind w:right="141" w:rightChars="67" w:firstLine="424" w:firstLineChars="177"/>
              <w:rPr>
                <w:rFonts w:ascii="宋体" w:hAnsi="宋体"/>
                <w:sz w:val="24"/>
              </w:rPr>
            </w:pPr>
            <w:r>
              <w:rPr>
                <w:rFonts w:hint="eastAsia" w:ascii="宋体" w:hAnsi="宋体"/>
                <w:sz w:val="24"/>
              </w:rPr>
              <w:t xml:space="preserve">6、其余未尽事宜参见业主具体要求。 </w:t>
            </w:r>
          </w:p>
          <w:p w14:paraId="0525E471">
            <w:pPr>
              <w:snapToGrid w:val="0"/>
              <w:spacing w:line="360" w:lineRule="auto"/>
              <w:ind w:right="141" w:rightChars="67" w:firstLine="424" w:firstLineChars="177"/>
              <w:rPr>
                <w:rFonts w:ascii="宋体" w:hAnsi="宋体"/>
                <w:sz w:val="24"/>
              </w:rPr>
            </w:pPr>
            <w:r>
              <w:rPr>
                <w:rFonts w:hint="eastAsia" w:ascii="宋体" w:hAnsi="宋体"/>
                <w:sz w:val="24"/>
              </w:rPr>
              <w:t>7、有关事项说明</w:t>
            </w:r>
          </w:p>
          <w:p w14:paraId="39B86A12">
            <w:pPr>
              <w:spacing w:line="360" w:lineRule="auto"/>
              <w:ind w:right="141" w:rightChars="67" w:firstLine="849" w:firstLineChars="354"/>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、进场前施工单位负责人应与业主项目负责人对接需要实施的施工范围，不得盲目施工，造成不必要的损失；</w:t>
            </w:r>
          </w:p>
          <w:p w14:paraId="7786F2F2">
            <w:pPr>
              <w:spacing w:line="360" w:lineRule="auto"/>
              <w:ind w:right="141" w:rightChars="67" w:firstLine="849" w:firstLineChars="354"/>
              <w:jc w:val="left"/>
              <w:rPr>
                <w:rFonts w:ascii="宋体" w:hAnsi="宋体"/>
                <w:sz w:val="24"/>
              </w:rPr>
            </w:pPr>
            <w:r>
              <w:rPr>
                <w:rFonts w:ascii="宋体" w:hAnsi="宋体"/>
                <w:sz w:val="24"/>
              </w:rPr>
              <w:t>7.2</w:t>
            </w:r>
            <w:r>
              <w:rPr>
                <w:rFonts w:hint="eastAsia" w:ascii="宋体" w:hAnsi="宋体"/>
                <w:sz w:val="24"/>
              </w:rPr>
              <w:t>、土方工程（包括工程垃圾外运）应考虑环保及城管等部门可能产生的费用，包括并不限于渣土运输费、运距等，在报价中充分考虑，结算时不再增加与此相关费用；</w:t>
            </w:r>
          </w:p>
          <w:p w14:paraId="6EA71108">
            <w:pPr>
              <w:spacing w:line="360" w:lineRule="auto"/>
              <w:ind w:right="141" w:rightChars="67" w:firstLine="856" w:firstLineChars="357"/>
              <w:jc w:val="left"/>
              <w:rPr>
                <w:rFonts w:ascii="宋体" w:hAnsi="宋体"/>
                <w:sz w:val="24"/>
              </w:rPr>
            </w:pPr>
            <w:r>
              <w:rPr>
                <w:rFonts w:hint="eastAsia" w:ascii="宋体" w:hAnsi="宋体"/>
                <w:sz w:val="24"/>
              </w:rPr>
              <w:t>7.</w:t>
            </w:r>
            <w:r>
              <w:rPr>
                <w:rFonts w:ascii="宋体" w:hAnsi="宋体"/>
                <w:sz w:val="24"/>
              </w:rPr>
              <w:t>3</w:t>
            </w:r>
            <w:r>
              <w:rPr>
                <w:rFonts w:hint="eastAsia" w:ascii="宋体" w:hAnsi="宋体"/>
                <w:sz w:val="24"/>
              </w:rPr>
              <w:t>、分部分项工程量清单之特征描述是依据本工程招标文件，如有描述不完善之处，均应以本工程招标文件</w:t>
            </w:r>
            <w:bookmarkStart w:id="0" w:name="_GoBack"/>
            <w:bookmarkEnd w:id="0"/>
            <w:r>
              <w:rPr>
                <w:rFonts w:hint="eastAsia" w:ascii="宋体" w:hAnsi="宋体"/>
                <w:sz w:val="24"/>
              </w:rPr>
              <w:t>及相关规范为准；</w:t>
            </w:r>
          </w:p>
          <w:p w14:paraId="4325DC97">
            <w:pPr>
              <w:spacing w:line="360" w:lineRule="auto"/>
              <w:ind w:right="141" w:rightChars="67" w:firstLine="849" w:firstLineChars="354"/>
              <w:jc w:val="left"/>
              <w:rPr>
                <w:rFonts w:ascii="宋体" w:hAnsi="宋体"/>
                <w:sz w:val="24"/>
              </w:rPr>
            </w:pPr>
            <w:r>
              <w:rPr>
                <w:rFonts w:ascii="宋体" w:hAnsi="宋体"/>
                <w:sz w:val="24"/>
              </w:rPr>
              <w:t>7.</w:t>
            </w:r>
            <w:r>
              <w:rPr>
                <w:rFonts w:hint="eastAsia" w:ascii="宋体" w:hAnsi="宋体"/>
                <w:sz w:val="24"/>
              </w:rPr>
              <w:t>4、 对于总价措施项目除安全文明施工费按规定的费率调整外，其余总价措施项目请投标人在报价中综</w:t>
            </w:r>
            <w:r>
              <w:rPr>
                <w:rFonts w:ascii="宋体" w:hAnsi="宋体"/>
                <w:sz w:val="24"/>
              </w:rPr>
              <w:t>合</w:t>
            </w:r>
            <w:r>
              <w:rPr>
                <w:rFonts w:hint="eastAsia" w:ascii="宋体" w:hAnsi="宋体"/>
                <w:sz w:val="24"/>
              </w:rPr>
              <w:t>考虑报</w:t>
            </w:r>
            <w:r>
              <w:rPr>
                <w:rFonts w:ascii="宋体" w:hAnsi="宋体"/>
                <w:sz w:val="24"/>
              </w:rPr>
              <w:t>价</w:t>
            </w:r>
            <w:r>
              <w:rPr>
                <w:rFonts w:hint="eastAsia" w:ascii="宋体" w:hAnsi="宋体"/>
                <w:sz w:val="24"/>
              </w:rPr>
              <w:t>，结算时不得调整；</w:t>
            </w:r>
          </w:p>
          <w:p w14:paraId="27750B32">
            <w:pPr>
              <w:spacing w:line="360" w:lineRule="auto"/>
              <w:ind w:right="141" w:rightChars="67" w:firstLine="849" w:firstLineChars="354"/>
              <w:jc w:val="left"/>
              <w:rPr>
                <w:rFonts w:ascii="宋体" w:hAnsi="宋体"/>
                <w:sz w:val="24"/>
              </w:rPr>
            </w:pPr>
            <w:r>
              <w:rPr>
                <w:rFonts w:ascii="宋体" w:hAnsi="宋体"/>
                <w:sz w:val="24"/>
              </w:rPr>
              <w:t>7.</w:t>
            </w:r>
            <w:r>
              <w:rPr>
                <w:rFonts w:hint="eastAsia" w:ascii="宋体" w:hAnsi="宋体"/>
                <w:sz w:val="24"/>
              </w:rPr>
              <w:t>5、 单价措施项目工程量为1项的项目，请投标人在报价中综</w:t>
            </w:r>
            <w:r>
              <w:rPr>
                <w:rFonts w:ascii="宋体" w:hAnsi="宋体"/>
                <w:sz w:val="24"/>
              </w:rPr>
              <w:t>合</w:t>
            </w:r>
            <w:r>
              <w:rPr>
                <w:rFonts w:hint="eastAsia" w:ascii="宋体" w:hAnsi="宋体"/>
                <w:sz w:val="24"/>
              </w:rPr>
              <w:t>考虑报</w:t>
            </w:r>
            <w:r>
              <w:rPr>
                <w:rFonts w:ascii="宋体" w:hAnsi="宋体"/>
                <w:sz w:val="24"/>
              </w:rPr>
              <w:t>价</w:t>
            </w:r>
            <w:r>
              <w:rPr>
                <w:rFonts w:hint="eastAsia" w:ascii="宋体" w:hAnsi="宋体"/>
                <w:sz w:val="24"/>
              </w:rPr>
              <w:t>，结算时不得另行增加其它费用；</w:t>
            </w:r>
          </w:p>
          <w:p w14:paraId="7D718EC0">
            <w:pPr>
              <w:spacing w:line="360" w:lineRule="auto"/>
              <w:ind w:right="141" w:rightChars="67" w:firstLine="849" w:firstLineChars="354"/>
              <w:jc w:val="left"/>
              <w:rPr>
                <w:rFonts w:hint="eastAsia" w:ascii="宋体" w:hAnsi="宋体"/>
                <w:sz w:val="24"/>
              </w:rPr>
            </w:pPr>
            <w:r>
              <w:rPr>
                <w:rFonts w:ascii="宋体" w:hAnsi="宋体"/>
                <w:sz w:val="24"/>
              </w:rPr>
              <w:t>7.</w:t>
            </w:r>
            <w:r>
              <w:rPr>
                <w:rFonts w:hint="eastAsia" w:ascii="宋体" w:hAnsi="宋体"/>
                <w:sz w:val="24"/>
              </w:rPr>
              <w:t>6、 投标人应先到需施工的现场勘查以充分了解其施工环境，工地位置及任何其他足以影响承包价及工期的情况，招标人对于现有的施工环境及条件将不增加任何投入，请投标人自行考虑并计入投标价内；</w:t>
            </w:r>
          </w:p>
          <w:p w14:paraId="660D00B7">
            <w:pPr>
              <w:spacing w:line="360" w:lineRule="auto"/>
              <w:ind w:right="141" w:rightChars="67" w:firstLine="849" w:firstLineChars="354"/>
              <w:jc w:val="left"/>
              <w:rPr>
                <w:rFonts w:ascii="宋体" w:hAnsi="宋体"/>
                <w:sz w:val="24"/>
              </w:rPr>
            </w:pPr>
            <w:r>
              <w:rPr>
                <w:rFonts w:ascii="宋体" w:hAnsi="宋体"/>
                <w:sz w:val="24"/>
              </w:rPr>
              <w:t>7.7</w:t>
            </w:r>
            <w:r>
              <w:rPr>
                <w:rFonts w:hint="eastAsia" w:ascii="宋体" w:hAnsi="宋体"/>
                <w:sz w:val="24"/>
              </w:rPr>
              <w:t>、 本工程施工外部协调工作由投标人负责，投标人应充分考虑周边地域情况，并将此费用考虑在投标报价中，结算时发包人不再为此增加费用；</w:t>
            </w:r>
          </w:p>
          <w:p w14:paraId="51010BC0">
            <w:pPr>
              <w:spacing w:line="360" w:lineRule="auto"/>
              <w:ind w:right="141" w:rightChars="67" w:firstLine="849" w:firstLineChars="354"/>
              <w:jc w:val="left"/>
              <w:rPr>
                <w:rFonts w:ascii="宋体" w:hAnsi="宋体"/>
                <w:sz w:val="24"/>
              </w:rPr>
            </w:pPr>
            <w:r>
              <w:rPr>
                <w:rFonts w:ascii="宋体" w:hAnsi="宋体"/>
                <w:sz w:val="24"/>
              </w:rPr>
              <w:t>7.8</w:t>
            </w:r>
            <w:r>
              <w:rPr>
                <w:rFonts w:hint="eastAsia" w:ascii="宋体" w:hAnsi="宋体"/>
                <w:sz w:val="24"/>
              </w:rPr>
              <w:t>、投标人必须充分勘察现场实际情况，自行考虑材料运输及堆场费用，本项目对于材料的运输、施工时间的限制、施工场地和临设场地的影响等，请投标人在报价中充分考虑，结算时不得增加与此有关的费用；</w:t>
            </w:r>
          </w:p>
          <w:p w14:paraId="3B087C22">
            <w:pPr>
              <w:spacing w:line="360" w:lineRule="auto"/>
              <w:ind w:right="141" w:rightChars="67" w:firstLine="849" w:firstLineChars="354"/>
              <w:jc w:val="left"/>
              <w:rPr>
                <w:rFonts w:hint="eastAsia" w:ascii="宋体" w:hAnsi="宋体"/>
                <w:sz w:val="24"/>
              </w:rPr>
            </w:pPr>
            <w:r>
              <w:rPr>
                <w:rFonts w:ascii="宋体" w:hAnsi="宋体"/>
                <w:sz w:val="24"/>
              </w:rPr>
              <w:t>7.9</w:t>
            </w:r>
            <w:r>
              <w:rPr>
                <w:rFonts w:hint="eastAsia" w:ascii="宋体" w:hAnsi="宋体"/>
                <w:sz w:val="24"/>
              </w:rPr>
              <w:t>、 对于江苏省、南京市及六合区相关部门对工程施工要求所发的文件规定，特别是对于工程围挡、扬尘控制等的要求，请投标人在报价中充分考虑，结算时不得增加与此有关的费用；</w:t>
            </w:r>
          </w:p>
          <w:p w14:paraId="3ED70CE5">
            <w:pPr>
              <w:spacing w:line="360" w:lineRule="auto"/>
              <w:ind w:right="141" w:rightChars="67" w:firstLine="691" w:firstLineChars="288"/>
              <w:rPr>
                <w:rFonts w:ascii="宋体" w:hAnsi="宋体"/>
                <w:sz w:val="24"/>
              </w:rPr>
            </w:pPr>
            <w:r>
              <w:rPr>
                <w:rFonts w:ascii="宋体" w:hAnsi="宋体"/>
                <w:sz w:val="24"/>
              </w:rPr>
              <w:t>8</w:t>
            </w:r>
            <w:r>
              <w:rPr>
                <w:rFonts w:hint="eastAsia" w:ascii="宋体" w:hAnsi="宋体"/>
                <w:sz w:val="24"/>
              </w:rPr>
              <w:t>、其他未尽事项祥工程量清单及相关招标文件</w:t>
            </w:r>
          </w:p>
        </w:tc>
      </w:tr>
    </w:tbl>
    <w:p w14:paraId="48FFE667">
      <w:pPr>
        <w:adjustRightInd w:val="0"/>
        <w:spacing w:line="20" w:lineRule="exact"/>
      </w:pPr>
    </w:p>
    <w:sectPr>
      <w:headerReference r:id="rId3" w:type="default"/>
      <w:footerReference r:id="rId4" w:type="default"/>
      <w:pgSz w:w="11906" w:h="16838"/>
      <w:pgMar w:top="1440" w:right="1080" w:bottom="1440" w:left="1080" w:header="510"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C245">
    <w:pPr>
      <w:pStyle w:val="2"/>
      <w:jc w:val="center"/>
      <w:rPr>
        <w:caps/>
        <w:color w:val="auto"/>
      </w:rPr>
    </w:pPr>
    <w:r>
      <w:rPr>
        <w:rFonts w:hint="eastAsia"/>
        <w:caps/>
        <w:color w:val="auto"/>
      </w:rPr>
      <w:t>第</w:t>
    </w:r>
    <w:r>
      <w:rPr>
        <w:caps/>
        <w:color w:val="auto"/>
      </w:rPr>
      <w:fldChar w:fldCharType="begin"/>
    </w:r>
    <w:r>
      <w:rPr>
        <w:caps/>
        <w:color w:val="auto"/>
      </w:rPr>
      <w:instrText xml:space="preserve">PAGE   \* MERGEFORMAT</w:instrText>
    </w:r>
    <w:r>
      <w:rPr>
        <w:caps/>
        <w:color w:val="auto"/>
      </w:rPr>
      <w:fldChar w:fldCharType="separate"/>
    </w:r>
    <w:r>
      <w:rPr>
        <w:caps/>
        <w:color w:val="auto"/>
        <w:lang w:val="zh-CN"/>
      </w:rPr>
      <w:t>2</w:t>
    </w:r>
    <w:r>
      <w:rPr>
        <w:caps/>
        <w:color w:val="auto"/>
      </w:rPr>
      <w:fldChar w:fldCharType="end"/>
    </w:r>
    <w:r>
      <w:rPr>
        <w:rFonts w:hint="eastAsia"/>
        <w:caps/>
        <w:color w:val="auto"/>
      </w:rPr>
      <w:t>页，共</w:t>
    </w:r>
    <w:r>
      <w:rPr>
        <w:caps/>
        <w:color w:val="auto"/>
      </w:rPr>
      <w:fldChar w:fldCharType="begin"/>
    </w:r>
    <w:r>
      <w:rPr>
        <w:caps/>
        <w:color w:val="auto"/>
      </w:rPr>
      <w:instrText xml:space="preserve"> NUMPAGES   \* MERGEFORMAT </w:instrText>
    </w:r>
    <w:r>
      <w:rPr>
        <w:caps/>
        <w:color w:val="auto"/>
      </w:rPr>
      <w:fldChar w:fldCharType="separate"/>
    </w:r>
    <w:r>
      <w:rPr>
        <w:caps/>
        <w:color w:val="auto"/>
      </w:rPr>
      <w:t>1</w:t>
    </w:r>
    <w:r>
      <w:rPr>
        <w:caps/>
        <w:color w:val="auto"/>
      </w:rPr>
      <w:fldChar w:fldCharType="end"/>
    </w:r>
    <w:r>
      <w:rPr>
        <w:rFonts w:hint="eastAsia"/>
        <w:caps/>
        <w:color w:val="auto"/>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830F">
    <w:pPr>
      <w:pStyle w:val="3"/>
      <w:rPr>
        <w:rFonts w:ascii="宋体" w:hAnsi="宋体" w:eastAsia="宋体"/>
        <w:color w:val="auto"/>
        <w:sz w:val="44"/>
        <w:szCs w:val="44"/>
      </w:rPr>
    </w:pPr>
    <w:r>
      <w:rPr>
        <w:rFonts w:hint="eastAsia" w:ascii="宋体" w:hAnsi="宋体" w:eastAsia="宋体"/>
        <w:color w:val="auto"/>
        <w:sz w:val="44"/>
        <w:szCs w:val="44"/>
      </w:rPr>
      <w:t>控制价编制说明</w:t>
    </w:r>
  </w:p>
  <w:p w14:paraId="7DCDEA70">
    <w:pPr>
      <w:pStyle w:val="3"/>
      <w:jc w:val="left"/>
      <w:rPr>
        <w:rFonts w:hint="eastAsia" w:ascii="宋体" w:hAnsi="宋体" w:eastAsia="宋体"/>
        <w:color w:val="auto"/>
        <w:sz w:val="28"/>
        <w:szCs w:val="28"/>
        <w:lang w:eastAsia="zh-CN"/>
      </w:rPr>
    </w:pPr>
    <w:r>
      <w:rPr>
        <w:rFonts w:hint="eastAsia" w:ascii="宋体" w:hAnsi="宋体" w:eastAsia="宋体"/>
        <w:color w:val="auto"/>
        <w:sz w:val="28"/>
        <w:szCs w:val="28"/>
      </w:rPr>
      <w:t>工程名称：</w:t>
    </w:r>
    <w:r>
      <w:rPr>
        <w:rFonts w:hint="eastAsia" w:ascii="宋体" w:hAnsi="宋体" w:eastAsia="宋体"/>
        <w:color w:val="auto"/>
        <w:sz w:val="28"/>
        <w:szCs w:val="28"/>
        <w:lang w:eastAsia="zh-CN"/>
      </w:rPr>
      <w:t>马鞍街道垃圾填埋场周边河塘清淤工程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NmM0NWIxYzk2ODJhZGYzMDBlOWNlNmIwMDIyNWEifQ=="/>
  </w:docVars>
  <w:rsids>
    <w:rsidRoot w:val="3BB57831"/>
    <w:rsid w:val="00063777"/>
    <w:rsid w:val="000D5D44"/>
    <w:rsid w:val="0014011A"/>
    <w:rsid w:val="0018068C"/>
    <w:rsid w:val="00236084"/>
    <w:rsid w:val="002638D8"/>
    <w:rsid w:val="00291520"/>
    <w:rsid w:val="002A6975"/>
    <w:rsid w:val="00322C65"/>
    <w:rsid w:val="003432B0"/>
    <w:rsid w:val="003C04AC"/>
    <w:rsid w:val="00450EF7"/>
    <w:rsid w:val="00545FE4"/>
    <w:rsid w:val="006153F6"/>
    <w:rsid w:val="00673A10"/>
    <w:rsid w:val="0068081E"/>
    <w:rsid w:val="00692DFB"/>
    <w:rsid w:val="006E7157"/>
    <w:rsid w:val="006F1FC0"/>
    <w:rsid w:val="00731642"/>
    <w:rsid w:val="0077441F"/>
    <w:rsid w:val="00806131"/>
    <w:rsid w:val="00834B0C"/>
    <w:rsid w:val="009D426D"/>
    <w:rsid w:val="009E2DE5"/>
    <w:rsid w:val="009F1F6B"/>
    <w:rsid w:val="00A04D87"/>
    <w:rsid w:val="00AF59FD"/>
    <w:rsid w:val="00B3114B"/>
    <w:rsid w:val="00BE09C7"/>
    <w:rsid w:val="00BE344D"/>
    <w:rsid w:val="00BF200C"/>
    <w:rsid w:val="00C52046"/>
    <w:rsid w:val="00D91DA2"/>
    <w:rsid w:val="00DB7966"/>
    <w:rsid w:val="00DC56D6"/>
    <w:rsid w:val="00F073FA"/>
    <w:rsid w:val="00F1289E"/>
    <w:rsid w:val="00F87319"/>
    <w:rsid w:val="00F96B13"/>
    <w:rsid w:val="00FB1E53"/>
    <w:rsid w:val="00FC334F"/>
    <w:rsid w:val="08BE18E7"/>
    <w:rsid w:val="243B2252"/>
    <w:rsid w:val="248709F0"/>
    <w:rsid w:val="255E3FAC"/>
    <w:rsid w:val="25D66343"/>
    <w:rsid w:val="2DB12D22"/>
    <w:rsid w:val="31E57363"/>
    <w:rsid w:val="33472482"/>
    <w:rsid w:val="34431839"/>
    <w:rsid w:val="3BB57831"/>
    <w:rsid w:val="4CC20DEF"/>
    <w:rsid w:val="50C8721A"/>
    <w:rsid w:val="5BAB3D47"/>
    <w:rsid w:val="5EFC2119"/>
    <w:rsid w:val="63D06D5A"/>
    <w:rsid w:val="64241E40"/>
    <w:rsid w:val="64766E94"/>
    <w:rsid w:val="65E57734"/>
    <w:rsid w:val="69BF7A25"/>
    <w:rsid w:val="6D7A195D"/>
    <w:rsid w:val="79251D9E"/>
    <w:rsid w:val="7A595CFF"/>
    <w:rsid w:val="7ACC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LUHE--2022\A&#12289;&#25307;&#26631;&#20195;&#29702;\1&#12289;&#39532;&#38797;&#34903;&#36947;\&#24179;&#23665;&#26449;\&#24179;&#23665;&#26449;&#35199;&#19977;&#32447;&#36335;&#28783;&#23433;&#35013;&#21450;&#28192;&#36947;&#38468;&#23646;&#24037;&#31243;\&#24037;&#31243;&#25511;&#21046;&#20215;&#32534;&#21046;&#35828;&#261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377F-5B90-4C2B-B90A-308BD796B93D}">
  <ds:schemaRefs/>
</ds:datastoreItem>
</file>

<file path=docProps/app.xml><?xml version="1.0" encoding="utf-8"?>
<Properties xmlns="http://schemas.openxmlformats.org/officeDocument/2006/extended-properties" xmlns:vt="http://schemas.openxmlformats.org/officeDocument/2006/docPropsVTypes">
  <Template>工程控制价编制说明.dotx</Template>
  <Pages>2</Pages>
  <Words>1037</Words>
  <Characters>1113</Characters>
  <Lines>8</Lines>
  <Paragraphs>2</Paragraphs>
  <TotalTime>40</TotalTime>
  <ScaleCrop>false</ScaleCrop>
  <LinksUpToDate>false</LinksUpToDate>
  <CharactersWithSpaces>1123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2022-03-01T08:22:00Z</dcterms:created>
  <dc:creator>日常小迷糊</dc:creator>
  <cp:lastModifiedBy>张东</cp:lastModifiedBy>
  <cp:lastPrinted>2022-05-13T05:05:00Z</cp:lastPrinted>
  <dcterms:modified xsi:type="dcterms:W3CDTF">2025-12-02T09:19:10Z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919582B03AD84EEA8BBB98356FD58A7E</vt:lpwstr>
  </property>
  <property fmtid="{D5CDD505-2E9C-101B-9397-08002B2CF9AE}" pid="3" name="KSOProductBuildVer">
    <vt:lpwstr>2052-12.1.0.22089</vt:lpwstr>
  </property>
  <property fmtid="{D5CDD505-2E9C-101B-9397-08002B2CF9AE}" pid="4" name="KSOTemplateDocerSaveRecord">
    <vt:lpwstr>eyJoZGlkIjoiODNhNmM0NWIxYzk2ODJhZGYzMDBlOWNlNmIwMDIyNWEiLCJ1c2VySWQiOiIxNDU2NzgzNzU2In0=</vt:lpwstr>
  </property>
</Properties>
</file>