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jc w:val="both"/>
        <w:rPr>
          <w:rFonts w:eastAsia="黑体"/>
          <w:b/>
          <w:bCs/>
          <w:sz w:val="84"/>
          <w:highlight w:val="none"/>
        </w:rPr>
      </w:pPr>
      <w:r>
        <w:rPr>
          <w:rFonts w:eastAsia="黑体"/>
          <w:b/>
          <w:bCs/>
          <w:sz w:val="84"/>
          <w:highlight w:val="none"/>
        </w:rPr>
      </w:r>
      <w:r/>
    </w:p>
    <w:p>
      <w:pPr>
        <w:pStyle w:val="1008"/>
        <w:ind w:firstLine="0"/>
        <w:jc w:val="center"/>
        <w:rPr>
          <w:rFonts w:eastAsia="黑体"/>
          <w:b/>
          <w:bCs/>
          <w:sz w:val="84"/>
          <w:highlight w:val="none"/>
        </w:rPr>
      </w:pPr>
      <w:r>
        <w:rPr>
          <w:rFonts w:hint="eastAsia" w:eastAsia="黑体"/>
          <w:b/>
          <w:bCs/>
          <w:sz w:val="84"/>
          <w:highlight w:val="none"/>
        </w:rPr>
        <w:t xml:space="preserve">招　标　文　件</w:t>
      </w:r>
      <w:r/>
    </w:p>
    <w:p>
      <w:pPr>
        <w:pStyle w:val="1008"/>
        <w:ind w:firstLine="0"/>
        <w:jc w:val="center"/>
        <w:rPr>
          <w:b/>
          <w:bCs/>
          <w:sz w:val="32"/>
          <w:highlight w:val="none"/>
        </w:rPr>
      </w:pPr>
      <w:r>
        <w:rPr>
          <w:b/>
          <w:bCs/>
          <w:sz w:val="32"/>
          <w:highlight w:val="none"/>
        </w:rPr>
      </w:r>
      <w:r/>
    </w:p>
    <w:p>
      <w:pPr>
        <w:pStyle w:val="1008"/>
        <w:ind w:firstLine="0"/>
        <w:jc w:val="center"/>
        <w:rPr>
          <w:b/>
          <w:bCs/>
          <w:sz w:val="32"/>
          <w:highlight w:val="none"/>
        </w:rPr>
      </w:pPr>
      <w:r>
        <w:rPr>
          <w:b/>
          <w:bCs/>
          <w:sz w:val="32"/>
          <w:highlight w:val="none"/>
        </w:rPr>
      </w:r>
      <w:r/>
    </w:p>
    <w:p>
      <w:pPr>
        <w:pStyle w:val="1008"/>
        <w:ind w:firstLine="0"/>
        <w:jc w:val="center"/>
        <w:rPr>
          <w:b/>
          <w:bCs/>
          <w:sz w:val="32"/>
          <w:highlight w:val="none"/>
        </w:rPr>
      </w:pPr>
      <w:r>
        <w:rPr>
          <w:b/>
          <w:bCs/>
          <w:sz w:val="32"/>
          <w:highlight w:val="none"/>
        </w:rPr>
      </w:r>
      <w:r/>
    </w:p>
    <w:p>
      <w:pPr>
        <w:pStyle w:val="1008"/>
        <w:ind w:firstLine="641"/>
        <w:jc w:val="both"/>
        <w:spacing w:before="0" w:after="0"/>
        <w:rPr>
          <w:b/>
          <w:bCs/>
          <w:spacing w:val="-6"/>
          <w:sz w:val="32"/>
          <w:highlight w:val="none"/>
        </w:rPr>
      </w:pPr>
      <w:r>
        <w:rPr>
          <w:rFonts w:hint="eastAsia"/>
          <w:b/>
          <w:bCs/>
          <w:sz w:val="32"/>
          <w:highlight w:val="none"/>
        </w:rPr>
        <w:t xml:space="preserve">项目名称：</w:t>
      </w:r>
      <w:r>
        <w:rPr>
          <w:rFonts w:hint="eastAsia"/>
          <w:b/>
          <w:bCs/>
          <w:spacing w:val="-6"/>
          <w:sz w:val="32"/>
          <w:highlight w:val="none"/>
        </w:rPr>
        <w:t xml:space="preserve">连云港市第一人民医院三院区环境自行监测服务</w:t>
      </w:r>
      <w:r/>
    </w:p>
    <w:p>
      <w:pPr>
        <w:ind w:firstLine="641"/>
        <w:spacing w:line="360" w:lineRule="auto"/>
        <w:rPr>
          <w:rFonts w:hint="eastAsia" w:eastAsia="宋体"/>
          <w:b/>
          <w:sz w:val="30"/>
          <w:szCs w:val="30"/>
          <w:highlight w:val="none"/>
          <w:lang w:eastAsia="zh-CN"/>
        </w:rPr>
      </w:pPr>
      <w:r>
        <w:rPr>
          <w:rFonts w:hint="eastAsia"/>
          <w:b/>
          <w:bCs/>
          <w:sz w:val="32"/>
          <w:highlight w:val="none"/>
        </w:rPr>
        <w:t xml:space="preserve">项目编号：</w:t>
      </w:r>
      <w:r>
        <w:rPr>
          <w:rFonts w:hint="eastAsia"/>
          <w:b/>
          <w:bCs/>
          <w:sz w:val="32"/>
          <w:highlight w:val="none"/>
          <w:lang w:eastAsia="zh-CN"/>
        </w:rPr>
        <w:t xml:space="preserve">JSZC-320700-HCCG-G2025-0103</w:t>
      </w:r>
      <w:r/>
    </w:p>
    <w:p>
      <w:pPr>
        <w:pStyle w:val="1008"/>
        <w:ind w:firstLine="0"/>
        <w:spacing w:before="0" w:after="0"/>
        <w:rPr>
          <w:rFonts w:ascii="宋体" w:hAnsi="宋体"/>
          <w:highlight w:val="none"/>
        </w:rPr>
      </w:pPr>
      <w:r>
        <w:rPr>
          <w:rFonts w:ascii="宋体" w:hAnsi="宋体"/>
          <w:highlight w:val="none"/>
        </w:rPr>
      </w:r>
      <w:r/>
    </w:p>
    <w:p>
      <w:pPr>
        <w:pStyle w:val="1008"/>
        <w:ind w:firstLine="0"/>
        <w:spacing w:before="0" w:after="0"/>
        <w:rPr>
          <w:rFonts w:ascii="宋体" w:hAnsi="宋体"/>
          <w:highlight w:val="none"/>
        </w:rPr>
      </w:pPr>
      <w:r>
        <w:rPr>
          <w:rFonts w:ascii="宋体" w:hAnsi="宋体"/>
          <w:highlight w:val="none"/>
        </w:rPr>
      </w:r>
      <w:r/>
    </w:p>
    <w:p>
      <w:pPr>
        <w:pStyle w:val="1008"/>
        <w:ind w:firstLine="0"/>
        <w:spacing w:before="0" w:after="0"/>
        <w:rPr>
          <w:rFonts w:ascii="宋体" w:hAnsi="宋体"/>
          <w:highlight w:val="none"/>
        </w:rPr>
      </w:pPr>
      <w:r>
        <w:rPr>
          <w:rFonts w:ascii="宋体" w:hAnsi="宋体"/>
          <w:highlight w:val="none"/>
        </w:rPr>
      </w:r>
      <w:r/>
    </w:p>
    <w:p>
      <w:pPr>
        <w:pStyle w:val="1008"/>
        <w:ind w:firstLine="0"/>
        <w:spacing w:before="0" w:after="0"/>
        <w:rPr>
          <w:rFonts w:ascii="宋体" w:hAnsi="宋体"/>
          <w:highlight w:val="none"/>
        </w:rPr>
      </w:pPr>
      <w:r>
        <w:rPr>
          <w:rFonts w:ascii="宋体" w:hAnsi="宋体"/>
          <w:highlight w:val="none"/>
        </w:rPr>
      </w:r>
      <w:r/>
    </w:p>
    <w:p>
      <w:pPr>
        <w:pStyle w:val="1008"/>
        <w:ind w:firstLine="0"/>
        <w:spacing w:before="0" w:after="0"/>
        <w:rPr>
          <w:rFonts w:ascii="宋体" w:hAnsi="宋体"/>
          <w:highlight w:val="none"/>
        </w:rPr>
      </w:pPr>
      <w:r>
        <w:rPr>
          <w:rFonts w:ascii="宋体" w:hAnsi="宋体"/>
          <w:highlight w:val="none"/>
        </w:rPr>
      </w:r>
      <w:r/>
    </w:p>
    <w:p>
      <w:pPr>
        <w:pStyle w:val="1008"/>
        <w:ind w:firstLine="0"/>
        <w:spacing w:before="0" w:after="0"/>
        <w:rPr>
          <w:rFonts w:ascii="宋体" w:hAnsi="宋体"/>
          <w:highlight w:val="none"/>
        </w:rPr>
      </w:pPr>
      <w:r>
        <w:rPr>
          <w:rFonts w:ascii="宋体" w:hAnsi="宋体"/>
          <w:highlight w:val="none"/>
        </w:rPr>
      </w:r>
      <w:r/>
    </w:p>
    <w:p>
      <w:pPr>
        <w:pStyle w:val="1008"/>
        <w:ind w:firstLine="0"/>
        <w:spacing w:before="0" w:after="0"/>
        <w:rPr>
          <w:rFonts w:ascii="宋体" w:hAnsi="宋体"/>
          <w:highlight w:val="none"/>
        </w:rPr>
      </w:pPr>
      <w:r>
        <w:rPr>
          <w:rFonts w:ascii="宋体" w:hAnsi="宋体"/>
          <w:highlight w:val="none"/>
        </w:rPr>
      </w:r>
      <w:r/>
    </w:p>
    <w:p>
      <w:pPr>
        <w:pStyle w:val="1008"/>
        <w:ind w:firstLine="0"/>
        <w:spacing w:before="0" w:after="0"/>
        <w:rPr>
          <w:rFonts w:ascii="宋体" w:hAnsi="宋体"/>
          <w:highlight w:val="none"/>
        </w:rPr>
      </w:pPr>
      <w:r>
        <w:rPr>
          <w:rFonts w:ascii="宋体" w:hAnsi="宋体"/>
          <w:highlight w:val="none"/>
        </w:rPr>
      </w:r>
      <w:r/>
    </w:p>
    <w:p>
      <w:pPr>
        <w:ind w:firstLine="912"/>
        <w:spacing w:line="360" w:lineRule="auto"/>
        <w:rPr>
          <w:rFonts w:ascii="宋体" w:hAnsi="宋体"/>
          <w:bCs/>
          <w:sz w:val="32"/>
          <w:szCs w:val="32"/>
          <w:highlight w:val="none"/>
        </w:rPr>
      </w:pPr>
      <w:r>
        <w:rPr>
          <w:rFonts w:hint="eastAsia" w:ascii="宋体" w:hAnsi="宋体"/>
          <w:bCs/>
          <w:sz w:val="32"/>
          <w:szCs w:val="32"/>
          <w:highlight w:val="none"/>
        </w:rPr>
        <w:t xml:space="preserve">采   购   人：连云港市第一人民医院</w:t>
      </w:r>
      <w:r/>
    </w:p>
    <w:p>
      <w:pPr>
        <w:ind w:firstLine="912"/>
        <w:spacing w:line="360" w:lineRule="auto"/>
        <w:rPr>
          <w:rFonts w:ascii="宋体" w:hAnsi="宋体"/>
          <w:bCs/>
          <w:sz w:val="32"/>
          <w:szCs w:val="32"/>
          <w:highlight w:val="none"/>
        </w:rPr>
      </w:pPr>
      <w:r>
        <w:rPr>
          <w:rFonts w:hint="eastAsia" w:ascii="宋体" w:hAnsi="宋体"/>
          <w:bCs/>
          <w:sz w:val="32"/>
          <w:szCs w:val="32"/>
          <w:highlight w:val="none"/>
        </w:rPr>
        <w:t xml:space="preserve">采购代理机构：江苏鸿成工程项目管理有限公司</w:t>
      </w:r>
      <w:r/>
    </w:p>
    <w:p>
      <w:pPr>
        <w:pStyle w:val="1008"/>
        <w:ind w:firstLine="0"/>
        <w:jc w:val="center"/>
        <w:spacing w:before="0" w:after="0"/>
        <w:rPr>
          <w:highlight w:val="none"/>
        </w:rPr>
      </w:pPr>
      <w:r>
        <w:rPr>
          <w:rFonts w:hint="eastAsia" w:ascii="宋体" w:hAnsi="宋体" w:cs="宋体"/>
          <w:bCs/>
          <w:sz w:val="32"/>
          <w:szCs w:val="32"/>
          <w:highlight w:val="none"/>
        </w:rPr>
        <w:t xml:space="preserve">2025年</w:t>
      </w:r>
      <w:r>
        <w:rPr>
          <w:rFonts w:hint="eastAsia" w:ascii="宋体" w:hAnsi="宋体" w:cs="宋体"/>
          <w:bCs/>
          <w:sz w:val="32"/>
          <w:szCs w:val="32"/>
          <w:highlight w:val="none"/>
          <w:lang w:val="en-US" w:eastAsia="zh-CN"/>
        </w:rPr>
        <w:t xml:space="preserve">10</w:t>
      </w:r>
      <w:r>
        <w:rPr>
          <w:rFonts w:hint="eastAsia" w:ascii="宋体" w:hAnsi="宋体" w:cs="宋体"/>
          <w:bCs/>
          <w:sz w:val="32"/>
          <w:szCs w:val="32"/>
          <w:highlight w:val="none"/>
        </w:rPr>
        <w:t xml:space="preserve">月</w:t>
      </w:r>
      <w:r/>
    </w:p>
    <w:p>
      <w:pPr>
        <w:jc w:val="center"/>
        <w:spacing w:line="360" w:lineRule="auto"/>
        <w:rPr>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
    </w:p>
    <w:p>
      <w:pPr>
        <w:jc w:val="center"/>
        <w:spacing w:line="480" w:lineRule="auto"/>
        <w:rPr>
          <w:rFonts w:ascii="黑体" w:hAnsi="Arial" w:eastAsia="黑体"/>
          <w:b/>
          <w:sz w:val="44"/>
          <w:highlight w:val="none"/>
        </w:rPr>
        <w:outlineLvl w:val="0"/>
      </w:pPr>
      <w:r/>
      <w:bookmarkStart w:id="6" w:name="_Toc9045"/>
      <w:r/>
      <w:bookmarkStart w:id="7" w:name="_Toc3486"/>
      <w:r/>
      <w:bookmarkStart w:id="8" w:name="_Toc2559"/>
      <w:r>
        <w:rPr>
          <w:rFonts w:hint="eastAsia" w:ascii="黑体" w:hAnsi="Arial" w:eastAsia="黑体"/>
          <w:b/>
          <w:sz w:val="44"/>
          <w:highlight w:val="none"/>
        </w:rPr>
        <w:t xml:space="preserve">总  目  录</w:t>
      </w:r>
      <w:bookmarkEnd w:id="6"/>
      <w:r/>
      <w:bookmarkEnd w:id="7"/>
      <w:r/>
      <w:bookmarkEnd w:id="8"/>
      <w:r/>
      <w:r/>
    </w:p>
    <w:p>
      <w:pPr>
        <w:pStyle w:val="757"/>
        <w:tabs>
          <w:tab w:val="right" w:pos="8953" w:leader="dot"/>
        </w:tabs>
        <w:rPr>
          <w:highlight w:val="none"/>
        </w:rPr>
      </w:pPr>
      <w:r>
        <w:rPr>
          <w:rFonts w:hint="eastAsia" w:ascii="仿宋_GB2312" w:hAnsi="Arial" w:eastAsia="仿宋_GB2312"/>
          <w:b/>
          <w:sz w:val="28"/>
          <w:highlight w:val="none"/>
        </w:rPr>
        <w:fldChar w:fldCharType="begin"/>
      </w:r>
      <w:r>
        <w:rPr>
          <w:rFonts w:hint="eastAsia" w:ascii="仿宋_GB2312" w:hAnsi="Arial" w:eastAsia="仿宋_GB2312"/>
          <w:b/>
          <w:sz w:val="28"/>
          <w:highlight w:val="none"/>
        </w:rPr>
        <w:instrText xml:space="preserve">TOC \o "1-3" \h \u </w:instrText>
      </w:r>
      <w:r>
        <w:rPr>
          <w:rFonts w:hint="eastAsia" w:ascii="仿宋_GB2312" w:hAnsi="Arial" w:eastAsia="仿宋_GB2312"/>
          <w:b/>
          <w:sz w:val="28"/>
          <w:highlight w:val="none"/>
        </w:rPr>
        <w:fldChar w:fldCharType="separate"/>
      </w:r>
      <w:r>
        <w:rPr>
          <w:highlight w:val="none"/>
        </w:rPr>
        <w:fldChar w:fldCharType="begin"/>
      </w:r>
      <w:r>
        <w:rPr>
          <w:highlight w:val="none"/>
        </w:rPr>
        <w:instrText xml:space="preserve"> HYPERLINK \l "_Toc2801" </w:instrText>
      </w:r>
      <w:r>
        <w:rPr>
          <w:highlight w:val="none"/>
        </w:rPr>
        <w:fldChar w:fldCharType="separate"/>
      </w:r>
      <w:r>
        <w:rPr>
          <w:rFonts w:hint="eastAsia" w:ascii="黑体" w:eastAsia="黑体"/>
          <w:szCs w:val="44"/>
          <w:highlight w:val="none"/>
        </w:rPr>
        <w:t xml:space="preserve">第一章  投标邀请</w:t>
      </w:r>
      <w:r>
        <w:rPr>
          <w:highlight w:val="none"/>
        </w:rPr>
        <w:tab/>
      </w:r>
      <w:r>
        <w:rPr>
          <w:highlight w:val="none"/>
        </w:rPr>
        <w:fldChar w:fldCharType="begin"/>
      </w:r>
      <w:r>
        <w:rPr>
          <w:highlight w:val="none"/>
        </w:rPr>
        <w:instrText xml:space="preserve"> PAGEREF _Toc2801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63"/>
        <w:ind w:left="0"/>
        <w:tabs>
          <w:tab w:val="right" w:pos="8953" w:leader="dot"/>
        </w:tabs>
        <w:rPr>
          <w:highlight w:val="none"/>
        </w:rPr>
      </w:pPr>
      <w:r>
        <w:rPr>
          <w:highlight w:val="none"/>
        </w:rPr>
        <w:fldChar w:fldCharType="begin"/>
      </w:r>
      <w:r>
        <w:rPr>
          <w:highlight w:val="none"/>
        </w:rPr>
        <w:instrText xml:space="preserve"> HYPERLINK \l "_Toc6975" </w:instrText>
      </w:r>
      <w:r>
        <w:rPr>
          <w:highlight w:val="none"/>
        </w:rPr>
        <w:fldChar w:fldCharType="separate"/>
      </w:r>
      <w:r>
        <w:rPr>
          <w:rFonts w:hint="eastAsia" w:ascii="黑体" w:eastAsia="黑体"/>
          <w:szCs w:val="44"/>
          <w:highlight w:val="none"/>
        </w:rPr>
        <w:t xml:space="preserve">第二章  投标人须知</w:t>
      </w:r>
      <w:r>
        <w:rPr>
          <w:highlight w:val="none"/>
        </w:rPr>
        <w:tab/>
      </w:r>
      <w:r>
        <w:rPr>
          <w:highlight w:val="none"/>
        </w:rPr>
        <w:fldChar w:fldCharType="begin"/>
      </w:r>
      <w:r>
        <w:rPr>
          <w:highlight w:val="none"/>
        </w:rPr>
        <w:instrText xml:space="preserve"> PAGEREF _Toc6975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757"/>
        <w:tabs>
          <w:tab w:val="right" w:pos="8953" w:leader="dot"/>
        </w:tabs>
        <w:rPr>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黑体" w:hAnsi="黑体" w:eastAsia="黑体"/>
          <w:bCs/>
          <w:szCs w:val="44"/>
          <w:highlight w:val="none"/>
        </w:rPr>
        <w:t xml:space="preserve">第三章  合同文本</w:t>
      </w:r>
      <w:r>
        <w:rPr>
          <w:highlight w:val="none"/>
        </w:rPr>
        <w:tab/>
      </w:r>
      <w:r>
        <w:rPr>
          <w:highlight w:val="none"/>
        </w:rPr>
        <w:fldChar w:fldCharType="begin"/>
      </w:r>
      <w:r>
        <w:rPr>
          <w:highlight w:val="none"/>
        </w:rPr>
        <w:instrText xml:space="preserve"> PAGEREF _Toc581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57"/>
        <w:tabs>
          <w:tab w:val="right" w:pos="8953" w:leader="dot"/>
        </w:tabs>
        <w:rPr>
          <w:highlight w:val="none"/>
        </w:rPr>
      </w:pPr>
      <w:r>
        <w:rPr>
          <w:highlight w:val="none"/>
        </w:rPr>
        <w:fldChar w:fldCharType="begin"/>
      </w:r>
      <w:r>
        <w:rPr>
          <w:highlight w:val="none"/>
        </w:rPr>
        <w:instrText xml:space="preserve"> HYPERLINK \l "_Toc4663" </w:instrText>
      </w:r>
      <w:r>
        <w:rPr>
          <w:highlight w:val="none"/>
        </w:rPr>
        <w:fldChar w:fldCharType="separate"/>
      </w:r>
      <w:r>
        <w:rPr>
          <w:rFonts w:hint="eastAsia" w:ascii="黑体" w:eastAsia="黑体"/>
          <w:szCs w:val="44"/>
          <w:highlight w:val="none"/>
        </w:rPr>
        <w:t xml:space="preserve">第四章 采购需求</w:t>
      </w:r>
      <w:r>
        <w:rPr>
          <w:highlight w:val="none"/>
        </w:rPr>
        <w:tab/>
      </w:r>
      <w:r>
        <w:rPr>
          <w:highlight w:val="none"/>
        </w:rPr>
        <w:fldChar w:fldCharType="begin"/>
      </w:r>
      <w:r>
        <w:rPr>
          <w:highlight w:val="none"/>
        </w:rPr>
        <w:instrText xml:space="preserve"> PAGEREF _Toc4663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57"/>
        <w:tabs>
          <w:tab w:val="right" w:pos="8953" w:leader="dot"/>
        </w:tabs>
        <w:rPr>
          <w:highlight w:val="none"/>
        </w:rPr>
      </w:pPr>
      <w:r>
        <w:rPr>
          <w:highlight w:val="none"/>
        </w:rPr>
        <w:fldChar w:fldCharType="begin"/>
      </w:r>
      <w:r>
        <w:rPr>
          <w:highlight w:val="none"/>
        </w:rPr>
        <w:instrText xml:space="preserve"> HYPERLINK \l "_Toc19583" </w:instrText>
      </w:r>
      <w:r>
        <w:rPr>
          <w:highlight w:val="none"/>
        </w:rPr>
        <w:fldChar w:fldCharType="separate"/>
      </w:r>
      <w:r>
        <w:rPr>
          <w:rFonts w:hint="eastAsia" w:ascii="黑体" w:eastAsia="黑体"/>
          <w:szCs w:val="44"/>
          <w:highlight w:val="none"/>
        </w:rPr>
        <w:t xml:space="preserve">第五章  评标方法与评标标准</w:t>
      </w:r>
      <w:r>
        <w:rPr>
          <w:highlight w:val="none"/>
        </w:rPr>
        <w:tab/>
      </w:r>
      <w:r>
        <w:rPr>
          <w:highlight w:val="none"/>
        </w:rPr>
        <w:fldChar w:fldCharType="begin"/>
      </w:r>
      <w:r>
        <w:rPr>
          <w:highlight w:val="none"/>
        </w:rPr>
        <w:instrText xml:space="preserve"> PAGEREF _Toc19583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757"/>
        <w:tabs>
          <w:tab w:val="right" w:pos="8953" w:leader="dot"/>
        </w:tabs>
        <w:rPr>
          <w:highlight w:val="none"/>
        </w:rPr>
      </w:pPr>
      <w:r>
        <w:rPr>
          <w:highlight w:val="none"/>
        </w:rPr>
        <w:fldChar w:fldCharType="begin"/>
      </w:r>
      <w:r>
        <w:rPr>
          <w:highlight w:val="none"/>
        </w:rPr>
        <w:instrText xml:space="preserve"> HYPERLINK \l "_Toc19647" </w:instrText>
      </w:r>
      <w:r>
        <w:rPr>
          <w:highlight w:val="none"/>
        </w:rPr>
        <w:fldChar w:fldCharType="separate"/>
      </w:r>
      <w:r>
        <w:rPr>
          <w:rFonts w:hint="eastAsia" w:ascii="黑体" w:eastAsia="黑体"/>
          <w:szCs w:val="44"/>
          <w:highlight w:val="none"/>
        </w:rPr>
        <w:t xml:space="preserve">第六章  投标文件格式</w:t>
      </w:r>
      <w:r>
        <w:rPr>
          <w:highlight w:val="none"/>
        </w:rPr>
        <w:tab/>
      </w:r>
      <w:r>
        <w:rPr>
          <w:highlight w:val="none"/>
        </w:rPr>
        <w:fldChar w:fldCharType="begin"/>
      </w:r>
      <w:r>
        <w:rPr>
          <w:highlight w:val="none"/>
        </w:rPr>
        <w:instrText xml:space="preserve"> PAGEREF _Toc19647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spacing w:line="480" w:lineRule="auto"/>
        <w:rPr>
          <w:rFonts w:ascii="仿宋_GB2312" w:hAnsi="Arial" w:eastAsia="仿宋_GB2312"/>
          <w:b/>
          <w:sz w:val="28"/>
          <w:highlight w:val="none"/>
        </w:rPr>
      </w:pPr>
      <w:r>
        <w:rPr>
          <w:rFonts w:hint="eastAsia" w:ascii="仿宋_GB2312" w:hAnsi="Arial" w:eastAsia="仿宋_GB2312"/>
          <w:highlight w:val="none"/>
        </w:rPr>
        <w:fldChar w:fldCharType="end"/>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22"/>
        <w:rPr>
          <w:rFonts w:ascii="黑体" w:eastAsia="黑体"/>
          <w:sz w:val="44"/>
          <w:szCs w:val="44"/>
          <w:highlight w:val="none"/>
        </w:rP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22"/>
        <w:spacing w:line="360" w:lineRule="auto"/>
        <w:rPr>
          <w:rFonts w:ascii="黑体" w:eastAsia="黑体"/>
          <w:bCs/>
          <w:sz w:val="44"/>
          <w:szCs w:val="44"/>
          <w:highlight w:val="none"/>
        </w:rPr>
      </w:pPr>
      <w:r/>
      <w:bookmarkStart w:id="10" w:name="_Toc2801"/>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bookmarkEnd w:id="9"/>
      <w:r/>
      <w:bookmarkEnd w:id="10"/>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rPr>
        <w:t xml:space="preserve">连云港市第一人民医院</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江苏鸿成工程项目管理有限公司</w:t>
      </w:r>
      <w:r>
        <w:rPr>
          <w:rFonts w:hint="eastAsia" w:ascii="宋体" w:hAnsi="宋体"/>
          <w:sz w:val="24"/>
          <w:szCs w:val="24"/>
          <w:highlight w:val="none"/>
        </w:rPr>
        <w:t xml:space="preserve">就</w:t>
      </w:r>
      <w:r>
        <w:rPr>
          <w:rFonts w:hint="eastAsia" w:ascii="宋体" w:hAnsi="宋体"/>
          <w:sz w:val="24"/>
          <w:szCs w:val="24"/>
          <w:highlight w:val="none"/>
          <w:u w:val="single"/>
        </w:rPr>
        <w:t xml:space="preserve">连云港市第一人民医院三院区环境自行监测服务</w:t>
      </w: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JSZC-320700-HCCG-G2025-0103</w:t>
      </w:r>
      <w:r>
        <w:rPr>
          <w:rFonts w:hint="eastAsia" w:ascii="宋体" w:hAnsi="宋体"/>
          <w:sz w:val="24"/>
          <w:szCs w:val="24"/>
          <w:highlight w:val="none"/>
        </w:rPr>
        <w:t xml:space="preserve">)项目进行公开招标采购，欢迎符合条件的供应商投标。</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连云港市第一人民医院三院区环境自行监测服务</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2025年</w:t>
      </w:r>
      <w:r>
        <w:rPr>
          <w:rFonts w:hint="eastAsia" w:ascii="宋体" w:hAnsi="宋体" w:cs="宋体"/>
          <w:sz w:val="24"/>
          <w:szCs w:val="24"/>
          <w:highlight w:val="none"/>
          <w:u w:val="single"/>
        </w:rPr>
        <w:t xml:space="preserve">11月7日9</w:t>
      </w:r>
      <w:r>
        <w:rPr>
          <w:rFonts w:hint="eastAsia" w:ascii="宋体" w:hAnsi="宋体"/>
          <w:bCs/>
          <w:sz w:val="24"/>
          <w:szCs w:val="24"/>
          <w:highlight w:val="none"/>
          <w:u w:val="single"/>
        </w:rPr>
        <w:t xml:space="preserve">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924"/>
        <w:ind w:firstLine="498"/>
        <w:spacing w:before="0" w:after="0" w:line="360" w:lineRule="auto"/>
        <w:rPr>
          <w:highlight w:val="none"/>
        </w:rPr>
      </w:pPr>
      <w:r/>
      <w:bookmarkStart w:id="11" w:name="_Toc21136"/>
      <w:r/>
      <w:bookmarkStart w:id="12" w:name="_Toc28359002"/>
      <w:r/>
      <w:bookmarkStart w:id="13" w:name="_Toc38985263"/>
      <w:r/>
      <w:bookmarkStart w:id="14" w:name="_Toc2245"/>
      <w:r/>
      <w:bookmarkStart w:id="15" w:name="_Toc35393790"/>
      <w:r/>
      <w:bookmarkStart w:id="16" w:name="_Toc28359079"/>
      <w:r/>
      <w:bookmarkStart w:id="17" w:name="_Toc16002"/>
      <w:r/>
      <w:bookmarkStart w:id="18" w:name="_Toc35393621"/>
      <w:r/>
      <w:bookmarkStart w:id="19" w:name="_Hlk24379207"/>
      <w:r>
        <w:rPr>
          <w:rFonts w:hint="eastAsia"/>
          <w:highlight w:val="none"/>
        </w:rPr>
        <w:t xml:space="preserve">一、项目基本情况</w:t>
      </w:r>
      <w:bookmarkEnd w:id="11"/>
      <w:r/>
      <w:bookmarkEnd w:id="12"/>
      <w:r/>
      <w:bookmarkEnd w:id="13"/>
      <w:r/>
      <w:bookmarkEnd w:id="14"/>
      <w:r/>
      <w:bookmarkEnd w:id="15"/>
      <w:r/>
      <w:bookmarkEnd w:id="16"/>
      <w:r/>
      <w:bookmarkEnd w:id="17"/>
      <w:r/>
      <w:bookmarkEnd w:id="18"/>
      <w:r/>
      <w:bookmarkEnd w:id="19"/>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JSZC-320700-HCCG-G2025-0103</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2.项目名称：连云港市第一人民医院三</w:t>
      </w:r>
      <w:bookmarkStart w:id="285" w:name="_GoBack"/>
      <w:r/>
      <w:bookmarkEnd w:id="285"/>
      <w:r>
        <w:rPr>
          <w:rFonts w:hint="eastAsia" w:ascii="宋体" w:hAnsi="宋体"/>
          <w:sz w:val="24"/>
          <w:szCs w:val="24"/>
          <w:highlight w:val="none"/>
        </w:rPr>
        <w:t xml:space="preserve">院区环境自行监测服务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3.预算金额：93.99万元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4.最高限价：本项目</w:t>
      </w:r>
      <w:r>
        <w:rPr>
          <w:rFonts w:hint="eastAsia" w:ascii="宋体" w:hAnsi="宋体"/>
          <w:sz w:val="24"/>
          <w:szCs w:val="24"/>
          <w:highlight w:val="none"/>
          <w:u w:val="single"/>
        </w:rPr>
        <w:t xml:space="preserve"> 设定 </w:t>
      </w:r>
      <w:r>
        <w:rPr>
          <w:rFonts w:hint="eastAsia" w:ascii="宋体" w:hAnsi="宋体"/>
          <w:sz w:val="24"/>
          <w:szCs w:val="24"/>
          <w:highlight w:val="none"/>
        </w:rPr>
        <w:t xml:space="preserve">（设定/不设定）最高限价，最高限价为人民93.99万元，投标人所报的投标报价超过最高限价的投标无效。</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5.采购需求（简介）：根据三级甲等医院评定标准、医疗机构水污染物排放标准、排污许可管理条例、排污许可证申请与核发技术规范、环境保护法、水污染源在线监测系统验收技术规范等文件要求，我院应委托第三方监测废水、废气等环境数据并留存检测报告，按每季度、每年编制排污许可证执行报告，编制自行监测方案等，详细内容见本招标文件第四章</w:t>
      </w:r>
      <w:r>
        <w:rPr>
          <w:rFonts w:hint="eastAsia" w:ascii="宋体" w:hAnsi="宋体" w:cs="宋体"/>
          <w:sz w:val="24"/>
          <w:szCs w:val="24"/>
          <w:highlight w:val="none"/>
        </w:rPr>
        <w:t xml:space="preserve">。</w:t>
      </w:r>
      <w:r/>
    </w:p>
    <w:p>
      <w:pPr>
        <w:ind w:firstLine="482"/>
        <w:spacing w:line="360" w:lineRule="auto"/>
        <w:rPr>
          <w:rFonts w:ascii="宋体" w:hAnsi="宋体" w:cs="宋体"/>
          <w:sz w:val="24"/>
          <w:szCs w:val="24"/>
          <w:highlight w:val="none"/>
        </w:rPr>
      </w:pPr>
      <w:r>
        <w:rPr>
          <w:rFonts w:hint="eastAsia" w:ascii="宋体" w:hAnsi="宋体"/>
          <w:b/>
          <w:bCs/>
          <w:sz w:val="24"/>
          <w:highlight w:val="none"/>
        </w:rPr>
        <w:t xml:space="preserve">对项目采购需求部分的询问、质疑请与采购人联系，由采购人负责答复。</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6.合同履行期限（服务期限）：三年，自合同约定之日起算。</w:t>
      </w:r>
      <w:r/>
    </w:p>
    <w:p>
      <w:pPr>
        <w:ind w:firstLine="480"/>
        <w:spacing w:line="360" w:lineRule="auto"/>
        <w:rPr>
          <w:rFonts w:ascii="宋体" w:hAnsi="宋体"/>
          <w:bCs/>
          <w:sz w:val="24"/>
          <w:highlight w:val="none"/>
        </w:rPr>
      </w:pPr>
      <w:r>
        <w:rPr>
          <w:rFonts w:hint="eastAsia" w:ascii="宋体" w:hAnsi="宋体"/>
          <w:sz w:val="24"/>
          <w:szCs w:val="24"/>
          <w:highlight w:val="none"/>
        </w:rPr>
        <w:t xml:space="preserve">7.本项目</w:t>
      </w:r>
      <w:r>
        <w:rPr>
          <w:rFonts w:hint="eastAsia" w:ascii="宋体" w:hAnsi="宋体"/>
          <w:sz w:val="24"/>
          <w:szCs w:val="24"/>
          <w:highlight w:val="none"/>
          <w:u w:val="single"/>
        </w:rPr>
        <w:t xml:space="preserve"> 不接受 </w:t>
      </w:r>
      <w:r>
        <w:rPr>
          <w:rFonts w:hint="eastAsia" w:ascii="宋体" w:hAnsi="宋体"/>
          <w:sz w:val="24"/>
          <w:szCs w:val="24"/>
          <w:highlight w:val="none"/>
        </w:rPr>
        <w:t xml:space="preserve">联合体投标（接受/不接受）。</w:t>
      </w:r>
      <w:r/>
    </w:p>
    <w:p>
      <w:pPr>
        <w:pStyle w:val="924"/>
        <w:ind w:firstLine="498"/>
        <w:spacing w:before="0" w:after="0" w:line="360" w:lineRule="auto"/>
        <w:rPr>
          <w:highlight w:val="none"/>
        </w:rPr>
      </w:pPr>
      <w:r/>
      <w:bookmarkStart w:id="20" w:name="_Toc1258"/>
      <w:r/>
      <w:bookmarkStart w:id="21" w:name="_Toc13820"/>
      <w:r/>
      <w:bookmarkStart w:id="22" w:name="_Toc28359003"/>
      <w:r/>
      <w:bookmarkStart w:id="23" w:name="_Toc3796"/>
      <w:r/>
      <w:bookmarkStart w:id="24" w:name="_Toc35393791"/>
      <w:r/>
      <w:bookmarkStart w:id="25" w:name="_Toc28359080"/>
      <w:r/>
      <w:bookmarkStart w:id="26" w:name="_Toc35393622"/>
      <w:r/>
      <w:bookmarkStart w:id="27" w:name="_Toc38985264"/>
      <w:r>
        <w:rPr>
          <w:rFonts w:hint="eastAsia"/>
          <w:highlight w:val="none"/>
        </w:rPr>
        <w:t xml:space="preserve">二、申请人的资格要求：</w:t>
      </w:r>
      <w:bookmarkEnd w:id="20"/>
      <w:r/>
      <w:bookmarkEnd w:id="21"/>
      <w:r/>
      <w:bookmarkEnd w:id="22"/>
      <w:r/>
      <w:bookmarkEnd w:id="23"/>
      <w:r/>
      <w:bookmarkEnd w:id="24"/>
      <w:r/>
      <w:bookmarkEnd w:id="25"/>
      <w:r/>
      <w:bookmarkEnd w:id="26"/>
      <w:r/>
      <w:bookmarkEnd w:id="27"/>
      <w:r/>
      <w:r/>
    </w:p>
    <w:p>
      <w:pPr>
        <w:ind w:firstLine="480"/>
        <w:spacing w:line="360" w:lineRule="auto"/>
        <w:rPr>
          <w:rFonts w:ascii="宋体" w:hAnsi="宋体"/>
          <w:sz w:val="24"/>
          <w:szCs w:val="24"/>
          <w:highlight w:val="none"/>
        </w:rPr>
      </w:pPr>
      <w:r/>
      <w:bookmarkStart w:id="28" w:name="_Toc28359004"/>
      <w:r/>
      <w:bookmarkStart w:id="29" w:name="_Toc28359081"/>
      <w:r/>
      <w:bookmarkStart w:id="30" w:name="_Toc35393792"/>
      <w:r/>
      <w:bookmarkStart w:id="31" w:name="_Toc38985265"/>
      <w:r/>
      <w:bookmarkStart w:id="32" w:name="_Toc35393623"/>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（1）法人或者其他组织的营业执照等证明文件，自然人的身份证明；</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（2）2023年或2024年度的财务状况报告（成立不满一年不需提供）；</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（3）依法缴纳税收和社会保障资金的相关材料；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（4）具备履行合同所必需的设备和专业技术能力的书面声明及证明材料；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（5）参加政府采购活动前3年内在经营活动中没有重大违法记录的书面声明。</w:t>
      </w:r>
      <w:r/>
    </w:p>
    <w:p>
      <w:pPr>
        <w:ind w:firstLine="482"/>
        <w:spacing w:line="360" w:lineRule="auto"/>
        <w:rPr>
          <w:rFonts w:ascii="宋体" w:hAnsi="宋体"/>
          <w:sz w:val="24"/>
          <w:szCs w:val="24"/>
          <w:highlight w:val="none"/>
        </w:rPr>
      </w:pPr>
      <w:r>
        <w:rPr>
          <w:rFonts w:hint="eastAsia" w:ascii="宋体" w:hAnsi="宋体"/>
          <w:b/>
          <w:bCs/>
          <w:sz w:val="24"/>
          <w:szCs w:val="24"/>
          <w:highlight w:val="none"/>
        </w:rPr>
        <w:t xml:space="preserve">根据连财购〔2023〕4号、连财购（2023）9号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360" w:lineRule="auto"/>
        <w:rPr>
          <w:rFonts w:ascii="宋体" w:hAnsi="宋体"/>
          <w:sz w:val="24"/>
          <w:highlight w:val="none"/>
        </w:rPr>
      </w:pPr>
      <w:r>
        <w:rPr>
          <w:rFonts w:hint="eastAsia" w:ascii="宋体" w:hAnsi="宋体"/>
          <w:sz w:val="24"/>
          <w:szCs w:val="24"/>
          <w:highlight w:val="none"/>
        </w:rPr>
        <w:t xml:space="preserve">（二）本项目的特定资格要求：投标人须具有《检验检测机构资质认定证书》（CMA）</w:t>
      </w:r>
      <w:r>
        <w:rPr>
          <w:rFonts w:hint="eastAsia" w:ascii="宋体" w:hAnsi="宋体"/>
          <w:sz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（三）本项目的其他资格要求：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1.单</w:t>
      </w:r>
      <w:r>
        <w:rPr>
          <w:rFonts w:hint="eastAsia" w:ascii="宋体" w:hAnsi="宋体"/>
          <w:spacing w:val="-6"/>
          <w:sz w:val="24"/>
          <w:szCs w:val="24"/>
          <w:highlight w:val="none"/>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2.本项目中标后不允许转包。</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3.法律、法规规定的其他条件。</w:t>
      </w:r>
      <w:r/>
    </w:p>
    <w:p>
      <w:pPr>
        <w:pStyle w:val="924"/>
        <w:ind w:firstLine="498"/>
        <w:spacing w:before="0" w:after="0" w:line="360" w:lineRule="auto"/>
        <w:rPr>
          <w:highlight w:val="none"/>
        </w:rPr>
      </w:pPr>
      <w:r/>
      <w:bookmarkStart w:id="33" w:name="_Toc11308"/>
      <w:r/>
      <w:bookmarkStart w:id="34" w:name="_Toc22630"/>
      <w:r/>
      <w:bookmarkStart w:id="35" w:name="_Toc21470"/>
      <w:r>
        <w:rPr>
          <w:rFonts w:hint="eastAsia"/>
          <w:highlight w:val="none"/>
        </w:rPr>
        <w:t xml:space="preserve">三、获取招标文件</w:t>
      </w:r>
      <w:bookmarkEnd w:id="28"/>
      <w:r/>
      <w:bookmarkEnd w:id="29"/>
      <w:r/>
      <w:bookmarkEnd w:id="30"/>
      <w:r/>
      <w:bookmarkEnd w:id="31"/>
      <w:r/>
      <w:bookmarkEnd w:id="32"/>
      <w:r/>
      <w:bookmarkEnd w:id="33"/>
      <w:r/>
      <w:bookmarkEnd w:id="34"/>
      <w:r/>
      <w:bookmarkEnd w:id="35"/>
      <w:r/>
      <w:r/>
    </w:p>
    <w:p>
      <w:pPr>
        <w:ind w:firstLine="540"/>
        <w:spacing w:line="360" w:lineRule="auto"/>
        <w:rPr>
          <w:rFonts w:ascii="宋体" w:hAnsi="宋体" w:cs="宋体"/>
          <w:sz w:val="24"/>
          <w:szCs w:val="24"/>
          <w:highlight w:val="none"/>
        </w:rPr>
      </w:pPr>
      <w:r/>
      <w:bookmarkStart w:id="36" w:name="_Toc28359005"/>
      <w:r/>
      <w:bookmarkStart w:id="37" w:name="_Toc28359082"/>
      <w:r/>
      <w:bookmarkStart w:id="38" w:name="_Toc38985266"/>
      <w:r/>
      <w:bookmarkStart w:id="39" w:name="_Toc35393793"/>
      <w:r/>
      <w:bookmarkStart w:id="40" w:name="_Toc35393624"/>
      <w:r>
        <w:rPr>
          <w:rFonts w:hint="eastAsia" w:ascii="宋体" w:hAnsi="宋体" w:cs="宋体"/>
          <w:sz w:val="24"/>
          <w:szCs w:val="24"/>
          <w:highlight w:val="none"/>
        </w:rPr>
        <w:t xml:space="preserve">1.时间：自招标公告发布之日起至2025年10月24日23:59分止（北京时间）。</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2.地点：江苏政府采购网</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3.方式：登录http://jszfcg.jsczt.cn/或进入江苏政府采购网，点击“苏采云”进入系统，自行免费下载招标文件。</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4.售价：0.00元</w:t>
      </w:r>
      <w:r/>
    </w:p>
    <w:p>
      <w:pPr>
        <w:pStyle w:val="924"/>
        <w:ind w:firstLine="498"/>
        <w:spacing w:before="0" w:after="0" w:line="360" w:lineRule="auto"/>
        <w:rPr>
          <w:highlight w:val="none"/>
        </w:rPr>
      </w:pPr>
      <w:r/>
      <w:bookmarkStart w:id="41" w:name="_Toc14926"/>
      <w:r/>
      <w:bookmarkStart w:id="42" w:name="_Toc19306"/>
      <w:r/>
      <w:bookmarkStart w:id="43" w:name="_Toc20677"/>
      <w:r>
        <w:rPr>
          <w:rFonts w:hint="eastAsia"/>
          <w:highlight w:val="none"/>
        </w:rPr>
        <w:t xml:space="preserve">四、提交投标文件</w:t>
      </w:r>
      <w:bookmarkEnd w:id="36"/>
      <w:r/>
      <w:bookmarkEnd w:id="37"/>
      <w:r>
        <w:rPr>
          <w:rFonts w:hint="eastAsia"/>
          <w:highlight w:val="none"/>
        </w:rPr>
        <w:t xml:space="preserve">截止时间、开启时间和地点</w:t>
      </w:r>
      <w:bookmarkEnd w:id="38"/>
      <w:r/>
      <w:bookmarkEnd w:id="39"/>
      <w:r/>
      <w:bookmarkEnd w:id="40"/>
      <w:r/>
      <w:bookmarkEnd w:id="41"/>
      <w:r/>
      <w:bookmarkEnd w:id="42"/>
      <w:r/>
      <w:bookmarkEnd w:id="43"/>
      <w:r/>
      <w:r/>
    </w:p>
    <w:p>
      <w:pPr>
        <w:ind w:firstLine="480"/>
        <w:spacing w:line="360" w:lineRule="auto"/>
        <w:rPr>
          <w:rFonts w:ascii="宋体" w:hAnsi="宋体"/>
          <w:bCs/>
          <w:sz w:val="24"/>
          <w:szCs w:val="24"/>
          <w:highlight w:val="none"/>
          <w:u w:val="single"/>
        </w:rPr>
      </w:pPr>
      <w:r>
        <w:rPr>
          <w:rFonts w:hint="eastAsia" w:ascii="宋体" w:hAnsi="宋体"/>
          <w:bCs/>
          <w:sz w:val="24"/>
          <w:szCs w:val="24"/>
          <w:highlight w:val="none"/>
        </w:rPr>
        <w:t xml:space="preserve">1.提交投标文件截止时间：2025年</w:t>
      </w:r>
      <w:r>
        <w:rPr>
          <w:rFonts w:hint="eastAsia" w:ascii="宋体" w:hAnsi="宋体" w:cs="宋体"/>
          <w:sz w:val="24"/>
          <w:szCs w:val="24"/>
          <w:highlight w:val="none"/>
        </w:rPr>
        <w:t xml:space="preserve">11月7日9:00:00</w:t>
      </w:r>
      <w:r>
        <w:rPr>
          <w:rFonts w:hint="eastAsia" w:ascii="宋体" w:hAnsi="宋体"/>
          <w:bCs/>
          <w:sz w:val="24"/>
          <w:szCs w:val="24"/>
          <w:highlight w:val="none"/>
        </w:rPr>
        <w:t xml:space="preserve">（北京时间）</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2.开启时间：同提交投标文件截止时间</w:t>
      </w:r>
      <w:r/>
    </w:p>
    <w:p>
      <w:pPr>
        <w:ind w:firstLine="480"/>
        <w:spacing w:line="360" w:lineRule="auto"/>
        <w:rPr>
          <w:rFonts w:ascii="宋体" w:hAnsi="宋体"/>
          <w:bCs/>
          <w:sz w:val="24"/>
          <w:szCs w:val="24"/>
          <w:highlight w:val="none"/>
          <w:u w:val="single"/>
        </w:rPr>
      </w:pPr>
      <w:r>
        <w:rPr>
          <w:rFonts w:hint="eastAsia" w:ascii="宋体" w:hAnsi="宋体"/>
          <w:sz w:val="24"/>
          <w:szCs w:val="24"/>
          <w:highlight w:val="none"/>
        </w:rPr>
        <w:t xml:space="preserve">3.地点：“苏采云”政府采购交易系统网上开标大厅。</w:t>
      </w:r>
      <w:r/>
    </w:p>
    <w:p>
      <w:pPr>
        <w:pStyle w:val="924"/>
        <w:ind w:firstLine="498"/>
        <w:spacing w:before="0" w:after="0" w:line="360" w:lineRule="auto"/>
        <w:rPr>
          <w:highlight w:val="none"/>
        </w:rPr>
      </w:pPr>
      <w:r/>
      <w:bookmarkStart w:id="44" w:name="_Toc35393794"/>
      <w:r/>
      <w:bookmarkStart w:id="45" w:name="_Toc16196"/>
      <w:r/>
      <w:bookmarkStart w:id="46" w:name="_Toc28359007"/>
      <w:r/>
      <w:bookmarkStart w:id="47" w:name="_Toc28359084"/>
      <w:r/>
      <w:bookmarkStart w:id="48" w:name="_Toc5821"/>
      <w:r/>
      <w:bookmarkStart w:id="49" w:name="_Toc14305"/>
      <w:r/>
      <w:bookmarkStart w:id="50" w:name="_Toc38985267"/>
      <w:r/>
      <w:bookmarkStart w:id="51" w:name="_Toc35393625"/>
      <w:r>
        <w:rPr>
          <w:rFonts w:hint="eastAsia"/>
          <w:highlight w:val="none"/>
        </w:rPr>
        <w:t xml:space="preserve">五、公告期限</w:t>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sz w:val="24"/>
          <w:szCs w:val="24"/>
          <w:highlight w:val="none"/>
        </w:rPr>
      </w:pPr>
      <w:r/>
      <w:bookmarkStart w:id="52" w:name="_Toc38985268"/>
      <w:r/>
      <w:bookmarkStart w:id="53" w:name="_Toc35393795"/>
      <w:r/>
      <w:bookmarkStart w:id="54" w:name="_Toc35393626"/>
      <w:r>
        <w:rPr>
          <w:rFonts w:hint="eastAsia" w:ascii="宋体" w:hAnsi="宋体" w:cs="宋体"/>
          <w:sz w:val="24"/>
          <w:szCs w:val="24"/>
          <w:highlight w:val="none"/>
        </w:rPr>
        <w:t xml:space="preserve">自本公告发布之日起5个工作日。</w:t>
      </w:r>
      <w:r/>
    </w:p>
    <w:p>
      <w:pPr>
        <w:pStyle w:val="924"/>
        <w:ind w:firstLine="498"/>
        <w:spacing w:before="0" w:after="0" w:line="360" w:lineRule="auto"/>
        <w:rPr>
          <w:highlight w:val="none"/>
        </w:rPr>
      </w:pPr>
      <w:r/>
      <w:bookmarkStart w:id="55" w:name="_Toc24066"/>
      <w:r/>
      <w:bookmarkStart w:id="56" w:name="_Toc22483"/>
      <w:r/>
      <w:bookmarkStart w:id="57" w:name="_Toc19730"/>
      <w:r>
        <w:rPr>
          <w:rFonts w:hint="eastAsia"/>
          <w:highlight w:val="none"/>
        </w:rPr>
        <w:t xml:space="preserve">六、其他补充事宜</w:t>
      </w:r>
      <w:bookmarkEnd w:id="52"/>
      <w:r/>
      <w:bookmarkEnd w:id="53"/>
      <w:r/>
      <w:bookmarkEnd w:id="54"/>
      <w:r/>
      <w:bookmarkEnd w:id="55"/>
      <w:r/>
      <w:bookmarkEnd w:id="56"/>
      <w:r/>
      <w:bookmarkEnd w:id="57"/>
      <w:r/>
      <w:r/>
    </w:p>
    <w:p>
      <w:pPr>
        <w:ind w:firstLine="480"/>
        <w:spacing w:line="360" w:lineRule="auto"/>
        <w:rPr>
          <w:rFonts w:ascii="宋体" w:hAnsi="宋体" w:cs="宋体"/>
          <w:sz w:val="24"/>
          <w:szCs w:val="24"/>
          <w:highlight w:val="none"/>
        </w:rPr>
      </w:pPr>
      <w:r>
        <w:rPr>
          <w:rFonts w:hint="eastAsia" w:ascii="宋体" w:hAnsi="宋体"/>
          <w:bCs/>
          <w:sz w:val="24"/>
          <w:szCs w:val="24"/>
          <w:highlight w:val="none"/>
        </w:rPr>
        <w:t xml:space="preserve">1.本次招标不收取投标保证金。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2.本招标文件中标注★的款项为实质性响应要求和条件，投标人必须逐条做出满足要求和条件的响应，否则将按无效响应处理。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4.根据江苏</w:t>
      </w:r>
      <w:r>
        <w:rPr>
          <w:rFonts w:hint="eastAsia" w:ascii="宋体" w:hAnsi="宋体" w:cs="宋体"/>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24"/>
        <w:ind w:firstLine="498"/>
        <w:spacing w:before="0" w:after="0" w:line="360" w:lineRule="auto"/>
        <w:rPr>
          <w:highlight w:val="none"/>
        </w:rPr>
      </w:pPr>
      <w:r/>
      <w:bookmarkStart w:id="58" w:name="_Toc35393796"/>
      <w:r/>
      <w:bookmarkStart w:id="59" w:name="_Toc1500"/>
      <w:r/>
      <w:bookmarkStart w:id="60" w:name="_Toc35393627"/>
      <w:r/>
      <w:bookmarkStart w:id="61" w:name="_Toc5783"/>
      <w:r/>
      <w:bookmarkStart w:id="62" w:name="_Toc28359085"/>
      <w:r/>
      <w:bookmarkStart w:id="63" w:name="_Toc38985269"/>
      <w:r/>
      <w:bookmarkStart w:id="64" w:name="_Toc26205"/>
      <w:r/>
      <w:bookmarkStart w:id="65" w:name="_Toc28359008"/>
      <w:r>
        <w:rPr>
          <w:rFonts w:hint="eastAsia"/>
          <w:highlight w:val="none"/>
        </w:rPr>
        <w:t xml:space="preserve">七、本次招标联系方式</w:t>
      </w:r>
      <w:bookmarkEnd w:id="58"/>
      <w:r/>
      <w:bookmarkEnd w:id="59"/>
      <w:r/>
      <w:bookmarkEnd w:id="60"/>
      <w:r/>
      <w:bookmarkEnd w:id="61"/>
      <w:r/>
      <w:bookmarkEnd w:id="62"/>
      <w:r/>
      <w:bookmarkEnd w:id="63"/>
      <w:r/>
      <w:bookmarkEnd w:id="64"/>
      <w:r/>
      <w:bookmarkEnd w:id="65"/>
      <w:r/>
      <w:r/>
    </w:p>
    <w:p>
      <w:pPr>
        <w:ind w:firstLine="720"/>
        <w:jc w:val="left"/>
        <w:spacing w:line="360" w:lineRule="auto"/>
        <w:widowControl/>
        <w:rPr>
          <w:rFonts w:ascii="宋体" w:hAnsi="宋体"/>
          <w:sz w:val="24"/>
          <w:szCs w:val="24"/>
          <w:highlight w:val="none"/>
        </w:rPr>
      </w:pPr>
      <w:r>
        <w:rPr>
          <w:rFonts w:hint="eastAsia" w:ascii="宋体" w:hAnsi="宋体" w:cs="宋体"/>
          <w:sz w:val="24"/>
          <w:szCs w:val="24"/>
          <w:highlight w:val="none"/>
        </w:rPr>
        <w:t xml:space="preserve">1.采购人信息</w:t>
      </w:r>
      <w:r/>
    </w:p>
    <w:p>
      <w:pPr>
        <w:ind w:firstLine="720"/>
        <w:jc w:val="left"/>
        <w:spacing w:line="360" w:lineRule="auto"/>
        <w:rPr>
          <w:rFonts w:ascii="宋体" w:hAnsi="宋体"/>
          <w:sz w:val="24"/>
          <w:szCs w:val="24"/>
          <w:highlight w:val="none"/>
        </w:rPr>
      </w:pPr>
      <w:r>
        <w:rPr>
          <w:rFonts w:hint="eastAsia" w:ascii="宋体" w:hAnsi="宋体"/>
          <w:sz w:val="24"/>
          <w:szCs w:val="24"/>
          <w:highlight w:val="none"/>
        </w:rPr>
        <w:t xml:space="preserve">名称：连云港市第一人民医院</w:t>
      </w:r>
      <w:r/>
    </w:p>
    <w:p>
      <w:pPr>
        <w:ind w:firstLine="720"/>
        <w:jc w:val="left"/>
        <w:spacing w:line="360" w:lineRule="auto"/>
        <w:rPr>
          <w:rFonts w:ascii="宋体" w:hAnsi="宋体"/>
          <w:sz w:val="24"/>
          <w:szCs w:val="24"/>
          <w:highlight w:val="none"/>
        </w:rPr>
      </w:pPr>
      <w:r>
        <w:rPr>
          <w:rFonts w:hint="eastAsia" w:ascii="宋体" w:hAnsi="宋体"/>
          <w:sz w:val="24"/>
          <w:szCs w:val="24"/>
          <w:highlight w:val="none"/>
        </w:rPr>
        <w:t xml:space="preserve">地址：连云港市海州区振华东路6号</w:t>
      </w:r>
      <w:r/>
    </w:p>
    <w:p>
      <w:pPr>
        <w:ind w:firstLine="720"/>
        <w:jc w:val="left"/>
        <w:spacing w:line="360" w:lineRule="auto"/>
        <w:rPr>
          <w:rFonts w:ascii="宋体" w:hAnsi="宋体"/>
          <w:sz w:val="24"/>
          <w:szCs w:val="24"/>
          <w:highlight w:val="none"/>
        </w:rPr>
      </w:pPr>
      <w:r>
        <w:rPr>
          <w:rFonts w:hint="eastAsia" w:ascii="宋体" w:hAnsi="宋体"/>
          <w:sz w:val="24"/>
          <w:szCs w:val="24"/>
          <w:highlight w:val="none"/>
        </w:rPr>
        <w:t xml:space="preserve">联系人：魏老师</w:t>
      </w:r>
      <w:r/>
    </w:p>
    <w:p>
      <w:pPr>
        <w:ind w:firstLine="720"/>
        <w:jc w:val="left"/>
        <w:spacing w:line="360" w:lineRule="auto"/>
        <w:rPr>
          <w:rFonts w:ascii="宋体" w:hAnsi="宋体"/>
          <w:sz w:val="24"/>
          <w:szCs w:val="24"/>
          <w:highlight w:val="none"/>
        </w:rPr>
      </w:pPr>
      <w:r>
        <w:rPr>
          <w:rFonts w:hint="eastAsia" w:ascii="宋体" w:hAnsi="宋体"/>
          <w:sz w:val="24"/>
          <w:szCs w:val="24"/>
          <w:highlight w:val="none"/>
        </w:rPr>
        <w:t xml:space="preserve">联系方式：0518-85767868</w:t>
      </w:r>
      <w:bookmarkStart w:id="66" w:name="_Toc28359086"/>
      <w:r/>
      <w:bookmarkStart w:id="67" w:name="_Toc28359009"/>
      <w:r/>
      <w:r/>
    </w:p>
    <w:p>
      <w:pPr>
        <w:ind w:firstLine="72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bookmarkEnd w:id="66"/>
      <w:r/>
      <w:bookmarkEnd w:id="67"/>
      <w:r>
        <w:rPr>
          <w:rFonts w:hint="eastAsia" w:ascii="宋体" w:hAnsi="宋体" w:cs="宋体"/>
          <w:sz w:val="24"/>
          <w:szCs w:val="24"/>
          <w:highlight w:val="none"/>
        </w:rPr>
        <w:t xml:space="preserve">采购代理机构信息</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名称：江苏鸿成工程项目管理有限公司</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地址：连云港市海州区郁州北路9号瀛洲大厦2楼209室</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联系人：王工</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联系方式：</w:t>
      </w:r>
      <w:bookmarkStart w:id="68" w:name="_Toc28359010"/>
      <w:r/>
      <w:bookmarkStart w:id="69" w:name="_Toc28359087"/>
      <w:r>
        <w:rPr>
          <w:rFonts w:hint="eastAsia" w:ascii="宋体" w:hAnsi="宋体"/>
          <w:sz w:val="24"/>
          <w:szCs w:val="24"/>
          <w:highlight w:val="none"/>
        </w:rPr>
        <w:t xml:space="preserve">0518-81061799</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3.项目联系方式</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项目联系人：李老师</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电话：18961325992</w:t>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ind w:firstLine="480"/>
        <w:rPr>
          <w:rFonts w:ascii="宋体" w:hAnsi="宋体"/>
          <w:sz w:val="24"/>
          <w:highlight w:val="none"/>
        </w:rPr>
      </w:pPr>
      <w:r>
        <w:rPr>
          <w:rFonts w:ascii="宋体" w:hAnsi="宋体"/>
          <w:sz w:val="24"/>
          <w:highlight w:val="none"/>
        </w:rPr>
      </w:r>
      <w:r/>
    </w:p>
    <w:p>
      <w:pPr>
        <w:rPr>
          <w:rFonts w:ascii="宋体" w:hAnsi="宋体"/>
          <w:sz w:val="24"/>
          <w:szCs w:val="24"/>
          <w:highlight w:val="none"/>
        </w:rPr>
      </w:pPr>
      <w:r>
        <w:rPr>
          <w:rFonts w:ascii="宋体" w:hAnsi="宋体"/>
          <w:sz w:val="24"/>
          <w:szCs w:val="24"/>
          <w:highlight w:val="none"/>
        </w:rPr>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ind w:firstLine="480"/>
        <w:rPr>
          <w:rFonts w:ascii="宋体" w:hAnsi="宋体"/>
          <w:sz w:val="24"/>
          <w:highlight w:val="none"/>
        </w:rPr>
      </w:pPr>
      <w:r>
        <w:rPr>
          <w:rFonts w:ascii="宋体" w:hAnsi="宋体"/>
          <w:sz w:val="24"/>
          <w:highlight w:val="none"/>
        </w:rPr>
      </w:r>
      <w:r/>
    </w:p>
    <w:p>
      <w:pPr>
        <w:rPr>
          <w:rFonts w:ascii="宋体" w:hAnsi="宋体"/>
          <w:sz w:val="24"/>
          <w:szCs w:val="24"/>
          <w:highlight w:val="none"/>
        </w:rPr>
      </w:pPr>
      <w:r>
        <w:rPr>
          <w:rFonts w:ascii="宋体" w:hAnsi="宋体"/>
          <w:sz w:val="24"/>
          <w:szCs w:val="24"/>
          <w:highlight w:val="none"/>
        </w:rPr>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ind w:firstLine="480"/>
        <w:rPr>
          <w:rFonts w:ascii="宋体" w:hAnsi="宋体"/>
          <w:sz w:val="24"/>
          <w:highlight w:val="none"/>
        </w:rPr>
      </w:pPr>
      <w:r>
        <w:rPr>
          <w:rFonts w:ascii="宋体" w:hAnsi="宋体"/>
          <w:sz w:val="24"/>
          <w:highlight w:val="none"/>
        </w:rPr>
      </w:r>
      <w:r/>
    </w:p>
    <w:p>
      <w:pPr>
        <w:rPr>
          <w:rFonts w:ascii="宋体" w:hAnsi="宋体"/>
          <w:sz w:val="24"/>
          <w:szCs w:val="24"/>
          <w:highlight w:val="none"/>
        </w:rPr>
      </w:pPr>
      <w:r>
        <w:rPr>
          <w:rFonts w:ascii="宋体" w:hAnsi="宋体"/>
          <w:sz w:val="24"/>
          <w:szCs w:val="24"/>
          <w:highlight w:val="none"/>
        </w:rPr>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ind w:firstLine="480"/>
        <w:rPr>
          <w:rFonts w:ascii="宋体" w:hAnsi="宋体"/>
          <w:sz w:val="24"/>
          <w:highlight w:val="none"/>
        </w:rPr>
      </w:pPr>
      <w:r>
        <w:rPr>
          <w:rFonts w:ascii="宋体" w:hAnsi="宋体"/>
          <w:sz w:val="24"/>
          <w:highlight w:val="none"/>
        </w:rPr>
      </w:r>
      <w:r/>
    </w:p>
    <w:p>
      <w:pPr>
        <w:rPr>
          <w:rFonts w:ascii="宋体" w:hAnsi="宋体"/>
          <w:sz w:val="24"/>
          <w:szCs w:val="24"/>
          <w:highlight w:val="none"/>
        </w:rPr>
      </w:pPr>
      <w:r>
        <w:rPr>
          <w:rFonts w:ascii="宋体" w:hAnsi="宋体"/>
          <w:sz w:val="24"/>
          <w:szCs w:val="24"/>
          <w:highlight w:val="none"/>
        </w:rPr>
      </w:r>
      <w:r/>
    </w:p>
    <w:p>
      <w:pPr>
        <w:pStyle w:val="747"/>
        <w:ind w:firstLine="480"/>
        <w:rPr>
          <w:rFonts w:ascii="宋体" w:hAnsi="宋体"/>
          <w:sz w:val="24"/>
          <w:szCs w:val="24"/>
          <w:highlight w:val="none"/>
        </w:rPr>
      </w:pPr>
      <w:r>
        <w:rPr>
          <w:rFonts w:ascii="宋体" w:hAnsi="宋体"/>
          <w:sz w:val="24"/>
          <w:szCs w:val="24"/>
          <w:highlight w:val="none"/>
        </w:rPr>
      </w:r>
      <w:r/>
    </w:p>
    <w:p>
      <w:pPr>
        <w:pStyle w:val="747"/>
        <w:ind w:firstLine="480"/>
        <w:rPr>
          <w:rFonts w:ascii="宋体" w:hAnsi="宋体"/>
          <w:sz w:val="24"/>
          <w:szCs w:val="24"/>
          <w:highlight w:val="none"/>
        </w:rPr>
      </w:pPr>
      <w:r>
        <w:rPr>
          <w:rFonts w:ascii="宋体" w:hAnsi="宋体"/>
          <w:sz w:val="24"/>
          <w:szCs w:val="24"/>
          <w:highlight w:val="none"/>
        </w:rPr>
      </w:r>
      <w:r/>
    </w:p>
    <w:p>
      <w:pPr>
        <w:pStyle w:val="747"/>
        <w:ind w:firstLine="480"/>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ind w:firstLine="480"/>
        <w:rPr>
          <w:rFonts w:ascii="宋体" w:hAnsi="宋体"/>
          <w:sz w:val="24"/>
          <w:highlight w:val="none"/>
        </w:rPr>
      </w:pPr>
      <w:r>
        <w:rPr>
          <w:rFonts w:ascii="宋体" w:hAnsi="宋体"/>
          <w:sz w:val="24"/>
          <w:highlight w:val="none"/>
        </w:rPr>
      </w:r>
      <w:r/>
    </w:p>
    <w:p>
      <w:pPr>
        <w:rPr>
          <w:rFonts w:ascii="宋体" w:hAnsi="宋体"/>
          <w:sz w:val="24"/>
          <w:szCs w:val="24"/>
          <w:highlight w:val="none"/>
        </w:rPr>
      </w:pPr>
      <w:r>
        <w:rPr>
          <w:rFonts w:ascii="宋体" w:hAnsi="宋体"/>
          <w:sz w:val="24"/>
          <w:szCs w:val="24"/>
          <w:highlight w:val="none"/>
        </w:rPr>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ind w:firstLine="480"/>
        <w:rPr>
          <w:rFonts w:ascii="宋体" w:hAnsi="宋体"/>
          <w:sz w:val="24"/>
          <w:highlight w:val="none"/>
        </w:rPr>
      </w:pPr>
      <w:r>
        <w:rPr>
          <w:rFonts w:ascii="宋体" w:hAnsi="宋体"/>
          <w:sz w:val="24"/>
          <w:highlight w:val="none"/>
        </w:rPr>
      </w:r>
      <w:r/>
    </w:p>
    <w:p>
      <w:pPr>
        <w:rPr>
          <w:rFonts w:ascii="宋体" w:hAnsi="宋体"/>
          <w:sz w:val="24"/>
          <w:szCs w:val="24"/>
          <w:highlight w:val="none"/>
        </w:rPr>
      </w:pPr>
      <w:r>
        <w:rPr>
          <w:rFonts w:ascii="宋体" w:hAnsi="宋体"/>
          <w:sz w:val="24"/>
          <w:szCs w:val="24"/>
          <w:highlight w:val="none"/>
        </w:rPr>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ind w:firstLine="480"/>
        <w:rPr>
          <w:rFonts w:ascii="宋体" w:hAnsi="宋体"/>
          <w:sz w:val="24"/>
          <w:highlight w:val="none"/>
        </w:rPr>
      </w:pPr>
      <w:r>
        <w:rPr>
          <w:rFonts w:ascii="宋体" w:hAnsi="宋体"/>
          <w:sz w:val="24"/>
          <w:highlight w:val="none"/>
        </w:rPr>
      </w:r>
      <w:r/>
    </w:p>
    <w:p>
      <w:pPr>
        <w:rPr>
          <w:rFonts w:ascii="宋体" w:hAnsi="宋体"/>
          <w:sz w:val="24"/>
          <w:szCs w:val="24"/>
          <w:highlight w:val="none"/>
        </w:rPr>
      </w:pPr>
      <w:r>
        <w:rPr>
          <w:rFonts w:ascii="宋体" w:hAnsi="宋体"/>
          <w:sz w:val="24"/>
          <w:szCs w:val="24"/>
          <w:highlight w:val="none"/>
        </w:rPr>
      </w:r>
      <w:r/>
    </w:p>
    <w:p>
      <w:pPr>
        <w:pStyle w:val="766"/>
        <w:ind w:firstLine="240"/>
        <w:rPr>
          <w:rFonts w:hint="default" w:ascii="宋体" w:hAnsi="宋体"/>
          <w:sz w:val="24"/>
          <w:highlight w:val="none"/>
          <w:lang w:val="en-US"/>
        </w:rPr>
      </w:pPr>
      <w:r>
        <w:rPr>
          <w:rFonts w:hint="default" w:ascii="宋体" w:hAnsi="宋体"/>
          <w:sz w:val="24"/>
          <w:highlight w:val="none"/>
          <w:lang w:val="en-US"/>
        </w:rPr>
      </w:r>
      <w:r/>
    </w:p>
    <w:p>
      <w:pPr>
        <w:pStyle w:val="767"/>
        <w:rPr>
          <w:highlight w:val="none"/>
        </w:rPr>
      </w:pPr>
      <w:r>
        <w:rPr>
          <w:highlight w:val="none"/>
        </w:rPr>
      </w:r>
      <w:bookmarkEnd w:id="68"/>
      <w:bookmarkEnd w:id="69"/>
      <w:r/>
    </w:p>
    <w:p>
      <w:pPr>
        <w:pStyle w:val="923"/>
        <w:spacing w:before="0" w:after="0" w:line="360" w:lineRule="auto"/>
        <w:rPr>
          <w:rFonts w:ascii="黑体" w:eastAsia="黑体"/>
          <w:b w:val="0"/>
          <w:bCs w:val="0"/>
          <w:highlight w:val="none"/>
        </w:rPr>
      </w:pPr>
      <w:r/>
      <w:bookmarkStart w:id="70" w:name="_Toc120614211"/>
      <w:r/>
      <w:bookmarkStart w:id="71" w:name="_Toc6975"/>
      <w:r/>
      <w:bookmarkStart w:id="72" w:name="_Toc18854"/>
      <w:r>
        <w:rPr>
          <w:rFonts w:hint="eastAsia" w:ascii="黑体" w:hAnsi="Times New Roman" w:eastAsia="黑体" w:cs="Times New Roman"/>
          <w:b w:val="0"/>
          <w:bCs w:val="0"/>
          <w:highlight w:val="none"/>
        </w:rPr>
        <w:t xml:space="preserve">第二章  </w:t>
      </w:r>
      <w:bookmarkEnd w:id="1"/>
      <w:r/>
      <w:bookmarkEnd w:id="2"/>
      <w:r/>
      <w:bookmarkEnd w:id="3"/>
      <w:r/>
      <w:bookmarkEnd w:id="4"/>
      <w:r/>
      <w:bookmarkEnd w:id="5"/>
      <w:r/>
      <w:bookmarkEnd w:id="70"/>
      <w:r/>
      <w:bookmarkStart w:id="73" w:name="_Toc120614213"/>
      <w:r/>
      <w:bookmarkStart w:id="74" w:name="_Toc20823274"/>
      <w:r/>
      <w:bookmarkStart w:id="75" w:name="_Toc16938518"/>
      <w:r/>
      <w:bookmarkStart w:id="76" w:name="_Toc513029202"/>
      <w:r>
        <w:rPr>
          <w:rFonts w:hint="eastAsia" w:ascii="黑体" w:hAnsi="Times New Roman" w:eastAsia="黑体" w:cs="Times New Roman"/>
          <w:b w:val="0"/>
          <w:bCs w:val="0"/>
          <w:highlight w:val="none"/>
        </w:rPr>
        <w:t xml:space="preserve">投标人须知</w:t>
      </w:r>
      <w:bookmarkEnd w:id="71"/>
      <w:r/>
      <w:bookmarkEnd w:id="72"/>
      <w:r/>
      <w:bookmarkEnd w:id="73"/>
      <w:r/>
      <w:bookmarkEnd w:id="74"/>
      <w:r/>
      <w:bookmarkEnd w:id="75"/>
      <w:r/>
      <w:bookmarkEnd w:id="76"/>
      <w:r/>
      <w:r/>
    </w:p>
    <w:p>
      <w:pPr>
        <w:pStyle w:val="924"/>
        <w:ind w:firstLine="498"/>
        <w:spacing w:before="0" w:after="0" w:line="360" w:lineRule="auto"/>
        <w:rPr>
          <w:highlight w:val="none"/>
        </w:rPr>
      </w:pPr>
      <w:r/>
      <w:bookmarkStart w:id="77" w:name="_Toc10415"/>
      <w:r/>
      <w:bookmarkStart w:id="78" w:name="_Toc513029203"/>
      <w:r/>
      <w:bookmarkStart w:id="79" w:name="_Toc1598"/>
      <w:r/>
      <w:bookmarkStart w:id="80" w:name="_Toc16938519"/>
      <w:r/>
      <w:bookmarkStart w:id="81" w:name="_Toc6848"/>
      <w:r/>
      <w:bookmarkStart w:id="82" w:name="_Toc120614214"/>
      <w:r/>
      <w:bookmarkStart w:id="83" w:name="_Toc20823275"/>
      <w:r>
        <w:rPr>
          <w:rFonts w:hint="eastAsia"/>
          <w:highlight w:val="none"/>
        </w:rPr>
        <w:t xml:space="preserve">一、总则</w:t>
      </w:r>
      <w:bookmarkEnd w:id="77"/>
      <w:r/>
      <w:bookmarkEnd w:id="78"/>
      <w:r/>
      <w:bookmarkEnd w:id="79"/>
      <w:r/>
      <w:bookmarkEnd w:id="80"/>
      <w:r/>
      <w:bookmarkEnd w:id="81"/>
      <w:r/>
      <w:bookmarkEnd w:id="82"/>
      <w:r/>
      <w:bookmarkEnd w:id="83"/>
      <w:r/>
      <w:r/>
    </w:p>
    <w:p>
      <w:pPr>
        <w:pStyle w:val="926"/>
        <w:ind w:firstLine="420"/>
        <w:spacing w:before="0" w:after="0" w:line="360" w:lineRule="auto"/>
        <w:rPr>
          <w:b w:val="0"/>
          <w:bCs w:val="0"/>
          <w:highlight w:val="none"/>
        </w:rPr>
      </w:pPr>
      <w:r/>
      <w:bookmarkStart w:id="84" w:name="_Hlt16619475"/>
      <w:r/>
      <w:bookmarkEnd w:id="84"/>
      <w:r/>
      <w:bookmarkStart w:id="85" w:name="_Toc458694821"/>
      <w:r/>
      <w:bookmarkStart w:id="86" w:name="_Toc16938520"/>
      <w:r/>
      <w:bookmarkStart w:id="87" w:name="_Toc20823276"/>
      <w:r/>
      <w:bookmarkStart w:id="88" w:name="_Toc513029204"/>
      <w:r>
        <w:rPr>
          <w:rFonts w:hint="eastAsia"/>
          <w:b w:val="0"/>
          <w:bCs w:val="0"/>
          <w:highlight w:val="none"/>
        </w:rPr>
        <w:t xml:space="preserve">1</w:t>
      </w:r>
      <w:bookmarkEnd w:id="85"/>
      <w:r>
        <w:rPr>
          <w:rFonts w:hint="eastAsia"/>
          <w:b w:val="0"/>
          <w:bCs w:val="0"/>
          <w:highlight w:val="none"/>
        </w:rPr>
        <w:t xml:space="preserve">、招标方式</w:t>
      </w:r>
      <w:bookmarkEnd w:id="86"/>
      <w:r/>
      <w:bookmarkEnd w:id="87"/>
      <w:r/>
      <w:bookmarkEnd w:id="88"/>
      <w:r/>
      <w:r/>
    </w:p>
    <w:p>
      <w:pPr>
        <w:ind w:firstLine="480"/>
        <w:spacing w:line="360" w:lineRule="auto"/>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926"/>
        <w:ind w:firstLine="420"/>
        <w:spacing w:before="0" w:after="0" w:line="360" w:lineRule="auto"/>
        <w:rPr>
          <w:b w:val="0"/>
          <w:bCs w:val="0"/>
          <w:highlight w:val="none"/>
        </w:rPr>
      </w:pPr>
      <w:r/>
      <w:bookmarkStart w:id="89" w:name="_Toc16938521"/>
      <w:r/>
      <w:bookmarkStart w:id="90" w:name="_Toc20823277"/>
      <w:r/>
      <w:bookmarkStart w:id="91" w:name="_Toc513029205"/>
      <w:r>
        <w:rPr>
          <w:rFonts w:hint="eastAsia"/>
          <w:b w:val="0"/>
          <w:bCs w:val="0"/>
          <w:highlight w:val="none"/>
        </w:rPr>
        <w:t xml:space="preserve">2、合格的投标人</w:t>
      </w:r>
      <w:bookmarkEnd w:id="89"/>
      <w:r/>
      <w:bookmarkEnd w:id="90"/>
      <w:r/>
      <w:bookmarkEnd w:id="91"/>
      <w:r/>
      <w:r/>
    </w:p>
    <w:p>
      <w:pPr>
        <w:ind w:firstLine="480"/>
        <w:spacing w:line="360" w:lineRule="auto"/>
        <w:rPr>
          <w:rFonts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360" w:lineRule="auto"/>
        <w:rPr>
          <w:rFonts w:ascii="宋体" w:hAnsi="宋体"/>
          <w:sz w:val="24"/>
          <w:highlight w:val="none"/>
        </w:rPr>
      </w:pPr>
      <w:r>
        <w:rPr>
          <w:rFonts w:hint="eastAsia" w:ascii="宋体" w:hAnsi="宋体"/>
          <w:sz w:val="24"/>
          <w:highlight w:val="none"/>
        </w:rPr>
        <w:t xml:space="preserve">2.2 满足本文件实质性要求和条件的规定。</w:t>
      </w:r>
      <w:r/>
    </w:p>
    <w:p>
      <w:pPr>
        <w:pStyle w:val="926"/>
        <w:ind w:firstLine="420"/>
        <w:spacing w:before="0" w:after="0" w:line="360" w:lineRule="auto"/>
        <w:rPr>
          <w:b w:val="0"/>
          <w:bCs w:val="0"/>
          <w:highlight w:val="none"/>
        </w:rPr>
      </w:pPr>
      <w:r/>
      <w:bookmarkStart w:id="92" w:name="_Toc513029206"/>
      <w:r/>
      <w:bookmarkStart w:id="93" w:name="_Toc16938522"/>
      <w:r/>
      <w:bookmarkStart w:id="94" w:name="_Toc20823278"/>
      <w:r>
        <w:rPr>
          <w:rFonts w:hint="eastAsia"/>
          <w:b w:val="0"/>
          <w:bCs w:val="0"/>
          <w:highlight w:val="none"/>
        </w:rPr>
        <w:t xml:space="preserve">3、适用法律</w:t>
      </w:r>
      <w:bookmarkEnd w:id="92"/>
      <w:r/>
      <w:bookmarkEnd w:id="93"/>
      <w:r/>
      <w:bookmarkEnd w:id="94"/>
      <w:r/>
      <w:r/>
    </w:p>
    <w:p>
      <w:pPr>
        <w:ind w:firstLine="480"/>
        <w:spacing w:line="360" w:lineRule="auto"/>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p>
    <w:p>
      <w:pPr>
        <w:pStyle w:val="926"/>
        <w:ind w:firstLine="420"/>
        <w:spacing w:before="0" w:after="0" w:line="360" w:lineRule="auto"/>
        <w:rPr>
          <w:b w:val="0"/>
          <w:bCs w:val="0"/>
          <w:highlight w:val="none"/>
        </w:rPr>
      </w:pPr>
      <w:r/>
      <w:bookmarkStart w:id="95" w:name="_Toc513029207"/>
      <w:r/>
      <w:bookmarkStart w:id="96" w:name="_Toc20823279"/>
      <w:r/>
      <w:bookmarkStart w:id="97" w:name="_Toc16938523"/>
      <w:r/>
      <w:bookmarkStart w:id="98" w:name="_Toc462564067"/>
      <w:r>
        <w:rPr>
          <w:rFonts w:hint="eastAsia"/>
          <w:b w:val="0"/>
          <w:bCs w:val="0"/>
          <w:highlight w:val="none"/>
        </w:rPr>
        <w:t xml:space="preserve">4、投标费用</w:t>
      </w:r>
      <w:bookmarkEnd w:id="95"/>
      <w:r/>
      <w:bookmarkEnd w:id="96"/>
      <w:r/>
      <w:bookmarkEnd w:id="97"/>
      <w:r/>
      <w:bookmarkEnd w:id="98"/>
      <w:r/>
      <w:r/>
    </w:p>
    <w:p>
      <w:pPr>
        <w:ind w:firstLine="480"/>
        <w:spacing w:line="360" w:lineRule="auto"/>
        <w:rPr>
          <w:rFonts w:ascii="宋体" w:hAnsi="宋体"/>
          <w:sz w:val="24"/>
          <w:highlight w:val="none"/>
        </w:rPr>
      </w:pPr>
      <w:r>
        <w:rPr>
          <w:rFonts w:hint="eastAsia" w:ascii="宋体" w:hAnsi="宋体"/>
          <w:sz w:val="24"/>
          <w:highlight w:val="none"/>
        </w:rPr>
        <w:t xml:space="preserve">4.1 投标人应自行承担所有与参加投标有关的费用，无论投标过程中的做法和结果如何，江苏鸿成工程项目管理有限公司（以下简称采购代理机构）及连云港市第一人民医院（以下简称采购人）在任何情况下均无义务和责任承担这些费用。</w:t>
      </w:r>
      <w:r/>
    </w:p>
    <w:p>
      <w:pPr>
        <w:ind w:firstLine="480"/>
        <w:spacing w:line="360" w:lineRule="auto"/>
        <w:rPr>
          <w:rFonts w:ascii="宋体" w:hAnsi="宋体"/>
          <w:sz w:val="24"/>
          <w:highlight w:val="none"/>
        </w:rPr>
      </w:pPr>
      <w:r>
        <w:rPr>
          <w:rFonts w:hint="eastAsia" w:ascii="宋体" w:hAnsi="宋体"/>
          <w:sz w:val="24"/>
          <w:highlight w:val="none"/>
        </w:rPr>
        <w:t xml:space="preserve">4.2本次招标采购代理服务费：按照国家计委计价格[2002]1980号文（服务）标准的60%计取；以上费用最终由中标人在领取中标通知书时一次性支付，投标人须将此部分费用综合考虑在报价中，不得单列。</w:t>
      </w:r>
      <w:r/>
    </w:p>
    <w:p>
      <w:pPr>
        <w:pStyle w:val="926"/>
        <w:ind w:firstLine="602"/>
        <w:spacing w:before="0" w:after="0" w:line="360" w:lineRule="auto"/>
        <w:rPr>
          <w:rFonts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p>
    <w:p>
      <w:pPr>
        <w:ind w:firstLine="480"/>
        <w:spacing w:line="360" w:lineRule="auto"/>
        <w:rPr>
          <w:rFonts w:ascii="宋体" w:hAnsi="宋体"/>
          <w:sz w:val="24"/>
          <w:highlight w:val="none"/>
        </w:rPr>
      </w:pPr>
      <w:r>
        <w:rPr>
          <w:rFonts w:hint="eastAsia" w:ascii="宋体" w:hAnsi="宋体"/>
          <w:sz w:val="24"/>
          <w:highlight w:val="none"/>
        </w:rPr>
        <w:t xml:space="preserve">5.1 投标人一旦参加本项目采购活动，即被认为接受了本招标文件的规定和约束。</w:t>
      </w:r>
      <w:r/>
    </w:p>
    <w:p>
      <w:pPr>
        <w:pStyle w:val="924"/>
        <w:ind w:firstLine="321"/>
        <w:spacing w:before="0" w:after="0" w:line="360" w:lineRule="auto"/>
        <w:rPr>
          <w:highlight w:val="none"/>
        </w:rPr>
      </w:pPr>
      <w:r/>
      <w:bookmarkStart w:id="99" w:name="_Toc513029209"/>
      <w:r/>
      <w:bookmarkStart w:id="100" w:name="_Toc20823281"/>
      <w:r/>
      <w:bookmarkStart w:id="101" w:name="_Toc16938525"/>
      <w:r/>
      <w:bookmarkStart w:id="102" w:name="_Toc13550"/>
      <w:r/>
      <w:bookmarkStart w:id="103" w:name="_Toc31300"/>
      <w:r/>
      <w:bookmarkStart w:id="104" w:name="_Toc120614215"/>
      <w:r/>
      <w:bookmarkStart w:id="105" w:name="_Toc2081"/>
      <w:r>
        <w:rPr>
          <w:rFonts w:hint="eastAsia"/>
          <w:highlight w:val="none"/>
        </w:rPr>
        <w:t xml:space="preserve">二、招标文件</w:t>
      </w:r>
      <w:bookmarkEnd w:id="99"/>
      <w:r/>
      <w:bookmarkEnd w:id="100"/>
      <w:r/>
      <w:bookmarkEnd w:id="101"/>
      <w:r/>
      <w:bookmarkEnd w:id="102"/>
      <w:r/>
      <w:bookmarkEnd w:id="103"/>
      <w:r/>
      <w:bookmarkEnd w:id="104"/>
      <w:r/>
      <w:bookmarkEnd w:id="105"/>
      <w:r/>
      <w:r/>
    </w:p>
    <w:p>
      <w:pPr>
        <w:pStyle w:val="926"/>
        <w:ind w:firstLine="420"/>
        <w:spacing w:before="0" w:after="0" w:line="360" w:lineRule="auto"/>
        <w:rPr>
          <w:b w:val="0"/>
          <w:bCs w:val="0"/>
          <w:highlight w:val="none"/>
        </w:rPr>
      </w:pPr>
      <w:r/>
      <w:bookmarkStart w:id="106" w:name="_Toc20823282"/>
      <w:r/>
      <w:bookmarkStart w:id="107" w:name="_Toc513029210"/>
      <w:r/>
      <w:bookmarkStart w:id="108" w:name="_Toc16938526"/>
      <w:r>
        <w:rPr>
          <w:rFonts w:hint="eastAsia"/>
          <w:b w:val="0"/>
          <w:bCs w:val="0"/>
          <w:highlight w:val="none"/>
        </w:rPr>
        <w:t xml:space="preserve">6、招标文件构成</w:t>
      </w:r>
      <w:bookmarkEnd w:id="106"/>
      <w:r/>
      <w:bookmarkEnd w:id="107"/>
      <w:r/>
      <w:bookmarkEnd w:id="108"/>
      <w:r/>
      <w:r/>
    </w:p>
    <w:p>
      <w:pPr>
        <w:ind w:firstLine="480"/>
        <w:spacing w:line="360" w:lineRule="auto"/>
        <w:rPr>
          <w:rFonts w:ascii="宋体" w:hAnsi="宋体"/>
          <w:sz w:val="24"/>
          <w:highlight w:val="none"/>
        </w:rPr>
      </w:pPr>
      <w:r>
        <w:rPr>
          <w:rFonts w:hint="eastAsia" w:ascii="宋体" w:hAnsi="宋体"/>
          <w:sz w:val="24"/>
          <w:highlight w:val="none"/>
        </w:rPr>
        <w:t xml:space="preserve">6.1 招标文件由以下部分组成：</w:t>
      </w:r>
      <w:r/>
    </w:p>
    <w:p>
      <w:pPr>
        <w:ind w:firstLine="480"/>
        <w:spacing w:line="360" w:lineRule="auto"/>
        <w:rPr>
          <w:rFonts w:ascii="宋体" w:hAnsi="宋体"/>
          <w:sz w:val="24"/>
          <w:highlight w:val="none"/>
        </w:rPr>
      </w:pPr>
      <w:r>
        <w:rPr>
          <w:rFonts w:hint="eastAsia" w:ascii="宋体" w:hAnsi="宋体"/>
          <w:sz w:val="24"/>
          <w:highlight w:val="none"/>
        </w:rPr>
        <w:t xml:space="preserve">（1）投标邀请</w:t>
      </w:r>
      <w:r/>
    </w:p>
    <w:p>
      <w:pPr>
        <w:ind w:firstLine="480"/>
        <w:spacing w:line="360" w:lineRule="auto"/>
        <w:rPr>
          <w:rFonts w:ascii="宋体" w:hAnsi="宋体"/>
          <w:sz w:val="24"/>
          <w:highlight w:val="none"/>
        </w:rPr>
      </w:pPr>
      <w:r>
        <w:rPr>
          <w:rFonts w:hint="eastAsia" w:ascii="宋体" w:hAnsi="宋体"/>
          <w:sz w:val="24"/>
          <w:highlight w:val="none"/>
        </w:rPr>
        <w:t xml:space="preserve">（2）投标人须知</w:t>
      </w:r>
      <w:r/>
    </w:p>
    <w:p>
      <w:pPr>
        <w:ind w:firstLine="480"/>
        <w:spacing w:line="360" w:lineRule="auto"/>
        <w:rPr>
          <w:rFonts w:ascii="宋体" w:hAnsi="宋体"/>
          <w:sz w:val="24"/>
          <w:highlight w:val="none"/>
        </w:rPr>
      </w:pPr>
      <w:r>
        <w:rPr>
          <w:rFonts w:hint="eastAsia" w:ascii="宋体" w:hAnsi="宋体"/>
          <w:sz w:val="24"/>
          <w:highlight w:val="none"/>
        </w:rPr>
        <w:t xml:space="preserve">（3）合同文本</w:t>
      </w:r>
      <w:r/>
    </w:p>
    <w:p>
      <w:pPr>
        <w:ind w:firstLine="480"/>
        <w:spacing w:line="360" w:lineRule="auto"/>
        <w:rPr>
          <w:rFonts w:ascii="宋体" w:hAnsi="宋体"/>
          <w:sz w:val="24"/>
          <w:highlight w:val="none"/>
        </w:rPr>
      </w:pPr>
      <w:r>
        <w:rPr>
          <w:rFonts w:hint="eastAsia" w:ascii="宋体" w:hAnsi="宋体"/>
          <w:sz w:val="24"/>
          <w:highlight w:val="none"/>
        </w:rPr>
        <w:t xml:space="preserve">（4）采购需求</w:t>
      </w:r>
      <w:r/>
    </w:p>
    <w:p>
      <w:pPr>
        <w:ind w:firstLine="480"/>
        <w:spacing w:line="360" w:lineRule="auto"/>
        <w:rPr>
          <w:rFonts w:ascii="宋体" w:hAnsi="宋体"/>
          <w:sz w:val="24"/>
          <w:highlight w:val="none"/>
        </w:rPr>
      </w:pPr>
      <w:r>
        <w:rPr>
          <w:rFonts w:hint="eastAsia" w:ascii="宋体" w:hAnsi="宋体"/>
          <w:sz w:val="24"/>
          <w:highlight w:val="none"/>
        </w:rPr>
        <w:t xml:space="preserve">（5）评标方法与评标标准</w:t>
      </w:r>
      <w:r/>
    </w:p>
    <w:p>
      <w:pPr>
        <w:ind w:firstLine="480"/>
        <w:spacing w:line="360" w:lineRule="auto"/>
        <w:rPr>
          <w:rFonts w:ascii="宋体" w:hAnsi="宋体"/>
          <w:sz w:val="24"/>
          <w:highlight w:val="none"/>
        </w:rPr>
      </w:pPr>
      <w:r>
        <w:rPr>
          <w:rFonts w:hint="eastAsia" w:ascii="宋体" w:hAnsi="宋体"/>
          <w:sz w:val="24"/>
          <w:highlight w:val="none"/>
        </w:rPr>
        <w:t xml:space="preserve">（6）投标文件格式</w:t>
      </w:r>
      <w:r/>
    </w:p>
    <w:p>
      <w:pPr>
        <w:ind w:firstLine="480"/>
        <w:spacing w:line="360" w:lineRule="auto"/>
        <w:rPr>
          <w:rFonts w:ascii="宋体" w:hAnsi="宋体"/>
          <w:sz w:val="24"/>
          <w:highlight w:val="none"/>
        </w:rPr>
      </w:pPr>
      <w:r>
        <w:rPr>
          <w:rFonts w:hint="eastAsia" w:ascii="宋体" w:hAnsi="宋体"/>
          <w:sz w:val="24"/>
          <w:highlight w:val="none"/>
        </w:rPr>
        <w:t xml:space="preserve">请仔细检查招标文件是否齐全，如有缺漏请立即与采购代理机构联系解决。</w:t>
      </w:r>
      <w:r/>
    </w:p>
    <w:p>
      <w:pPr>
        <w:ind w:firstLine="480"/>
        <w:spacing w:line="360" w:lineRule="auto"/>
        <w:rPr>
          <w:rFonts w:ascii="宋体" w:hAnsi="宋体"/>
          <w:sz w:val="24"/>
          <w:highlight w:val="none"/>
        </w:rPr>
      </w:pPr>
      <w:r>
        <w:rPr>
          <w:rFonts w:hint="eastAsia" w:ascii="宋体" w:hAns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6"/>
        <w:ind w:firstLine="560"/>
        <w:spacing w:before="0" w:after="0" w:line="360" w:lineRule="auto"/>
        <w:rPr>
          <w:b w:val="0"/>
          <w:bCs w:val="0"/>
          <w:highlight w:val="none"/>
        </w:rPr>
      </w:pPr>
      <w:r/>
      <w:bookmarkStart w:id="109" w:name="_Toc513029211"/>
      <w:r/>
      <w:bookmarkStart w:id="110" w:name="_Toc462564070"/>
      <w:r/>
      <w:bookmarkStart w:id="111" w:name="_Toc20823283"/>
      <w:r/>
      <w:bookmarkStart w:id="112" w:name="_Toc16938527"/>
      <w:r>
        <w:rPr>
          <w:rFonts w:hint="eastAsia"/>
          <w:b w:val="0"/>
          <w:bCs w:val="0"/>
          <w:highlight w:val="none"/>
        </w:rPr>
        <w:t xml:space="preserve">7、招标文件的澄清</w:t>
      </w:r>
      <w:bookmarkEnd w:id="109"/>
      <w:r/>
      <w:bookmarkEnd w:id="110"/>
      <w:r/>
      <w:bookmarkEnd w:id="111"/>
      <w:r/>
      <w:bookmarkEnd w:id="112"/>
      <w:r/>
      <w:r/>
    </w:p>
    <w:p>
      <w:pPr>
        <w:ind w:firstLine="480"/>
        <w:spacing w:line="360" w:lineRule="auto"/>
        <w:rPr>
          <w:rFonts w:ascii="宋体" w:hAnsi="宋体"/>
          <w:sz w:val="24"/>
          <w:szCs w:val="24"/>
          <w:highlight w:val="none"/>
        </w:rPr>
      </w:pPr>
      <w:r>
        <w:rPr>
          <w:rFonts w:hint="eastAsia" w:ascii="宋体" w:hAnsi="宋体"/>
          <w:bCs/>
          <w:sz w:val="24"/>
          <w:highlight w:val="none"/>
        </w:rPr>
        <w:t xml:space="preserve">7.1</w:t>
      </w:r>
      <w:r>
        <w:rPr>
          <w:rFonts w:hint="eastAsia" w:ascii="宋体" w:hAnsi="宋体"/>
          <w:sz w:val="24"/>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highlight w:val="none"/>
        </w:rPr>
        <w:t xml:space="preserve">按招标公告中的通讯地址，以书面形式通知采购代理机构或采购人。</w:t>
      </w:r>
      <w:r/>
    </w:p>
    <w:p>
      <w:pPr>
        <w:pStyle w:val="926"/>
        <w:ind w:firstLine="560"/>
        <w:spacing w:before="0" w:after="0" w:line="360" w:lineRule="auto"/>
        <w:rPr>
          <w:b w:val="0"/>
          <w:bCs w:val="0"/>
          <w:highlight w:val="none"/>
        </w:rPr>
      </w:pPr>
      <w:r/>
      <w:bookmarkStart w:id="113" w:name="_Toc462564071"/>
      <w:r/>
      <w:bookmarkStart w:id="114" w:name="_Toc20823284"/>
      <w:r/>
      <w:bookmarkStart w:id="115" w:name="_Toc513029212"/>
      <w:r/>
      <w:bookmarkStart w:id="116" w:name="_Toc16938528"/>
      <w:r>
        <w:rPr>
          <w:rFonts w:hint="eastAsia"/>
          <w:b w:val="0"/>
          <w:bCs w:val="0"/>
          <w:highlight w:val="none"/>
        </w:rPr>
        <w:t xml:space="preserve">8、招标文件的修改</w:t>
      </w:r>
      <w:bookmarkEnd w:id="113"/>
      <w:r/>
      <w:bookmarkEnd w:id="114"/>
      <w:r/>
      <w:bookmarkEnd w:id="115"/>
      <w:r/>
      <w:bookmarkEnd w:id="116"/>
      <w:r/>
      <w:r/>
    </w:p>
    <w:p>
      <w:pPr>
        <w:ind w:firstLine="480"/>
        <w:spacing w:line="360" w:lineRule="auto"/>
        <w:rPr>
          <w:rFonts w:ascii="宋体" w:hAnsi="宋体"/>
          <w:sz w:val="24"/>
          <w:highlight w:val="none"/>
        </w:rPr>
      </w:pPr>
      <w:r>
        <w:rPr>
          <w:rFonts w:hint="eastAsia" w:ascii="宋体" w:hAnsi="宋体"/>
          <w:sz w:val="24"/>
          <w:highlight w:val="none"/>
        </w:rPr>
        <w:t xml:space="preserve">8.1 在投标截止时间前，采购人可以对招标文件进行修改。</w:t>
      </w:r>
      <w:r/>
    </w:p>
    <w:p>
      <w:pPr>
        <w:ind w:firstLine="480"/>
        <w:spacing w:line="360" w:lineRule="auto"/>
        <w:rPr>
          <w:rFonts w:ascii="宋体" w:hAnsi="宋体"/>
          <w:sz w:val="24"/>
          <w:highlight w:val="none"/>
        </w:rPr>
      </w:pPr>
      <w:r>
        <w:rPr>
          <w:rFonts w:hint="eastAsia" w:ascii="宋体" w:hAnsi="宋体"/>
          <w:sz w:val="24"/>
          <w:highlight w:val="none"/>
        </w:rPr>
        <w:t xml:space="preserve">8.2 采购人有权按照法定的要求推迟投标截止日期和开标日期。</w:t>
      </w:r>
      <w:r/>
    </w:p>
    <w:p>
      <w:pPr>
        <w:ind w:firstLine="480"/>
        <w:spacing w:line="360" w:lineRule="auto"/>
        <w:rPr>
          <w:rFonts w:ascii="宋体" w:hAnsi="宋体"/>
          <w:sz w:val="24"/>
          <w:highlight w:val="none"/>
        </w:rPr>
      </w:pPr>
      <w:r>
        <w:rPr>
          <w:rFonts w:hint="eastAsia" w:ascii="宋体" w:hAnsi="宋体"/>
          <w:sz w:val="24"/>
          <w:highlight w:val="none"/>
        </w:rPr>
        <w:t xml:space="preserve">8.3 招标文件的修改将在江苏政府采购网公布，补充文件将作为招标文件的组成部分，并对投标人具有约束力。</w:t>
      </w:r>
      <w:r/>
    </w:p>
    <w:p>
      <w:pPr>
        <w:pStyle w:val="924"/>
        <w:ind w:firstLine="482"/>
        <w:spacing w:before="0" w:after="0" w:line="360" w:lineRule="auto"/>
        <w:rPr>
          <w:highlight w:val="none"/>
        </w:rPr>
      </w:pPr>
      <w:r/>
      <w:bookmarkStart w:id="117" w:name="_Toc12231"/>
      <w:r/>
      <w:bookmarkStart w:id="118" w:name="_Toc462564072"/>
      <w:r/>
      <w:bookmarkStart w:id="119" w:name="_Toc18646"/>
      <w:r/>
      <w:bookmarkStart w:id="120" w:name="_Toc120614216"/>
      <w:r/>
      <w:bookmarkStart w:id="121" w:name="_Toc18017"/>
      <w:r/>
      <w:bookmarkStart w:id="122" w:name="_Toc513029213"/>
      <w:r/>
      <w:bookmarkStart w:id="123" w:name="_Toc20823285"/>
      <w:r/>
      <w:bookmarkStart w:id="124" w:name="_Toc16938529"/>
      <w:r>
        <w:rPr>
          <w:rFonts w:hint="eastAsia"/>
          <w:highlight w:val="none"/>
        </w:rPr>
        <w:t xml:space="preserve">三、投标文件的编制</w:t>
      </w:r>
      <w:bookmarkEnd w:id="117"/>
      <w:r/>
      <w:bookmarkEnd w:id="118"/>
      <w:r/>
      <w:bookmarkEnd w:id="119"/>
      <w:r/>
      <w:bookmarkEnd w:id="120"/>
      <w:r/>
      <w:bookmarkEnd w:id="121"/>
      <w:r/>
      <w:bookmarkEnd w:id="122"/>
      <w:r/>
      <w:bookmarkEnd w:id="123"/>
      <w:r/>
      <w:bookmarkEnd w:id="124"/>
      <w:r/>
      <w:r/>
    </w:p>
    <w:p>
      <w:pPr>
        <w:pStyle w:val="926"/>
        <w:ind w:firstLine="560"/>
        <w:spacing w:before="0" w:after="0" w:line="360" w:lineRule="auto"/>
        <w:rPr>
          <w:bCs w:val="0"/>
          <w:highlight w:val="none"/>
        </w:rPr>
      </w:pPr>
      <w:r/>
      <w:bookmarkStart w:id="125" w:name="_Toc462564073"/>
      <w:r/>
      <w:bookmarkStart w:id="126" w:name="_Toc513029214"/>
      <w:r/>
      <w:bookmarkStart w:id="127" w:name="_Toc20823286"/>
      <w:r/>
      <w:bookmarkStart w:id="128" w:name="_Toc16938530"/>
      <w:r>
        <w:rPr>
          <w:rFonts w:hint="eastAsia"/>
          <w:b w:val="0"/>
          <w:bCs w:val="0"/>
          <w:highlight w:val="none"/>
        </w:rPr>
        <w:t xml:space="preserve">9、投标文件的语言及度量衡单位</w:t>
      </w:r>
      <w:bookmarkEnd w:id="125"/>
      <w:r/>
      <w:bookmarkEnd w:id="126"/>
      <w:r/>
      <w:bookmarkEnd w:id="127"/>
      <w:r/>
      <w:bookmarkEnd w:id="128"/>
      <w:r/>
      <w:r/>
    </w:p>
    <w:p>
      <w:pPr>
        <w:ind w:firstLine="480"/>
        <w:spacing w:line="360" w:lineRule="auto"/>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投标人提交的投标文件以及投标人与采购人、采购代理机构就有关投标的所有来往通知、函件和文件均应使用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9.2 除技术性能另有规定外，投标文件所使用的度量衡单位，均须采用国家法定计量单位。</w:t>
      </w:r>
      <w:r/>
    </w:p>
    <w:p>
      <w:pPr>
        <w:pStyle w:val="926"/>
        <w:ind w:firstLine="420"/>
        <w:spacing w:before="0" w:after="0" w:line="360" w:lineRule="auto"/>
        <w:rPr>
          <w:b w:val="0"/>
          <w:bCs w:val="0"/>
          <w:highlight w:val="none"/>
        </w:rPr>
      </w:pPr>
      <w:r/>
      <w:bookmarkStart w:id="129" w:name="_Toc16938531"/>
      <w:r/>
      <w:bookmarkStart w:id="130" w:name="_Toc513029215"/>
      <w:r/>
      <w:bookmarkStart w:id="131" w:name="_Toc20823287"/>
      <w:r/>
      <w:bookmarkStart w:id="132" w:name="_Toc462564074"/>
      <w:r>
        <w:rPr>
          <w:rFonts w:hint="eastAsia"/>
          <w:b w:val="0"/>
          <w:bCs w:val="0"/>
          <w:highlight w:val="none"/>
        </w:rPr>
        <w:t xml:space="preserve">10、投标文件构成</w:t>
      </w:r>
      <w:bookmarkEnd w:id="129"/>
      <w:r/>
      <w:bookmarkEnd w:id="130"/>
      <w:r/>
      <w:bookmarkEnd w:id="131"/>
      <w:r/>
      <w:bookmarkEnd w:id="132"/>
      <w:r/>
      <w:r/>
    </w:p>
    <w:p>
      <w:pPr>
        <w:ind w:firstLine="480"/>
        <w:spacing w:line="360" w:lineRule="auto"/>
        <w:rPr>
          <w:rFonts w:ascii="宋体" w:hAnsi="宋体"/>
          <w:sz w:val="24"/>
          <w:highlight w:val="none"/>
        </w:rPr>
      </w:pPr>
      <w:r>
        <w:rPr>
          <w:rFonts w:hint="eastAsia" w:ascii="宋体" w:hAnsi="宋体"/>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highlight w:val="none"/>
        </w:rPr>
      </w:pPr>
      <w:r>
        <w:rPr>
          <w:rFonts w:hint="eastAsia" w:ascii="宋体" w:hAnsi="宋体"/>
          <w:sz w:val="24"/>
          <w:highlight w:val="none"/>
        </w:rPr>
        <w:t xml:space="preserve">10.2 如标书制作工具中格式和内容与“江苏政府采购网”发布的招标文件不一致，请以“江苏政府采购网”发布的招标文件为准。</w:t>
      </w:r>
      <w:r/>
    </w:p>
    <w:p>
      <w:pPr>
        <w:pStyle w:val="926"/>
        <w:ind w:firstLine="420"/>
        <w:spacing w:before="0" w:after="0" w:line="360" w:lineRule="auto"/>
        <w:rPr>
          <w:b w:val="0"/>
          <w:bCs w:val="0"/>
          <w:highlight w:val="none"/>
        </w:rPr>
      </w:pPr>
      <w:r/>
      <w:bookmarkStart w:id="133" w:name="_Hlt26954838"/>
      <w:r/>
      <w:bookmarkEnd w:id="133"/>
      <w:r/>
      <w:bookmarkStart w:id="134" w:name="_Hlt26670360"/>
      <w:r/>
      <w:bookmarkEnd w:id="134"/>
      <w:r/>
      <w:bookmarkStart w:id="135" w:name="_Hlt26668975"/>
      <w:r/>
      <w:bookmarkEnd w:id="135"/>
      <w:r/>
      <w:bookmarkStart w:id="136" w:name="_Toc14577357"/>
      <w:r/>
      <w:bookmarkStart w:id="137" w:name="_Toc49090509"/>
      <w:r/>
      <w:bookmarkStart w:id="138" w:name="_Toc513029219"/>
      <w:r/>
      <w:bookmarkStart w:id="139" w:name="_Toc49090507"/>
      <w:r/>
      <w:bookmarkStart w:id="140" w:name="_Toc513029216"/>
      <w:r/>
      <w:bookmarkStart w:id="141" w:name="_Toc14577354"/>
      <w:r>
        <w:rPr>
          <w:rFonts w:hint="eastAsia"/>
          <w:b w:val="0"/>
          <w:bCs w:val="0"/>
          <w:highlight w:val="none"/>
        </w:rPr>
        <w:t xml:space="preserve">11、证明投标人及投标标的符合招标文件规定的文件</w:t>
      </w:r>
      <w:bookmarkEnd w:id="136"/>
      <w:r/>
      <w:bookmarkEnd w:id="137"/>
      <w:r/>
      <w:bookmarkEnd w:id="138"/>
      <w:r/>
      <w:bookmarkEnd w:id="139"/>
      <w:bookmarkEnd w:id="140"/>
      <w:bookmarkEnd w:id="141"/>
      <w:r/>
    </w:p>
    <w:p>
      <w:pPr>
        <w:ind w:firstLine="480"/>
        <w:spacing w:line="360" w:lineRule="auto"/>
        <w:rPr>
          <w:rFonts w:ascii="宋体" w:hAnsi="宋体"/>
          <w:sz w:val="24"/>
          <w:highlight w:val="none"/>
        </w:rPr>
      </w:pPr>
      <w:r/>
      <w:bookmarkStart w:id="142" w:name="_Toc14577355"/>
      <w:r/>
      <w:bookmarkStart w:id="143" w:name="_Toc49090508"/>
      <w:r>
        <w:rPr>
          <w:rFonts w:hint="eastAsia" w:ascii="宋体" w:hAnsi="宋体"/>
          <w:sz w:val="24"/>
          <w:highlight w:val="none"/>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r/>
    </w:p>
    <w:p>
      <w:pPr>
        <w:pStyle w:val="926"/>
        <w:ind w:firstLine="420"/>
        <w:spacing w:before="0" w:after="0" w:line="360" w:lineRule="auto"/>
        <w:rPr>
          <w:b w:val="0"/>
          <w:bCs w:val="0"/>
          <w:highlight w:val="none"/>
        </w:rPr>
      </w:pPr>
      <w:r>
        <w:rPr>
          <w:rFonts w:hint="eastAsia"/>
          <w:b w:val="0"/>
          <w:bCs w:val="0"/>
          <w:highlight w:val="none"/>
        </w:rPr>
        <w:t xml:space="preserve">12、投标分项报价</w:t>
      </w:r>
      <w:bookmarkEnd w:id="142"/>
      <w:r/>
      <w:bookmarkStart w:id="144" w:name="_Hlt26670373"/>
      <w:r/>
      <w:bookmarkEnd w:id="144"/>
      <w:r>
        <w:rPr>
          <w:rFonts w:hint="eastAsia"/>
          <w:b w:val="0"/>
          <w:bCs w:val="0"/>
          <w:highlight w:val="none"/>
        </w:rPr>
        <w:t xml:space="preserve">表</w:t>
      </w:r>
      <w:bookmarkEnd w:id="143"/>
      <w:r/>
      <w:r/>
    </w:p>
    <w:p>
      <w:pPr>
        <w:ind w:firstLine="480"/>
        <w:spacing w:line="360" w:lineRule="auto"/>
        <w:rPr>
          <w:rFonts w:ascii="宋体" w:hAnsi="宋体"/>
          <w:sz w:val="24"/>
          <w:highlight w:val="none"/>
        </w:rPr>
      </w:pPr>
      <w:r>
        <w:rPr>
          <w:rFonts w:hint="eastAsia" w:ascii="宋体" w:hAnsi="宋体"/>
          <w:sz w:val="24"/>
          <w:highlight w:val="none"/>
        </w:rPr>
        <w:t xml:space="preserve">12.1 投</w:t>
      </w:r>
      <w:bookmarkStart w:id="145" w:name="_Hlt26954840"/>
      <w:r/>
      <w:bookmarkEnd w:id="145"/>
      <w:r>
        <w:rPr>
          <w:rFonts w:hint="eastAsia" w:ascii="宋体" w:hAnsi="宋体"/>
          <w:sz w:val="24"/>
          <w:highlight w:val="none"/>
        </w:rPr>
        <w:t xml:space="preserve">标人应按照招标文件规定格式填报投标分项报价表</w:t>
      </w:r>
      <w:bookmarkStart w:id="146" w:name="_Hlt26670399"/>
      <w:r/>
      <w:bookmarkEnd w:id="146"/>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12.2投标货币。投标文件中的单价和总价无特殊规定的采用人民币报价，以元为单位标注。招标文件中另有规定的按规定执行。</w:t>
      </w:r>
      <w:r/>
    </w:p>
    <w:p>
      <w:pPr>
        <w:pStyle w:val="926"/>
        <w:ind w:firstLine="420"/>
        <w:spacing w:before="0" w:after="0" w:line="360" w:lineRule="auto"/>
        <w:rPr>
          <w:b w:val="0"/>
          <w:bCs w:val="0"/>
          <w:highlight w:val="none"/>
        </w:rPr>
      </w:pPr>
      <w:r/>
      <w:bookmarkStart w:id="147" w:name="_Hlt26954844"/>
      <w:r/>
      <w:bookmarkEnd w:id="147"/>
      <w:r/>
      <w:bookmarkStart w:id="148" w:name="_Hlt26670403"/>
      <w:r/>
      <w:bookmarkEnd w:id="148"/>
      <w:r/>
      <w:bookmarkStart w:id="149" w:name="_Hlt26954848"/>
      <w:r/>
      <w:bookmarkEnd w:id="149"/>
      <w:r/>
      <w:bookmarkStart w:id="150" w:name="_Hlt26670482"/>
      <w:r/>
      <w:bookmarkEnd w:id="150"/>
      <w:r/>
      <w:bookmarkStart w:id="151" w:name="_Hlt26670425"/>
      <w:r/>
      <w:bookmarkEnd w:id="151"/>
      <w:r/>
      <w:bookmarkStart w:id="152" w:name="_Hlt26954731"/>
      <w:r/>
      <w:bookmarkEnd w:id="152"/>
      <w:r/>
      <w:bookmarkStart w:id="153" w:name="_Hlt26668983"/>
      <w:r/>
      <w:bookmarkEnd w:id="153"/>
      <w:r/>
      <w:bookmarkStart w:id="154" w:name="_Hlt26954846"/>
      <w:r/>
      <w:bookmarkEnd w:id="154"/>
      <w:r/>
      <w:bookmarkStart w:id="155" w:name="_Hlt26670486"/>
      <w:r/>
      <w:bookmarkEnd w:id="155"/>
      <w:r/>
      <w:bookmarkStart w:id="156" w:name="_Hlt26954842"/>
      <w:r/>
      <w:bookmarkEnd w:id="156"/>
      <w:r>
        <w:rPr>
          <w:rFonts w:hint="eastAsia"/>
          <w:b w:val="0"/>
          <w:bCs w:val="0"/>
          <w:highlight w:val="none"/>
        </w:rPr>
        <w:t xml:space="preserve">13、技术要求响应及偏离表、商务要求响应及偏离表</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13.1 投标人需对招标文件中的技术要求与商务要求逐项作出响应或偏离，并说明原因。</w:t>
      </w:r>
      <w:r/>
    </w:p>
    <w:p>
      <w:pPr>
        <w:ind w:firstLine="480"/>
        <w:spacing w:line="360" w:lineRule="auto"/>
        <w:rPr>
          <w:rFonts w:ascii="宋体" w:hAnsi="宋体"/>
          <w:sz w:val="24"/>
          <w:highlight w:val="none"/>
          <w:lang w:val="zh-CN"/>
        </w:rPr>
      </w:pPr>
      <w:r>
        <w:rPr>
          <w:rFonts w:hint="eastAsia" w:ascii="宋体" w:hAnsi="宋体"/>
          <w:sz w:val="24"/>
          <w:highlight w:val="none"/>
          <w:lang w:val="zh-CN"/>
        </w:rPr>
        <w:t xml:space="preserve">13.2 投标人可在投标文件中提供认为需要的其他技术文件或说明。</w:t>
      </w:r>
      <w:r/>
    </w:p>
    <w:p>
      <w:pPr>
        <w:pStyle w:val="926"/>
        <w:ind w:firstLine="420"/>
        <w:spacing w:before="0" w:after="0" w:line="360" w:lineRule="auto"/>
        <w:rPr>
          <w:b w:val="0"/>
          <w:bCs w:val="0"/>
          <w:highlight w:val="none"/>
        </w:rPr>
      </w:pPr>
      <w:r/>
      <w:bookmarkStart w:id="157" w:name="_Toc14577359"/>
      <w:r/>
      <w:bookmarkStart w:id="158" w:name="_Toc49090510"/>
      <w:r>
        <w:rPr>
          <w:rFonts w:hint="eastAsia"/>
          <w:b w:val="0"/>
          <w:bCs w:val="0"/>
          <w:highlight w:val="none"/>
        </w:rPr>
        <w:t xml:space="preserve">14、投标函和开标一览表</w:t>
      </w:r>
      <w:r/>
    </w:p>
    <w:p>
      <w:pPr>
        <w:ind w:firstLine="480"/>
        <w:spacing w:line="360" w:lineRule="auto"/>
        <w:rPr>
          <w:rFonts w:ascii="宋体" w:hAnsi="宋体"/>
          <w:sz w:val="24"/>
          <w:highlight w:val="none"/>
        </w:rPr>
      </w:pPr>
      <w:r>
        <w:rPr>
          <w:rFonts w:hint="eastAsia" w:ascii="宋体" w:hAnsi="宋体"/>
          <w:sz w:val="24"/>
          <w:highlight w:val="none"/>
        </w:rPr>
        <w:t xml:space="preserve">14.1 投标人应按照招标文件中提供的格式完整、正确填写投标函、开标一览表。</w:t>
      </w:r>
      <w:r/>
    </w:p>
    <w:p>
      <w:pPr>
        <w:ind w:firstLine="480"/>
        <w:spacing w:line="360" w:lineRule="auto"/>
        <w:rPr>
          <w:rFonts w:ascii="宋体" w:hAnsi="宋体"/>
          <w:sz w:val="24"/>
          <w:highlight w:val="none"/>
        </w:rPr>
      </w:pPr>
      <w:r>
        <w:rPr>
          <w:rFonts w:hint="eastAsia" w:ascii="宋体" w:hAnsi="宋体"/>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57"/>
      <w:bookmarkEnd w:id="158"/>
      <w:r/>
    </w:p>
    <w:p>
      <w:pPr>
        <w:pStyle w:val="926"/>
        <w:ind w:firstLine="420"/>
        <w:spacing w:before="0" w:after="0" w:line="360" w:lineRule="auto"/>
        <w:rPr>
          <w:b w:val="0"/>
          <w:bCs w:val="0"/>
          <w:highlight w:val="none"/>
        </w:rPr>
      </w:pPr>
      <w:r/>
      <w:bookmarkStart w:id="159" w:name="_Hlt26670489"/>
      <w:r/>
      <w:bookmarkEnd w:id="159"/>
      <w:r/>
      <w:bookmarkStart w:id="160" w:name="_Hlt26954850"/>
      <w:r/>
      <w:bookmarkEnd w:id="160"/>
      <w:r/>
      <w:bookmarkStart w:id="161" w:name="_Hlt26954734"/>
      <w:r/>
      <w:bookmarkEnd w:id="161"/>
      <w:r/>
      <w:bookmarkStart w:id="162" w:name="_Toc49090511"/>
      <w:r/>
      <w:bookmarkStart w:id="163" w:name="_Toc14577360"/>
      <w:r>
        <w:rPr>
          <w:rFonts w:hint="eastAsia"/>
          <w:b w:val="0"/>
          <w:bCs w:val="0"/>
          <w:highlight w:val="none"/>
        </w:rPr>
        <w:t xml:space="preserve">15、投标有效期</w:t>
      </w:r>
      <w:bookmarkEnd w:id="162"/>
      <w:r/>
      <w:bookmarkEnd w:id="163"/>
      <w:r/>
      <w:r/>
    </w:p>
    <w:p>
      <w:pPr>
        <w:ind w:firstLine="480"/>
        <w:spacing w:line="360" w:lineRule="auto"/>
        <w:rPr>
          <w:rFonts w:ascii="宋体" w:hAnsi="宋体"/>
          <w:bCs/>
          <w:color w:val="auto"/>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投标有效期为采购人规定的开标</w:t>
      </w:r>
      <w:r>
        <w:rPr>
          <w:rFonts w:hint="eastAsia" w:ascii="宋体" w:hAnsi="宋体"/>
          <w:bCs/>
          <w:color w:val="auto"/>
          <w:sz w:val="24"/>
          <w:highlight w:val="none"/>
        </w:rPr>
        <w:t xml:space="preserve">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26"/>
        <w:ind w:firstLine="420"/>
        <w:spacing w:before="0" w:after="0" w:line="360" w:lineRule="auto"/>
        <w:rPr>
          <w:b w:val="0"/>
          <w:bCs w:val="0"/>
          <w:highlight w:val="none"/>
        </w:rPr>
      </w:pPr>
      <w:r>
        <w:rPr>
          <w:rFonts w:hint="eastAsia"/>
          <w:b w:val="0"/>
          <w:bCs w:val="0"/>
          <w:highlight w:val="none"/>
        </w:rPr>
        <w:t xml:space="preserve">16、投标有效期的延长</w:t>
      </w:r>
      <w:r/>
    </w:p>
    <w:p>
      <w:pPr>
        <w:ind w:firstLine="480"/>
        <w:spacing w:line="360" w:lineRule="auto"/>
        <w:rPr>
          <w:rFonts w:ascii="宋体" w:hAnsi="宋体"/>
          <w:sz w:val="24"/>
          <w:highlight w:val="none"/>
        </w:rPr>
      </w:pPr>
      <w:r>
        <w:rPr>
          <w:rFonts w:hint="eastAsia" w:ascii="宋体" w:hAnsi="宋体"/>
          <w:sz w:val="24"/>
          <w:highlight w:val="none"/>
        </w:rPr>
        <w:t xml:space="preserve">16.1 在特殊情况下，</w:t>
      </w:r>
      <w:r>
        <w:rPr>
          <w:rFonts w:hint="eastAsia" w:ascii="宋体" w:hAnsi="宋体"/>
          <w:bCs/>
          <w:sz w:val="24"/>
          <w:highlight w:val="none"/>
        </w:rPr>
        <w:t xml:space="preserve">采购人</w:t>
      </w:r>
      <w:r>
        <w:rPr>
          <w:rFonts w:hint="eastAsia" w:ascii="宋体" w:hAnsi="宋体"/>
          <w:sz w:val="24"/>
          <w:highlight w:val="none"/>
        </w:rPr>
        <w:t xml:space="preserve">于原投标有效期满之前，可向投标人提出延长投标有效期的要求。这种要求与答复均应采用书面形式。投标人可以拒绝</w:t>
      </w:r>
      <w:r>
        <w:rPr>
          <w:rFonts w:hint="eastAsia" w:ascii="宋体" w:hAnsi="宋体"/>
          <w:bCs/>
          <w:sz w:val="24"/>
          <w:highlight w:val="none"/>
        </w:rPr>
        <w:t xml:space="preserve">采购人</w:t>
      </w:r>
      <w:r>
        <w:rPr>
          <w:rFonts w:hint="eastAsia" w:ascii="宋体" w:hAnsi="宋体"/>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24"/>
        <w:ind w:firstLine="482"/>
        <w:spacing w:before="0" w:after="0" w:line="360" w:lineRule="auto"/>
        <w:rPr>
          <w:highlight w:val="none"/>
        </w:rPr>
      </w:pPr>
      <w:r/>
      <w:bookmarkStart w:id="164" w:name="_Hlt26954852"/>
      <w:r/>
      <w:bookmarkEnd w:id="164"/>
      <w:r/>
      <w:bookmarkStart w:id="165" w:name="_Hlt26954739"/>
      <w:r/>
      <w:bookmarkEnd w:id="165"/>
      <w:r/>
      <w:bookmarkStart w:id="166" w:name="_Toc16170"/>
      <w:r/>
      <w:bookmarkStart w:id="167" w:name="_Toc20823296"/>
      <w:r/>
      <w:bookmarkStart w:id="168" w:name="_Toc22817"/>
      <w:r/>
      <w:bookmarkStart w:id="169" w:name="_Toc513029224"/>
      <w:r/>
      <w:bookmarkStart w:id="170" w:name="_Toc120614217"/>
      <w:r/>
      <w:bookmarkStart w:id="171" w:name="_Toc16938540"/>
      <w:r/>
      <w:bookmarkStart w:id="172" w:name="_Toc2219"/>
      <w:r>
        <w:rPr>
          <w:rFonts w:hint="eastAsia"/>
          <w:highlight w:val="none"/>
        </w:rPr>
        <w:t xml:space="preserve">四、投标文件的递交</w:t>
      </w:r>
      <w:bookmarkEnd w:id="166"/>
      <w:r/>
      <w:bookmarkEnd w:id="167"/>
      <w:r/>
      <w:bookmarkEnd w:id="168"/>
      <w:r/>
      <w:bookmarkEnd w:id="169"/>
      <w:r/>
      <w:bookmarkEnd w:id="170"/>
      <w:r/>
      <w:bookmarkEnd w:id="171"/>
      <w:r/>
      <w:bookmarkEnd w:id="172"/>
      <w:r/>
      <w:r/>
    </w:p>
    <w:p>
      <w:pPr>
        <w:pStyle w:val="926"/>
        <w:ind w:firstLine="560"/>
        <w:spacing w:before="0" w:after="0" w:line="360" w:lineRule="auto"/>
        <w:rPr>
          <w:rFonts w:ascii="黑体"/>
          <w:b w:val="0"/>
          <w:bCs w:val="0"/>
          <w:highlight w:val="none"/>
        </w:rPr>
      </w:pPr>
      <w:r/>
      <w:bookmarkStart w:id="173" w:name="_Toc462564084"/>
      <w:r/>
      <w:bookmarkStart w:id="174" w:name="_Toc16938541"/>
      <w:r/>
      <w:bookmarkStart w:id="175" w:name="_Toc513029225"/>
      <w:r/>
      <w:bookmarkStart w:id="176" w:name="_Toc20823297"/>
      <w:r>
        <w:rPr>
          <w:rFonts w:hint="eastAsia"/>
          <w:b w:val="0"/>
          <w:bCs w:val="0"/>
          <w:highlight w:val="none"/>
        </w:rPr>
        <w:t xml:space="preserve">17、</w:t>
      </w:r>
      <w:r>
        <w:rPr>
          <w:rFonts w:hint="eastAsia" w:ascii="黑体"/>
          <w:b w:val="0"/>
          <w:bCs w:val="0"/>
          <w:highlight w:val="none"/>
        </w:rPr>
        <w:t xml:space="preserve">投标文件</w:t>
      </w:r>
      <w:bookmarkEnd w:id="173"/>
      <w:r/>
      <w:bookmarkEnd w:id="174"/>
      <w:r/>
      <w:bookmarkEnd w:id="175"/>
      <w:r/>
      <w:bookmarkEnd w:id="176"/>
      <w:r>
        <w:rPr>
          <w:rFonts w:hint="eastAsia" w:ascii="黑体"/>
          <w:b w:val="0"/>
          <w:bCs w:val="0"/>
          <w:highlight w:val="none"/>
        </w:rPr>
        <w:t xml:space="preserve">的递交</w:t>
      </w:r>
      <w:r/>
    </w:p>
    <w:p>
      <w:pPr>
        <w:ind w:firstLine="480"/>
        <w:spacing w:line="360" w:lineRule="auto"/>
        <w:rPr>
          <w:rFonts w:ascii="宋体" w:hAnsi="宋体"/>
          <w:sz w:val="24"/>
          <w:highlight w:val="none"/>
        </w:rPr>
      </w:pPr>
      <w:r>
        <w:rPr>
          <w:rFonts w:hint="eastAsia" w:ascii="宋体" w:hAnsi="宋体"/>
          <w:sz w:val="24"/>
          <w:highlight w:val="none"/>
        </w:rPr>
        <w:t xml:space="preserve">17.1 电子投标文件的递交</w:t>
      </w:r>
      <w:r/>
    </w:p>
    <w:p>
      <w:pPr>
        <w:ind w:firstLine="480"/>
        <w:spacing w:line="360" w:lineRule="auto"/>
        <w:rPr>
          <w:rFonts w:ascii="宋体" w:hAnsi="宋体"/>
          <w:sz w:val="24"/>
          <w:highlight w:val="none"/>
        </w:rPr>
      </w:pPr>
      <w:r>
        <w:rPr>
          <w:rFonts w:hint="eastAsia" w:ascii="宋体" w:hAnsi="宋体"/>
          <w:sz w:val="24"/>
          <w:highlight w:val="none"/>
        </w:rPr>
        <w:t xml:space="preserve">投标人应当按照《操作手册》规定，在投标截止时间前制作并上传电子投标文件。</w:t>
      </w:r>
      <w:bookmarkStart w:id="177" w:name="_Toc20823298"/>
      <w:r/>
      <w:bookmarkStart w:id="178" w:name="_Toc513029226"/>
      <w:r/>
      <w:bookmarkStart w:id="179" w:name="_Toc16938542"/>
      <w:r/>
      <w:r/>
    </w:p>
    <w:p>
      <w:pPr>
        <w:pStyle w:val="926"/>
        <w:ind w:firstLine="420"/>
        <w:spacing w:before="0" w:after="0" w:line="360" w:lineRule="auto"/>
        <w:rPr>
          <w:b w:val="0"/>
          <w:bCs w:val="0"/>
          <w:highlight w:val="none"/>
        </w:rPr>
      </w:pPr>
      <w:r>
        <w:rPr>
          <w:rFonts w:hint="eastAsia"/>
          <w:b w:val="0"/>
          <w:bCs w:val="0"/>
          <w:highlight w:val="none"/>
        </w:rPr>
        <w:t xml:space="preserve">18、投标截止</w:t>
      </w:r>
      <w:bookmarkEnd w:id="177"/>
      <w:r/>
      <w:bookmarkEnd w:id="178"/>
      <w:r/>
      <w:bookmarkEnd w:id="179"/>
      <w:r>
        <w:rPr>
          <w:rFonts w:hint="eastAsia"/>
          <w:b w:val="0"/>
          <w:bCs w:val="0"/>
          <w:highlight w:val="none"/>
        </w:rPr>
        <w:t xml:space="preserve">时间</w:t>
      </w:r>
      <w:r/>
    </w:p>
    <w:p>
      <w:pPr>
        <w:ind w:firstLine="482"/>
        <w:spacing w:line="360" w:lineRule="auto"/>
        <w:rPr>
          <w:rFonts w:ascii="宋体" w:hAnsi="宋体"/>
          <w:sz w:val="24"/>
          <w:highlight w:val="none"/>
        </w:rPr>
      </w:pPr>
      <w:r>
        <w:rPr>
          <w:rFonts w:hint="eastAsia" w:ascii="宋体" w:hAnsi="宋体"/>
          <w:b/>
          <w:bCs/>
          <w:sz w:val="24"/>
          <w:highlight w:val="none"/>
          <w:u w:val="single"/>
        </w:rPr>
        <w:t xml:space="preserve">18.1 投标人上传电子投标文件的时间不得迟于招标公告中规定的投标截止时间</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sz w:val="24"/>
          <w:highlight w:val="none"/>
        </w:rPr>
      </w:pPr>
      <w:r>
        <w:rPr>
          <w:rFonts w:hint="eastAsia" w:ascii="宋体" w:hAnsi="宋体"/>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pStyle w:val="926"/>
        <w:ind w:firstLine="420"/>
        <w:spacing w:before="0" w:after="0" w:line="360" w:lineRule="auto"/>
        <w:rPr>
          <w:b w:val="0"/>
          <w:bCs w:val="0"/>
          <w:highlight w:val="none"/>
        </w:rPr>
      </w:pPr>
      <w:r/>
      <w:bookmarkStart w:id="180" w:name="_Toc513029227"/>
      <w:r/>
      <w:bookmarkStart w:id="181" w:name="_Toc20823299"/>
      <w:r/>
      <w:bookmarkStart w:id="182" w:name="_Toc16938543"/>
      <w:r>
        <w:rPr>
          <w:rFonts w:hint="eastAsia"/>
          <w:b w:val="0"/>
          <w:bCs w:val="0"/>
          <w:highlight w:val="none"/>
        </w:rPr>
        <w:t xml:space="preserve">19、投标文件</w:t>
      </w:r>
      <w:bookmarkEnd w:id="180"/>
      <w:r/>
      <w:bookmarkEnd w:id="181"/>
      <w:r/>
      <w:bookmarkEnd w:id="182"/>
      <w:r>
        <w:rPr>
          <w:rFonts w:hint="eastAsia"/>
          <w:b w:val="0"/>
          <w:bCs w:val="0"/>
          <w:highlight w:val="none"/>
        </w:rPr>
        <w:t xml:space="preserve">的拒收</w:t>
      </w:r>
      <w:r/>
    </w:p>
    <w:p>
      <w:pPr>
        <w:ind w:firstLine="480"/>
        <w:spacing w:line="360" w:lineRule="auto"/>
        <w:rPr>
          <w:rFonts w:ascii="宋体" w:hAnsi="宋体"/>
          <w:sz w:val="24"/>
          <w:highlight w:val="none"/>
        </w:rPr>
      </w:pPr>
      <w:r>
        <w:rPr>
          <w:rFonts w:hint="eastAsia" w:ascii="宋体" w:hAnsi="宋体"/>
          <w:sz w:val="24"/>
          <w:highlight w:val="none"/>
        </w:rPr>
        <w:t xml:space="preserve">19.1采购人或采购代理机构拒绝接收在其规定的投标截止时间后上传的任何投标文件。</w:t>
      </w:r>
      <w:r/>
    </w:p>
    <w:p>
      <w:pPr>
        <w:pStyle w:val="926"/>
        <w:ind w:firstLine="420"/>
        <w:spacing w:before="0" w:after="0" w:line="360" w:lineRule="auto"/>
        <w:rPr>
          <w:b w:val="0"/>
          <w:bCs w:val="0"/>
          <w:highlight w:val="none"/>
        </w:rPr>
      </w:pPr>
      <w:r/>
      <w:bookmarkStart w:id="183" w:name="_Toc20823300"/>
      <w:r/>
      <w:bookmarkStart w:id="184" w:name="_Toc16938544"/>
      <w:r/>
      <w:bookmarkStart w:id="185" w:name="_Toc513029228"/>
      <w:r>
        <w:rPr>
          <w:rFonts w:hint="eastAsia"/>
          <w:b w:val="0"/>
          <w:bCs w:val="0"/>
          <w:highlight w:val="none"/>
        </w:rPr>
        <w:t xml:space="preserve">20、投标文件的撤回和修改</w:t>
      </w:r>
      <w:bookmarkEnd w:id="183"/>
      <w:r/>
      <w:bookmarkEnd w:id="184"/>
      <w:r/>
      <w:bookmarkEnd w:id="185"/>
      <w:r/>
      <w:r/>
    </w:p>
    <w:p>
      <w:pPr>
        <w:ind w:firstLine="480"/>
        <w:spacing w:line="360" w:lineRule="auto"/>
        <w:rPr>
          <w:rFonts w:ascii="宋体" w:hAnsi="宋体"/>
          <w:sz w:val="24"/>
          <w:highlight w:val="none"/>
        </w:rPr>
      </w:pPr>
      <w:r>
        <w:rPr>
          <w:rFonts w:hint="eastAsia" w:ascii="宋体" w:hAnsi="宋体"/>
          <w:sz w:val="24"/>
          <w:highlight w:val="none"/>
        </w:rPr>
        <w:t xml:space="preserve">20.1 投标文件的撤回</w:t>
      </w:r>
      <w:r/>
    </w:p>
    <w:p>
      <w:pPr>
        <w:ind w:firstLine="480"/>
        <w:spacing w:line="360" w:lineRule="auto"/>
        <w:rPr>
          <w:rFonts w:ascii="宋体" w:hAnsi="宋体"/>
          <w:sz w:val="24"/>
          <w:highlight w:val="none"/>
        </w:rPr>
      </w:pPr>
      <w:r>
        <w:rPr>
          <w:rFonts w:hint="eastAsia" w:ascii="宋体" w:hAnsi="宋体"/>
          <w:sz w:val="24"/>
          <w:highlight w:val="none"/>
        </w:rPr>
        <w:t xml:space="preserve">21.1.1 电子投标文件的撤回</w:t>
      </w:r>
      <w:r/>
    </w:p>
    <w:p>
      <w:pPr>
        <w:ind w:firstLine="480"/>
        <w:spacing w:line="360" w:lineRule="auto"/>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360" w:lineRule="auto"/>
        <w:rPr>
          <w:rFonts w:ascii="宋体" w:hAnsi="宋体"/>
          <w:sz w:val="24"/>
          <w:highlight w:val="none"/>
        </w:rPr>
      </w:pPr>
      <w:r>
        <w:rPr>
          <w:rFonts w:hint="eastAsia" w:ascii="宋体" w:hAnsi="宋体"/>
          <w:sz w:val="24"/>
          <w:highlight w:val="none"/>
        </w:rPr>
        <w:t xml:space="preserve">21.1.2 投标人撤回电子投标文件，则认为其不再参与本项目投标活动。</w:t>
      </w:r>
      <w:r/>
    </w:p>
    <w:p>
      <w:pPr>
        <w:ind w:firstLine="480"/>
        <w:spacing w:line="360" w:lineRule="auto"/>
        <w:rPr>
          <w:rFonts w:ascii="宋体" w:hAnsi="宋体"/>
          <w:sz w:val="24"/>
          <w:highlight w:val="none"/>
        </w:rPr>
      </w:pPr>
      <w:r>
        <w:rPr>
          <w:rFonts w:hint="eastAsia" w:ascii="宋体" w:hAnsi="宋体"/>
          <w:sz w:val="24"/>
          <w:highlight w:val="none"/>
        </w:rPr>
        <w:t xml:space="preserve">20.2 投标文件的修改</w:t>
      </w:r>
      <w:r/>
    </w:p>
    <w:p>
      <w:pPr>
        <w:ind w:firstLine="480"/>
        <w:spacing w:line="360" w:lineRule="auto"/>
        <w:rPr>
          <w:rFonts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360" w:lineRule="auto"/>
        <w:rPr>
          <w:rFonts w:ascii="宋体" w:hAnsi="宋体"/>
          <w:sz w:val="24"/>
          <w:highlight w:val="none"/>
        </w:rPr>
      </w:pPr>
      <w:r>
        <w:rPr>
          <w:rFonts w:hint="eastAsia" w:ascii="宋体" w:hAnsi="宋体"/>
          <w:sz w:val="24"/>
          <w:highlight w:val="none"/>
        </w:rPr>
        <w:t xml:space="preserve">20.2.2 在投标截止时间之后，投标人不得对其电子投标文件作任何修改。</w:t>
      </w:r>
      <w:r/>
    </w:p>
    <w:p>
      <w:pPr>
        <w:ind w:firstLine="480"/>
        <w:spacing w:line="360" w:lineRule="auto"/>
        <w:rPr>
          <w:rFonts w:ascii="宋体" w:hAnsi="宋体"/>
          <w:sz w:val="24"/>
          <w:highlight w:val="none"/>
        </w:rPr>
      </w:pPr>
      <w:r>
        <w:rPr>
          <w:rFonts w:hint="eastAsia" w:ascii="宋体" w:hAnsi="宋体"/>
          <w:sz w:val="24"/>
          <w:highlight w:val="none"/>
        </w:rPr>
        <w:t xml:space="preserve">20.3 在投标截止时间至招标文件中规定的投标有效期满之间的这段时间内，投标人不得撤回其投标。</w:t>
      </w:r>
      <w:r/>
    </w:p>
    <w:p>
      <w:pPr>
        <w:pStyle w:val="924"/>
        <w:ind w:firstLine="482"/>
        <w:spacing w:before="0" w:after="0" w:line="360" w:lineRule="auto"/>
        <w:rPr>
          <w:highlight w:val="none"/>
        </w:rPr>
      </w:pPr>
      <w:r/>
      <w:bookmarkStart w:id="186" w:name="_Toc9761"/>
      <w:r/>
      <w:bookmarkStart w:id="187" w:name="_Toc26916"/>
      <w:r/>
      <w:bookmarkStart w:id="188" w:name="_Toc513029229"/>
      <w:r/>
      <w:bookmarkStart w:id="189" w:name="_Toc16938545"/>
      <w:r/>
      <w:bookmarkStart w:id="190" w:name="_Toc109"/>
      <w:r/>
      <w:bookmarkStart w:id="191" w:name="_Toc120614218"/>
      <w:r/>
      <w:bookmarkStart w:id="192" w:name="_Toc20823301"/>
      <w:r>
        <w:rPr>
          <w:rFonts w:hint="eastAsia"/>
          <w:highlight w:val="none"/>
        </w:rPr>
        <w:t xml:space="preserve">五、开标与评标</w:t>
      </w:r>
      <w:bookmarkEnd w:id="186"/>
      <w:r/>
      <w:bookmarkEnd w:id="187"/>
      <w:r/>
      <w:bookmarkEnd w:id="188"/>
      <w:r/>
      <w:bookmarkEnd w:id="189"/>
      <w:r/>
      <w:bookmarkEnd w:id="190"/>
      <w:r/>
      <w:bookmarkEnd w:id="191"/>
      <w:r/>
      <w:bookmarkEnd w:id="192"/>
      <w:r/>
      <w:r/>
    </w:p>
    <w:p>
      <w:pPr>
        <w:pStyle w:val="926"/>
        <w:ind w:firstLine="420"/>
        <w:spacing w:before="0" w:after="0" w:line="360" w:lineRule="auto"/>
        <w:rPr>
          <w:b w:val="0"/>
          <w:bCs w:val="0"/>
          <w:highlight w:val="none"/>
        </w:rPr>
      </w:pPr>
      <w:r/>
      <w:bookmarkStart w:id="193" w:name="_Toc20823302"/>
      <w:r/>
      <w:bookmarkStart w:id="194" w:name="_Toc513029230"/>
      <w:r/>
      <w:bookmarkStart w:id="195" w:name="_Toc16938546"/>
      <w:r>
        <w:rPr>
          <w:rFonts w:hint="eastAsia"/>
          <w:b w:val="0"/>
          <w:bCs w:val="0"/>
          <w:highlight w:val="none"/>
        </w:rPr>
        <w:t xml:space="preserve">21、开标</w:t>
      </w:r>
      <w:bookmarkEnd w:id="193"/>
      <w:r/>
      <w:bookmarkEnd w:id="194"/>
      <w:r/>
      <w:bookmarkEnd w:id="195"/>
      <w:r/>
      <w:r/>
    </w:p>
    <w:p>
      <w:pPr>
        <w:ind w:firstLine="480"/>
        <w:spacing w:line="360" w:lineRule="auto"/>
        <w:rPr>
          <w:rFonts w:ascii="宋体" w:hAnsi="宋体"/>
          <w:sz w:val="24"/>
          <w:highlight w:val="none"/>
        </w:rPr>
      </w:pPr>
      <w:r>
        <w:rPr>
          <w:rFonts w:hint="eastAsia" w:ascii="宋体" w:hAnsi="宋体"/>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sz w:val="24"/>
          <w:highlight w:val="none"/>
        </w:rPr>
      </w:pPr>
      <w:r>
        <w:rPr>
          <w:rFonts w:hint="eastAsia" w:ascii="宋体" w:hAnsi="宋体"/>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sz w:val="24"/>
          <w:highlight w:val="none"/>
        </w:rPr>
      </w:pPr>
      <w:r>
        <w:rPr>
          <w:rFonts w:hint="eastAsia" w:ascii="宋体" w:hAnsi="宋体"/>
          <w:sz w:val="24"/>
          <w:highlight w:val="none"/>
        </w:rPr>
        <w:t xml:space="preserve">21.4投标人如果对开标过程和开标记录有疑义，应当根据《操作手册》规定提出，如苏采云系统中《开标记录表》宣布后5分钟内未提出的，视同认可开标结果。</w:t>
      </w:r>
      <w:r/>
    </w:p>
    <w:p>
      <w:pPr>
        <w:pStyle w:val="926"/>
        <w:ind w:firstLine="420"/>
        <w:spacing w:before="0" w:after="0" w:line="360" w:lineRule="auto"/>
        <w:rPr>
          <w:b w:val="0"/>
          <w:bCs w:val="0"/>
          <w:highlight w:val="none"/>
        </w:rPr>
      </w:pPr>
      <w:r/>
      <w:bookmarkStart w:id="196" w:name="_Toc20823303"/>
      <w:r/>
      <w:bookmarkStart w:id="197" w:name="_Toc16938547"/>
      <w:r/>
      <w:bookmarkStart w:id="198" w:name="_Toc513029231"/>
      <w:r>
        <w:rPr>
          <w:rFonts w:hint="eastAsia"/>
          <w:b w:val="0"/>
          <w:bCs w:val="0"/>
          <w:highlight w:val="none"/>
        </w:rPr>
        <w:t xml:space="preserve">22、评标委员会</w:t>
      </w:r>
      <w:r/>
    </w:p>
    <w:p>
      <w:pPr>
        <w:ind w:firstLine="480"/>
        <w:spacing w:line="360" w:lineRule="auto"/>
        <w:rPr>
          <w:rFonts w:ascii="宋体" w:hAnsi="宋体"/>
          <w:sz w:val="24"/>
          <w:highlight w:val="none"/>
        </w:rPr>
      </w:pPr>
      <w:r>
        <w:rPr>
          <w:rFonts w:hint="eastAsia" w:ascii="宋体" w:hAnsi="宋体"/>
          <w:sz w:val="24"/>
          <w:highlight w:val="none"/>
        </w:rPr>
        <w:t xml:space="preserve">22.1 开标后，采购人将立即组织评标委员会（以下简称评委会）进行评标。</w:t>
      </w:r>
      <w:r/>
    </w:p>
    <w:p>
      <w:pPr>
        <w:ind w:firstLine="480"/>
        <w:spacing w:line="360" w:lineRule="auto"/>
        <w:rPr>
          <w:rFonts w:ascii="宋体" w:hAnsi="宋体"/>
          <w:sz w:val="24"/>
          <w:highlight w:val="none"/>
        </w:rPr>
      </w:pPr>
      <w:r>
        <w:rPr>
          <w:rFonts w:hint="eastAsia" w:ascii="宋体" w:hAnsi="宋体"/>
          <w:sz w:val="24"/>
          <w:highlight w:val="none"/>
        </w:rPr>
        <w:t xml:space="preserve">22.2 评委会由采购人代表和有关技术、经济等方面的专家组成，且人员构成符合政府采购有关规定。</w:t>
      </w:r>
      <w:r/>
    </w:p>
    <w:p>
      <w:pPr>
        <w:ind w:firstLine="480"/>
        <w:spacing w:line="360" w:lineRule="auto"/>
        <w:rPr>
          <w:rFonts w:ascii="宋体" w:hAnsi="宋体"/>
          <w:sz w:val="24"/>
          <w:highlight w:val="none"/>
        </w:rPr>
      </w:pPr>
      <w:r>
        <w:rPr>
          <w:rFonts w:hint="eastAsia" w:ascii="宋体" w:hAnsi="宋体"/>
          <w:sz w:val="24"/>
          <w:highlight w:val="none"/>
        </w:rPr>
        <w:t xml:space="preserve">22.3评委会独立工作，负责评审所有投标文件并确定中标候选人。</w:t>
      </w:r>
      <w:r/>
    </w:p>
    <w:p>
      <w:pPr>
        <w:pStyle w:val="926"/>
        <w:ind w:firstLine="420"/>
        <w:spacing w:before="0" w:after="0" w:line="360" w:lineRule="auto"/>
        <w:rPr>
          <w:rFonts w:ascii="黑体"/>
          <w:b w:val="0"/>
          <w:bCs w:val="0"/>
          <w:highlight w:val="none"/>
        </w:rPr>
      </w:pPr>
      <w:r>
        <w:rPr>
          <w:rFonts w:hint="eastAsia" w:ascii="黑体"/>
          <w:b w:val="0"/>
          <w:bCs w:val="0"/>
          <w:highlight w:val="none"/>
        </w:rPr>
        <w:t xml:space="preserve">23、评标过程的保密与公正</w:t>
      </w:r>
      <w:bookmarkEnd w:id="196"/>
      <w:bookmarkEnd w:id="197"/>
      <w:bookmarkEnd w:id="198"/>
      <w:r/>
    </w:p>
    <w:p>
      <w:pPr>
        <w:ind w:firstLine="480"/>
        <w:spacing w:line="360" w:lineRule="auto"/>
        <w:rPr>
          <w:rFonts w:ascii="宋体" w:hAnsi="宋体"/>
          <w:sz w:val="24"/>
          <w:highlight w:val="none"/>
        </w:rPr>
      </w:pPr>
      <w:r>
        <w:rPr>
          <w:rFonts w:hint="eastAsia" w:ascii="宋体" w:hAnsi="宋体"/>
          <w:sz w:val="24"/>
          <w:highlight w:val="none"/>
        </w:rPr>
        <w:t xml:space="preserve">23.1凡是与审查、澄清、评价和比较投标的有关资料以及投标建议等，采购人、评委、采购代理机构均不得向投标人或与评标无关的其他人员透露。</w:t>
      </w:r>
      <w:r/>
    </w:p>
    <w:p>
      <w:pPr>
        <w:ind w:firstLine="480"/>
        <w:spacing w:line="360" w:lineRule="auto"/>
        <w:rPr>
          <w:rFonts w:ascii="宋体" w:hAnsi="宋体"/>
          <w:sz w:val="24"/>
          <w:highlight w:val="none"/>
        </w:rPr>
      </w:pPr>
      <w:r>
        <w:rPr>
          <w:rFonts w:hint="eastAsia" w:ascii="宋体" w:hAnsi="宋体"/>
          <w:sz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sz w:val="24"/>
          <w:highlight w:val="none"/>
        </w:rPr>
      </w:pPr>
      <w:r>
        <w:rPr>
          <w:rFonts w:hint="eastAsia" w:ascii="宋体" w:hAnsi="宋体"/>
          <w:sz w:val="24"/>
          <w:highlight w:val="none"/>
        </w:rPr>
        <w:t xml:space="preserve">23.3 采购人、采购代理机构和评标委员会不向未中标的投标人解释未中标原因，也不公布评标过程中的相关细节。</w:t>
      </w:r>
      <w:r/>
    </w:p>
    <w:p>
      <w:pPr>
        <w:ind w:firstLine="480"/>
        <w:spacing w:line="360" w:lineRule="auto"/>
        <w:rPr>
          <w:rFonts w:ascii="宋体" w:hAnsi="宋体"/>
          <w:sz w:val="24"/>
          <w:highlight w:val="none"/>
        </w:rPr>
      </w:pPr>
      <w:r>
        <w:rPr>
          <w:rFonts w:hint="eastAsia" w:ascii="宋体" w:hAnsi="宋体"/>
          <w:sz w:val="24"/>
          <w:highlight w:val="none"/>
        </w:rPr>
        <w:t xml:space="preserve">23.4 采用综合评分法的项目，未中标的投标人可于中标结果公告期限届满之日起通过苏采云系统查看自己的评审得分及排序情况。</w:t>
      </w:r>
      <w:r/>
    </w:p>
    <w:p>
      <w:pPr>
        <w:pStyle w:val="926"/>
        <w:ind w:firstLine="420"/>
        <w:spacing w:before="0" w:after="0" w:line="360" w:lineRule="auto"/>
        <w:rPr>
          <w:b w:val="0"/>
          <w:bCs w:val="0"/>
          <w:highlight w:val="none"/>
        </w:rPr>
      </w:pPr>
      <w:r/>
      <w:bookmarkStart w:id="199" w:name="_Toc16938548"/>
      <w:r/>
      <w:bookmarkStart w:id="200" w:name="_Toc20823304"/>
      <w:r/>
      <w:bookmarkStart w:id="201" w:name="_Toc513029232"/>
      <w:r>
        <w:rPr>
          <w:rFonts w:hint="eastAsia"/>
          <w:b w:val="0"/>
          <w:bCs w:val="0"/>
          <w:highlight w:val="none"/>
        </w:rPr>
        <w:t xml:space="preserve">24、投标文件的澄清</w:t>
      </w:r>
      <w:bookmarkEnd w:id="199"/>
      <w:r/>
      <w:bookmarkEnd w:id="200"/>
      <w:r/>
      <w:bookmarkEnd w:id="201"/>
      <w:r/>
      <w:r/>
    </w:p>
    <w:p>
      <w:pPr>
        <w:ind w:firstLine="480"/>
        <w:spacing w:line="360" w:lineRule="auto"/>
        <w:rPr>
          <w:rFonts w:ascii="宋体" w:hAnsi="宋体"/>
          <w:sz w:val="24"/>
          <w:highlight w:val="none"/>
        </w:rPr>
      </w:pPr>
      <w:r>
        <w:rPr>
          <w:rFonts w:hint="eastAsia" w:ascii="宋体" w:hAnsi="宋体"/>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360" w:lineRule="auto"/>
        <w:rPr>
          <w:rFonts w:ascii="宋体" w:hAnsi="宋体"/>
          <w:sz w:val="24"/>
          <w:highlight w:val="none"/>
        </w:rPr>
      </w:pPr>
      <w:r>
        <w:rPr>
          <w:rFonts w:hint="eastAsia" w:ascii="宋体" w:hAnsi="宋体"/>
          <w:sz w:val="24"/>
          <w:highlight w:val="none"/>
        </w:rPr>
        <w:t xml:space="preserve">评标委员会并非对每个投标人都做澄清要求。</w:t>
      </w:r>
      <w:r/>
    </w:p>
    <w:p>
      <w:pPr>
        <w:ind w:firstLine="480"/>
        <w:spacing w:line="360" w:lineRule="auto"/>
        <w:rPr>
          <w:rFonts w:ascii="宋体" w:hAnsi="宋体"/>
          <w:sz w:val="24"/>
          <w:highlight w:val="none"/>
        </w:rPr>
      </w:pPr>
      <w:r>
        <w:rPr>
          <w:rFonts w:hint="eastAsia" w:ascii="宋体" w:hAnsi="宋体"/>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sz w:val="24"/>
          <w:highlight w:val="none"/>
        </w:rPr>
      </w:pPr>
      <w:r>
        <w:rPr>
          <w:rFonts w:hint="eastAsia" w:ascii="宋体" w:hAnsi="宋体"/>
          <w:sz w:val="24"/>
          <w:highlight w:val="none"/>
        </w:rPr>
        <w:t xml:space="preserve">24.3 接到评委会澄清、说明和补正要求的投标人如未按规定作出澄清、说明和补正，其风险由投标人自行承担。</w:t>
      </w:r>
      <w:r/>
    </w:p>
    <w:p>
      <w:pPr>
        <w:pStyle w:val="926"/>
        <w:ind w:firstLine="420"/>
        <w:spacing w:before="0" w:after="0" w:line="360" w:lineRule="auto"/>
        <w:rPr>
          <w:b w:val="0"/>
          <w:bCs w:val="0"/>
          <w:highlight w:val="none"/>
        </w:rPr>
      </w:pPr>
      <w:r/>
      <w:bookmarkStart w:id="202" w:name="_Toc513029233"/>
      <w:r/>
      <w:bookmarkStart w:id="203" w:name="_Toc16938549"/>
      <w:r/>
      <w:bookmarkStart w:id="204" w:name="_Toc20823305"/>
      <w:r>
        <w:rPr>
          <w:rFonts w:hint="eastAsia"/>
          <w:b w:val="0"/>
          <w:bCs w:val="0"/>
          <w:highlight w:val="none"/>
        </w:rPr>
        <w:t xml:space="preserve">25、对投标文件的初审</w:t>
      </w:r>
      <w:bookmarkEnd w:id="202"/>
      <w:r/>
      <w:bookmarkEnd w:id="203"/>
      <w:r/>
      <w:bookmarkEnd w:id="204"/>
      <w:r/>
      <w:r/>
    </w:p>
    <w:p>
      <w:pPr>
        <w:ind w:firstLine="480"/>
        <w:spacing w:line="360" w:lineRule="auto"/>
        <w:rPr>
          <w:rFonts w:ascii="宋体" w:hAnsi="宋体"/>
          <w:sz w:val="24"/>
          <w:highlight w:val="none"/>
        </w:rPr>
      </w:pPr>
      <w:r>
        <w:rPr>
          <w:rFonts w:hint="eastAsia" w:ascii="宋体" w:hAnsi="宋体"/>
          <w:sz w:val="24"/>
          <w:highlight w:val="none"/>
        </w:rPr>
        <w:t xml:space="preserve">25.1投标文件初审分为资格审查和符合性审查。</w:t>
      </w:r>
      <w:r/>
    </w:p>
    <w:p>
      <w:pPr>
        <w:ind w:firstLine="480"/>
        <w:spacing w:line="360" w:lineRule="auto"/>
        <w:rPr>
          <w:rFonts w:ascii="宋体" w:hAnsi="宋体"/>
          <w:sz w:val="24"/>
          <w:highlight w:val="none"/>
        </w:rPr>
      </w:pPr>
      <w:r>
        <w:rPr>
          <w:rFonts w:hint="eastAsia" w:ascii="宋体" w:hAnsi="宋体"/>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sz w:val="24"/>
          <w:highlight w:val="none"/>
        </w:rPr>
      </w:pPr>
      <w:r>
        <w:rPr>
          <w:rFonts w:hint="eastAsia" w:ascii="宋体" w:hAnsi="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sz w:val="24"/>
          <w:highlight w:val="none"/>
        </w:rPr>
      </w:pPr>
      <w:r>
        <w:rPr>
          <w:rFonts w:hint="eastAsia" w:ascii="宋体" w:hAnsi="宋体"/>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sz w:val="24"/>
          <w:highlight w:val="none"/>
        </w:rPr>
      </w:pPr>
      <w:r>
        <w:rPr>
          <w:rFonts w:hint="eastAsia" w:ascii="宋体" w:hAnsi="宋体"/>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sz w:val="24"/>
          <w:highlight w:val="none"/>
        </w:rPr>
      </w:pPr>
      <w:r>
        <w:rPr>
          <w:rFonts w:hint="eastAsia" w:ascii="宋体" w:hAnsi="宋体"/>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360" w:lineRule="auto"/>
        <w:rPr>
          <w:rFonts w:ascii="宋体" w:hAnsi="宋体" w:cs="宋体"/>
          <w:b/>
          <w:sz w:val="24"/>
          <w:szCs w:val="24"/>
          <w:highlight w:val="none"/>
        </w:rPr>
      </w:pPr>
      <w:r>
        <w:rPr>
          <w:rFonts w:hint="eastAsia" w:ascii="宋体" w:hAnsi="宋体"/>
          <w:sz w:val="24"/>
          <w:highlight w:val="none"/>
        </w:rPr>
        <w:t xml:space="preserve">25.1.4</w:t>
      </w:r>
      <w:r>
        <w:rPr>
          <w:rFonts w:hint="eastAsia" w:ascii="宋体" w:hAnsi="宋体" w:cs="宋体"/>
          <w:b/>
          <w:sz w:val="24"/>
          <w:szCs w:val="24"/>
          <w:highlight w:val="none"/>
        </w:rPr>
        <w:t xml:space="preserve">政府采购异常低价审查：</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（一）评审过程中出现下列情形之一的，评审委员会应当启动异常低价投标（响应）审查程序：</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1.投标（响应）报价低于采购项目预算50%的，即投标（响应）报价&lt;采购项目预算×50%；</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2.投标（响应）报价低于采购项目最高限价45%的，即投标（响应）报价&lt;采购项目最高限价×45%；</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3.评审委员会认定的供应商报价过低、有可能影响产品质量或者不能诚信履约的其他情形。</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sz w:val="24"/>
          <w:highlight w:val="none"/>
        </w:rPr>
      </w:pPr>
      <w:r>
        <w:rPr>
          <w:rFonts w:hint="eastAsia" w:ascii="宋体" w:hAnsi="宋体" w:cs="宋体"/>
          <w:b/>
          <w:sz w:val="24"/>
          <w:szCs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sz w:val="24"/>
          <w:highlight w:val="none"/>
        </w:rPr>
      </w:pPr>
      <w:r>
        <w:rPr>
          <w:rFonts w:hint="eastAsia" w:ascii="宋体" w:hAnsi="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highlight w:val="none"/>
        </w:rPr>
      </w:pPr>
      <w:r>
        <w:rPr>
          <w:rFonts w:hint="eastAsia" w:ascii="宋体" w:hAnsi="宋体"/>
          <w:sz w:val="24"/>
          <w:highlight w:val="none"/>
        </w:rPr>
        <w:t xml:space="preserve">所谓重大偏离或保留是指</w:t>
      </w:r>
      <w:r>
        <w:rPr>
          <w:rFonts w:hint="eastAsia" w:ascii="宋体" w:hAnsi="宋体"/>
          <w:sz w:val="24"/>
          <w:szCs w:val="24"/>
          <w:highlight w:val="none"/>
        </w:rPr>
        <w:t xml:space="preserve">与招标文件规定的主要技术指标或重要的商务条款或除上述以外的多项指标要求存在负偏离，或者在实质上与招标文件不一致，</w:t>
      </w:r>
      <w:r>
        <w:rPr>
          <w:rFonts w:hint="eastAsia" w:ascii="宋体" w:hAnsi="宋体"/>
          <w:sz w:val="24"/>
          <w:highlight w:val="none"/>
        </w:rPr>
        <w:t xml:space="preserve">而且限制了合同中买方和</w:t>
      </w:r>
      <w:r>
        <w:rPr>
          <w:rFonts w:hint="eastAsia" w:ascii="宋体" w:hAnsi="宋体"/>
          <w:sz w:val="24"/>
          <w:szCs w:val="24"/>
          <w:highlight w:val="none"/>
        </w:rPr>
        <w:t xml:space="preserve">采购人</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highlight w:val="none"/>
        </w:rPr>
      </w:pPr>
      <w:r>
        <w:rPr>
          <w:rFonts w:hint="eastAsia" w:ascii="宋体" w:hAnsi="宋体"/>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sz w:val="24"/>
          <w:highlight w:val="none"/>
        </w:rPr>
      </w:pPr>
      <w:r>
        <w:rPr>
          <w:rFonts w:hint="eastAsia" w:ascii="宋体" w:hAnsi="宋体"/>
          <w:sz w:val="24"/>
          <w:highlight w:val="none"/>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sz w:val="24"/>
          <w:highlight w:val="none"/>
        </w:rPr>
      </w:pPr>
      <w:r>
        <w:rPr>
          <w:rFonts w:hint="eastAsia" w:ascii="宋体" w:hAnsi="宋体"/>
          <w:sz w:val="24"/>
          <w:highlight w:val="none"/>
        </w:rPr>
        <w:t xml:space="preserve">（1）投标文件中开标一览表内容与投标文件中相应内容不一致的，以开标一览表为准。</w:t>
      </w:r>
      <w:r/>
    </w:p>
    <w:p>
      <w:pPr>
        <w:ind w:firstLine="480"/>
        <w:spacing w:line="360" w:lineRule="auto"/>
        <w:rPr>
          <w:rFonts w:ascii="宋体" w:hAnsi="宋体"/>
          <w:sz w:val="24"/>
          <w:highlight w:val="none"/>
        </w:rPr>
      </w:pPr>
      <w:r>
        <w:rPr>
          <w:rFonts w:hint="eastAsia" w:ascii="宋体" w:hAnsi="宋体"/>
          <w:sz w:val="24"/>
          <w:highlight w:val="none"/>
        </w:rPr>
        <w:t xml:space="preserve">（2）大写金额和小写金额不一致的，以大写金额为准。</w:t>
      </w:r>
      <w:r/>
    </w:p>
    <w:p>
      <w:pPr>
        <w:ind w:firstLine="480"/>
        <w:spacing w:line="360" w:lineRule="auto"/>
        <w:rPr>
          <w:rFonts w:ascii="宋体" w:hAnsi="宋体"/>
          <w:sz w:val="24"/>
          <w:highlight w:val="none"/>
        </w:rPr>
      </w:pPr>
      <w:r>
        <w:rPr>
          <w:rFonts w:hint="eastAsia" w:ascii="宋体" w:hAnsi="宋体"/>
          <w:sz w:val="24"/>
          <w:highlight w:val="none"/>
        </w:rPr>
        <w:t xml:space="preserve">（3）单价金额小数点或者百分比有明显错位的，以开标一览表的总价为准，并修改单价。</w:t>
      </w:r>
      <w:r/>
    </w:p>
    <w:p>
      <w:pPr>
        <w:ind w:firstLine="480"/>
        <w:spacing w:line="360" w:lineRule="auto"/>
        <w:rPr>
          <w:rFonts w:ascii="宋体" w:hAnsi="宋体"/>
          <w:sz w:val="24"/>
          <w:highlight w:val="none"/>
        </w:rPr>
      </w:pPr>
      <w:r>
        <w:rPr>
          <w:rFonts w:hint="eastAsia" w:ascii="宋体" w:hAnsi="宋体"/>
          <w:sz w:val="24"/>
          <w:highlight w:val="none"/>
        </w:rPr>
        <w:t xml:space="preserve">（4）总价金额与按单价汇总金额不一致的，以单价金额计算结果为准。</w:t>
      </w:r>
      <w:r/>
    </w:p>
    <w:p>
      <w:pPr>
        <w:ind w:firstLine="480"/>
        <w:spacing w:line="360" w:lineRule="auto"/>
        <w:rPr>
          <w:rFonts w:ascii="宋体" w:hAnsi="宋体"/>
          <w:sz w:val="24"/>
          <w:highlight w:val="none"/>
        </w:rPr>
      </w:pPr>
      <w:r>
        <w:rPr>
          <w:rFonts w:hint="eastAsia" w:ascii="宋体" w:hAnsi="宋体"/>
          <w:sz w:val="24"/>
          <w:highlight w:val="none"/>
        </w:rPr>
        <w:t xml:space="preserve">同时出现两种以上错误的，按照前款规定的顺序修正。</w:t>
      </w:r>
      <w:r/>
    </w:p>
    <w:p>
      <w:pPr>
        <w:ind w:firstLine="480"/>
        <w:spacing w:line="360" w:lineRule="auto"/>
        <w:rPr>
          <w:rFonts w:ascii="宋体" w:hAnsi="宋体"/>
          <w:sz w:val="24"/>
          <w:highlight w:val="none"/>
        </w:rPr>
      </w:pPr>
      <w:r>
        <w:rPr>
          <w:rFonts w:hint="eastAsia" w:ascii="宋体" w:hAnsi="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sz w:val="24"/>
          <w:highlight w:val="none"/>
        </w:rPr>
      </w:pPr>
      <w:r/>
      <w:bookmarkStart w:id="205" w:name="_Toc513029234"/>
      <w:r/>
      <w:bookmarkStart w:id="206" w:name="_Toc16938550"/>
      <w:r/>
      <w:bookmarkStart w:id="207" w:name="_Toc20823306"/>
      <w:r>
        <w:rPr>
          <w:rFonts w:hint="eastAsia" w:ascii="宋体" w:hAnsi="宋体"/>
          <w:sz w:val="24"/>
          <w:highlight w:val="none"/>
        </w:rPr>
        <w:t xml:space="preserve">25.6投标人在开、评标全过程中应保持通讯畅通，及时登录苏采云系统查阅、答复相关信息，并安排专人与采购人、采购代理机构及评标委员会联系。</w:t>
      </w:r>
      <w:r/>
    </w:p>
    <w:p>
      <w:pPr>
        <w:pStyle w:val="926"/>
        <w:ind w:firstLine="420"/>
        <w:spacing w:before="0" w:after="0" w:line="360" w:lineRule="auto"/>
        <w:rPr>
          <w:b w:val="0"/>
          <w:bCs w:val="0"/>
          <w:highlight w:val="none"/>
        </w:rPr>
      </w:pPr>
      <w:r>
        <w:rPr>
          <w:rFonts w:hint="eastAsia"/>
          <w:b w:val="0"/>
          <w:bCs w:val="0"/>
          <w:highlight w:val="none"/>
        </w:rPr>
        <w:t xml:space="preserve">26、</w:t>
      </w:r>
      <w:bookmarkEnd w:id="205"/>
      <w:r/>
      <w:bookmarkEnd w:id="206"/>
      <w:r/>
      <w:bookmarkEnd w:id="207"/>
      <w:r>
        <w:rPr>
          <w:rFonts w:hint="eastAsia"/>
          <w:b w:val="0"/>
          <w:bCs w:val="0"/>
          <w:highlight w:val="none"/>
        </w:rPr>
        <w:t xml:space="preserve">无效投标条款和废标条款</w:t>
      </w:r>
      <w:r/>
    </w:p>
    <w:p>
      <w:pPr>
        <w:ind w:firstLine="480"/>
        <w:spacing w:line="360" w:lineRule="auto"/>
        <w:rPr>
          <w:rFonts w:ascii="宋体" w:hAnsi="宋体"/>
          <w:sz w:val="24"/>
          <w:highlight w:val="none"/>
        </w:rPr>
      </w:pPr>
      <w:r/>
      <w:bookmarkStart w:id="208" w:name="_Toc16938551"/>
      <w:r/>
      <w:bookmarkStart w:id="209" w:name="_Toc20823307"/>
      <w:r/>
      <w:bookmarkStart w:id="210" w:name="_Toc513029235"/>
      <w:r>
        <w:rPr>
          <w:rFonts w:hint="eastAsia" w:ascii="宋体" w:hAnsi="宋体"/>
          <w:sz w:val="24"/>
          <w:highlight w:val="none"/>
        </w:rPr>
        <w:t xml:space="preserve">26.1无效投标条款</w:t>
      </w:r>
      <w:r/>
    </w:p>
    <w:p>
      <w:pPr>
        <w:ind w:firstLine="480"/>
        <w:spacing w:line="360" w:lineRule="auto"/>
        <w:rPr>
          <w:rFonts w:ascii="宋体" w:hAnsi="宋体"/>
          <w:sz w:val="24"/>
          <w:highlight w:val="none"/>
        </w:rPr>
      </w:pPr>
      <w:r>
        <w:rPr>
          <w:rFonts w:hint="eastAsia" w:ascii="宋体" w:hAnsi="宋体"/>
          <w:sz w:val="24"/>
          <w:highlight w:val="none"/>
        </w:rPr>
        <w:t xml:space="preserve">26.1.1 投标人在苏采云系统规定的时间内未成功解密电子投标文件的。</w:t>
      </w:r>
      <w:r/>
    </w:p>
    <w:p>
      <w:pPr>
        <w:ind w:firstLine="480"/>
        <w:spacing w:line="360" w:lineRule="auto"/>
        <w:rPr>
          <w:rFonts w:ascii="宋体" w:hAnsi="宋体"/>
          <w:sz w:val="24"/>
          <w:highlight w:val="none"/>
        </w:rPr>
      </w:pPr>
      <w:r>
        <w:rPr>
          <w:rFonts w:hint="eastAsia" w:ascii="宋体" w:hAnsi="宋体"/>
          <w:sz w:val="24"/>
          <w:highlight w:val="none"/>
        </w:rPr>
        <w:t xml:space="preserve">26.1.2 投标人未按照招标文件要求上传电子投标文件的。</w:t>
      </w:r>
      <w:r/>
    </w:p>
    <w:p>
      <w:pPr>
        <w:ind w:firstLine="480"/>
        <w:spacing w:line="360" w:lineRule="auto"/>
        <w:rPr>
          <w:rFonts w:ascii="宋体" w:hAnsi="宋体"/>
          <w:sz w:val="24"/>
          <w:highlight w:val="none"/>
        </w:rPr>
      </w:pPr>
      <w:r>
        <w:rPr>
          <w:rFonts w:hint="eastAsia" w:ascii="宋体" w:hAnsi="宋体"/>
          <w:sz w:val="24"/>
          <w:highlight w:val="none"/>
        </w:rPr>
        <w:t xml:space="preserve">26.1.3同一投标人提交两个（含两个）以上不同的投标报价的。</w:t>
      </w:r>
      <w:r/>
    </w:p>
    <w:p>
      <w:pPr>
        <w:ind w:firstLine="480"/>
        <w:spacing w:line="360" w:lineRule="auto"/>
        <w:rPr>
          <w:rFonts w:ascii="宋体" w:hAnsi="宋体"/>
          <w:sz w:val="24"/>
          <w:highlight w:val="none"/>
        </w:rPr>
      </w:pPr>
      <w:r>
        <w:rPr>
          <w:rFonts w:hint="eastAsia" w:ascii="宋体" w:hAnsi="宋体"/>
          <w:sz w:val="24"/>
          <w:highlight w:val="none"/>
        </w:rPr>
        <w:t xml:space="preserve">26.1.4投标人不具备招标文件中规定资格要求的。</w:t>
      </w:r>
      <w:r/>
    </w:p>
    <w:p>
      <w:pPr>
        <w:ind w:firstLine="480"/>
        <w:spacing w:line="360" w:lineRule="auto"/>
        <w:rPr>
          <w:rFonts w:ascii="宋体" w:hAnsi="宋体"/>
          <w:sz w:val="24"/>
          <w:highlight w:val="none"/>
        </w:rPr>
      </w:pPr>
      <w:r>
        <w:rPr>
          <w:rFonts w:hint="eastAsia" w:ascii="宋体" w:hAnsi="宋体"/>
          <w:sz w:val="24"/>
          <w:highlight w:val="none"/>
        </w:rPr>
        <w:t xml:space="preserve">26.1.5投标人的报价超过了采购预算或最高限价的。</w:t>
      </w:r>
      <w:r/>
    </w:p>
    <w:p>
      <w:pPr>
        <w:ind w:firstLine="480"/>
        <w:spacing w:line="360" w:lineRule="auto"/>
        <w:rPr>
          <w:rFonts w:ascii="宋体" w:hAnsi="宋体"/>
          <w:sz w:val="24"/>
          <w:highlight w:val="none"/>
        </w:rPr>
      </w:pPr>
      <w:r>
        <w:rPr>
          <w:rFonts w:hint="eastAsia" w:ascii="宋体" w:hAnsi="宋体"/>
          <w:sz w:val="24"/>
          <w:highlight w:val="none"/>
        </w:rPr>
        <w:t xml:space="preserve">26.1.6未通过符合性审查的。</w:t>
      </w:r>
      <w:r/>
    </w:p>
    <w:p>
      <w:pPr>
        <w:ind w:firstLine="480"/>
        <w:spacing w:line="360" w:lineRule="auto"/>
        <w:rPr>
          <w:rFonts w:ascii="宋体" w:hAnsi="宋体"/>
          <w:sz w:val="24"/>
          <w:highlight w:val="none"/>
        </w:rPr>
      </w:pPr>
      <w:r>
        <w:rPr>
          <w:rFonts w:hint="eastAsia" w:ascii="宋体" w:hAnsi="宋体"/>
          <w:sz w:val="24"/>
          <w:highlight w:val="none"/>
        </w:rPr>
        <w:t xml:space="preserve">26.1.7不符合招标文件中规定的实质性要求和条件的。</w:t>
      </w:r>
      <w:r/>
    </w:p>
    <w:p>
      <w:pPr>
        <w:ind w:firstLine="480"/>
        <w:spacing w:line="360" w:lineRule="auto"/>
        <w:rPr>
          <w:rFonts w:ascii="宋体" w:hAnsi="宋体"/>
          <w:sz w:val="24"/>
          <w:highlight w:val="none"/>
        </w:rPr>
      </w:pPr>
      <w:r>
        <w:rPr>
          <w:rFonts w:hint="eastAsia" w:ascii="宋体" w:hAnsi="宋体"/>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sz w:val="24"/>
          <w:highlight w:val="none"/>
        </w:rPr>
      </w:pPr>
      <w:r>
        <w:rPr>
          <w:rFonts w:hint="eastAsia" w:ascii="宋体" w:hAnsi="宋体"/>
          <w:sz w:val="24"/>
          <w:highlight w:val="none"/>
        </w:rPr>
        <w:t xml:space="preserve">26.1.9投标文件含有采购人不能接受的附加条件的。</w:t>
      </w:r>
      <w:r/>
    </w:p>
    <w:p>
      <w:pPr>
        <w:ind w:firstLine="480"/>
        <w:spacing w:line="360" w:lineRule="auto"/>
        <w:rPr>
          <w:rFonts w:ascii="宋体" w:hAnsi="宋体"/>
          <w:sz w:val="24"/>
          <w:highlight w:val="none"/>
        </w:rPr>
      </w:pPr>
      <w:r>
        <w:rPr>
          <w:rFonts w:hint="eastAsia" w:ascii="宋体" w:hAnsi="宋体"/>
          <w:sz w:val="24"/>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sz w:val="24"/>
          <w:highlight w:val="none"/>
        </w:rPr>
      </w:pPr>
      <w:r>
        <w:rPr>
          <w:rFonts w:hint="eastAsia" w:ascii="宋体" w:hAnsi="宋体"/>
          <w:sz w:val="24"/>
          <w:highlight w:val="none"/>
        </w:rPr>
        <w:t xml:space="preserve">26.1.11投标文件未按照招标文件要求加盖CA电子公章的。</w:t>
      </w:r>
      <w:r/>
    </w:p>
    <w:p>
      <w:pPr>
        <w:ind w:firstLine="480"/>
        <w:spacing w:line="360" w:lineRule="auto"/>
        <w:rPr>
          <w:rFonts w:ascii="宋体" w:hAnsi="宋体"/>
          <w:sz w:val="24"/>
          <w:highlight w:val="none"/>
        </w:rPr>
      </w:pPr>
      <w:r>
        <w:rPr>
          <w:rFonts w:hint="eastAsia" w:ascii="宋体" w:hAnsi="宋体"/>
          <w:sz w:val="24"/>
          <w:highlight w:val="none"/>
        </w:rPr>
        <w:t xml:space="preserve">26.1.12其他法律、法规及本招标文件规定的属无效投标的情形。</w:t>
      </w:r>
      <w:r/>
    </w:p>
    <w:p>
      <w:pPr>
        <w:ind w:firstLine="480"/>
        <w:spacing w:line="360" w:lineRule="auto"/>
        <w:rPr>
          <w:rFonts w:ascii="宋体" w:hAnsi="宋体"/>
          <w:sz w:val="24"/>
          <w:highlight w:val="none"/>
        </w:rPr>
      </w:pPr>
      <w:r>
        <w:rPr>
          <w:rFonts w:hint="eastAsia" w:ascii="宋体" w:hAnsi="宋体"/>
          <w:sz w:val="24"/>
          <w:highlight w:val="none"/>
        </w:rPr>
        <w:t xml:space="preserve">26.2废标条款</w:t>
      </w:r>
      <w:r/>
    </w:p>
    <w:p>
      <w:pPr>
        <w:ind w:firstLine="480"/>
        <w:spacing w:line="360" w:lineRule="auto"/>
        <w:rPr>
          <w:rFonts w:ascii="宋体" w:hAnsi="宋体"/>
          <w:sz w:val="24"/>
          <w:highlight w:val="none"/>
        </w:rPr>
      </w:pPr>
      <w:r>
        <w:rPr>
          <w:rFonts w:hint="eastAsia" w:ascii="宋体" w:hAnsi="宋体"/>
          <w:sz w:val="24"/>
          <w:highlight w:val="none"/>
        </w:rPr>
        <w:t xml:space="preserve">26.2.1符合专业条件的供应商或者对招标文件做实质响应的供应商不足三家的。</w:t>
      </w:r>
      <w:r/>
    </w:p>
    <w:p>
      <w:pPr>
        <w:ind w:firstLine="480"/>
        <w:spacing w:line="360" w:lineRule="auto"/>
        <w:rPr>
          <w:rFonts w:ascii="宋体" w:hAnsi="宋体"/>
          <w:sz w:val="24"/>
          <w:highlight w:val="none"/>
        </w:rPr>
      </w:pPr>
      <w:r>
        <w:rPr>
          <w:rFonts w:hint="eastAsia" w:ascii="宋体" w:hAnsi="宋体"/>
          <w:sz w:val="24"/>
          <w:highlight w:val="none"/>
        </w:rPr>
        <w:t xml:space="preserve">26.2.2出现影响采购公正的违法、违规行为的。</w:t>
      </w:r>
      <w:r/>
    </w:p>
    <w:p>
      <w:pPr>
        <w:ind w:firstLine="480"/>
        <w:spacing w:line="360" w:lineRule="auto"/>
        <w:rPr>
          <w:rFonts w:ascii="宋体" w:hAnsi="宋体"/>
          <w:sz w:val="24"/>
          <w:highlight w:val="none"/>
        </w:rPr>
      </w:pPr>
      <w:r>
        <w:rPr>
          <w:rFonts w:hint="eastAsia" w:ascii="宋体" w:hAnsi="宋体"/>
          <w:sz w:val="24"/>
          <w:highlight w:val="none"/>
        </w:rPr>
        <w:t xml:space="preserve">26.2.3因重大变故，采购任务取消的。</w:t>
      </w:r>
      <w:r/>
    </w:p>
    <w:p>
      <w:pPr>
        <w:ind w:firstLine="480"/>
        <w:spacing w:line="360" w:lineRule="auto"/>
        <w:rPr>
          <w:rFonts w:ascii="宋体" w:hAnsi="宋体"/>
          <w:sz w:val="24"/>
          <w:highlight w:val="none"/>
        </w:rPr>
      </w:pPr>
      <w:r>
        <w:rPr>
          <w:rFonts w:hint="eastAsia" w:ascii="宋体" w:hAnsi="宋体"/>
          <w:sz w:val="24"/>
          <w:highlight w:val="none"/>
        </w:rPr>
        <w:t xml:space="preserve">26.2.4评标委员会认定招标文件存在歧义、重大缺陷导致评审工作无法进行。</w:t>
      </w:r>
      <w:r/>
    </w:p>
    <w:p>
      <w:pPr>
        <w:ind w:firstLine="480"/>
        <w:spacing w:line="360" w:lineRule="auto"/>
        <w:rPr>
          <w:rFonts w:ascii="宋体" w:hAnsi="宋体"/>
          <w:sz w:val="24"/>
          <w:highlight w:val="none"/>
        </w:rPr>
      </w:pPr>
      <w:r>
        <w:rPr>
          <w:rFonts w:hint="eastAsia" w:ascii="宋体" w:hAnsi="宋体"/>
          <w:sz w:val="24"/>
          <w:highlight w:val="none"/>
        </w:rPr>
        <w:t xml:space="preserve">26.2.5 因苏采云系统故障原因造成开标不成功的。</w:t>
      </w:r>
      <w:r/>
    </w:p>
    <w:p>
      <w:pPr>
        <w:ind w:firstLine="480"/>
        <w:spacing w:line="360" w:lineRule="auto"/>
        <w:rPr>
          <w:rFonts w:ascii="宋体" w:hAnsi="宋体"/>
          <w:sz w:val="24"/>
          <w:highlight w:val="none"/>
        </w:rPr>
      </w:pPr>
      <w:r>
        <w:rPr>
          <w:rFonts w:hint="eastAsia" w:ascii="宋体" w:hAnsi="宋体"/>
          <w:sz w:val="24"/>
          <w:highlight w:val="none"/>
        </w:rPr>
        <w:t xml:space="preserve">26.3 投标截止时间结束后参加投标的供应商不足三家的处理：</w:t>
      </w:r>
      <w:r/>
    </w:p>
    <w:p>
      <w:pPr>
        <w:ind w:firstLine="480"/>
        <w:spacing w:line="360" w:lineRule="auto"/>
        <w:rPr>
          <w:rFonts w:ascii="宋体" w:hAnsi="宋体"/>
          <w:bCs/>
          <w:sz w:val="24"/>
          <w:highlight w:val="none"/>
        </w:rPr>
      </w:pPr>
      <w:r>
        <w:rPr>
          <w:rFonts w:hint="eastAsia" w:ascii="宋体" w:hAnsi="宋体"/>
          <w:sz w:val="24"/>
          <w:highlight w:val="none"/>
        </w:rPr>
        <w:t xml:space="preserve">26.3.1如出现投标截止时间结束后参加投标的供应商或者在评标期间对招标文件做出实质响应的供应商不足三家情况，按政府采购相关规定执行。</w:t>
      </w:r>
      <w:r/>
    </w:p>
    <w:p>
      <w:pPr>
        <w:pStyle w:val="924"/>
        <w:ind w:firstLine="482"/>
        <w:spacing w:before="0" w:after="0" w:line="360" w:lineRule="auto"/>
        <w:rPr>
          <w:highlight w:val="none"/>
        </w:rPr>
      </w:pPr>
      <w:r/>
      <w:bookmarkStart w:id="211" w:name="_Toc16384"/>
      <w:r/>
      <w:bookmarkStart w:id="212" w:name="_Toc120614219"/>
      <w:r/>
      <w:bookmarkStart w:id="213" w:name="_Toc31095"/>
      <w:r/>
      <w:bookmarkStart w:id="214" w:name="_Toc3443"/>
      <w:r>
        <w:rPr>
          <w:rFonts w:hint="eastAsia"/>
          <w:highlight w:val="none"/>
        </w:rPr>
        <w:t xml:space="preserve">六、</w:t>
      </w:r>
      <w:bookmarkEnd w:id="208"/>
      <w:r/>
      <w:bookmarkEnd w:id="209"/>
      <w:r/>
      <w:bookmarkEnd w:id="210"/>
      <w:r>
        <w:rPr>
          <w:rFonts w:hint="eastAsia"/>
          <w:highlight w:val="none"/>
        </w:rPr>
        <w:t xml:space="preserve">定标</w:t>
      </w:r>
      <w:bookmarkEnd w:id="211"/>
      <w:r/>
      <w:bookmarkEnd w:id="212"/>
      <w:r/>
      <w:bookmarkEnd w:id="213"/>
      <w:r/>
      <w:bookmarkEnd w:id="214"/>
      <w:r/>
      <w:r/>
    </w:p>
    <w:p>
      <w:pPr>
        <w:pStyle w:val="926"/>
        <w:ind w:firstLine="600"/>
        <w:spacing w:before="0" w:after="0" w:line="360" w:lineRule="auto"/>
        <w:rPr>
          <w:rFonts w:ascii="黑体" w:hAnsi="宋体" w:cs="Times New Roman"/>
          <w:b w:val="0"/>
          <w:sz w:val="30"/>
          <w:szCs w:val="30"/>
          <w:highlight w:val="none"/>
        </w:rPr>
      </w:pPr>
      <w:r/>
      <w:bookmarkStart w:id="215" w:name="_Toc513029238"/>
      <w:r/>
      <w:bookmarkStart w:id="216" w:name="_Toc20823310"/>
      <w:r/>
      <w:bookmarkStart w:id="217" w:name="_Toc16938554"/>
      <w:r>
        <w:rPr>
          <w:rFonts w:hint="eastAsia" w:ascii="黑体" w:hAnsi="宋体" w:cs="Times New Roman"/>
          <w:b w:val="0"/>
          <w:sz w:val="30"/>
          <w:szCs w:val="30"/>
          <w:highlight w:val="none"/>
        </w:rPr>
        <w:t xml:space="preserve">27、</w:t>
      </w:r>
      <w:bookmarkEnd w:id="215"/>
      <w:r>
        <w:rPr>
          <w:rFonts w:hint="eastAsia" w:ascii="黑体" w:hAnsi="宋体" w:cs="Times New Roman"/>
          <w:b w:val="0"/>
          <w:sz w:val="30"/>
          <w:szCs w:val="30"/>
          <w:highlight w:val="none"/>
        </w:rPr>
        <w:t xml:space="preserve">确定</w:t>
      </w:r>
      <w:bookmarkEnd w:id="216"/>
      <w:r/>
      <w:bookmarkEnd w:id="217"/>
      <w:r>
        <w:rPr>
          <w:rFonts w:hint="eastAsia" w:ascii="黑体" w:hAnsi="宋体" w:cs="Times New Roman"/>
          <w:b w:val="0"/>
          <w:sz w:val="30"/>
          <w:szCs w:val="30"/>
          <w:highlight w:val="none"/>
        </w:rPr>
        <w:t xml:space="preserve">中标单位</w:t>
      </w:r>
      <w:r/>
    </w:p>
    <w:p>
      <w:pPr>
        <w:ind w:firstLine="480"/>
        <w:spacing w:line="360" w:lineRule="auto"/>
        <w:rPr>
          <w:rFonts w:ascii="宋体" w:hAnsi="宋体"/>
          <w:sz w:val="24"/>
          <w:highlight w:val="none"/>
        </w:rPr>
      </w:pPr>
      <w:r>
        <w:rPr>
          <w:rFonts w:hint="eastAsia" w:ascii="宋体" w:hAnsi="宋体"/>
          <w:sz w:val="24"/>
          <w:highlight w:val="none"/>
        </w:rPr>
        <w:t xml:space="preserve">27.1中标候选人的选取原则和数量见招标文件第五章规定。</w:t>
      </w:r>
      <w:r/>
    </w:p>
    <w:p>
      <w:pPr>
        <w:ind w:firstLine="480"/>
        <w:spacing w:line="360" w:lineRule="auto"/>
        <w:rPr>
          <w:rFonts w:ascii="宋体" w:hAnsi="宋体"/>
          <w:sz w:val="24"/>
          <w:highlight w:val="none"/>
        </w:rPr>
      </w:pPr>
      <w:r>
        <w:rPr>
          <w:rFonts w:hint="eastAsia" w:ascii="宋体" w:hAnsi="宋体"/>
          <w:sz w:val="24"/>
          <w:highlight w:val="none"/>
        </w:rPr>
        <w:t xml:space="preserve">27.2 采购人应根据评委会推荐的中标候选人确定中标人。</w:t>
      </w:r>
      <w:r/>
    </w:p>
    <w:p>
      <w:pPr>
        <w:ind w:firstLine="480"/>
        <w:spacing w:line="360" w:lineRule="auto"/>
        <w:rPr>
          <w:rFonts w:ascii="宋体" w:hAnsi="宋体"/>
          <w:sz w:val="24"/>
          <w:highlight w:val="none"/>
        </w:rPr>
      </w:pPr>
      <w:r>
        <w:rPr>
          <w:rFonts w:hint="eastAsia" w:ascii="宋体" w:hAnsi="宋体"/>
          <w:sz w:val="24"/>
          <w:highlight w:val="none"/>
        </w:rPr>
        <w:t xml:space="preserve">27.3 采购人或采购代理机构将在“江苏政府采购网”发布中标公告，公告期限为1个工作日。</w:t>
      </w:r>
      <w:r/>
    </w:p>
    <w:p>
      <w:pPr>
        <w:ind w:firstLine="480"/>
        <w:spacing w:line="360" w:lineRule="auto"/>
        <w:rPr>
          <w:rFonts w:ascii="宋体" w:hAnsi="宋体"/>
          <w:sz w:val="24"/>
          <w:highlight w:val="none"/>
        </w:rPr>
      </w:pPr>
      <w:r>
        <w:rPr>
          <w:rFonts w:hint="eastAsia" w:ascii="宋体" w:hAnsi="宋体"/>
          <w:sz w:val="24"/>
          <w:highlight w:val="none"/>
        </w:rPr>
        <w:t xml:space="preserve">27.4  若有充分证据证明，中标人出现下列情况之一的，一经查实，将被取消中标资格：</w:t>
      </w:r>
      <w:r/>
    </w:p>
    <w:p>
      <w:pPr>
        <w:ind w:firstLine="480"/>
        <w:spacing w:line="360" w:lineRule="auto"/>
        <w:rPr>
          <w:rFonts w:ascii="宋体" w:hAnsi="宋体"/>
          <w:sz w:val="24"/>
          <w:highlight w:val="none"/>
        </w:rPr>
      </w:pPr>
      <w:r>
        <w:rPr>
          <w:rFonts w:hint="eastAsia" w:ascii="宋体" w:hAnsi="宋体"/>
          <w:sz w:val="24"/>
          <w:highlight w:val="none"/>
        </w:rPr>
        <w:t xml:space="preserve">27.4.1提供虚假材料谋取中标的。</w:t>
      </w:r>
      <w:r/>
    </w:p>
    <w:p>
      <w:pPr>
        <w:ind w:firstLine="480"/>
        <w:spacing w:line="360" w:lineRule="auto"/>
        <w:rPr>
          <w:rFonts w:ascii="宋体" w:hAnsi="宋体"/>
          <w:sz w:val="24"/>
          <w:highlight w:val="none"/>
        </w:rPr>
      </w:pPr>
      <w:r>
        <w:rPr>
          <w:rFonts w:hint="eastAsia" w:ascii="宋体" w:hAnsi="宋体"/>
          <w:sz w:val="24"/>
          <w:highlight w:val="none"/>
        </w:rPr>
        <w:t xml:space="preserve">27.4.2向采购人、采购代理机构行贿或者提供其他不正当利益的。</w:t>
      </w:r>
      <w:r/>
    </w:p>
    <w:p>
      <w:pPr>
        <w:ind w:firstLine="480"/>
        <w:spacing w:line="360" w:lineRule="auto"/>
        <w:rPr>
          <w:rFonts w:ascii="宋体" w:hAnsi="宋体"/>
          <w:sz w:val="24"/>
          <w:highlight w:val="none"/>
        </w:rPr>
      </w:pPr>
      <w:r>
        <w:rPr>
          <w:rFonts w:hint="eastAsia" w:ascii="宋体" w:hAnsi="宋体"/>
          <w:sz w:val="24"/>
          <w:highlight w:val="none"/>
        </w:rPr>
        <w:t xml:space="preserve">27.4.3属于本文件规定的无效条件，但在评标过程中又未被评委会发现的。</w:t>
      </w:r>
      <w:r/>
    </w:p>
    <w:p>
      <w:pPr>
        <w:ind w:firstLine="480"/>
        <w:spacing w:line="360" w:lineRule="auto"/>
        <w:rPr>
          <w:rFonts w:ascii="宋体" w:hAnsi="宋体"/>
          <w:sz w:val="24"/>
          <w:highlight w:val="none"/>
        </w:rPr>
      </w:pPr>
      <w:r>
        <w:rPr>
          <w:rFonts w:hint="eastAsia" w:ascii="宋体" w:hAnsi="宋体"/>
          <w:sz w:val="24"/>
          <w:highlight w:val="none"/>
        </w:rPr>
        <w:t xml:space="preserve">27.4.4与采购人或者其他供应商恶意串通的。</w:t>
      </w:r>
      <w:r/>
    </w:p>
    <w:p>
      <w:pPr>
        <w:ind w:firstLine="480"/>
        <w:spacing w:line="360" w:lineRule="auto"/>
        <w:rPr>
          <w:rFonts w:ascii="宋体" w:hAnsi="宋体"/>
          <w:sz w:val="24"/>
          <w:highlight w:val="none"/>
        </w:rPr>
      </w:pPr>
      <w:r>
        <w:rPr>
          <w:rFonts w:hint="eastAsia" w:ascii="宋体" w:hAnsi="宋体"/>
          <w:sz w:val="24"/>
          <w:highlight w:val="none"/>
        </w:rPr>
        <w:t xml:space="preserve">27.4.5采取不正当手段诋毁、排挤其他供应商的。</w:t>
      </w:r>
      <w:r/>
    </w:p>
    <w:p>
      <w:pPr>
        <w:ind w:firstLine="480"/>
        <w:spacing w:line="360" w:lineRule="auto"/>
        <w:rPr>
          <w:rFonts w:ascii="宋体" w:hAnsi="宋体"/>
          <w:sz w:val="24"/>
          <w:highlight w:val="none"/>
        </w:rPr>
      </w:pPr>
      <w:r/>
      <w:bookmarkStart w:id="218" w:name="_Toc200451960"/>
      <w:r>
        <w:rPr>
          <w:rFonts w:hint="eastAsia" w:ascii="宋体" w:hAnsi="宋体"/>
          <w:sz w:val="24"/>
          <w:highlight w:val="none"/>
        </w:rPr>
        <w:t xml:space="preserve">27.5 有下列情形之一的，视为投标人串通投标，投标无效：</w:t>
      </w:r>
      <w:r/>
    </w:p>
    <w:p>
      <w:pPr>
        <w:ind w:firstLine="480"/>
        <w:spacing w:line="360" w:lineRule="auto"/>
        <w:rPr>
          <w:rFonts w:ascii="宋体" w:hAnsi="宋体"/>
          <w:sz w:val="24"/>
          <w:highlight w:val="none"/>
        </w:rPr>
      </w:pPr>
      <w:r>
        <w:rPr>
          <w:rFonts w:hint="eastAsia" w:ascii="宋体" w:hAnsi="宋体"/>
          <w:sz w:val="24"/>
          <w:highlight w:val="none"/>
        </w:rPr>
        <w:t xml:space="preserve">27.5.1不同投标人的投标文件由同一单位或者个人编制。</w:t>
      </w:r>
      <w:r/>
    </w:p>
    <w:p>
      <w:pPr>
        <w:ind w:firstLine="480"/>
        <w:spacing w:line="360" w:lineRule="auto"/>
        <w:rPr>
          <w:rFonts w:ascii="宋体" w:hAnsi="宋体"/>
          <w:sz w:val="24"/>
          <w:highlight w:val="none"/>
        </w:rPr>
      </w:pPr>
      <w:r>
        <w:rPr>
          <w:rFonts w:hint="eastAsia" w:ascii="宋体" w:hAnsi="宋体"/>
          <w:sz w:val="24"/>
          <w:highlight w:val="none"/>
        </w:rPr>
        <w:t xml:space="preserve">27.5.2不同投标人委托同一单位或者个人办理投标事宜。</w:t>
      </w:r>
      <w:r/>
    </w:p>
    <w:p>
      <w:pPr>
        <w:ind w:firstLine="480"/>
        <w:spacing w:line="360" w:lineRule="auto"/>
        <w:rPr>
          <w:rFonts w:ascii="宋体" w:hAnsi="宋体"/>
          <w:sz w:val="24"/>
          <w:highlight w:val="none"/>
        </w:rPr>
      </w:pPr>
      <w:r>
        <w:rPr>
          <w:rFonts w:hint="eastAsia" w:ascii="宋体" w:hAnsi="宋体"/>
          <w:sz w:val="24"/>
          <w:highlight w:val="none"/>
        </w:rPr>
        <w:t xml:space="preserve">27.5.3 不同投标人的投标文件载明的项目管理成员或者联系人员为同一人。</w:t>
      </w:r>
      <w:r/>
    </w:p>
    <w:p>
      <w:pPr>
        <w:ind w:firstLine="480"/>
        <w:spacing w:line="360" w:lineRule="auto"/>
        <w:rPr>
          <w:rFonts w:ascii="宋体" w:hAnsi="宋体"/>
          <w:sz w:val="24"/>
          <w:szCs w:val="24"/>
          <w:highlight w:val="none"/>
        </w:rPr>
      </w:pPr>
      <w:r>
        <w:rPr>
          <w:rFonts w:hint="eastAsia" w:ascii="宋体" w:hAnsi="宋体"/>
          <w:sz w:val="24"/>
          <w:highlight w:val="none"/>
        </w:rPr>
        <w:t xml:space="preserve">27.5.4不同投标人的投标文件异常一致或者投标报价呈规律性差异。</w:t>
      </w:r>
      <w:r/>
    </w:p>
    <w:p>
      <w:pPr>
        <w:pStyle w:val="926"/>
        <w:ind w:firstLine="600"/>
        <w:spacing w:before="0" w:after="0" w:line="36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28、质疑处理</w:t>
      </w:r>
      <w:bookmarkEnd w:id="218"/>
      <w:r/>
      <w:r/>
    </w:p>
    <w:p>
      <w:pPr>
        <w:ind w:firstLine="480"/>
        <w:spacing w:line="360" w:lineRule="auto"/>
        <w:rPr>
          <w:rFonts w:ascii="宋体" w:hAnsi="宋体"/>
          <w:sz w:val="24"/>
          <w:highlight w:val="none"/>
        </w:rPr>
      </w:pPr>
      <w:r>
        <w:rPr>
          <w:rFonts w:hint="eastAsia" w:ascii="宋体" w:hAnsi="宋体"/>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highlight w:val="none"/>
        </w:rPr>
      </w:pPr>
      <w:r>
        <w:rPr>
          <w:rFonts w:hint="eastAsia" w:ascii="宋体" w:hAnsi="宋体"/>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sz w:val="24"/>
          <w:highlight w:val="none"/>
        </w:rPr>
      </w:pPr>
      <w:r>
        <w:rPr>
          <w:rFonts w:hint="eastAsia" w:ascii="宋体" w:hAnsi="宋体"/>
          <w:sz w:val="24"/>
          <w:highlight w:val="none"/>
        </w:rPr>
        <w:t xml:space="preserve">28.2.1对可以质疑的采购文件提出质疑的，为收到采购文件之日或者采购文件公告期限届满之日；</w:t>
      </w:r>
      <w:r/>
    </w:p>
    <w:p>
      <w:pPr>
        <w:ind w:firstLine="480"/>
        <w:spacing w:line="360" w:lineRule="auto"/>
        <w:rPr>
          <w:rFonts w:ascii="宋体" w:hAnsi="宋体"/>
          <w:sz w:val="24"/>
          <w:highlight w:val="none"/>
        </w:rPr>
      </w:pPr>
      <w:r>
        <w:rPr>
          <w:rFonts w:hint="eastAsia" w:ascii="宋体" w:hAnsi="宋体"/>
          <w:sz w:val="24"/>
          <w:highlight w:val="none"/>
        </w:rPr>
        <w:t xml:space="preserve">28.2.2对采购过程提出质疑的，为各采购程序环节结束之日；</w:t>
      </w:r>
      <w:r/>
    </w:p>
    <w:p>
      <w:pPr>
        <w:ind w:firstLine="480"/>
        <w:spacing w:line="360" w:lineRule="auto"/>
        <w:rPr>
          <w:rFonts w:ascii="宋体" w:hAnsi="宋体"/>
          <w:sz w:val="24"/>
          <w:highlight w:val="none"/>
        </w:rPr>
      </w:pPr>
      <w:r>
        <w:rPr>
          <w:rFonts w:hint="eastAsia" w:ascii="宋体" w:hAnsi="宋体"/>
          <w:sz w:val="24"/>
          <w:highlight w:val="none"/>
        </w:rPr>
        <w:t xml:space="preserve">28.2.3对中标或者成交结果提出质疑的，为中标或者成交结果公告期限届满之日。</w:t>
      </w:r>
      <w:r/>
    </w:p>
    <w:p>
      <w:pPr>
        <w:ind w:firstLine="480"/>
        <w:spacing w:line="360" w:lineRule="auto"/>
        <w:rPr>
          <w:rFonts w:ascii="宋体" w:hAnsi="宋体"/>
          <w:sz w:val="24"/>
          <w:highlight w:val="none"/>
        </w:rPr>
      </w:pPr>
      <w:r>
        <w:rPr>
          <w:rFonts w:hint="eastAsia" w:ascii="宋体" w:hAnsi="宋体"/>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sz w:val="24"/>
          <w:highlight w:val="none"/>
        </w:rPr>
      </w:pPr>
      <w:r>
        <w:rPr>
          <w:rFonts w:hint="eastAsia" w:ascii="宋体" w:hAnsi="宋体"/>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sz w:val="24"/>
          <w:highlight w:val="none"/>
        </w:rPr>
      </w:pPr>
      <w:r>
        <w:rPr>
          <w:rFonts w:hint="eastAsia" w:ascii="宋体" w:hAnsi="宋体"/>
          <w:sz w:val="24"/>
          <w:highlight w:val="none"/>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360" w:lineRule="auto"/>
        <w:rPr>
          <w:rFonts w:ascii="宋体" w:hAnsi="宋体"/>
          <w:b/>
          <w:sz w:val="24"/>
          <w:szCs w:val="24"/>
          <w:highlight w:val="none"/>
        </w:rPr>
      </w:pPr>
      <w:r>
        <w:rPr>
          <w:rFonts w:hint="eastAsia" w:ascii="宋体" w:hAnsi="宋体"/>
          <w:sz w:val="24"/>
          <w:highlight w:val="none"/>
        </w:rPr>
        <w:t xml:space="preserve">采购人及采购代理机构只接收以纸质原件形式送达的质疑，供应商可以通过现场递交或邮寄方式提交质疑。</w:t>
      </w:r>
      <w:r/>
    </w:p>
    <w:p>
      <w:pPr>
        <w:ind w:firstLine="480"/>
        <w:spacing w:line="360" w:lineRule="auto"/>
        <w:rPr>
          <w:rFonts w:ascii="宋体" w:hAnsi="宋体"/>
          <w:sz w:val="24"/>
          <w:highlight w:val="none"/>
        </w:rPr>
      </w:pPr>
      <w:r>
        <w:rPr>
          <w:rFonts w:hint="eastAsia" w:ascii="宋体" w:hAnsi="宋体"/>
          <w:sz w:val="24"/>
          <w:highlight w:val="none"/>
        </w:rPr>
        <w:t xml:space="preserve">采购代理机构质疑接收部门为江苏鸿成工程项目管理有限公司招标代理部，联系地址：连云港市海州区郁州北路9号瀛洲大厦2楼209室，联系电话：0518-81061799。</w:t>
      </w:r>
      <w:r/>
    </w:p>
    <w:p>
      <w:pPr>
        <w:ind w:firstLine="480"/>
        <w:spacing w:line="360" w:lineRule="auto"/>
        <w:rPr>
          <w:rFonts w:ascii="宋体" w:hAnsi="宋体"/>
          <w:sz w:val="24"/>
          <w:highlight w:val="none"/>
        </w:rPr>
      </w:pPr>
      <w:r>
        <w:rPr>
          <w:rFonts w:hint="eastAsia" w:ascii="宋体" w:hAnsi="宋体"/>
          <w:sz w:val="24"/>
          <w:highlight w:val="none"/>
        </w:rPr>
        <w:t xml:space="preserve">采购人质疑接收人及联系方式见招标文件第一章。</w:t>
      </w:r>
      <w:r/>
    </w:p>
    <w:p>
      <w:pPr>
        <w:ind w:firstLine="480"/>
        <w:spacing w:line="360" w:lineRule="auto"/>
        <w:rPr>
          <w:rFonts w:ascii="宋体" w:hAnsi="宋体"/>
          <w:sz w:val="24"/>
          <w:highlight w:val="none"/>
        </w:rPr>
      </w:pPr>
      <w:r>
        <w:rPr>
          <w:rFonts w:hint="eastAsia" w:ascii="宋体" w:hAnsi="宋体"/>
          <w:sz w:val="24"/>
          <w:highlight w:val="none"/>
        </w:rPr>
        <w:t xml:space="preserve">28.5 以下情形的质疑不予受理</w:t>
      </w:r>
      <w:r/>
    </w:p>
    <w:p>
      <w:pPr>
        <w:ind w:firstLine="480"/>
        <w:spacing w:line="360" w:lineRule="auto"/>
        <w:rPr>
          <w:rFonts w:ascii="宋体" w:hAnsi="宋体"/>
          <w:sz w:val="24"/>
          <w:highlight w:val="none"/>
        </w:rPr>
      </w:pPr>
      <w:r>
        <w:rPr>
          <w:rFonts w:hint="eastAsia" w:ascii="宋体" w:hAnsi="宋体"/>
          <w:sz w:val="24"/>
          <w:highlight w:val="none"/>
        </w:rPr>
        <w:t xml:space="preserve">28.5.1 内容不符合《政府采购质疑和投诉办法》第十二条规定的质疑。</w:t>
      </w:r>
      <w:r/>
    </w:p>
    <w:p>
      <w:pPr>
        <w:ind w:firstLine="480"/>
        <w:spacing w:line="360" w:lineRule="auto"/>
        <w:rPr>
          <w:rFonts w:ascii="宋体" w:hAnsi="宋体"/>
          <w:sz w:val="24"/>
          <w:highlight w:val="none"/>
        </w:rPr>
      </w:pPr>
      <w:r>
        <w:rPr>
          <w:rFonts w:hint="eastAsia" w:ascii="宋体" w:hAnsi="宋体"/>
          <w:sz w:val="24"/>
          <w:highlight w:val="none"/>
        </w:rPr>
        <w:t xml:space="preserve">28.5.2 超出政府采购法定期限的质疑。</w:t>
      </w:r>
      <w:r/>
    </w:p>
    <w:p>
      <w:pPr>
        <w:ind w:firstLine="480"/>
        <w:spacing w:line="360" w:lineRule="auto"/>
        <w:rPr>
          <w:rFonts w:ascii="宋体" w:hAnsi="宋体"/>
          <w:sz w:val="24"/>
          <w:highlight w:val="none"/>
        </w:rPr>
      </w:pPr>
      <w:r>
        <w:rPr>
          <w:rFonts w:hint="eastAsia" w:ascii="宋体" w:hAnsi="宋体"/>
          <w:sz w:val="24"/>
          <w:highlight w:val="none"/>
        </w:rPr>
        <w:t xml:space="preserve">28.5.3 以传真、电子邮件等方式递交的非原件形式的质疑。</w:t>
      </w:r>
      <w:r/>
    </w:p>
    <w:p>
      <w:pPr>
        <w:ind w:firstLine="480"/>
        <w:spacing w:line="360" w:lineRule="auto"/>
        <w:rPr>
          <w:rFonts w:ascii="宋体" w:hAnsi="宋体"/>
          <w:sz w:val="24"/>
          <w:highlight w:val="none"/>
        </w:rPr>
      </w:pPr>
      <w:r>
        <w:rPr>
          <w:rFonts w:hint="eastAsia" w:ascii="宋体" w:hAnsi="宋体"/>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sz w:val="24"/>
          <w:highlight w:val="none"/>
        </w:rPr>
      </w:pPr>
      <w:r>
        <w:rPr>
          <w:rFonts w:hint="eastAsia" w:ascii="宋体" w:hAnsi="宋体"/>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sz w:val="24"/>
          <w:szCs w:val="24"/>
          <w:highlight w:val="none"/>
        </w:rPr>
      </w:pPr>
      <w:r>
        <w:rPr>
          <w:rFonts w:hint="eastAsia" w:ascii="宋体" w:hAnsi="宋体"/>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6"/>
        <w:ind w:firstLine="600"/>
        <w:spacing w:before="0" w:after="0" w:line="36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29、中标通知书</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29.l中标结果确定后，采购代理机构将向中标人发出中标通知书。</w:t>
      </w:r>
      <w:r>
        <w:rPr>
          <w:rFonts w:hint="eastAsia" w:ascii="宋体" w:hAnsi="宋体"/>
          <w:b/>
          <w:bCs/>
          <w:sz w:val="24"/>
          <w:szCs w:val="24"/>
          <w:highlight w:val="none"/>
        </w:rPr>
        <w:t xml:space="preserve">中标供应商在领取中标通知书时，需提供五份与电子投标文件一致的纸质打印投标文件，须封面、骑缝加盖公章。</w:t>
      </w:r>
      <w:r/>
    </w:p>
    <w:p>
      <w:pPr>
        <w:ind w:firstLine="480"/>
        <w:spacing w:line="360" w:lineRule="auto"/>
        <w:rPr>
          <w:rFonts w:ascii="宋体" w:hAnsi="宋体"/>
          <w:sz w:val="24"/>
          <w:highlight w:val="none"/>
        </w:rPr>
      </w:pPr>
      <w:r>
        <w:rPr>
          <w:rFonts w:hint="eastAsia" w:ascii="宋体" w:hAnsi="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24"/>
        <w:spacing w:before="0" w:after="0" w:line="360" w:lineRule="auto"/>
        <w:rPr>
          <w:highlight w:val="none"/>
        </w:rPr>
      </w:pPr>
      <w:r/>
      <w:bookmarkStart w:id="219" w:name="_Toc25986"/>
      <w:r/>
      <w:bookmarkStart w:id="220" w:name="_Toc12848"/>
      <w:r/>
      <w:bookmarkStart w:id="221" w:name="_Toc120614220"/>
      <w:r/>
      <w:bookmarkStart w:id="222" w:name="_Toc31566"/>
      <w:r/>
      <w:bookmarkStart w:id="223" w:name="_Toc20823308"/>
      <w:r/>
      <w:bookmarkStart w:id="224" w:name="_Toc513029236"/>
      <w:r/>
      <w:bookmarkStart w:id="225" w:name="_Toc16938552"/>
      <w:r>
        <w:rPr>
          <w:rFonts w:hint="eastAsia"/>
          <w:highlight w:val="none"/>
        </w:rPr>
        <w:t xml:space="preserve">七、授予合同</w:t>
      </w:r>
      <w:bookmarkEnd w:id="219"/>
      <w:r/>
      <w:bookmarkEnd w:id="220"/>
      <w:r/>
      <w:bookmarkEnd w:id="221"/>
      <w:r/>
      <w:bookmarkEnd w:id="222"/>
      <w:r/>
      <w:bookmarkEnd w:id="223"/>
      <w:bookmarkEnd w:id="224"/>
      <w:bookmarkEnd w:id="225"/>
      <w:r/>
    </w:p>
    <w:p>
      <w:pPr>
        <w:pStyle w:val="926"/>
        <w:ind w:firstLine="600"/>
        <w:spacing w:before="0" w:after="0" w:line="360" w:lineRule="auto"/>
        <w:rPr>
          <w:rFonts w:ascii="黑体" w:hAnsi="宋体" w:cs="Times New Roman"/>
          <w:b w:val="0"/>
          <w:sz w:val="30"/>
          <w:szCs w:val="30"/>
          <w:highlight w:val="none"/>
        </w:rPr>
      </w:pPr>
      <w:r/>
      <w:bookmarkStart w:id="226" w:name="_Toc20823309"/>
      <w:r/>
      <w:bookmarkStart w:id="227" w:name="_Toc513029237"/>
      <w:r/>
      <w:bookmarkStart w:id="228" w:name="_Toc16938553"/>
      <w:r>
        <w:rPr>
          <w:rFonts w:hint="eastAsia" w:ascii="黑体" w:hAnsi="宋体" w:cs="Times New Roman"/>
          <w:b w:val="0"/>
          <w:sz w:val="30"/>
          <w:szCs w:val="30"/>
          <w:highlight w:val="none"/>
        </w:rPr>
        <w:t xml:space="preserve">30.签订合同</w:t>
      </w:r>
      <w:r/>
    </w:p>
    <w:p>
      <w:pPr>
        <w:ind w:firstLine="480"/>
        <w:spacing w:line="360" w:lineRule="auto"/>
        <w:rPr>
          <w:rFonts w:ascii="宋体" w:hAnsi="宋体"/>
          <w:sz w:val="24"/>
          <w:highlight w:val="none"/>
        </w:rPr>
      </w:pPr>
      <w:r>
        <w:rPr>
          <w:rFonts w:hint="eastAsia" w:ascii="宋体" w:hAnsi="宋体"/>
          <w:sz w:val="24"/>
          <w:highlight w:val="none"/>
        </w:rPr>
        <w:t xml:space="preserve">30.l中标人应当在中标通知书发出之日起三十日内，按照招标文件确定的事项与采购人签订政府采购合同。</w:t>
      </w:r>
      <w:r/>
    </w:p>
    <w:p>
      <w:pPr>
        <w:ind w:firstLine="480"/>
        <w:spacing w:line="360" w:lineRule="auto"/>
        <w:rPr>
          <w:rFonts w:ascii="宋体" w:hAnsi="宋体"/>
          <w:sz w:val="24"/>
          <w:highlight w:val="none"/>
        </w:rPr>
      </w:pPr>
      <w:r>
        <w:rPr>
          <w:rFonts w:hint="eastAsia" w:ascii="宋体" w:hAnsi="宋体"/>
          <w:sz w:val="24"/>
          <w:highlight w:val="none"/>
        </w:rPr>
        <w:t xml:space="preserve">30.2 招标文件、中标人的投标文件及招标过程中有关澄清、承诺文件均应作为合同附件。</w:t>
      </w:r>
      <w:r/>
    </w:p>
    <w:p>
      <w:pPr>
        <w:ind w:firstLine="600"/>
        <w:spacing w:line="360" w:lineRule="auto"/>
        <w:rPr>
          <w:rFonts w:ascii="宋体" w:hAnsi="宋体"/>
          <w:sz w:val="24"/>
          <w:highlight w:val="none"/>
        </w:rPr>
      </w:pPr>
      <w:r>
        <w:rPr>
          <w:rFonts w:hint="eastAsia" w:ascii="宋体" w:hAnsi="宋体"/>
          <w:sz w:val="24"/>
          <w:szCs w:val="24"/>
          <w:highlight w:val="none"/>
        </w:rPr>
        <w:t xml:space="preserve">30.3 签订合同后，</w:t>
      </w:r>
      <w:r>
        <w:rPr>
          <w:rFonts w:hint="eastAsia" w:ascii="宋体" w:hAnsi="宋体"/>
          <w:b/>
          <w:bCs/>
          <w:iCs/>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w:t>
      </w:r>
      <w:r>
        <w:rPr>
          <w:rFonts w:hint="eastAsia" w:ascii="宋体" w:hAnsi="宋体"/>
          <w:sz w:val="24"/>
          <w:highlight w:val="none"/>
        </w:rPr>
        <w:t xml:space="preserve">也不得采用分包的形式履行合同，否则采购人有权终止合同。转包或分包造成采购人损失的，中标人应承担相应赔偿责任。</w:t>
      </w:r>
      <w:r/>
    </w:p>
    <w:p>
      <w:pPr>
        <w:pStyle w:val="926"/>
        <w:ind w:firstLine="600"/>
        <w:spacing w:before="0" w:after="0" w:line="36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31、服务（包含与服务相关的货物）的追加</w:t>
      </w:r>
      <w:r/>
    </w:p>
    <w:p>
      <w:pPr>
        <w:ind w:firstLine="480"/>
        <w:spacing w:line="360" w:lineRule="auto"/>
        <w:rPr>
          <w:rFonts w:ascii="宋体" w:hAnsi="宋体"/>
          <w:sz w:val="24"/>
          <w:highlight w:val="none"/>
        </w:rPr>
      </w:pPr>
      <w:r>
        <w:rPr>
          <w:rFonts w:hint="eastAsia" w:ascii="宋体" w:hAnsi="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26"/>
      <w:bookmarkEnd w:id="227"/>
      <w:bookmarkEnd w:id="228"/>
      <w:r/>
    </w:p>
    <w:p>
      <w:pPr>
        <w:pStyle w:val="926"/>
        <w:ind w:firstLine="600"/>
        <w:spacing w:before="0" w:after="0" w:line="360" w:lineRule="auto"/>
        <w:rPr>
          <w:rFonts w:ascii="黑体" w:hAnsi="宋体" w:cs="Times New Roman"/>
          <w:b w:val="0"/>
          <w:sz w:val="30"/>
          <w:szCs w:val="30"/>
          <w:highlight w:val="none"/>
        </w:rPr>
      </w:pPr>
      <w:r/>
      <w:bookmarkStart w:id="229" w:name="_Toc16938558"/>
      <w:r/>
      <w:bookmarkStart w:id="230" w:name="_Toc20823314"/>
      <w:r/>
      <w:bookmarkStart w:id="231" w:name="_Toc479757207"/>
      <w:r/>
      <w:bookmarkStart w:id="232" w:name="_Toc513029242"/>
      <w:r/>
      <w:bookmarkStart w:id="233" w:name="_Toc120614221"/>
      <w:r>
        <w:rPr>
          <w:rFonts w:hint="eastAsia" w:ascii="黑体" w:hAnsi="宋体" w:cs="Times New Roman"/>
          <w:b w:val="0"/>
          <w:sz w:val="30"/>
          <w:szCs w:val="30"/>
          <w:highlight w:val="none"/>
        </w:rPr>
        <w:t xml:space="preserve">32、政府采购履约资金扶持政策</w:t>
      </w:r>
      <w:r/>
    </w:p>
    <w:p>
      <w:pPr>
        <w:ind w:firstLine="480"/>
        <w:spacing w:line="360" w:lineRule="auto"/>
        <w:rPr>
          <w:rFonts w:ascii="宋体" w:hAnsi="宋体"/>
          <w:sz w:val="24"/>
          <w:highlight w:val="none"/>
        </w:rPr>
      </w:pPr>
      <w:r>
        <w:rPr>
          <w:rFonts w:hint="eastAsia" w:ascii="宋体" w:hAnsi="宋体"/>
          <w:sz w:val="24"/>
          <w:highlight w:val="none"/>
        </w:rPr>
        <w:t xml:space="preserve">中标人可凭政府采购合同办理融资贷款，详情请见江苏政府采购网“政采贷”专栏。</w:t>
      </w:r>
      <w:r/>
    </w:p>
    <w:p>
      <w:pPr>
        <w:keepLines/>
        <w:keepNext/>
        <w:spacing w:line="360" w:lineRule="auto"/>
        <w:rPr>
          <w:b/>
          <w:bCs/>
          <w:sz w:val="32"/>
          <w:szCs w:val="32"/>
          <w:highlight w:val="none"/>
        </w:rPr>
        <w:outlineLvl w:val="2"/>
      </w:pPr>
      <w:r/>
      <w:bookmarkStart w:id="234" w:name="_Toc27845"/>
      <w:r/>
      <w:bookmarkStart w:id="235" w:name="_Toc32228"/>
      <w:r/>
      <w:bookmarkStart w:id="236" w:name="_Toc19843"/>
      <w:r/>
      <w:bookmarkStart w:id="237" w:name="_Toc23014"/>
      <w:r>
        <w:rPr>
          <w:rFonts w:hint="eastAsia"/>
          <w:b/>
          <w:bCs/>
          <w:sz w:val="32"/>
          <w:szCs w:val="32"/>
          <w:highlight w:val="none"/>
        </w:rPr>
        <w:t xml:space="preserve">八、政策功能</w:t>
      </w:r>
      <w:bookmarkEnd w:id="234"/>
      <w:r/>
      <w:bookmarkEnd w:id="235"/>
      <w:r/>
      <w:bookmarkEnd w:id="236"/>
      <w:r/>
      <w:bookmarkEnd w:id="237"/>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33、落实的政府采购政策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33.1价格给予扣除标准：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sz w:val="24"/>
          <w:szCs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本项目价格扣除计算方法如下：参与报价得分计算的价格＝投标人的投标报价-小型、微型企业、监狱企业、残疾人福利性单位的投标报价×10%。</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33.2对于小型、微型企业、监狱企业、残疾人福利性单位报价以扣除优惠比率后的价格参与评审，但不作为中标价和合同签约价。中标价和合同签约价仍以其投标文件中的一次报价为准。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33.3 参加政府采购活动的投标人享受价格评审优惠的应当提供的材料： </w:t>
      </w:r>
      <w:r/>
    </w:p>
    <w:p>
      <w:pPr>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33.3.1 投标人为小型、微型企业的，提供《中小企业声明函》（第六章“投标文件格式”）。</w:t>
      </w:r>
      <w:r/>
    </w:p>
    <w:p>
      <w:pPr>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33.3.2 投标人为残疾人福利性单位的，符合财库〔2017〕141号文件规定条件的残疾人福利性单位视同小型、微型企业，提供《残疾人福利性单位声明函》（第六章“投标文件格式”）。</w:t>
      </w:r>
      <w:r/>
    </w:p>
    <w:p>
      <w:pPr>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33.3.3 投标人为监狱企业的，提供省级以上监狱管理局、戒毒管理局（含新疆生产建设兵团）出具的属于监狱企业的证明文件。</w:t>
      </w:r>
      <w:r/>
    </w:p>
    <w:p>
      <w:pPr>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33.3.4 投标人按照本办法规定提供声明函内容不实的，属于提供虚假材料谋取中标、成交，依照《中华人民共和国政府采购法》等国家有关规定追究相应责任。</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34、支持绿色发展</w:t>
      </w:r>
      <w:r/>
    </w:p>
    <w:p>
      <w:pPr>
        <w:ind w:firstLine="480"/>
        <w:spacing w:line="360" w:lineRule="auto"/>
        <w:rPr>
          <w:rFonts w:ascii="宋体" w:hAnsi="宋体"/>
          <w:sz w:val="24"/>
          <w:highlight w:val="none"/>
        </w:rPr>
      </w:pPr>
      <w:r>
        <w:rPr>
          <w:rFonts w:hint="eastAsia" w:ascii="宋体" w:hAnsi="宋体"/>
          <w:sz w:val="24"/>
          <w:highlight w:val="none"/>
        </w:rPr>
        <w:t xml:space="preserve">34.1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宋体" w:hAnsi="宋体"/>
          <w:sz w:val="24"/>
          <w:highlight w:val="none"/>
        </w:rPr>
      </w:pPr>
      <w:r>
        <w:rPr>
          <w:rFonts w:hint="eastAsia" w:ascii="宋体" w:hAnsi="宋体"/>
          <w:sz w:val="24"/>
          <w:highlight w:val="none"/>
        </w:rPr>
        <w:t xml:space="preserve">34.2落实挥发性有机化合物（VOCs）治理要求，政府采购项目中涉及涂料、胶黏剂、油墨、清洗剂等挥发性有机物产品的，属于强制性标准的，投标人须执行国家和我省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35、政府采购需求标准</w:t>
      </w:r>
      <w:r/>
    </w:p>
    <w:p>
      <w:pPr>
        <w:pStyle w:val="922"/>
        <w:ind w:firstLine="480"/>
        <w:jc w:val="left"/>
        <w:spacing w:line="360" w:lineRule="auto"/>
        <w:rPr>
          <w:rFonts w:ascii="宋体" w:hAnsi="宋体" w:eastAsia="宋体"/>
          <w:sz w:val="24"/>
          <w:szCs w:val="21"/>
          <w:highlight w:val="none"/>
        </w:rPr>
      </w:pPr>
      <w:r/>
      <w:bookmarkStart w:id="238" w:name="_Toc17527"/>
      <w:r>
        <w:rPr>
          <w:rFonts w:hint="eastAsia" w:ascii="宋体" w:hAnsi="宋体" w:eastAsia="宋体"/>
          <w:sz w:val="24"/>
          <w:szCs w:val="21"/>
          <w:highlight w:val="none"/>
        </w:rPr>
        <w:t xml:space="preserve">本项目执行《绿色数据中心政府采购需求</w:t>
      </w:r>
      <w:r>
        <w:rPr>
          <w:rFonts w:hint="eastAsia" w:ascii="宋体" w:hAnsi="宋体" w:eastAsia="宋体"/>
          <w:sz w:val="24"/>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firstLine="880"/>
        <w:jc w:val="left"/>
        <w:spacing w:line="360" w:lineRule="auto"/>
        <w:rPr>
          <w:rFonts w:ascii="黑体" w:eastAsia="黑体"/>
          <w:bCs/>
          <w:sz w:val="44"/>
          <w:highlight w:val="none"/>
        </w:rPr>
      </w:pPr>
      <w:r>
        <w:rPr>
          <w:rFonts w:hint="eastAsia" w:ascii="黑体" w:eastAsia="黑体"/>
          <w:bCs/>
          <w:sz w:val="44"/>
          <w:highlight w:val="none"/>
        </w:rPr>
        <w:br w:type="page" w:clear="all"/>
      </w:r>
      <w:bookmarkEnd w:id="229"/>
      <w:r/>
      <w:bookmarkEnd w:id="230"/>
      <w:r/>
      <w:bookmarkEnd w:id="231"/>
      <w:r/>
      <w:bookmarkEnd w:id="232"/>
      <w:r/>
      <w:bookmarkEnd w:id="233"/>
      <w:r/>
      <w:bookmarkStart w:id="239" w:name="_Hlt16619350"/>
      <w:r/>
      <w:bookmarkStart w:id="240" w:name="_Toc120614244"/>
      <w:r/>
      <w:bookmarkStart w:id="241" w:name="_Toc20823346"/>
      <w:r/>
      <w:bookmarkStart w:id="242" w:name="_Toc16938590"/>
      <w:r/>
      <w:bookmarkStart w:id="243" w:name="_Toc462564139"/>
      <w:r/>
      <w:bookmarkStart w:id="244" w:name="_Toc479757211"/>
      <w:r/>
      <w:r/>
    </w:p>
    <w:p>
      <w:pPr>
        <w:jc w:val="center"/>
        <w:keepLines/>
        <w:keepNext/>
        <w:spacing w:line="360" w:lineRule="auto"/>
        <w:rPr>
          <w:rFonts w:ascii="黑体" w:hAnsi="黑体" w:eastAsia="黑体"/>
          <w:bCs/>
          <w:sz w:val="44"/>
          <w:szCs w:val="44"/>
          <w:highlight w:val="none"/>
        </w:rPr>
        <w:outlineLvl w:val="0"/>
      </w:pPr>
      <w:r/>
      <w:bookmarkStart w:id="245" w:name="_Toc165205796"/>
      <w:r/>
      <w:bookmarkStart w:id="246" w:name="_Toc581"/>
      <w:r>
        <w:rPr>
          <w:rFonts w:hint="eastAsia" w:ascii="黑体" w:hAnsi="黑体" w:eastAsia="黑体"/>
          <w:bCs/>
          <w:sz w:val="44"/>
          <w:szCs w:val="44"/>
          <w:highlight w:val="none"/>
        </w:rPr>
        <w:t xml:space="preserve">第三章  合同文本</w:t>
      </w:r>
      <w:bookmarkEnd w:id="245"/>
      <w:r/>
      <w:bookmarkEnd w:id="246"/>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spacing w:line="360" w:lineRule="auto"/>
        <w:rPr>
          <w:rFonts w:ascii="宋体" w:hAnsi="宋体" w:eastAsia="Arial"/>
          <w:b/>
          <w:bCs/>
          <w:sz w:val="52"/>
          <w:szCs w:val="22"/>
          <w:highlight w:val="none"/>
        </w:rPr>
      </w:pPr>
      <w:r>
        <w:rPr>
          <w:rFonts w:ascii="宋体" w:hAnsi="宋体" w:eastAsia="Arial"/>
          <w:b/>
          <w:bCs/>
          <w:sz w:val="52"/>
          <w:szCs w:val="22"/>
          <w:highlight w:val="none"/>
        </w:rPr>
      </w:r>
      <w:r/>
    </w:p>
    <w:p>
      <w:pPr>
        <w:jc w:val="center"/>
        <w:spacing w:line="360" w:lineRule="auto"/>
        <w:rPr>
          <w:rFonts w:ascii="宋体" w:hAnsi="宋体" w:eastAsia="Arial"/>
          <w:b/>
          <w:bCs/>
          <w:sz w:val="52"/>
          <w:szCs w:val="22"/>
          <w:highlight w:val="none"/>
        </w:rPr>
      </w:pPr>
      <w:r>
        <w:rPr>
          <w:rFonts w:hint="eastAsia" w:ascii="宋体" w:hAnsi="宋体" w:eastAsia="Arial"/>
          <w:b/>
          <w:bCs/>
          <w:sz w:val="52"/>
          <w:szCs w:val="22"/>
          <w:highlight w:val="none"/>
        </w:rPr>
        <w:t xml:space="preserve">江苏省 政 府 采 购</w:t>
      </w:r>
      <w:r/>
    </w:p>
    <w:p>
      <w:pPr>
        <w:ind w:firstLine="420"/>
        <w:spacing w:line="360" w:lineRule="auto"/>
        <w:rPr>
          <w:rFonts w:ascii="宋体" w:hAnsi="宋体" w:eastAsia="Arial"/>
          <w:szCs w:val="22"/>
          <w:highlight w:val="none"/>
        </w:rPr>
      </w:pPr>
      <w:r>
        <w:rPr>
          <w:rFonts w:ascii="宋体" w:hAnsi="宋体" w:eastAsia="Arial"/>
          <w:szCs w:val="22"/>
          <w:highlight w:val="none"/>
        </w:rPr>
      </w:r>
      <w:r/>
    </w:p>
    <w:p>
      <w:pPr>
        <w:ind w:firstLine="420"/>
        <w:spacing w:line="360" w:lineRule="auto"/>
        <w:rPr>
          <w:rFonts w:ascii="宋体" w:hAnsi="宋体" w:eastAsia="Arial"/>
          <w:szCs w:val="22"/>
          <w:highlight w:val="none"/>
        </w:rPr>
      </w:pPr>
      <w:r>
        <w:rPr>
          <w:rFonts w:ascii="宋体" w:hAnsi="宋体" w:eastAsia="Arial"/>
          <w:szCs w:val="22"/>
          <w:highlight w:val="none"/>
        </w:rPr>
      </w:r>
      <w:r/>
    </w:p>
    <w:p>
      <w:pPr>
        <w:jc w:val="center"/>
        <w:spacing w:line="360" w:lineRule="auto"/>
        <w:rPr>
          <w:rFonts w:ascii="宋体" w:hAnsi="宋体" w:eastAsia="Arial"/>
          <w:b/>
          <w:bCs/>
          <w:sz w:val="44"/>
          <w:szCs w:val="22"/>
          <w:highlight w:val="none"/>
        </w:rPr>
      </w:pPr>
      <w:r>
        <w:rPr>
          <w:rFonts w:hint="eastAsia" w:ascii="宋体" w:hAnsi="宋体" w:eastAsia="Arial"/>
          <w:b/>
          <w:bCs/>
          <w:sz w:val="44"/>
          <w:szCs w:val="22"/>
          <w:highlight w:val="none"/>
        </w:rPr>
        <w:t xml:space="preserve">合同</w:t>
      </w:r>
      <w:r/>
    </w:p>
    <w:p>
      <w:pPr>
        <w:ind w:firstLine="420"/>
        <w:spacing w:line="360" w:lineRule="auto"/>
        <w:rPr>
          <w:rFonts w:ascii="宋体" w:hAnsi="宋体" w:eastAsia="Arial"/>
          <w:szCs w:val="22"/>
          <w:highlight w:val="none"/>
        </w:rPr>
      </w:pPr>
      <w:r>
        <w:rPr>
          <w:rFonts w:ascii="宋体" w:hAnsi="宋体" w:eastAsia="Arial"/>
          <w:szCs w:val="22"/>
          <w:highlight w:val="none"/>
        </w:rPr>
      </w:r>
      <w:r/>
    </w:p>
    <w:p>
      <w:pPr>
        <w:ind w:firstLine="3059"/>
        <w:spacing w:line="360" w:lineRule="auto"/>
        <w:rPr>
          <w:rFonts w:ascii="宋体" w:hAnsi="宋体" w:eastAsia="Arial"/>
          <w:b/>
          <w:bCs/>
          <w:sz w:val="44"/>
          <w:szCs w:val="44"/>
          <w:highlight w:val="none"/>
        </w:rPr>
      </w:pPr>
      <w:r>
        <w:rPr>
          <w:rFonts w:ascii="宋体" w:hAnsi="宋体" w:eastAsia="Arial"/>
          <w:b/>
          <w:bCs/>
          <w:sz w:val="44"/>
          <w:szCs w:val="44"/>
          <w:highlight w:val="none"/>
        </w:rPr>
      </w:r>
      <w:r/>
    </w:p>
    <w:p>
      <w:pPr>
        <w:ind w:firstLine="880"/>
        <w:spacing w:line="360" w:lineRule="auto"/>
        <w:rPr>
          <w:rFonts w:ascii="宋体" w:hAnsi="宋体" w:eastAsia="Arial"/>
          <w:sz w:val="44"/>
          <w:szCs w:val="44"/>
          <w:highlight w:val="none"/>
        </w:rPr>
      </w:pPr>
      <w:r>
        <w:rPr>
          <w:rFonts w:ascii="宋体" w:hAnsi="宋体" w:eastAsia="Arial"/>
          <w:sz w:val="44"/>
          <w:szCs w:val="44"/>
          <w:highlight w:val="none"/>
        </w:rPr>
      </w:r>
      <w:r/>
    </w:p>
    <w:p>
      <w:pPr>
        <w:ind w:firstLine="1959"/>
        <w:spacing w:line="360" w:lineRule="auto"/>
        <w:rPr>
          <w:rFonts w:ascii="宋体" w:hAnsi="宋体" w:eastAsia="Arial"/>
          <w:b/>
          <w:bCs/>
          <w:sz w:val="44"/>
          <w:szCs w:val="44"/>
          <w:highlight w:val="none"/>
        </w:rPr>
      </w:pPr>
      <w:r>
        <w:rPr>
          <w:rFonts w:hint="eastAsia" w:ascii="宋体" w:hAnsi="宋体" w:eastAsia="Arial"/>
          <w:b/>
          <w:bCs/>
          <w:sz w:val="44"/>
          <w:szCs w:val="44"/>
          <w:highlight w:val="none"/>
        </w:rPr>
        <w:t xml:space="preserve">合同编号：</w:t>
      </w:r>
      <w:r/>
    </w:p>
    <w:p>
      <w:pPr>
        <w:ind w:firstLine="880"/>
        <w:spacing w:line="360" w:lineRule="auto"/>
        <w:rPr>
          <w:rFonts w:ascii="宋体" w:hAnsi="宋体" w:eastAsia="Arial"/>
          <w:sz w:val="44"/>
          <w:szCs w:val="22"/>
          <w:highlight w:val="none"/>
        </w:rPr>
      </w:pPr>
      <w:r>
        <w:rPr>
          <w:rFonts w:ascii="宋体" w:hAnsi="宋体" w:eastAsia="Arial"/>
          <w:sz w:val="44"/>
          <w:szCs w:val="22"/>
          <w:highlight w:val="none"/>
        </w:rPr>
      </w:r>
      <w:r/>
    </w:p>
    <w:p>
      <w:pPr>
        <w:ind w:firstLine="880"/>
        <w:spacing w:line="360" w:lineRule="auto"/>
        <w:rPr>
          <w:rFonts w:ascii="宋体" w:hAnsi="宋体" w:eastAsia="Arial"/>
          <w:sz w:val="44"/>
          <w:szCs w:val="22"/>
          <w:highlight w:val="none"/>
        </w:rPr>
      </w:pPr>
      <w:r>
        <w:rPr>
          <w:rFonts w:ascii="宋体" w:hAnsi="宋体" w:eastAsia="Arial"/>
          <w:sz w:val="44"/>
          <w:szCs w:val="22"/>
          <w:highlight w:val="none"/>
        </w:rPr>
      </w:r>
      <w:r/>
    </w:p>
    <w:p>
      <w:pPr>
        <w:ind w:firstLine="880"/>
        <w:spacing w:line="360" w:lineRule="auto"/>
        <w:rPr>
          <w:rFonts w:ascii="宋体" w:hAnsi="宋体" w:eastAsia="Arial"/>
          <w:sz w:val="44"/>
          <w:szCs w:val="22"/>
          <w:highlight w:val="none"/>
        </w:rPr>
      </w:pPr>
      <w:r>
        <w:rPr>
          <w:rFonts w:ascii="宋体" w:hAnsi="宋体" w:eastAsia="Arial"/>
          <w:sz w:val="44"/>
          <w:szCs w:val="22"/>
          <w:highlight w:val="none"/>
        </w:rPr>
      </w:r>
      <w:r/>
    </w:p>
    <w:p>
      <w:pPr>
        <w:ind w:firstLine="1752"/>
        <w:spacing w:line="360" w:lineRule="auto"/>
        <w:rPr>
          <w:rFonts w:ascii="宋体" w:hAnsi="宋体" w:eastAsia="Arial"/>
          <w:b/>
          <w:bCs/>
          <w:sz w:val="44"/>
          <w:szCs w:val="22"/>
          <w:highlight w:val="none"/>
        </w:rPr>
      </w:pPr>
      <w:r>
        <w:rPr>
          <w:rFonts w:hint="eastAsia" w:ascii="宋体" w:hAnsi="宋体" w:eastAsia="Arial"/>
          <w:b/>
          <w:bCs/>
          <w:sz w:val="44"/>
          <w:szCs w:val="22"/>
          <w:highlight w:val="none"/>
        </w:rPr>
        <w:t xml:space="preserve">采购人：</w:t>
      </w:r>
      <w:r/>
    </w:p>
    <w:p>
      <w:pPr>
        <w:ind w:firstLine="1752"/>
        <w:spacing w:line="360" w:lineRule="auto"/>
        <w:rPr>
          <w:rFonts w:ascii="宋体" w:hAnsi="宋体" w:eastAsia="Arial"/>
          <w:b/>
          <w:bCs/>
          <w:sz w:val="44"/>
          <w:szCs w:val="22"/>
          <w:highlight w:val="none"/>
        </w:rPr>
      </w:pPr>
      <w:r>
        <w:rPr>
          <w:rFonts w:hint="eastAsia" w:ascii="宋体" w:hAnsi="宋体" w:eastAsia="Arial"/>
          <w:b/>
          <w:bCs/>
          <w:sz w:val="44"/>
          <w:szCs w:val="22"/>
          <w:highlight w:val="none"/>
        </w:rPr>
        <w:t xml:space="preserve">中标人：</w:t>
      </w:r>
      <w:r/>
    </w:p>
    <w:p>
      <w:pPr>
        <w:ind w:firstLine="880"/>
        <w:jc w:val="left"/>
        <w:spacing w:line="360" w:lineRule="auto"/>
        <w:rPr>
          <w:rFonts w:ascii="黑体" w:eastAsia="黑体"/>
          <w:bCs/>
          <w:sz w:val="44"/>
          <w:highlight w:val="none"/>
        </w:rPr>
      </w:pPr>
      <w:r>
        <w:rPr>
          <w:rFonts w:ascii="黑体" w:eastAsia="黑体"/>
          <w:bCs/>
          <w:sz w:val="44"/>
          <w:highlight w:val="none"/>
        </w:rPr>
      </w:r>
      <w:r/>
    </w:p>
    <w:p>
      <w:pPr>
        <w:ind w:firstLine="880"/>
        <w:jc w:val="left"/>
        <w:spacing w:line="360" w:lineRule="auto"/>
        <w:rPr>
          <w:rFonts w:ascii="黑体" w:eastAsia="黑体"/>
          <w:bCs/>
          <w:sz w:val="44"/>
          <w:highlight w:val="none"/>
        </w:rPr>
      </w:pPr>
      <w:r>
        <w:rPr>
          <w:rFonts w:ascii="黑体" w:eastAsia="黑体"/>
          <w:bCs/>
          <w:sz w:val="44"/>
          <w:highlight w:val="none"/>
        </w:rPr>
      </w:r>
      <w:r/>
    </w:p>
    <w:p>
      <w:pPr>
        <w:jc w:val="center"/>
        <w:spacing w:line="360" w:lineRule="auto"/>
        <w:rPr>
          <w:b/>
          <w:color w:val="000000"/>
          <w:sz w:val="32"/>
          <w:szCs w:val="32"/>
          <w:highlight w:val="none"/>
        </w:rPr>
      </w:pPr>
      <w:r/>
      <w:bookmarkStart w:id="247" w:name="_Toc4663"/>
      <w:r>
        <w:rPr>
          <w:rFonts w:hint="eastAsia" w:ascii="宋体" w:hAnsi="宋体"/>
          <w:bCs/>
          <w:color w:val="000000"/>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1039"/>
        <w:ind w:firstLine="643"/>
        <w:jc w:val="center"/>
        <w:spacing w:line="360" w:lineRule="auto"/>
        <w:rPr>
          <w:rFonts w:hAnsi="宋体"/>
          <w:b/>
          <w:bCs/>
          <w:color w:val="000000"/>
          <w:sz w:val="32"/>
          <w:szCs w:val="32"/>
          <w:highlight w:val="none"/>
        </w:rPr>
      </w:pPr>
      <w:r>
        <w:rPr>
          <w:rFonts w:hint="eastAsia" w:hAnsi="宋体"/>
          <w:b/>
          <w:bCs/>
          <w:color w:val="000000"/>
          <w:sz w:val="32"/>
          <w:szCs w:val="32"/>
          <w:highlight w:val="none"/>
        </w:rPr>
        <w:t xml:space="preserve">江苏省政府采购合同（服务）（合同编号）</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项目名称：连云港市第一人民医院三院区环境自行监测服务               </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项目编号：</w:t>
      </w:r>
      <w:r/>
    </w:p>
    <w:p>
      <w:pPr>
        <w:pStyle w:val="1039"/>
        <w:ind w:firstLine="480"/>
        <w:spacing w:line="360" w:lineRule="auto"/>
        <w:rPr>
          <w:rFonts w:hAnsi="宋体"/>
          <w:color w:val="000000"/>
          <w:sz w:val="24"/>
          <w:szCs w:val="24"/>
          <w:highlight w:val="none"/>
          <w:u w:val="single"/>
        </w:rPr>
      </w:pPr>
      <w:r>
        <w:rPr>
          <w:rFonts w:hint="eastAsia" w:hAnsi="宋体"/>
          <w:color w:val="000000"/>
          <w:sz w:val="24"/>
          <w:szCs w:val="24"/>
          <w:highlight w:val="none"/>
        </w:rPr>
        <w:t xml:space="preserve">甲方：</w:t>
      </w:r>
      <w:r>
        <w:rPr>
          <w:rFonts w:hint="eastAsia" w:hAnsi="宋体"/>
          <w:color w:val="000000"/>
          <w:sz w:val="24"/>
          <w:szCs w:val="24"/>
          <w:highlight w:val="none"/>
          <w:u w:val="single"/>
        </w:rPr>
        <w:t xml:space="preserve"> 连云港市第一人民医院  </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乙方：</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甲、乙双方根据</w:t>
      </w:r>
      <w:r>
        <w:rPr>
          <w:rFonts w:hint="eastAsia" w:hAnsi="宋体"/>
          <w:color w:val="000000"/>
          <w:sz w:val="24"/>
          <w:szCs w:val="24"/>
          <w:highlight w:val="none"/>
          <w:u w:val="single"/>
        </w:rPr>
        <w:t xml:space="preserve">  连云港市第一人民医院三院区环境自行监测服务 </w:t>
      </w:r>
      <w:r>
        <w:rPr>
          <w:rFonts w:hint="eastAsia" w:hAnsi="宋体"/>
          <w:color w:val="000000"/>
          <w:sz w:val="24"/>
          <w:szCs w:val="24"/>
          <w:highlight w:val="none"/>
        </w:rPr>
        <w:t xml:space="preserve">项目公开招标的结果，签署本合同。</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一、合同内容</w:t>
      </w:r>
      <w:r/>
    </w:p>
    <w:p>
      <w:pPr>
        <w:pStyle w:val="1039"/>
        <w:ind w:firstLine="480"/>
        <w:spacing w:line="360" w:lineRule="auto"/>
        <w:rPr>
          <w:rFonts w:hAnsi="宋体"/>
          <w:color w:val="000000"/>
          <w:sz w:val="24"/>
          <w:szCs w:val="24"/>
          <w:highlight w:val="none"/>
          <w:lang w:val="zh-TW"/>
        </w:rPr>
      </w:pPr>
      <w:r>
        <w:rPr>
          <w:rFonts w:hint="eastAsia" w:hAnsi="宋体"/>
          <w:color w:val="000000"/>
          <w:sz w:val="24"/>
          <w:szCs w:val="24"/>
          <w:highlight w:val="none"/>
        </w:rPr>
        <w:t xml:space="preserve">1.1 服务内容：</w:t>
      </w:r>
      <w:r>
        <w:rPr>
          <w:rFonts w:hint="eastAsia" w:hAnsi="宋体"/>
          <w:color w:val="000000"/>
          <w:sz w:val="24"/>
          <w:szCs w:val="24"/>
          <w:highlight w:val="none"/>
          <w:u w:val="single"/>
        </w:rPr>
        <w:t xml:space="preserve">连云港市第一人民医院环境监测服务</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1.2 服务范围：</w:t>
      </w:r>
      <w:r>
        <w:rPr>
          <w:rFonts w:hint="eastAsia" w:hAnsi="宋体"/>
          <w:color w:val="000000"/>
          <w:sz w:val="24"/>
          <w:szCs w:val="24"/>
          <w:highlight w:val="none"/>
          <w:u w:val="single"/>
        </w:rPr>
        <w:t xml:space="preserve">连云港市第一人民医院通灌院区、高新院区、开发区院区、口腔医院、开发区院区制剂楼</w:t>
      </w:r>
      <w:r>
        <w:rPr>
          <w:rFonts w:hint="eastAsia" w:hAnsi="宋体"/>
          <w:color w:val="000000"/>
          <w:sz w:val="24"/>
          <w:szCs w:val="24"/>
          <w:highlight w:val="none"/>
        </w:rPr>
        <w:t xml:space="preserve">。</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1.3 履行时间（期限）：</w:t>
      </w:r>
      <w:r>
        <w:rPr>
          <w:rFonts w:hint="eastAsia" w:hAnsi="宋体"/>
          <w:color w:val="000000"/>
          <w:sz w:val="24"/>
          <w:szCs w:val="24"/>
          <w:highlight w:val="none"/>
          <w:u w:val="single"/>
        </w:rPr>
        <w:t xml:space="preserve">自合同生效之日起3年</w:t>
      </w:r>
      <w:r>
        <w:rPr>
          <w:rFonts w:hint="eastAsia" w:hAnsi="宋体"/>
          <w:color w:val="000000"/>
          <w:sz w:val="24"/>
          <w:szCs w:val="24"/>
          <w:highlight w:val="none"/>
        </w:rPr>
        <w:t xml:space="preserve">。</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二、合同金额</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2.1本合同结算金额：。</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最终结算金额不超过预算金额的按实际金额支付，超过预算金额的按预算金额支付。</w:t>
      </w:r>
      <w:r/>
    </w:p>
    <w:p>
      <w:pPr>
        <w:pStyle w:val="1039"/>
        <w:ind w:firstLine="480"/>
        <w:spacing w:line="360" w:lineRule="auto"/>
        <w:rPr>
          <w:rFonts w:hAnsi="宋体"/>
          <w:color w:val="000000"/>
          <w:sz w:val="24"/>
          <w:szCs w:val="24"/>
          <w:highlight w:val="none"/>
          <w:u w:val="single"/>
        </w:rPr>
      </w:pPr>
      <w:r>
        <w:rPr>
          <w:rFonts w:hint="eastAsia" w:hAnsi="宋体"/>
          <w:color w:val="000000"/>
          <w:sz w:val="24"/>
          <w:szCs w:val="24"/>
          <w:highlight w:val="none"/>
        </w:rPr>
        <w:t xml:space="preserve">2.2结算方式：。</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三、技术资料</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3.1乙方应按招标文件规定的时间向甲方提供有关技术资料。</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四、知识产权</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五、产权担保</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5.1 乙方保证所交付的服务（包含与服务相关的货物）的所有权完全属于乙方且无任何抵押、查封等产权瑕疵。</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六、履约保证金</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本项目不收取履约保证金。</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七、合同转包或分包</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7.1本项目经招标单位同意后，可进行部分监测指标的分包。</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7.2乙方如有转包或未经甲方同意的分包行为，甲方有权解除合同。</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八、服务</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8.1服务要求</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根据排污许可证管理、医疗机构水污染物排放标准的要求，对连云港市第一人民医院高新院区、通灌院区、开发区院区的废水、污泥、噪声、有组织废气等进行监测并按月度出具检测结果的</w:t>
      </w:r>
      <w:r>
        <w:rPr>
          <w:rFonts w:hint="eastAsia" w:hAnsi="宋体"/>
          <w:color w:val="000000"/>
          <w:sz w:val="24"/>
          <w:szCs w:val="24"/>
          <w:highlight w:val="none"/>
        </w:rPr>
        <w:t xml:space="preserve"> CMA报告；口腔医院、制剂楼出具每月废水检测结果的 CMA报告。另还需配套：排污许可证执行报告的编制服务，包含季度报告和年度报告；排污许可证的申领、维护、变更、到期更换咨询服务；自行监测方案的编制服务；各级环境监管平台的填报咨询服务，包含“连云港市生态环境智慧监管平台”、“连云港市生态环境局信息申报系统”、“江苏省污染源"一企一档"管理系统”、“重点排污单位自动监控与基础数据库系统(企业端)”等；通灌院区、高新院区、开发区院区、口腔医院、制剂楼的检测报告分开出具，报告封面需单独标注具体哪个院区和采样时间。</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8.2监测内容及频次见附件 《环境检测项目清单》。</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8.3服务标准</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《中华人民共和国水污染防治法》；</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《中华人民共和国大气污染防治法》；</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《医疗机构水污染物排放标准》（GB 18466-2005）；</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《排污单位自行监测技术指南 总则》（HJ 819-2017）；</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《排污许可证申请与核发技术规范 医疗机构》（HJ 1105-2020）</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《污水监测技术规范》（HJ91.1-2019）;</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《大气污染物无组织排放监测技术导则》（HJ/T 55-2000）；</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九、人员配备要求</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9.1 项目组人员配备项目负责人、采样人员、分析测试人员等。项目负责人需具有中级及以上相关专业职称，负责协调管理整个项目的进度、质量控制等。</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十、验收标准</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10.1 《医疗机构水污染物排放标准》（GB 18466-2005）。</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十一、税费</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本合同执行中相关的一切税费均由乙方负担。</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十二、质量保证及售后服务</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12.1乙方应按招标文件规定和响应文件承诺的性能、技术要求、质量标准向甲方提供产品或服务。</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12.2乙方提供的产品或服务在质保期内因其本身出现质量问题，根据实际情况，经双方协商，可按以下办法处理：</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（1）更换：由乙方承担所发生的全部费用。</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（2）合同终止处理：合同终止，并退还甲方支付的合同款，同时应承担由此产生的所有费用，甲方不承担发生任何费用。</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12.3如在使用过程中发生质量问题，乙方在接到甲方通知后在小时内到达甲方现</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场。</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12.4在质保期内，乙方应对产品或服务出现的质量及安全问题负责处理解决并承担一切费用。</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十三、双方责任</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甲方责任：</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1.甲方应确保有专人对设备的使用和管理负责。</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2.甲方定期做好系统数据备份，并对备份数据进行妥善保管。</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3.甲方在设备运行过程中发现异常，应及时与乙方取得联系，并记录当前故障现象，便于乙方作出判断。</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4.为乙方提供采样点，并做好采样工作协调等事宜，保障乙方可以顺利采样，并在采样记录单上签字。</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5.甲方保证不将乙方技术资料泄露给第三方。</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乙方责任：</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1.乙方应承担甲方整个系统的维护工作，并做到积极主动寻访，定期上门对系统进行全面检查维护，及时发现和解决问题，以确保甲方的正常使用。</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2.因甲方的系统服务器故障和甲方其他原因，在甲方提出乙方配合检查原因需求的前提下，乙方需极积配合检查原因，并在约定时间内解决问题。</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3.根据上述服务内容、条款及体系提供相应的售后技术支持服务。</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4.按照标准要求进行采样、分析测试，并提供每个月的由 CMA 认证的废水例行检测报告（数据型检测报告），保证检测数据的公正性与准确性。</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5.乙方保证不擅自使用甲方数据，并不将甲方数据泄露给第三方。</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十四、合同终止</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凡出现以下情况之一的，将终止合同执行：</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14.1一方严重违约（如：连续两个月未按照合同约定履行采样及检测检验服务并提交检测报告的，由于甲方原因或不可抗力原因导致乙方无法按时采样的情况除外）的；</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2．国家法律、法规、条例进行调整，禁止本合同延续的；或被国家执法机关查封关闭的；</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3．因维保服务不达标发生严重纠纷、事故，影响医疗秩序的，以及其他严重影响医院声誉情况的；</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4．合同期满不再续约的；</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5.未经乙方同意发生转包或分包行为的；</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6.其他国家法律、法规规定的或经双方共同认可的其他可终止合同情况。</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十五、违约责任</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15.1甲方无正当理由拒收的，甲方向乙方偿付拒收货款总值的百分之五违约金。</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15.2 甲方无故逾期验收和办理合同款支付手续的,甲方应按逾期付款总额每日万</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分之五向乙方支付违约金。</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15.3 乙方逾期交付合同标的的，乙方应按逾期交货总额每日千分之六向甲方支付违约金，由甲方从待付合同款中扣除。逾期超过约定日期 10个工作日不能交付的，甲方可解除本合同。乙方因逾期交付或因其他违约行为导致甲方解除合同的，乙方应向甲方支付合同总值 5%的违约金，如造成甲方损失超过违约金的，超出部分由乙方继续承担赔偿责任。</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十六、不可抗力事件处理</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16.1 在合同有效期内，任何一方因不可抗力事件导致不能履行合同，则合同履行期延长，其延长期与不可抗力影响期相同。</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16.2 不可抗力事件发生后，应立即通知对方，并寄送有关权威机构出具的证明。</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16.3不可抗力事件延续 120天以上，双方应通过友好协商，确定是否继续履行合同。</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十七、争议解决</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17.1 双方在执行合同中所发生的一切争议，应通过协商解决。如协商不成，向合</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同签订地法院起诉，合同签订地在此约定为连云港市。</w:t>
      </w:r>
      <w:r/>
    </w:p>
    <w:p>
      <w:pPr>
        <w:pStyle w:val="1039"/>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十八、合同生效及其它</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18.1 合同经双方法定代表人或授权委托代表人签字并加盖单位公章后生效。</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18.2本合同未尽事宜，遵照《民法典》《政府采购法》有关条文执行。</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18.3 本合同正本一式两份，具有同等法律效力，甲方、乙方各执一份。</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甲方：                        乙方： </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地址：                        地址： </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联系电话：                    联系电话：          </w:t>
      </w:r>
      <w:r/>
    </w:p>
    <w:p>
      <w:pPr>
        <w:pStyle w:val="1039"/>
        <w:ind w:firstLine="480"/>
        <w:spacing w:line="360" w:lineRule="auto"/>
        <w:rPr>
          <w:rFonts w:hAnsi="宋体"/>
          <w:color w:val="000000"/>
          <w:sz w:val="24"/>
          <w:szCs w:val="24"/>
          <w:highlight w:val="none"/>
        </w:rPr>
      </w:pPr>
      <w:r>
        <w:rPr>
          <w:rFonts w:hint="eastAsia" w:hAnsi="宋体"/>
          <w:color w:val="000000"/>
          <w:sz w:val="24"/>
          <w:szCs w:val="24"/>
          <w:highlight w:val="none"/>
        </w:rPr>
        <w:t xml:space="preserve">                                          签订日期：   年   月   日</w:t>
      </w:r>
      <w:r/>
    </w:p>
    <w:p>
      <w:pPr>
        <w:pStyle w:val="959"/>
        <w:jc w:val="center"/>
        <w:spacing w:line="360" w:lineRule="auto"/>
        <w:rPr>
          <w:rFonts w:ascii="黑体" w:hAnsi="Times New Roman" w:eastAsia="黑体" w:cs="Times New Roman"/>
          <w:sz w:val="44"/>
          <w:szCs w:val="44"/>
          <w:highlight w:val="none"/>
        </w:rPr>
        <w:outlineLvl w:val="0"/>
      </w:pPr>
      <w:r>
        <w:rPr>
          <w:rFonts w:ascii="黑体" w:hAnsi="Times New Roman" w:eastAsia="黑体" w:cs="Times New Roman"/>
          <w:sz w:val="44"/>
          <w:szCs w:val="44"/>
          <w:highlight w:val="none"/>
        </w:rPr>
      </w:r>
      <w:r/>
    </w:p>
    <w:p>
      <w:pPr>
        <w:pStyle w:val="959"/>
        <w:jc w:val="center"/>
        <w:spacing w:line="360" w:lineRule="auto"/>
        <w:rPr>
          <w:rFonts w:ascii="黑体" w:hAnsi="Times New Roman" w:eastAsia="黑体" w:cs="Times New Roman"/>
          <w:sz w:val="44"/>
          <w:szCs w:val="44"/>
          <w:highlight w:val="none"/>
        </w:rPr>
        <w:outlineLvl w:val="0"/>
      </w:pPr>
      <w:r>
        <w:rPr>
          <w:rFonts w:ascii="黑体" w:hAnsi="Times New Roman" w:eastAsia="黑体" w:cs="Times New Roman"/>
          <w:sz w:val="44"/>
          <w:szCs w:val="44"/>
          <w:highlight w:val="none"/>
        </w:rPr>
      </w:r>
      <w:r/>
    </w:p>
    <w:p>
      <w:pPr>
        <w:pStyle w:val="959"/>
        <w:jc w:val="center"/>
        <w:spacing w:line="360" w:lineRule="auto"/>
        <w:rPr>
          <w:rFonts w:ascii="黑体" w:hAnsi="Times New Roman" w:eastAsia="黑体" w:cs="Times New Roman"/>
          <w:sz w:val="44"/>
          <w:szCs w:val="44"/>
          <w:highlight w:val="none"/>
        </w:rPr>
        <w:outlineLvl w:val="0"/>
      </w:pPr>
      <w:r>
        <w:rPr>
          <w:rFonts w:ascii="黑体" w:hAnsi="Times New Roman" w:eastAsia="黑体" w:cs="Times New Roman"/>
          <w:sz w:val="44"/>
          <w:szCs w:val="44"/>
          <w:highlight w:val="none"/>
        </w:rPr>
      </w:r>
      <w:r/>
    </w:p>
    <w:p>
      <w:pPr>
        <w:pStyle w:val="959"/>
        <w:jc w:val="center"/>
        <w:spacing w:line="360" w:lineRule="auto"/>
        <w:rPr>
          <w:rFonts w:ascii="黑体" w:hAnsi="Times New Roman" w:eastAsia="黑体" w:cs="Times New Roman"/>
          <w:sz w:val="44"/>
          <w:szCs w:val="44"/>
          <w:highlight w:val="none"/>
        </w:rPr>
        <w:outlineLvl w:val="0"/>
      </w:pPr>
      <w:r>
        <w:rPr>
          <w:rFonts w:ascii="黑体" w:hAnsi="Times New Roman" w:eastAsia="黑体" w:cs="Times New Roman"/>
          <w:sz w:val="44"/>
          <w:szCs w:val="44"/>
          <w:highlight w:val="none"/>
        </w:rPr>
      </w:r>
      <w:r/>
    </w:p>
    <w:p>
      <w:pPr>
        <w:pStyle w:val="959"/>
        <w:jc w:val="center"/>
        <w:spacing w:line="360" w:lineRule="auto"/>
        <w:rPr>
          <w:rFonts w:ascii="黑体" w:hAnsi="Times New Roman" w:eastAsia="黑体" w:cs="Times New Roman"/>
          <w:sz w:val="44"/>
          <w:szCs w:val="44"/>
          <w:highlight w:val="none"/>
        </w:rPr>
        <w:outlineLvl w:val="0"/>
      </w:pPr>
      <w:r>
        <w:rPr>
          <w:rFonts w:ascii="黑体" w:hAnsi="Times New Roman" w:eastAsia="黑体" w:cs="Times New Roman"/>
          <w:sz w:val="44"/>
          <w:szCs w:val="44"/>
          <w:highlight w:val="none"/>
        </w:rPr>
      </w:r>
      <w:r/>
    </w:p>
    <w:p>
      <w:pPr>
        <w:pStyle w:val="959"/>
        <w:jc w:val="center"/>
        <w:spacing w:line="360" w:lineRule="auto"/>
        <w:rPr>
          <w:rFonts w:ascii="黑体" w:hAnsi="Times New Roman" w:eastAsia="黑体" w:cs="Times New Roman"/>
          <w:sz w:val="44"/>
          <w:szCs w:val="44"/>
          <w:highlight w:val="none"/>
        </w:rPr>
        <w:outlineLvl w:val="0"/>
      </w:pPr>
      <w:r>
        <w:rPr>
          <w:rFonts w:ascii="黑体" w:hAnsi="Times New Roman" w:eastAsia="黑体" w:cs="Times New Roman"/>
          <w:sz w:val="44"/>
          <w:szCs w:val="44"/>
          <w:highlight w:val="none"/>
        </w:rPr>
      </w:r>
      <w:r/>
    </w:p>
    <w:p>
      <w:pPr>
        <w:pStyle w:val="959"/>
        <w:jc w:val="center"/>
        <w:spacing w:line="360" w:lineRule="auto"/>
        <w:rPr>
          <w:rFonts w:hAnsi="宋体"/>
          <w:sz w:val="24"/>
          <w:szCs w:val="24"/>
          <w:highlight w:val="none"/>
        </w:rPr>
        <w:outlineLvl w:val="0"/>
      </w:pPr>
      <w:r>
        <w:rPr>
          <w:rFonts w:hint="eastAsia" w:ascii="黑体" w:hAnsi="Times New Roman" w:eastAsia="黑体" w:cs="Times New Roman"/>
          <w:sz w:val="44"/>
          <w:szCs w:val="44"/>
          <w:highlight w:val="none"/>
        </w:rPr>
        <w:t xml:space="preserve">第</w:t>
      </w:r>
      <w:bookmarkEnd w:id="239"/>
      <w:r>
        <w:rPr>
          <w:rFonts w:hint="eastAsia" w:ascii="黑体" w:hAnsi="Times New Roman" w:eastAsia="黑体" w:cs="Times New Roman"/>
          <w:sz w:val="44"/>
          <w:szCs w:val="44"/>
          <w:highlight w:val="none"/>
        </w:rPr>
        <w:t xml:space="preserve">四章 采购需求</w:t>
      </w:r>
      <w:bookmarkEnd w:id="240"/>
      <w:r/>
      <w:bookmarkEnd w:id="241"/>
      <w:r/>
      <w:bookmarkEnd w:id="242"/>
      <w:r/>
      <w:bookmarkEnd w:id="247"/>
      <w:r/>
      <w:r/>
    </w:p>
    <w:p>
      <w:pPr>
        <w:ind w:firstLine="480"/>
        <w:spacing w:line="360" w:lineRule="auto"/>
        <w:rPr>
          <w:rFonts w:ascii="宋体" w:hAnsi="宋体"/>
          <w:sz w:val="24"/>
          <w:szCs w:val="24"/>
          <w:highlight w:val="none"/>
        </w:rPr>
      </w:pPr>
      <w:r/>
      <w:bookmarkStart w:id="248" w:name="_Toc49090575"/>
      <w:r/>
      <w:bookmarkStart w:id="249" w:name="_Toc26554093"/>
      <w:r>
        <w:rPr>
          <w:rFonts w:hint="eastAsia" w:ascii="宋体" w:hAnsi="宋体"/>
          <w:sz w:val="24"/>
          <w:szCs w:val="24"/>
          <w:highlight w:val="none"/>
        </w:rPr>
        <w:t xml:space="preserve">项目属性：服务类项目。本项目采购标的对应的中小企业划分标准所属行业具体详见《采购标的对应的中小企业划分标准所属行业一览表》。</w:t>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1、根据《政府采购需求管理办法》等有关规定，采购人确定采购需求。</w:t>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2、本项目需求中标注★号的款项为实质性要求和条件，由采购人根据实际情况设置，投标人必须逐条明确作出满足实质性要求和条件的响应，否则投标无效。</w:t>
      </w:r>
      <w:r/>
    </w:p>
    <w:p>
      <w:pPr>
        <w:pStyle w:val="773"/>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一、项目背景</w:t>
      </w:r>
      <w:r/>
    </w:p>
    <w:p>
      <w:pPr>
        <w:pStyle w:val="77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三级甲等医院评定标准、医疗机构水污染物排放标准、排污许可管理条例、排污许可证申请与核发技术规范、环境保护法、水污染源在线监测系统验收技术规范等文件要求，我院应委托第三方监测废水、废气等环境数据并留存检测报告，按每季度、每年编制排污许可证执行报告，编制自行监测方案等。</w:t>
      </w:r>
      <w:r/>
    </w:p>
    <w:p>
      <w:pPr>
        <w:pStyle w:val="773"/>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二、服务范围</w:t>
      </w:r>
      <w:r/>
    </w:p>
    <w:p>
      <w:pPr>
        <w:pStyle w:val="77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1、本次需监测的范围为第一人民医院通灌院区、高新院区、口腔医院、开发区院区、制剂楼污水处理站，具体监测要求如下表：</w:t>
      </w:r>
      <w:r/>
    </w:p>
    <w:tbl>
      <w:tblPr>
        <w:tblStyle w:val="741"/>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595"/>
        <w:gridCol w:w="651"/>
        <w:gridCol w:w="874"/>
        <w:gridCol w:w="3552"/>
        <w:gridCol w:w="2840"/>
      </w:tblGrid>
      <w:tr>
        <w:trPr>
          <w:jc w:val="center"/>
          <w:trHeight w:val="862"/>
          <w:tblHeader/>
        </w:trPr>
        <w:tc>
          <w:tcPr>
            <w:tcW w:w="484" w:type="dxa"/>
            <w:vAlign w:val="center"/>
            <w:textDirection w:val="lrTb"/>
            <w:noWrap w:val="false"/>
          </w:tcPr>
          <w:p>
            <w:pPr>
              <w:pStyle w:val="773"/>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595" w:type="dxa"/>
            <w:vAlign w:val="center"/>
            <w:textDirection w:val="lrTb"/>
            <w:noWrap w:val="false"/>
          </w:tcPr>
          <w:p>
            <w:pPr>
              <w:pStyle w:val="773"/>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院区</w:t>
            </w:r>
            <w:r/>
          </w:p>
        </w:tc>
        <w:tc>
          <w:tcPr>
            <w:tcW w:w="651" w:type="dxa"/>
            <w:vAlign w:val="center"/>
            <w:textDirection w:val="lrTb"/>
            <w:noWrap w:val="false"/>
          </w:tcPr>
          <w:p>
            <w:pPr>
              <w:pStyle w:val="773"/>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类别</w:t>
            </w:r>
            <w:r/>
          </w:p>
        </w:tc>
        <w:tc>
          <w:tcPr>
            <w:tcW w:w="874" w:type="dxa"/>
            <w:vAlign w:val="center"/>
            <w:textDirection w:val="lrTb"/>
            <w:noWrap w:val="false"/>
          </w:tcPr>
          <w:p>
            <w:pPr>
              <w:pStyle w:val="773"/>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监测点位</w:t>
            </w:r>
            <w:r/>
          </w:p>
        </w:tc>
        <w:tc>
          <w:tcPr>
            <w:tcW w:w="3552" w:type="dxa"/>
            <w:vAlign w:val="center"/>
            <w:textDirection w:val="lrTb"/>
            <w:noWrap w:val="false"/>
          </w:tcPr>
          <w:p>
            <w:pPr>
              <w:pStyle w:val="773"/>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监测因子</w:t>
            </w:r>
            <w:r/>
          </w:p>
        </w:tc>
        <w:tc>
          <w:tcPr>
            <w:tcW w:w="2840" w:type="dxa"/>
            <w:vAlign w:val="center"/>
            <w:textDirection w:val="lrTb"/>
            <w:noWrap w:val="false"/>
          </w:tcPr>
          <w:p>
            <w:pPr>
              <w:pStyle w:val="773"/>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监测频次</w:t>
            </w:r>
            <w:r/>
          </w:p>
        </w:tc>
      </w:tr>
      <w:tr>
        <w:trPr>
          <w:jc w:val="center"/>
          <w:trHeight w:val="1288"/>
        </w:trPr>
        <w:tc>
          <w:tcPr>
            <w:tcW w:w="484"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01</w:t>
            </w:r>
            <w:r/>
          </w:p>
        </w:tc>
        <w:tc>
          <w:tcPr>
            <w:tcW w:w="595"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高新院区</w:t>
            </w:r>
            <w:r/>
          </w:p>
        </w:tc>
        <w:tc>
          <w:tcPr>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废水</w:t>
            </w:r>
            <w:r/>
          </w:p>
        </w:tc>
        <w:tc>
          <w:tcPr>
            <w:tcW w:w="874"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厂区污水站总排口</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粪大肠菌群数；PH；化学需氧量；悬浮物</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12天/年；每月采样一天，每天采样3次，每4小时采一次样。连续监测三年</w:t>
            </w:r>
            <w:r/>
          </w:p>
        </w:tc>
      </w:tr>
      <w:tr>
        <w:trPr>
          <w:jc w:val="center"/>
          <w:trHeight w:val="1714"/>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生化需氧量；动植物油；石油类；阴离子表面活性剂；挥发酚；总氰化物；肠道致病菌（沙门氏菌）；氨氮；色度；</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肠道致病菌（志贺氏菌）</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2天/年；每半年采样一天，每天采样3次，每4小时采一次样。连续监测三年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厂区污水站总排口</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总汞；总镉；总铬；六价铬；总砷；总铅；总银</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衰变池出口</w:t>
            </w:r>
            <w:r/>
          </w:p>
        </w:tc>
        <w:tc>
          <w:tcPr>
            <w:tcW w:w="3552" w:type="dxa"/>
            <w:vAlign w:val="center"/>
            <w:textDirection w:val="lrTb"/>
            <w:noWrap w:val="false"/>
          </w:tcPr>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总α；总β</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有组织废气</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DA001</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硫化氢、臭气浓度、氨（氨气）</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4天/年；每季度采样一天，每2小时采样一次，共采集４次，取其最大测定值</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厨房油烟排口</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油烟</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1天/年；每年采样一天，每10分钟采样一次，共采集5次，取其最大测定值</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无组织废气</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污水站周边设监控点</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氨；硫化氢；臭气浓度；氯气；甲烷(指处理站内最高体积百分数％)</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4天/年；每季度采样一天，每2小时采样一次，共采集４次，取其最大测定值</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污泥</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1个点</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粪大肠菌群；蛔虫卵死亡率</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12天/年；每月采样一天，每天采样1次。连续监测三年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噪声</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厂界4个点</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噪声</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4天/年；每季度采样一天，昼夜各1次。连续监测三年</w:t>
            </w:r>
            <w:r/>
          </w:p>
        </w:tc>
      </w:tr>
      <w:tr>
        <w:trPr>
          <w:jc w:val="center"/>
          <w:trHeight w:val="1288"/>
        </w:trPr>
        <w:tc>
          <w:tcPr>
            <w:tcW w:w="484" w:type="dxa"/>
            <w:vAlign w:val="center"/>
            <w:vMerge w:val="restart"/>
            <w:textDirection w:val="lrTb"/>
            <w:noWrap w:val="false"/>
          </w:tcPr>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02</w:t>
            </w:r>
            <w:r/>
          </w:p>
        </w:tc>
        <w:tc>
          <w:tcPr>
            <w:tcW w:w="595"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通灌院区</w:t>
            </w:r>
            <w:r/>
          </w:p>
        </w:tc>
        <w:tc>
          <w:tcPr>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废水</w:t>
            </w:r>
            <w:r/>
          </w:p>
        </w:tc>
        <w:tc>
          <w:tcPr>
            <w:tcW w:w="874"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厂区污水站总排口</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粪大肠菌群数；PH；化学需氧量；悬浮物</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12天/年；每月采样一天，每天采样3次，每4小时采一次样。连续监测三年</w:t>
            </w:r>
            <w:r/>
          </w:p>
        </w:tc>
      </w:tr>
      <w:tr>
        <w:trPr>
          <w:jc w:val="center"/>
          <w:trHeight w:val="1714"/>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生化需氧量；动植物油；石油类；阴离子表面活性剂；挥发酚；总氰化物；肠道致病菌（沙门氏菌）；氨氮；色度；</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肠道致病菌（志贺氏菌）</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2天/年；每半年采样一天，每天采样3次，每4小时采一次样。连续监测三年</w:t>
            </w:r>
            <w:r/>
          </w:p>
        </w:tc>
      </w:tr>
      <w:tr>
        <w:trPr>
          <w:jc w:val="center"/>
          <w:trHeight w:val="436"/>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厂区污水站总排口</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总汞；总镉；总铬；六价铬；总砷；总铅；总银</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w:t>
            </w:r>
            <w:r/>
          </w:p>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有组织废气</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DA001</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硫化氢、臭气浓度、氨（氨气）</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4天/年；每季度采样一天，每2小时采样一次，共采集４次，取其最大测定值</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厨房油烟排口</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油烟</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1天/年；每年采样一天，每10分钟采样一次，共采集5次，取其最大测定值</w:t>
            </w:r>
            <w:r/>
          </w:p>
        </w:tc>
      </w:tr>
      <w:tr>
        <w:trPr>
          <w:jc w:val="center"/>
          <w:trHeight w:val="1714"/>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无组织废气</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污水站周边设监控点</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氨；硫化氢；臭气浓度；氯气；甲烷(指处理站内最高体积百分数％)</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4天/年；每季度采样一天，每2小时采样一次，共采集4次，取其最大测定值。连续监测三年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污泥</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1个点</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粪大肠菌群；蛔虫卵死亡率</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12天/年；每月采样一天，每天采样1次。连续监测三年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噪声</w:t>
            </w:r>
            <w:r/>
          </w:p>
        </w:tc>
        <w:tc>
          <w:tcPr>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厂界4个点</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噪声</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4天/年；每季度采样一天，昼夜各1次。连续监测三年</w:t>
            </w:r>
            <w:r/>
          </w:p>
        </w:tc>
      </w:tr>
      <w:tr>
        <w:trPr>
          <w:jc w:val="center"/>
          <w:trHeight w:val="1288"/>
        </w:trPr>
        <w:tc>
          <w:tcPr>
            <w:shd w:val="clear" w:color="auto" w:fill="auto"/>
            <w:tcW w:w="484" w:type="dxa"/>
            <w:vAlign w:val="center"/>
            <w:vMerge w:val="restart"/>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03</w:t>
            </w:r>
            <w:r/>
          </w:p>
        </w:tc>
        <w:tc>
          <w:tcPr>
            <w:shd w:val="clear" w:color="auto" w:fill="auto"/>
            <w:tcW w:w="595" w:type="dxa"/>
            <w:vAlign w:val="center"/>
            <w:vMerge w:val="restart"/>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开发区院区院区</w:t>
            </w:r>
            <w:r/>
          </w:p>
        </w:tc>
        <w:tc>
          <w:tcPr>
            <w:shd w:val="clear" w:color="auto" w:fill="auto"/>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废水</w:t>
            </w:r>
            <w:r/>
          </w:p>
        </w:tc>
        <w:tc>
          <w:tcPr>
            <w:shd w:val="clear" w:color="auto" w:fill="auto"/>
            <w:tcW w:w="874"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厂区污水站总排口</w:t>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粪大肠菌群数；PH；化学需氧量；悬浮物</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12天/年；每月采样一天，每天采样3次，每4小时采一次样。连续监测三年</w:t>
            </w:r>
            <w:r/>
          </w:p>
        </w:tc>
      </w:tr>
      <w:tr>
        <w:trPr>
          <w:jc w:val="center"/>
          <w:trHeight w:val="1714"/>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生化需氧量；动植物油；石油类；阴离子表面活性剂；挥发酚；总氰化物；氨氮；色度；肠道致病菌</w:t>
            </w:r>
            <w:r/>
          </w:p>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（沙门氏菌）</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总氮、总磷、肠道致病菌（志贺氏菌）</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2天/年；每半年采样一天，每天采样3次，每4小时采一次样。连续监测三年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厂区污水站总排口</w:t>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总汞；总镉；总铬；六价铬；总砷；总铅；总银</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有组织废气</w:t>
            </w:r>
            <w:r/>
          </w:p>
        </w:tc>
        <w:tc>
          <w:tcPr>
            <w:shd w:val="clear" w:color="auto" w:fill="auto"/>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DA001</w:t>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硫化氢、臭气浓度、氨（氨气）</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4天/年；每季度采样一天，每2小时采样一次，共采集４次，取其最大测定值</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厨房油烟排口</w:t>
            </w:r>
            <w:r/>
          </w:p>
        </w:tc>
        <w:tc>
          <w:tcPr>
            <w:shd w:val="clear" w:color="auto" w:fill="auto"/>
            <w:tcW w:w="3552" w:type="dxa"/>
            <w:vAlign w:val="center"/>
            <w:textDirection w:val="lrTb"/>
            <w:noWrap w:val="false"/>
          </w:tcPr>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油烟</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1天/年；每年采样一天，每10分钟采样一次，共采集5次，取其最大测定值</w:t>
            </w:r>
            <w:r/>
          </w:p>
        </w:tc>
      </w:tr>
      <w:tr>
        <w:trPr>
          <w:jc w:val="center"/>
          <w:trHeight w:val="1714"/>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无组织废气</w:t>
            </w:r>
            <w:r/>
          </w:p>
        </w:tc>
        <w:tc>
          <w:tcPr>
            <w:shd w:val="clear" w:color="auto" w:fill="auto"/>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污水站周边设监控点</w:t>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氨；硫化氢；臭气浓度；氯气；甲烷(指处理站内最高体积百分数％)</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4天/年；每季度采样一天，每2小时采样一次，共采集4次，取其最大测定值。连续监测三年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污泥</w:t>
            </w:r>
            <w:r/>
          </w:p>
        </w:tc>
        <w:tc>
          <w:tcPr>
            <w:shd w:val="clear" w:color="auto" w:fill="auto"/>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1个点</w:t>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粪大肠菌群；蛔虫卵死亡率</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12天/年；每月采样一天，每天采样1次。连续监测三年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shd w:val="clear" w:color="auto" w:fill="auto"/>
            <w:tcW w:w="651"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噪声</w:t>
            </w:r>
            <w:r/>
          </w:p>
        </w:tc>
        <w:tc>
          <w:tcPr>
            <w:shd w:val="clear" w:color="auto" w:fill="auto"/>
            <w:tcW w:w="874"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厂界4个点</w:t>
            </w:r>
            <w:r/>
          </w:p>
        </w:tc>
        <w:tc>
          <w:tcPr>
            <w:shd w:val="clear" w:color="auto" w:fill="auto"/>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噪声</w:t>
            </w:r>
            <w:r/>
          </w:p>
        </w:tc>
        <w:tc>
          <w:tcPr>
            <w:shd w:val="clear" w:color="auto" w:fill="auto"/>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4天/年；每季度采样一天，昼夜各1次。连续监测三年</w:t>
            </w:r>
            <w:r/>
          </w:p>
        </w:tc>
      </w:tr>
      <w:tr>
        <w:trPr>
          <w:jc w:val="center"/>
          <w:trHeight w:val="1288"/>
        </w:trPr>
        <w:tc>
          <w:tcPr>
            <w:tcW w:w="484" w:type="dxa"/>
            <w:vAlign w:val="center"/>
            <w:vMerge w:val="restart"/>
            <w:textDirection w:val="lrTb"/>
            <w:noWrap w:val="false"/>
          </w:tcPr>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04</w:t>
            </w:r>
            <w:r/>
          </w:p>
        </w:tc>
        <w:tc>
          <w:tcPr>
            <w:tcW w:w="595"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口腔医院</w:t>
            </w:r>
            <w:r/>
          </w:p>
        </w:tc>
        <w:tc>
          <w:tcPr>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废水</w:t>
            </w:r>
            <w:r/>
          </w:p>
        </w:tc>
        <w:tc>
          <w:tcPr>
            <w:tcW w:w="874"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医院门诊</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粪大肠菌群数</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12天/年；每月采样一天，每4小时采样一次，每日至少3次。连续监测三年</w:t>
            </w:r>
            <w:r/>
          </w:p>
        </w:tc>
      </w:tr>
      <w:tr>
        <w:trPr>
          <w:jc w:val="center"/>
          <w:trHeight w:val="1714"/>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肠道致病菌(沙门氏菌)</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肠道致病菌(志贺氏菌)</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2天/年；每半年采样一天，每天采样3次，每4小时采一次样。连续监测三年</w:t>
            </w:r>
            <w:r/>
          </w:p>
        </w:tc>
      </w:tr>
      <w:tr>
        <w:trPr>
          <w:jc w:val="center"/>
          <w:trHeight w:val="1288"/>
        </w:trPr>
        <w:tc>
          <w:tcPr>
            <w:tcW w:w="484" w:type="dxa"/>
            <w:vAlign w:val="center"/>
            <w:vMerge w:val="restart"/>
            <w:textDirection w:val="lrTb"/>
            <w:noWrap w:val="false"/>
          </w:tcPr>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05</w:t>
            </w:r>
            <w:r/>
          </w:p>
        </w:tc>
        <w:tc>
          <w:tcPr>
            <w:tcW w:w="595"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开发区院区制剂楼</w:t>
            </w:r>
            <w:r/>
          </w:p>
        </w:tc>
        <w:tc>
          <w:tcPr>
            <w:tcW w:w="651"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废水</w:t>
            </w:r>
            <w:r/>
          </w:p>
        </w:tc>
        <w:tc>
          <w:tcPr>
            <w:tcW w:w="874" w:type="dxa"/>
            <w:vAlign w:val="center"/>
            <w:vMerge w:val="restart"/>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医院门诊</w:t>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粪大肠菌群数</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12天/年；每月采样一天，每4小时采样一次，每日至少3次。连续监测三年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肠道致病菌(沙门氏菌)</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4天/年；每季度采样一天，每天采样3次，每4小时采一次样。连续监测三年</w:t>
            </w:r>
            <w:r/>
          </w:p>
        </w:tc>
      </w:tr>
      <w:tr>
        <w:trPr>
          <w:jc w:val="center"/>
          <w:trHeight w:val="1288"/>
        </w:trPr>
        <w:tc>
          <w:tcPr>
            <w:tcW w:w="48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595"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651"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874" w:type="dxa"/>
            <w:vAlign w:val="center"/>
            <w:vMerge w:val="continue"/>
            <w:textDirection w:val="lrTb"/>
            <w:noWrap w:val="false"/>
          </w:tcPr>
          <w:p>
            <w:pPr>
              <w:pStyle w:val="773"/>
              <w:ind w:firstLine="480"/>
              <w:spacing w:line="440" w:lineRule="exact"/>
              <w:rPr>
                <w:rFonts w:ascii="宋体" w:hAnsi="宋体" w:cs="宋体"/>
                <w:color w:val="auto"/>
                <w:sz w:val="24"/>
                <w:highlight w:val="none"/>
              </w:rPr>
            </w:pPr>
            <w:r>
              <w:rPr>
                <w:rFonts w:ascii="宋体" w:hAnsi="宋体" w:cs="宋体"/>
                <w:color w:val="auto"/>
                <w:sz w:val="24"/>
                <w:highlight w:val="none"/>
              </w:rPr>
            </w:r>
            <w:r/>
          </w:p>
        </w:tc>
        <w:tc>
          <w:tcPr>
            <w:tcW w:w="3552"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肠道致病菌(志贺氏菌)</w:t>
            </w:r>
            <w:r/>
          </w:p>
        </w:tc>
        <w:tc>
          <w:tcPr>
            <w:tcW w:w="2840" w:type="dxa"/>
            <w:vAlign w:val="center"/>
            <w:textDirection w:val="lrTb"/>
            <w:noWrap w:val="false"/>
          </w:tcPr>
          <w:p>
            <w:pPr>
              <w:pStyle w:val="773"/>
              <w:spacing w:line="440" w:lineRule="exact"/>
              <w:rPr>
                <w:rFonts w:ascii="宋体" w:hAnsi="宋体" w:cs="宋体"/>
                <w:color w:val="auto"/>
                <w:sz w:val="24"/>
                <w:highlight w:val="none"/>
              </w:rPr>
            </w:pPr>
            <w:r>
              <w:rPr>
                <w:rFonts w:hint="eastAsia" w:ascii="宋体" w:hAnsi="宋体" w:cs="宋体"/>
                <w:color w:val="auto"/>
                <w:sz w:val="24"/>
                <w:highlight w:val="none"/>
              </w:rPr>
              <w:t xml:space="preserve">2天/年；每半年采样一天，每天采样3次，每4小时采一次样。连续监测三年</w:t>
            </w:r>
            <w:r/>
          </w:p>
        </w:tc>
      </w:tr>
      <w:tr>
        <w:trPr>
          <w:jc w:val="center"/>
          <w:trHeight w:val="5985"/>
        </w:trPr>
        <w:tc>
          <w:tcPr>
            <w:gridSpan w:val="6"/>
            <w:tcW w:w="8996" w:type="dxa"/>
            <w:vAlign w:val="center"/>
            <w:textDirection w:val="lrTb"/>
            <w:noWrap w:val="false"/>
          </w:tcPr>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1、废水检测指标中，按照标准规范不能进行混合采样的不采混合样；</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2、自每次采样工作结束之日起开始计算，需确保在30个工作日的时长内出具相应的检测报告；</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3、通灌院区、高新院区、开发区院区、口腔医院、开发区院区制剂楼的检测报告分开出具，每个院区月度、季度、半年的报告分开出具，并在报告封面标注具体院区；</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4、废水检测指标中：废水中的总a放射性、总B放射性两项允许厂家分包；</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5、若排污证发生变更，须根据变更后的监测因子及采样频次要求进行采样，出具报告，费用不另外结算；</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三院区环境监测工作还需配套：排污许可证执行报告的编制服务，包含季度报告和年度报告；排污许可证的申领、维护、变更、到期更换咨询服务；自行监测方案的编制服务；各级环境监管平台的填报咨询服务，包含“连云港市生态环境智慧监管平台”、“连云港市生态环境局信息申报系统”、“江苏省污染源"一企一档"管理系统”、“重点排污单位自动监控与基础数据库系统(企业端)”等。</w:t>
            </w:r>
            <w:r/>
          </w:p>
        </w:tc>
      </w:tr>
    </w:tbl>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服务要求：废水、污泥、噪声、无组织废气排放进行监测；另各院区环境监测工作还需配套：排污许可证执行报告的编制服务，包含季度报告和年度报告；排污许可证的申领、维护、变更、到期更换咨询服务；自行监测方案的编制服务；各级环境监管平台的填报咨询服务，包含“连云港市生态环境智慧监管平台”、“连云港市生态环境局信息申报系统”、“江苏省污染源"一企一档"管理系统”、“重点排污单位自动监控与基础数据库系统(企业端)”等。</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3、服务标准：《中华人民共和国水污染防治法》；《中华人民共和国大气污染防治法》；《医疗机构水污染物排放标准》（GB 18466-2005）；《排污单位自行监测技术指南 总则》（HJ 819-2017）；《排污许可证申请与核发技术规范 医疗机构》（HJ 1105-2020）；《污水监测技术规范》（HJ91.1-2019）；《大气污染物无组织排放监测技术导则》（HJ/T 55-2000）；</w:t>
      </w:r>
      <w:r/>
    </w:p>
    <w:p>
      <w:pPr>
        <w:pStyle w:val="773"/>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三、商务条款</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★1、合同履行期限（服务期限）：三年（合同约定时间起算）。</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2、服务地点：连云港市第一人民医院通灌院区、高新院区、口腔医院、开发区院区、制剂楼污水处理站。</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3、履约验收要求：采购人按照合同约定组织验收。</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4、验收标准：《医疗机构水污染物排放标准》（GB 18466-2005）；。</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5、付款方式与履约保证金</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★5.1付款方式：</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每次采样后一个月内提供纸质检测报告，每季度在甲方收到乙方出具的本季度期限内检测报告及发票后付至合同价款的1/12。甲方付款之前乙方应开出具符合甲方要求的正规发票，否则，乙方自行承担延迟付款的责任。</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（2）付款前中标人应向采购人开具正规发票，否则，中标人自行承担延迟付款的责任，采购人在收到中标人发票10个工作日内支付款项。</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5.2履约保证金：本项目不收取履约保证金。</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★6、人员配备要求</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项目组人员不少于30人，配备项目负责人、采样人员、分析测试人员等。项目负责人需具有中级及以上相关专业职称，负责协调管理整个项目的进度、质量控制等。</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7、培训要求</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投标人需要对维保后的系统平台对相关使用人员进行培训，培训内容为系统操作以及常见问题处理，确保相关人员独立使用应用软件，具备独立工作的能力。</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8、报价要求</w:t>
      </w:r>
      <w:r/>
    </w:p>
    <w:p>
      <w:pPr>
        <w:pStyle w:val="773"/>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报价为人民币。报价包含产品费用、运杂费、安装施工费、集成费、税金和其他费用。</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9、本项目经采购人同意后，可进行部分监测指标的分包。</w:t>
      </w:r>
      <w:r/>
    </w:p>
    <w:p>
      <w:pPr>
        <w:pStyle w:val="773"/>
        <w:ind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四、其他</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本项目报价不得超过预算价（最高限价）。</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特别提醒投标人：应根据国家收费标准并结合市场实际进行报价，总价包干。</w:t>
      </w:r>
      <w:r/>
    </w:p>
    <w:p>
      <w:pPr>
        <w:pStyle w:val="773"/>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773"/>
        <w:ind w:firstLine="482"/>
        <w:spacing w:line="440" w:lineRule="exact"/>
        <w:rPr>
          <w:rFonts w:ascii="宋体" w:hAnsi="宋体"/>
          <w:b/>
          <w:bCs/>
          <w:color w:val="auto"/>
          <w:sz w:val="24"/>
          <w:highlight w:val="none"/>
        </w:rPr>
      </w:pPr>
      <w:r>
        <w:rPr>
          <w:rFonts w:hint="eastAsia" w:ascii="宋体" w:hAnsi="宋体" w:cs="宋体"/>
          <w:b/>
          <w:bCs/>
          <w:color w:val="auto"/>
          <w:sz w:val="24"/>
          <w:highlight w:val="none"/>
        </w:rPr>
        <w:t xml:space="preserve">五</w:t>
      </w:r>
      <w:r>
        <w:rPr>
          <w:rFonts w:hint="eastAsia" w:ascii="宋体" w:hAnsi="宋体" w:cs="宋体"/>
          <w:b/>
          <w:bCs/>
          <w:color w:val="auto"/>
          <w:sz w:val="24"/>
          <w:highlight w:val="none"/>
          <w:lang w:val="zh-TW"/>
        </w:rPr>
        <w:t xml:space="preserve">、</w:t>
      </w:r>
      <w:r>
        <w:rPr>
          <w:rFonts w:hint="eastAsia" w:ascii="宋体" w:hAnsi="宋体"/>
          <w:b/>
          <w:bCs/>
          <w:color w:val="auto"/>
          <w:sz w:val="24"/>
          <w:highlight w:val="none"/>
        </w:rPr>
        <w:t xml:space="preserve">采购标的对应的中小企业划分标准所属行业一览表</w:t>
      </w:r>
      <w:r/>
    </w:p>
    <w:tbl>
      <w:tblPr>
        <w:tblStyle w:val="741"/>
        <w:tblW w:w="8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56"/>
        <w:gridCol w:w="4151"/>
        <w:gridCol w:w="3644"/>
      </w:tblGrid>
      <w:tr>
        <w:trPr>
          <w:jc w:val="center"/>
          <w:trHeight w:val="725"/>
        </w:trPr>
        <w:tc>
          <w:tcPr>
            <w:shd w:val="clear" w:color="auto" w:fill="ffffff"/>
            <w:tcW w:w="856" w:type="dxa"/>
            <w:vAlign w:val="center"/>
            <w:textDirection w:val="lrTb"/>
            <w:noWrap/>
          </w:tcPr>
          <w:p>
            <w:pPr>
              <w:jc w:val="center"/>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shd w:val="clear" w:color="auto" w:fill="ffffff"/>
            <w:tcW w:w="4151" w:type="dxa"/>
            <w:vAlign w:val="center"/>
            <w:textDirection w:val="lrTb"/>
            <w:noWrap/>
          </w:tcPr>
          <w:p>
            <w:pPr>
              <w:jc w:val="center"/>
              <w:spacing w:line="440" w:lineRule="exact"/>
              <w:widowControl/>
              <w:rPr>
                <w:rFonts w:ascii="宋体" w:hAnsi="宋体" w:cs="宋体"/>
                <w:b/>
                <w:sz w:val="24"/>
                <w:szCs w:val="24"/>
                <w:highlight w:val="none"/>
              </w:rPr>
            </w:pPr>
            <w:r>
              <w:rPr>
                <w:rFonts w:hint="eastAsia" w:ascii="宋体" w:hAnsi="宋体" w:cs="宋体"/>
                <w:sz w:val="24"/>
                <w:szCs w:val="24"/>
                <w:highlight w:val="none"/>
              </w:rPr>
              <w:t xml:space="preserve">采购标的</w:t>
            </w:r>
            <w:r/>
          </w:p>
        </w:tc>
        <w:tc>
          <w:tcPr>
            <w:shd w:val="clear" w:color="auto" w:fill="ffffff"/>
            <w:tcW w:w="3644" w:type="dxa"/>
            <w:vAlign w:val="center"/>
            <w:textDirection w:val="lrTb"/>
            <w:noWrap/>
          </w:tcPr>
          <w:p>
            <w:pPr>
              <w:pStyle w:val="773"/>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jc w:val="center"/>
          <w:trHeight w:val="895"/>
        </w:trPr>
        <w:tc>
          <w:tcPr>
            <w:shd w:val="clear" w:color="000000" w:fill="ffffff"/>
            <w:tcW w:w="856" w:type="dxa"/>
            <w:vAlign w:val="center"/>
            <w:textDirection w:val="lrTb"/>
            <w:noWrap/>
          </w:tcPr>
          <w:p>
            <w:pPr>
              <w:jc w:val="center"/>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ffffff"/>
            <w:tcW w:w="4151" w:type="dxa"/>
            <w:vAlign w:val="center"/>
            <w:textDirection w:val="lrTb"/>
            <w:noWrap/>
          </w:tcPr>
          <w:p>
            <w:pPr>
              <w:jc w:val="center"/>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连云港市第一人民医院三院区环境自行监测服务</w:t>
            </w:r>
            <w:r/>
          </w:p>
        </w:tc>
        <w:tc>
          <w:tcPr>
            <w:shd w:val="clear" w:color="auto" w:fill="ffffff"/>
            <w:tcW w:w="3644" w:type="dxa"/>
            <w:vAlign w:val="center"/>
            <w:textDirection w:val="lrTb"/>
            <w:noWrap/>
          </w:tcPr>
          <w:p>
            <w:pPr>
              <w:jc w:val="center"/>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其他未列明行业</w:t>
            </w:r>
            <w:r/>
          </w:p>
        </w:tc>
      </w:tr>
    </w:tbl>
    <w:p>
      <w:pPr>
        <w:pStyle w:val="922"/>
        <w:spacing w:line="360" w:lineRule="auto"/>
        <w:rPr>
          <w:rFonts w:ascii="黑体" w:eastAsia="黑体"/>
          <w:bCs/>
          <w:sz w:val="44"/>
          <w:highlight w:val="none"/>
        </w:rPr>
      </w:pPr>
      <w:r>
        <w:rPr>
          <w:rFonts w:ascii="Arial" w:hAnsi="Arial" w:cs="Arial"/>
          <w:b/>
          <w:sz w:val="32"/>
          <w:highlight w:val="none"/>
        </w:rPr>
        <w:br w:type="page" w:clear="all"/>
      </w:r>
      <w:bookmarkStart w:id="250" w:name="_Toc3139"/>
      <w:r/>
      <w:bookmarkStart w:id="251" w:name="_Toc19583"/>
      <w:r/>
      <w:bookmarkStart w:id="252" w:name="_Toc120614281"/>
      <w:r>
        <w:rPr>
          <w:rFonts w:hint="eastAsia" w:ascii="黑体" w:eastAsia="黑体"/>
          <w:sz w:val="44"/>
          <w:szCs w:val="44"/>
          <w:highlight w:val="none"/>
        </w:rPr>
        <w:t xml:space="preserve">第五章  评标方法与评标标准</w:t>
      </w:r>
      <w:bookmarkEnd w:id="250"/>
      <w:r/>
      <w:bookmarkEnd w:id="251"/>
      <w:r/>
      <w:r/>
    </w:p>
    <w:p>
      <w:pPr>
        <w:spacing w:line="360" w:lineRule="auto"/>
        <w:rPr>
          <w:highlight w:val="none"/>
        </w:rPr>
      </w:pPr>
      <w:r>
        <w:rPr>
          <w:highlight w:val="none"/>
        </w:rPr>
      </w:r>
      <w:r/>
    </w:p>
    <w:p>
      <w:pPr>
        <w:ind w:firstLine="482"/>
        <w:spacing w:line="360" w:lineRule="auto"/>
        <w:widowControl/>
        <w:rPr>
          <w:rFonts w:ascii="宋体" w:hAnsi="宋体"/>
          <w:b/>
          <w:sz w:val="24"/>
          <w:highlight w:val="none"/>
        </w:rPr>
      </w:pPr>
      <w:r>
        <w:rPr>
          <w:rFonts w:hint="eastAsia" w:ascii="宋体" w:hAnsi="宋体"/>
          <w:b/>
          <w:sz w:val="24"/>
          <w:highlight w:val="none"/>
        </w:rPr>
        <w:t xml:space="preserve">一、评标方法：综合评分法</w:t>
      </w:r>
      <w:r/>
    </w:p>
    <w:p>
      <w:pPr>
        <w:ind w:firstLine="480"/>
        <w:spacing w:line="360" w:lineRule="auto"/>
        <w:widowControl/>
        <w:rPr>
          <w:rFonts w:ascii="宋体" w:hAnsi="宋体"/>
          <w:sz w:val="24"/>
          <w:highlight w:val="none"/>
        </w:rPr>
      </w:pPr>
      <w:r>
        <w:rPr>
          <w:rFonts w:hint="eastAsia" w:ascii="宋体" w:hAnsi="宋体"/>
          <w:sz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二、评标委员会构成：</w:t>
      </w:r>
      <w:r/>
    </w:p>
    <w:p>
      <w:pPr>
        <w:ind w:firstLine="480"/>
        <w:spacing w:line="360" w:lineRule="auto"/>
        <w:widowControl/>
        <w:rPr>
          <w:rFonts w:ascii="宋体" w:hAnsi="宋体"/>
          <w:b/>
          <w:sz w:val="24"/>
          <w:highlight w:val="none"/>
        </w:rPr>
      </w:pPr>
      <w:r>
        <w:rPr>
          <w:rFonts w:hint="eastAsia" w:ascii="Arial" w:hAnsi="Arial" w:cs="Arial"/>
          <w:sz w:val="24"/>
          <w:szCs w:val="24"/>
          <w:highlight w:val="none"/>
        </w:rPr>
        <w:t xml:space="preserve">本采购项目评标委员会的评委由采购人代表和评审专家组成。</w:t>
      </w:r>
      <w:r/>
    </w:p>
    <w:p>
      <w:pPr>
        <w:ind w:firstLine="482"/>
        <w:spacing w:line="360" w:lineRule="auto"/>
        <w:widowControl/>
        <w:rPr>
          <w:rFonts w:ascii="宋体" w:hAnsi="宋体"/>
          <w:sz w:val="24"/>
          <w:highlight w:val="none"/>
        </w:rPr>
      </w:pPr>
      <w:r>
        <w:rPr>
          <w:rFonts w:hint="eastAsia" w:ascii="宋体" w:hAnsi="宋体"/>
          <w:b/>
          <w:sz w:val="24"/>
          <w:highlight w:val="none"/>
        </w:rPr>
        <w:t xml:space="preserve">三、评标原则</w:t>
      </w:r>
      <w:r>
        <w:rPr>
          <w:rFonts w:hint="eastAsia" w:ascii="宋体" w:hAnsi="宋体"/>
          <w:sz w:val="24"/>
          <w:highlight w:val="none"/>
        </w:rPr>
        <w:t xml:space="preserve">：</w:t>
      </w:r>
      <w:r/>
    </w:p>
    <w:p>
      <w:pPr>
        <w:ind w:firstLine="480"/>
        <w:spacing w:line="360" w:lineRule="auto"/>
        <w:widowControl/>
        <w:rPr>
          <w:rFonts w:ascii="宋体" w:hAnsi="宋体"/>
          <w:sz w:val="24"/>
          <w:highlight w:val="none"/>
        </w:rPr>
      </w:pPr>
      <w:r>
        <w:rPr>
          <w:rFonts w:hint="eastAsia" w:ascii="宋体" w:hAnsi="宋体"/>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sz w:val="24"/>
          <w:highlight w:val="none"/>
        </w:rPr>
      </w:pPr>
      <w:r>
        <w:rPr>
          <w:rFonts w:hint="eastAsia" w:ascii="宋体" w:hAnsi="宋体"/>
          <w:b/>
          <w:sz w:val="24"/>
          <w:highlight w:val="none"/>
        </w:rPr>
        <w:t xml:space="preserve">四、评标标准：</w:t>
      </w:r>
      <w:r/>
    </w:p>
    <w:p>
      <w:pPr>
        <w:ind w:firstLine="480"/>
        <w:spacing w:line="360" w:lineRule="auto"/>
        <w:widowControl/>
        <w:rPr>
          <w:rFonts w:ascii="宋体" w:hAnsi="宋体"/>
          <w:sz w:val="24"/>
          <w:highlight w:val="none"/>
        </w:rPr>
      </w:pPr>
      <w:r>
        <w:rPr>
          <w:rFonts w:hint="eastAsia" w:ascii="宋体" w:hAnsi="宋体"/>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sz w:val="24"/>
          <w:highlight w:val="none"/>
        </w:rPr>
      </w:pPr>
      <w:r>
        <w:rPr>
          <w:rFonts w:hint="eastAsia" w:ascii="宋体" w:hAnsi="宋体"/>
          <w:sz w:val="24"/>
          <w:highlight w:val="none"/>
        </w:rPr>
        <w:t xml:space="preserve">2、本项目评分总分为100分，按四舍五入取至小数点后两位。</w:t>
      </w:r>
      <w:r/>
    </w:p>
    <w:p>
      <w:pPr>
        <w:ind w:firstLine="480"/>
        <w:spacing w:line="360" w:lineRule="auto"/>
        <w:widowControl/>
        <w:rPr>
          <w:rFonts w:ascii="宋体" w:hAnsi="宋体"/>
          <w:sz w:val="24"/>
          <w:highlight w:val="none"/>
        </w:rPr>
      </w:pPr>
      <w:r>
        <w:rPr>
          <w:rFonts w:hint="eastAsia" w:ascii="宋体" w:hAnsi="宋体"/>
          <w:sz w:val="24"/>
          <w:highlight w:val="none"/>
        </w:rPr>
        <w:t xml:space="preserve">3、总得分=价格分+商务技术分</w:t>
      </w:r>
      <w:r/>
    </w:p>
    <w:p>
      <w:pPr>
        <w:ind w:firstLine="480"/>
        <w:spacing w:line="360" w:lineRule="auto"/>
        <w:widowControl/>
        <w:rPr>
          <w:rFonts w:ascii="宋体" w:hAnsi="宋体"/>
          <w:sz w:val="24"/>
          <w:highlight w:val="none"/>
        </w:rPr>
      </w:pPr>
      <w:r>
        <w:rPr>
          <w:rFonts w:hint="eastAsia" w:ascii="宋体" w:hAnsi="宋体"/>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83"/>
        <w:ind w:hanging="343"/>
        <w:jc w:val="center"/>
        <w:spacing w:line="360" w:lineRule="auto"/>
        <w:tabs>
          <w:tab w:val="left" w:pos="720" w:leader="none"/>
        </w:tabs>
        <w:rPr>
          <w:b/>
          <w:sz w:val="28"/>
          <w:szCs w:val="28"/>
          <w:highlight w:val="none"/>
        </w:rPr>
      </w:pPr>
      <w:r>
        <w:rPr>
          <w:rFonts w:hint="eastAsia"/>
          <w:b/>
          <w:sz w:val="28"/>
          <w:szCs w:val="28"/>
          <w:highlight w:val="none"/>
        </w:rPr>
        <w:t xml:space="preserve">综合评分法</w:t>
      </w:r>
      <w:r/>
    </w:p>
    <w:p>
      <w:pPr>
        <w:ind w:firstLine="482"/>
        <w:spacing w:line="360" w:lineRule="auto"/>
        <w:widowControl/>
        <w:rPr>
          <w:rFonts w:ascii="宋体" w:hAnsi="宋体"/>
          <w:b/>
          <w:bCs/>
          <w:sz w:val="24"/>
          <w:highlight w:val="none"/>
        </w:rPr>
      </w:pPr>
      <w:r>
        <w:rPr>
          <w:rFonts w:hint="eastAsia" w:ascii="宋体" w:hAnsi="宋体"/>
          <w:b/>
          <w:bCs/>
          <w:sz w:val="24"/>
          <w:highlight w:val="none"/>
        </w:rPr>
        <w:t xml:space="preserve">1.价格分：10分</w:t>
      </w:r>
      <w:r/>
    </w:p>
    <w:p>
      <w:pPr>
        <w:ind w:firstLine="480"/>
        <w:spacing w:line="360" w:lineRule="auto"/>
        <w:widowControl/>
        <w:rPr>
          <w:rFonts w:ascii="宋体" w:hAnsi="宋体"/>
          <w:sz w:val="24"/>
          <w:highlight w:val="none"/>
        </w:rPr>
      </w:pPr>
      <w:r>
        <w:rPr>
          <w:rFonts w:hint="eastAsia" w:ascii="宋体" w:hAnsi="宋体"/>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ascii="宋体" w:hAnsi="宋体"/>
          <w:sz w:val="24"/>
          <w:highlight w:val="none"/>
        </w:rPr>
      </w:pPr>
      <w:r>
        <w:rPr>
          <w:rFonts w:hint="eastAsia" w:ascii="宋体" w:hAnsi="宋体"/>
          <w:sz w:val="24"/>
          <w:highlight w:val="none"/>
        </w:rPr>
        <w:t xml:space="preserve">投标报价得分=（评标基准价/投标报价）</w:t>
      </w:r>
      <w:r>
        <w:rPr>
          <w:rFonts w:ascii="Arial" w:hAnsi="Arial" w:cs="Arial"/>
          <w:sz w:val="24"/>
          <w:highlight w:val="none"/>
        </w:rPr>
        <w:t xml:space="preserve">×</w:t>
      </w:r>
      <w:r>
        <w:rPr>
          <w:rFonts w:hint="eastAsia" w:ascii="Arial" w:hAnsi="Arial" w:cs="Arial"/>
          <w:sz w:val="24"/>
          <w:highlight w:val="none"/>
        </w:rPr>
        <w:t xml:space="preserve">1</w:t>
      </w:r>
      <w:r>
        <w:rPr>
          <w:rFonts w:hint="eastAsia" w:ascii="宋体" w:hAnsi="宋体"/>
          <w:sz w:val="24"/>
          <w:highlight w:val="none"/>
        </w:rPr>
        <w:t xml:space="preserve">0分。</w:t>
      </w:r>
      <w:r/>
    </w:p>
    <w:p>
      <w:pPr>
        <w:ind w:firstLine="480"/>
        <w:spacing w:line="360" w:lineRule="auto"/>
        <w:widowControl/>
        <w:rPr>
          <w:rFonts w:ascii="宋体" w:hAnsi="宋体"/>
          <w:sz w:val="24"/>
          <w:highlight w:val="none"/>
        </w:rPr>
      </w:pPr>
      <w:r>
        <w:rPr>
          <w:rFonts w:hint="eastAsia" w:ascii="宋体" w:hAnsi="宋体"/>
          <w:sz w:val="24"/>
          <w:highlight w:val="none"/>
        </w:rPr>
        <w:t xml:space="preserve">因落实政府采购政策进行价格调整的，以调整后的价格计算评标基准价和投标报价，小数点后保留两位。评标过程中，不得去掉报价中的最高报价和最低报价。</w:t>
      </w:r>
      <w:r/>
    </w:p>
    <w:p>
      <w:pPr>
        <w:ind w:firstLine="482"/>
        <w:spacing w:line="360" w:lineRule="auto"/>
        <w:widowControl/>
        <w:rPr>
          <w:rFonts w:ascii="宋体" w:hAnsi="宋体"/>
          <w:b/>
          <w:bCs/>
          <w:sz w:val="24"/>
          <w:highlight w:val="none"/>
        </w:rPr>
      </w:pPr>
      <w:r>
        <w:rPr>
          <w:rFonts w:hint="eastAsia" w:ascii="宋体" w:hAnsi="宋体"/>
          <w:b/>
          <w:bCs/>
          <w:sz w:val="24"/>
          <w:highlight w:val="none"/>
        </w:rPr>
        <w:t xml:space="preserve">2.商务技术分：90分</w:t>
      </w:r>
      <w:r/>
    </w:p>
    <w:tbl>
      <w:tblPr>
        <w:tblStyle w:val="741"/>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2134"/>
        <w:gridCol w:w="6925"/>
      </w:tblGrid>
      <w:tr>
        <w:trPr>
          <w:jc w:val="center"/>
          <w:trHeight w:val="621"/>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评审因素</w:t>
            </w:r>
            <w:r/>
          </w:p>
        </w:tc>
        <w:tc>
          <w:tcPr>
            <w:shd w:val="clear" w:color="auto" w:fill="ffffff"/>
            <w:tcW w:w="6925" w:type="dxa"/>
            <w:vAlign w:val="center"/>
            <w:textDirection w:val="lrTb"/>
            <w:noWrap/>
          </w:tcPr>
          <w:p>
            <w:pPr>
              <w:jc w:val="center"/>
              <w:spacing w:line="360" w:lineRule="auto"/>
              <w:rPr>
                <w:sz w:val="24"/>
                <w:szCs w:val="24"/>
                <w:highlight w:val="none"/>
              </w:rPr>
            </w:pPr>
            <w:r>
              <w:rPr>
                <w:rFonts w:hint="eastAsia"/>
                <w:sz w:val="24"/>
                <w:szCs w:val="24"/>
                <w:highlight w:val="none"/>
              </w:rPr>
              <w:t xml:space="preserve">评审标准</w:t>
            </w:r>
            <w:r/>
          </w:p>
        </w:tc>
      </w:tr>
      <w:tr>
        <w:trPr>
          <w:jc w:val="center"/>
          <w:trHeight w:val="621"/>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实验室资质要求</w:t>
            </w:r>
            <w:r/>
          </w:p>
          <w:p>
            <w:pPr>
              <w:jc w:val="center"/>
              <w:spacing w:line="360" w:lineRule="auto"/>
              <w:rPr>
                <w:sz w:val="24"/>
                <w:szCs w:val="24"/>
                <w:highlight w:val="none"/>
              </w:rPr>
            </w:pPr>
            <w:r>
              <w:rPr>
                <w:rFonts w:hint="eastAsia"/>
                <w:sz w:val="24"/>
                <w:szCs w:val="24"/>
                <w:highlight w:val="none"/>
              </w:rPr>
              <w:t xml:space="preserve">（18分）</w:t>
            </w:r>
            <w:r/>
          </w:p>
        </w:tc>
        <w:tc>
          <w:tcPr>
            <w:shd w:val="clear" w:color="auto" w:fill="ffffff"/>
            <w:tcW w:w="6925" w:type="dxa"/>
            <w:vAlign w:val="center"/>
            <w:textDirection w:val="lrTb"/>
            <w:noWrap/>
          </w:tcPr>
          <w:p>
            <w:pPr>
              <w:spacing w:line="360" w:lineRule="auto"/>
              <w:rPr>
                <w:sz w:val="24"/>
                <w:szCs w:val="24"/>
                <w:highlight w:val="none"/>
              </w:rPr>
            </w:pPr>
            <w:r>
              <w:rPr>
                <w:sz w:val="24"/>
                <w:szCs w:val="24"/>
                <w:highlight w:val="none"/>
              </w:rPr>
              <w:t xml:space="preserve">1、投标人实验室CMA资质批准的检测能力达到</w:t>
            </w:r>
            <w:r>
              <w:rPr>
                <w:rFonts w:hint="eastAsia"/>
                <w:sz w:val="24"/>
                <w:szCs w:val="24"/>
                <w:highlight w:val="none"/>
              </w:rPr>
              <w:t xml:space="preserve">200</w:t>
            </w:r>
            <w:r>
              <w:rPr>
                <w:sz w:val="24"/>
                <w:szCs w:val="24"/>
                <w:highlight w:val="none"/>
              </w:rPr>
              <w:t xml:space="preserve">项的且检测类别同时包含废水、废气、噪声、污泥</w:t>
            </w:r>
            <w:r>
              <w:rPr>
                <w:rFonts w:hint="eastAsia"/>
                <w:sz w:val="24"/>
                <w:szCs w:val="24"/>
                <w:highlight w:val="none"/>
              </w:rPr>
              <w:t xml:space="preserve">、沙门氏菌、志贺氏菌</w:t>
            </w:r>
            <w:r>
              <w:rPr>
                <w:sz w:val="24"/>
                <w:szCs w:val="24"/>
                <w:highlight w:val="none"/>
              </w:rPr>
              <w:t xml:space="preserve">的得</w:t>
            </w:r>
            <w:r>
              <w:rPr>
                <w:rFonts w:hint="eastAsia"/>
                <w:sz w:val="24"/>
                <w:szCs w:val="24"/>
                <w:highlight w:val="none"/>
              </w:rPr>
              <w:t xml:space="preserve">12</w:t>
            </w:r>
            <w:r>
              <w:rPr>
                <w:sz w:val="24"/>
                <w:szCs w:val="24"/>
                <w:highlight w:val="none"/>
              </w:rPr>
              <w:t xml:space="preserve">分，每增加</w:t>
            </w:r>
            <w:r>
              <w:rPr>
                <w:rFonts w:hint="eastAsia"/>
                <w:sz w:val="24"/>
                <w:szCs w:val="24"/>
                <w:highlight w:val="none"/>
              </w:rPr>
              <w:t xml:space="preserve">100</w:t>
            </w:r>
            <w:r>
              <w:rPr>
                <w:sz w:val="24"/>
                <w:szCs w:val="24"/>
                <w:highlight w:val="none"/>
              </w:rPr>
              <w:t xml:space="preserve"> 项得1分；本项最高得</w:t>
            </w:r>
            <w:r>
              <w:rPr>
                <w:rFonts w:hint="eastAsia"/>
                <w:sz w:val="24"/>
                <w:szCs w:val="24"/>
                <w:highlight w:val="none"/>
              </w:rPr>
              <w:t xml:space="preserve">14</w:t>
            </w:r>
            <w:r>
              <w:rPr>
                <w:sz w:val="24"/>
                <w:szCs w:val="24"/>
                <w:highlight w:val="none"/>
              </w:rPr>
              <w:t xml:space="preserve">分。</w:t>
            </w:r>
            <w:r/>
          </w:p>
          <w:p>
            <w:pPr>
              <w:spacing w:line="360" w:lineRule="auto"/>
              <w:rPr>
                <w:sz w:val="24"/>
                <w:szCs w:val="24"/>
                <w:highlight w:val="none"/>
              </w:rPr>
            </w:pPr>
            <w:r>
              <w:rPr>
                <w:sz w:val="24"/>
                <w:szCs w:val="24"/>
                <w:highlight w:val="none"/>
              </w:rPr>
              <w:t xml:space="preserve">注：需提供CMA证书及能力附表并加盖投标人公章。CMA资质批准的检测能力项目数量以附表序列号为准，未按要求提供不得分。</w:t>
            </w:r>
            <w:r/>
          </w:p>
          <w:p>
            <w:pPr>
              <w:spacing w:line="360" w:lineRule="auto"/>
              <w:rPr>
                <w:sz w:val="24"/>
                <w:szCs w:val="24"/>
                <w:highlight w:val="none"/>
              </w:rPr>
            </w:pPr>
            <w:r>
              <w:rPr>
                <w:rFonts w:hint="eastAsia"/>
                <w:sz w:val="24"/>
                <w:szCs w:val="24"/>
                <w:highlight w:val="none"/>
              </w:rPr>
              <w:t xml:space="preserve">2</w:t>
            </w:r>
            <w:r>
              <w:rPr>
                <w:sz w:val="24"/>
                <w:szCs w:val="24"/>
                <w:highlight w:val="none"/>
              </w:rPr>
              <w:t xml:space="preserve">、投标人为本项目提供专用采样或样品运输车辆，提供2 辆的1分，每增加1辆得1分；本项最高得4分。</w:t>
            </w:r>
            <w:r/>
          </w:p>
          <w:p>
            <w:pPr>
              <w:spacing w:line="360" w:lineRule="auto"/>
              <w:rPr>
                <w:sz w:val="24"/>
                <w:szCs w:val="24"/>
                <w:highlight w:val="none"/>
              </w:rPr>
            </w:pPr>
            <w:r>
              <w:rPr>
                <w:sz w:val="24"/>
                <w:szCs w:val="24"/>
                <w:highlight w:val="none"/>
              </w:rPr>
              <w:t xml:space="preserve">注：投标文件中提供车辆采购合同、购买发票及车辆行驶证并加盖投标人公章，上述条件有一项不符合均不得分。</w:t>
            </w:r>
            <w:r/>
          </w:p>
        </w:tc>
      </w:tr>
      <w:tr>
        <w:trPr>
          <w:jc w:val="center"/>
          <w:trHeight w:val="3974"/>
        </w:trPr>
        <w:tc>
          <w:tcPr>
            <w:shd w:val="clear" w:color="auto" w:fill="ffffff"/>
            <w:tcW w:w="2134" w:type="dxa"/>
            <w:vAlign w:val="center"/>
            <w:textDirection w:val="lrTb"/>
            <w:noWrap/>
          </w:tcPr>
          <w:p>
            <w:pPr>
              <w:jc w:val="center"/>
              <w:spacing w:line="360" w:lineRule="auto"/>
              <w:rPr>
                <w:sz w:val="24"/>
                <w:szCs w:val="24"/>
                <w:highlight w:val="none"/>
              </w:rPr>
            </w:pPr>
            <w:r>
              <w:rPr>
                <w:sz w:val="24"/>
                <w:szCs w:val="24"/>
                <w:highlight w:val="none"/>
              </w:rPr>
              <w:t xml:space="preserve">实验室人员配置</w:t>
            </w:r>
            <w:r/>
          </w:p>
          <w:p>
            <w:pPr>
              <w:jc w:val="center"/>
              <w:spacing w:line="360" w:lineRule="auto"/>
              <w:rPr>
                <w:sz w:val="24"/>
                <w:szCs w:val="24"/>
                <w:highlight w:val="none"/>
              </w:rPr>
            </w:pPr>
            <w:r>
              <w:rPr>
                <w:sz w:val="24"/>
                <w:szCs w:val="24"/>
                <w:highlight w:val="none"/>
              </w:rPr>
              <w:t xml:space="preserve">（12分）</w:t>
            </w:r>
            <w:r/>
          </w:p>
        </w:tc>
        <w:tc>
          <w:tcPr>
            <w:shd w:val="clear" w:color="auto" w:fill="ffffff"/>
            <w:tcW w:w="6925" w:type="dxa"/>
            <w:vAlign w:val="center"/>
            <w:textDirection w:val="lrTb"/>
            <w:noWrap/>
          </w:tcPr>
          <w:p>
            <w:pPr>
              <w:spacing w:line="360" w:lineRule="auto"/>
              <w:rPr>
                <w:rFonts w:hint="eastAsia"/>
                <w:sz w:val="24"/>
                <w:szCs w:val="24"/>
                <w:highlight w:val="none"/>
              </w:rPr>
            </w:pPr>
            <w:r>
              <w:rPr>
                <w:rFonts w:hint="eastAsia"/>
                <w:sz w:val="24"/>
                <w:szCs w:val="24"/>
                <w:highlight w:val="none"/>
              </w:rPr>
              <w:t xml:space="preserve">1、投标人拟配备实验室团队人员具备环保或化工专业中级及以上职称的，每名得1分，最高7分。</w:t>
            </w:r>
            <w:r/>
          </w:p>
          <w:p>
            <w:pPr>
              <w:spacing w:line="360" w:lineRule="auto"/>
              <w:rPr>
                <w:sz w:val="24"/>
                <w:szCs w:val="24"/>
                <w:highlight w:val="none"/>
              </w:rPr>
            </w:pPr>
            <w:r>
              <w:rPr>
                <w:rFonts w:hint="eastAsia"/>
                <w:sz w:val="24"/>
                <w:szCs w:val="24"/>
                <w:highlight w:val="none"/>
              </w:rPr>
              <w:t xml:space="preserve">注：投</w:t>
            </w:r>
            <w:r>
              <w:rPr>
                <w:rFonts w:hint="eastAsia"/>
                <w:spacing w:val="-6"/>
                <w:sz w:val="24"/>
                <w:szCs w:val="24"/>
                <w:highlight w:val="none"/>
              </w:rPr>
              <w:t xml:space="preserve">标文件中提供职称证书及 2025年1月至今任意1个月由投标人为其缴纳的社保证明材料加盖公章，未按要求提供不得分。</w:t>
            </w:r>
            <w:r/>
          </w:p>
          <w:p>
            <w:pPr>
              <w:spacing w:line="360" w:lineRule="auto"/>
              <w:rPr>
                <w:sz w:val="24"/>
                <w:szCs w:val="24"/>
                <w:highlight w:val="none"/>
              </w:rPr>
            </w:pPr>
            <w:r>
              <w:rPr>
                <w:rFonts w:hint="eastAsia"/>
                <w:sz w:val="24"/>
                <w:szCs w:val="24"/>
                <w:highlight w:val="none"/>
              </w:rPr>
              <w:t xml:space="preserve">2、投</w:t>
            </w:r>
            <w:r>
              <w:rPr>
                <w:rFonts w:hint="eastAsia"/>
                <w:spacing w:val="-6"/>
                <w:sz w:val="24"/>
                <w:szCs w:val="24"/>
                <w:highlight w:val="none"/>
              </w:rPr>
              <w:t xml:space="preserve">标实验室团队人员45人及以上的得5分；30（含）-45人得2分；15（含）-30人得1分；15人以下不得分；本项最高5分；</w:t>
            </w:r>
            <w:r/>
          </w:p>
          <w:p>
            <w:pPr>
              <w:spacing w:line="360" w:lineRule="auto"/>
              <w:rPr>
                <w:sz w:val="24"/>
                <w:szCs w:val="24"/>
                <w:highlight w:val="none"/>
              </w:rPr>
            </w:pPr>
            <w:r>
              <w:rPr>
                <w:rFonts w:hint="eastAsia"/>
                <w:sz w:val="24"/>
                <w:szCs w:val="24"/>
                <w:highlight w:val="none"/>
              </w:rPr>
              <w:t xml:space="preserve">注：</w:t>
            </w:r>
            <w:r/>
          </w:p>
          <w:p>
            <w:pPr>
              <w:spacing w:line="360" w:lineRule="auto"/>
              <w:rPr>
                <w:sz w:val="24"/>
                <w:szCs w:val="24"/>
                <w:highlight w:val="none"/>
              </w:rPr>
            </w:pPr>
            <w:r>
              <w:rPr>
                <w:rFonts w:hint="eastAsia"/>
                <w:sz w:val="24"/>
                <w:szCs w:val="24"/>
                <w:highlight w:val="none"/>
              </w:rPr>
              <w:t xml:space="preserve">1、投</w:t>
            </w:r>
            <w:r>
              <w:rPr>
                <w:rFonts w:hint="eastAsia"/>
                <w:spacing w:val="-6"/>
                <w:sz w:val="24"/>
                <w:szCs w:val="24"/>
                <w:highlight w:val="none"/>
              </w:rPr>
              <w:t xml:space="preserve">标文件中提供人员表及2025年1月至今任意1个月由投标人为其缴纳的社保证明材料加盖公章，未按要求提供不得分。</w:t>
            </w:r>
            <w:r/>
          </w:p>
        </w:tc>
      </w:tr>
      <w:tr>
        <w:trPr>
          <w:jc w:val="center"/>
          <w:trHeight w:val="415"/>
        </w:trPr>
        <w:tc>
          <w:tcPr>
            <w:shd w:val="clear" w:color="auto" w:fill="ffffff"/>
            <w:tcW w:w="2134" w:type="dxa"/>
            <w:vAlign w:val="center"/>
            <w:textDirection w:val="lrTb"/>
            <w:noWrap/>
          </w:tcPr>
          <w:p>
            <w:pPr>
              <w:jc w:val="center"/>
              <w:spacing w:line="360" w:lineRule="auto"/>
              <w:rPr>
                <w:sz w:val="24"/>
                <w:szCs w:val="24"/>
                <w:highlight w:val="none"/>
              </w:rPr>
            </w:pPr>
            <w:r>
              <w:rPr>
                <w:sz w:val="24"/>
                <w:szCs w:val="24"/>
                <w:highlight w:val="none"/>
              </w:rPr>
              <w:t xml:space="preserve">项目组团队人员奖项（10分）</w:t>
            </w:r>
            <w:r/>
          </w:p>
        </w:tc>
        <w:tc>
          <w:tcPr>
            <w:shd w:val="clear" w:color="auto" w:fill="ffffff"/>
            <w:tcW w:w="6925" w:type="dxa"/>
            <w:vAlign w:val="center"/>
            <w:textDirection w:val="lrTb"/>
            <w:noWrap/>
          </w:tcPr>
          <w:p>
            <w:pPr>
              <w:spacing w:line="360" w:lineRule="auto"/>
              <w:rPr>
                <w:sz w:val="24"/>
                <w:szCs w:val="24"/>
                <w:highlight w:val="none"/>
              </w:rPr>
            </w:pPr>
            <w:r>
              <w:rPr>
                <w:rFonts w:hint="eastAsia"/>
                <w:sz w:val="24"/>
                <w:szCs w:val="24"/>
                <w:highlight w:val="none"/>
              </w:rPr>
              <w:t xml:space="preserve">1、自</w:t>
            </w:r>
            <w:r>
              <w:rPr>
                <w:rFonts w:hint="eastAsia"/>
                <w:spacing w:val="-6"/>
                <w:sz w:val="24"/>
                <w:szCs w:val="24"/>
                <w:highlight w:val="none"/>
              </w:rPr>
              <w:t xml:space="preserve">2022 年1月1日起至今，拟派项目团队获得过市级及以上相关环境监测技能竞赛奖项团体奖的，得5分，本项最高得5分。</w:t>
            </w:r>
            <w:r/>
          </w:p>
          <w:p>
            <w:pPr>
              <w:spacing w:line="360" w:lineRule="auto"/>
              <w:rPr>
                <w:rFonts w:hint="eastAsia"/>
                <w:sz w:val="24"/>
                <w:szCs w:val="24"/>
                <w:highlight w:val="none"/>
              </w:rPr>
            </w:pPr>
            <w:r>
              <w:rPr>
                <w:rFonts w:hint="eastAsia"/>
                <w:sz w:val="24"/>
                <w:szCs w:val="24"/>
                <w:highlight w:val="none"/>
              </w:rPr>
              <w:t xml:space="preserve">2、自</w:t>
            </w:r>
            <w:r>
              <w:rPr>
                <w:rFonts w:hint="eastAsia"/>
                <w:spacing w:val="-6"/>
                <w:sz w:val="24"/>
                <w:szCs w:val="24"/>
                <w:highlight w:val="none"/>
              </w:rPr>
              <w:t xml:space="preserve">2022 年1月1日起至今，拟派人员获得过市级及以上相关环境监测技能竞赛奖项个人奖项的，得5分，本项最高得5分。</w:t>
            </w:r>
            <w:r/>
          </w:p>
          <w:p>
            <w:pPr>
              <w:spacing w:line="360" w:lineRule="auto"/>
              <w:rPr>
                <w:sz w:val="24"/>
                <w:szCs w:val="24"/>
                <w:highlight w:val="none"/>
              </w:rPr>
            </w:pPr>
            <w:r>
              <w:rPr>
                <w:rFonts w:hint="eastAsia"/>
                <w:sz w:val="24"/>
                <w:szCs w:val="24"/>
                <w:highlight w:val="none"/>
              </w:rPr>
              <w:t xml:space="preserve">注：提供获奖证明材料和2025年1月至今任意1个月由投标人为其缴纳的社保证明材料并加盖投标人公章，否则不得分。</w:t>
            </w:r>
            <w:r/>
          </w:p>
        </w:tc>
      </w:tr>
      <w:tr>
        <w:trPr>
          <w:jc w:val="center"/>
          <w:trHeight w:val="506"/>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实验室质控能力（10分）</w:t>
            </w:r>
            <w:r/>
          </w:p>
        </w:tc>
        <w:tc>
          <w:tcPr>
            <w:shd w:val="clear" w:color="auto" w:fill="ffffff"/>
            <w:tcW w:w="6925" w:type="dxa"/>
            <w:vAlign w:val="center"/>
            <w:textDirection w:val="lrTb"/>
            <w:noWrap/>
          </w:tcPr>
          <w:p>
            <w:pPr>
              <w:spacing w:line="360" w:lineRule="auto"/>
              <w:rPr>
                <w:sz w:val="24"/>
                <w:szCs w:val="24"/>
                <w:highlight w:val="none"/>
              </w:rPr>
            </w:pPr>
            <w:r>
              <w:rPr>
                <w:rFonts w:hint="eastAsia"/>
                <w:sz w:val="24"/>
                <w:szCs w:val="24"/>
                <w:highlight w:val="none"/>
              </w:rPr>
              <w:t xml:space="preserve">投标人的实验室检测能力在“社会环境检测机构信息管理平台”上登记、公开，备案项目0（不含）-50项得1分，50（不含）-80项得2分，80（不含）-110项得5分，110（不含）-150项得10分。</w:t>
            </w:r>
            <w:r/>
          </w:p>
          <w:p>
            <w:pPr>
              <w:spacing w:line="360" w:lineRule="auto"/>
              <w:rPr>
                <w:sz w:val="24"/>
                <w:szCs w:val="24"/>
                <w:highlight w:val="none"/>
              </w:rPr>
            </w:pPr>
            <w:r>
              <w:rPr>
                <w:rFonts w:hint="eastAsia"/>
                <w:sz w:val="24"/>
                <w:szCs w:val="24"/>
                <w:highlight w:val="none"/>
              </w:rPr>
              <w:t xml:space="preserve">注：投标文件中提供登记通知及备案能力项目附表，未按要求提供不得分。</w:t>
            </w:r>
            <w:r/>
          </w:p>
        </w:tc>
      </w:tr>
      <w:tr>
        <w:trPr>
          <w:jc w:val="center"/>
          <w:trHeight w:val="621"/>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业绩</w:t>
            </w:r>
            <w:r/>
          </w:p>
          <w:p>
            <w:pPr>
              <w:jc w:val="center"/>
              <w:spacing w:line="360" w:lineRule="auto"/>
              <w:rPr>
                <w:sz w:val="24"/>
                <w:szCs w:val="24"/>
                <w:highlight w:val="none"/>
              </w:rPr>
            </w:pPr>
            <w:r>
              <w:rPr>
                <w:rFonts w:hint="eastAsia"/>
                <w:sz w:val="24"/>
                <w:szCs w:val="24"/>
                <w:highlight w:val="none"/>
              </w:rPr>
              <w:t xml:space="preserve">（10分）</w:t>
            </w:r>
            <w:r/>
          </w:p>
        </w:tc>
        <w:tc>
          <w:tcPr>
            <w:shd w:val="clear" w:color="auto" w:fill="ffffff"/>
            <w:tcW w:w="6925" w:type="dxa"/>
            <w:vAlign w:val="center"/>
            <w:textDirection w:val="lrTb"/>
            <w:noWrap/>
          </w:tcPr>
          <w:p>
            <w:pPr>
              <w:spacing w:line="360" w:lineRule="auto"/>
              <w:rPr>
                <w:rFonts w:hint="eastAsia" w:eastAsia="宋体"/>
                <w:sz w:val="24"/>
                <w:szCs w:val="24"/>
                <w:highlight w:val="none"/>
                <w:lang w:eastAsia="zh-CN"/>
              </w:rPr>
            </w:pPr>
            <w:r>
              <w:rPr>
                <w:sz w:val="24"/>
                <w:szCs w:val="24"/>
                <w:highlight w:val="none"/>
              </w:rPr>
              <w:t xml:space="preserve">自2022年01月01日以来（时间、内容以合同为准），投标人具有与本项目环境监测类似业绩每有一个得2分，本项最高得10分</w:t>
            </w:r>
            <w:r>
              <w:rPr>
                <w:rFonts w:hint="eastAsia"/>
                <w:sz w:val="24"/>
                <w:szCs w:val="24"/>
                <w:highlight w:val="none"/>
                <w:lang w:eastAsia="zh-CN"/>
              </w:rPr>
              <w:t xml:space="preserve">。</w:t>
            </w:r>
            <w:r/>
          </w:p>
          <w:p>
            <w:pPr>
              <w:spacing w:line="360" w:lineRule="auto"/>
              <w:rPr>
                <w:sz w:val="24"/>
                <w:szCs w:val="24"/>
                <w:highlight w:val="none"/>
              </w:rPr>
            </w:pPr>
            <w:r>
              <w:rPr>
                <w:sz w:val="24"/>
                <w:szCs w:val="24"/>
                <w:highlight w:val="none"/>
              </w:rPr>
              <w:t xml:space="preserve">注：投标文件中提供中标通知书及完整合同并加盖公章，未按要求提供不得分。</w:t>
            </w:r>
            <w:r/>
          </w:p>
        </w:tc>
      </w:tr>
      <w:tr>
        <w:trPr>
          <w:jc w:val="center"/>
          <w:trHeight w:val="6005"/>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项目实施方案</w:t>
            </w:r>
            <w:r/>
          </w:p>
          <w:p>
            <w:pPr>
              <w:jc w:val="center"/>
              <w:spacing w:line="360" w:lineRule="auto"/>
              <w:rPr>
                <w:sz w:val="24"/>
                <w:szCs w:val="24"/>
                <w:highlight w:val="none"/>
              </w:rPr>
            </w:pPr>
            <w:r>
              <w:rPr>
                <w:rFonts w:hint="eastAsia"/>
                <w:sz w:val="24"/>
                <w:szCs w:val="24"/>
                <w:highlight w:val="none"/>
              </w:rPr>
              <w:t xml:space="preserve">（10分）</w:t>
            </w:r>
            <w:r/>
          </w:p>
        </w:tc>
        <w:tc>
          <w:tcPr>
            <w:shd w:val="clear" w:color="auto" w:fill="ffffff"/>
            <w:tcW w:w="6925" w:type="dxa"/>
            <w:vAlign w:val="center"/>
            <w:textDirection w:val="lrTb"/>
            <w:noWrap/>
          </w:tcPr>
          <w:p>
            <w:pPr>
              <w:spacing w:line="360" w:lineRule="auto"/>
              <w:rPr>
                <w:sz w:val="24"/>
                <w:szCs w:val="24"/>
                <w:highlight w:val="none"/>
              </w:rPr>
            </w:pPr>
            <w:r>
              <w:rPr>
                <w:sz w:val="24"/>
                <w:szCs w:val="24"/>
                <w:highlight w:val="none"/>
              </w:rPr>
              <w:t xml:space="preserve">根据投标人提供的完整的监测工作实施方案进行评审，方案内容包括但不限于：严格按照项目内容里要求的时间节点和方法开展废水、废气、污泥、噪声监测；每月提供监测数据，数据真实、准确、及时；现场采集的所有样本，在每次采集结束后立即送样，并同时报送监测记录表和样本记录表；配合采购方定期对其开展废水、废气、污泥、噪声监测现场督导检查；按月提供现场监测工作影像材料。</w:t>
            </w:r>
            <w:r/>
          </w:p>
          <w:p>
            <w:pPr>
              <w:spacing w:line="360" w:lineRule="auto"/>
              <w:rPr>
                <w:sz w:val="24"/>
                <w:szCs w:val="24"/>
                <w:highlight w:val="none"/>
              </w:rPr>
            </w:pPr>
            <w:r>
              <w:rPr>
                <w:rFonts w:hint="eastAsia"/>
                <w:sz w:val="24"/>
                <w:szCs w:val="24"/>
                <w:highlight w:val="none"/>
              </w:rPr>
              <w:t xml:space="preserve">1、</w:t>
            </w:r>
            <w:r>
              <w:rPr>
                <w:sz w:val="24"/>
                <w:szCs w:val="24"/>
                <w:highlight w:val="none"/>
              </w:rPr>
              <w:t xml:space="preserve">实施方案内容系统、完善，技术路线清晰、科学、可行的得</w:t>
            </w:r>
            <w:r>
              <w:rPr>
                <w:rFonts w:hint="eastAsia"/>
                <w:sz w:val="24"/>
                <w:szCs w:val="24"/>
                <w:highlight w:val="none"/>
              </w:rPr>
              <w:t xml:space="preserve">10</w:t>
            </w:r>
            <w:r>
              <w:rPr>
                <w:sz w:val="24"/>
                <w:szCs w:val="24"/>
                <w:highlight w:val="none"/>
              </w:rPr>
              <w:t xml:space="preserve">分；</w:t>
            </w:r>
            <w:r/>
          </w:p>
          <w:p>
            <w:pPr>
              <w:spacing w:line="360" w:lineRule="auto"/>
              <w:rPr>
                <w:sz w:val="24"/>
                <w:szCs w:val="24"/>
                <w:highlight w:val="none"/>
              </w:rPr>
            </w:pPr>
            <w:r>
              <w:rPr>
                <w:rFonts w:hint="eastAsia"/>
                <w:sz w:val="24"/>
                <w:szCs w:val="24"/>
                <w:highlight w:val="none"/>
              </w:rPr>
              <w:t xml:space="preserve">2、</w:t>
            </w:r>
            <w:r>
              <w:rPr>
                <w:sz w:val="24"/>
                <w:szCs w:val="24"/>
                <w:highlight w:val="none"/>
              </w:rPr>
              <w:t xml:space="preserve">实施方案内容比较系统、完善，技术路线比较清晰、科学、可行的得7分；</w:t>
            </w:r>
            <w:r/>
          </w:p>
          <w:p>
            <w:pPr>
              <w:spacing w:line="360" w:lineRule="auto"/>
              <w:rPr>
                <w:sz w:val="24"/>
                <w:szCs w:val="24"/>
                <w:highlight w:val="none"/>
              </w:rPr>
            </w:pPr>
            <w:r>
              <w:rPr>
                <w:rFonts w:hint="eastAsia"/>
                <w:sz w:val="24"/>
                <w:szCs w:val="24"/>
                <w:highlight w:val="none"/>
              </w:rPr>
              <w:t xml:space="preserve">3、</w:t>
            </w:r>
            <w:r>
              <w:rPr>
                <w:sz w:val="24"/>
                <w:szCs w:val="24"/>
                <w:highlight w:val="none"/>
              </w:rPr>
              <w:t xml:space="preserve">实施方案内容基本系统、完善，技术路线基本清晰、科学、可行的得</w:t>
            </w:r>
            <w:r>
              <w:rPr>
                <w:rFonts w:hint="eastAsia"/>
                <w:sz w:val="24"/>
                <w:szCs w:val="24"/>
                <w:highlight w:val="none"/>
              </w:rPr>
              <w:t xml:space="preserve">4</w:t>
            </w:r>
            <w:r>
              <w:rPr>
                <w:sz w:val="24"/>
                <w:szCs w:val="24"/>
                <w:highlight w:val="none"/>
              </w:rPr>
              <w:t xml:space="preserve">分；</w:t>
            </w:r>
            <w:r/>
          </w:p>
          <w:p>
            <w:pPr>
              <w:spacing w:line="360" w:lineRule="auto"/>
              <w:rPr>
                <w:sz w:val="24"/>
                <w:szCs w:val="24"/>
                <w:highlight w:val="none"/>
              </w:rPr>
            </w:pPr>
            <w:r>
              <w:rPr>
                <w:sz w:val="24"/>
                <w:szCs w:val="24"/>
                <w:highlight w:val="none"/>
              </w:rPr>
              <w:t xml:space="preserve">该项未见阐述不得分。</w:t>
            </w:r>
            <w:r/>
          </w:p>
        </w:tc>
      </w:tr>
      <w:tr>
        <w:trPr>
          <w:jc w:val="center"/>
          <w:trHeight w:val="1820"/>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质量控制措施及服务保障方案</w:t>
            </w:r>
            <w:r/>
          </w:p>
          <w:p>
            <w:pPr>
              <w:jc w:val="center"/>
              <w:spacing w:line="360" w:lineRule="auto"/>
              <w:rPr>
                <w:sz w:val="24"/>
                <w:szCs w:val="24"/>
                <w:highlight w:val="none"/>
              </w:rPr>
            </w:pPr>
            <w:r>
              <w:rPr>
                <w:rFonts w:hint="eastAsia"/>
                <w:sz w:val="24"/>
                <w:szCs w:val="24"/>
                <w:highlight w:val="none"/>
              </w:rPr>
              <w:t xml:space="preserve">（10分）</w:t>
            </w:r>
            <w:r/>
          </w:p>
        </w:tc>
        <w:tc>
          <w:tcPr>
            <w:shd w:val="clear" w:color="auto" w:fill="ffffff"/>
            <w:tcW w:w="6925" w:type="dxa"/>
            <w:vAlign w:val="center"/>
            <w:textDirection w:val="lrTb"/>
            <w:noWrap/>
          </w:tcPr>
          <w:p>
            <w:pPr>
              <w:spacing w:line="360" w:lineRule="auto"/>
              <w:rPr>
                <w:rFonts w:hint="eastAsia"/>
                <w:sz w:val="24"/>
                <w:szCs w:val="24"/>
                <w:highlight w:val="none"/>
              </w:rPr>
            </w:pPr>
            <w:r>
              <w:rPr>
                <w:rFonts w:hint="eastAsia"/>
                <w:sz w:val="24"/>
                <w:szCs w:val="24"/>
                <w:highlight w:val="none"/>
              </w:rPr>
              <w:t xml:space="preserve">根据投标人提供的质量控制措施及服务保障方案进行评分，包括但不限于质量管理措施、技术管理措施、进度管理措施等。</w:t>
            </w:r>
            <w:r/>
          </w:p>
          <w:p>
            <w:pPr>
              <w:spacing w:line="360" w:lineRule="auto"/>
              <w:rPr>
                <w:sz w:val="24"/>
                <w:szCs w:val="24"/>
                <w:highlight w:val="none"/>
              </w:rPr>
            </w:pPr>
            <w:r>
              <w:rPr>
                <w:rFonts w:hint="eastAsia"/>
                <w:sz w:val="24"/>
                <w:szCs w:val="24"/>
                <w:highlight w:val="none"/>
              </w:rPr>
              <w:t xml:space="preserve">1、</w:t>
            </w:r>
            <w:r>
              <w:rPr>
                <w:sz w:val="24"/>
                <w:szCs w:val="24"/>
                <w:highlight w:val="none"/>
              </w:rPr>
              <w:t xml:space="preserve">质量管理措施、技术管理措施、进度管理措施完善，项目实施全过程质量控制措施完整有效的得10分；</w:t>
            </w:r>
            <w:r/>
          </w:p>
          <w:p>
            <w:pPr>
              <w:spacing w:line="360" w:lineRule="auto"/>
              <w:rPr>
                <w:sz w:val="24"/>
                <w:szCs w:val="24"/>
                <w:highlight w:val="none"/>
              </w:rPr>
            </w:pPr>
            <w:r>
              <w:rPr>
                <w:rFonts w:hint="eastAsia"/>
                <w:sz w:val="24"/>
                <w:szCs w:val="24"/>
                <w:highlight w:val="none"/>
              </w:rPr>
              <w:t xml:space="preserve">2、</w:t>
            </w:r>
            <w:r>
              <w:rPr>
                <w:sz w:val="24"/>
                <w:szCs w:val="24"/>
                <w:highlight w:val="none"/>
              </w:rPr>
              <w:t xml:space="preserve">质量管理措施、技术管理措施、进度管理措施较为完善，项目实施全过程质量控制措施较为完整有效的得</w:t>
            </w:r>
            <w:r>
              <w:rPr>
                <w:rFonts w:hint="eastAsia"/>
                <w:sz w:val="24"/>
                <w:szCs w:val="24"/>
                <w:highlight w:val="none"/>
              </w:rPr>
              <w:t xml:space="preserve">7</w:t>
            </w:r>
            <w:r>
              <w:rPr>
                <w:sz w:val="24"/>
                <w:szCs w:val="24"/>
                <w:highlight w:val="none"/>
              </w:rPr>
              <w:t xml:space="preserve">分；</w:t>
            </w:r>
            <w:r/>
          </w:p>
          <w:p>
            <w:pPr>
              <w:spacing w:line="360" w:lineRule="auto"/>
              <w:rPr>
                <w:sz w:val="24"/>
                <w:szCs w:val="24"/>
                <w:highlight w:val="none"/>
              </w:rPr>
            </w:pPr>
            <w:r>
              <w:rPr>
                <w:rFonts w:hint="eastAsia"/>
                <w:sz w:val="24"/>
                <w:szCs w:val="24"/>
                <w:highlight w:val="none"/>
              </w:rPr>
              <w:t xml:space="preserve">3、</w:t>
            </w:r>
            <w:r>
              <w:rPr>
                <w:sz w:val="24"/>
                <w:szCs w:val="24"/>
                <w:highlight w:val="none"/>
              </w:rPr>
              <w:t xml:space="preserve">质量管理措施、技术管理措施、进度管理措施基本完善，项目实施全过程质量控制措施基本完整有效的得</w:t>
            </w:r>
            <w:r>
              <w:rPr>
                <w:rFonts w:hint="eastAsia"/>
                <w:sz w:val="24"/>
                <w:szCs w:val="24"/>
                <w:highlight w:val="none"/>
              </w:rPr>
              <w:t xml:space="preserve">4</w:t>
            </w:r>
            <w:r>
              <w:rPr>
                <w:sz w:val="24"/>
                <w:szCs w:val="24"/>
                <w:highlight w:val="none"/>
              </w:rPr>
              <w:t xml:space="preserve">分。</w:t>
            </w:r>
            <w:r/>
          </w:p>
          <w:p>
            <w:pPr>
              <w:spacing w:line="360" w:lineRule="auto"/>
              <w:rPr>
                <w:sz w:val="24"/>
                <w:szCs w:val="24"/>
                <w:highlight w:val="none"/>
              </w:rPr>
            </w:pPr>
            <w:r>
              <w:rPr>
                <w:sz w:val="24"/>
                <w:szCs w:val="24"/>
                <w:highlight w:val="none"/>
              </w:rPr>
              <w:t xml:space="preserve">未按要求提供不得分</w:t>
            </w:r>
            <w:r/>
          </w:p>
        </w:tc>
      </w:tr>
      <w:tr>
        <w:trPr>
          <w:jc w:val="center"/>
          <w:trHeight w:val="621"/>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样品送检方案</w:t>
            </w:r>
            <w:r/>
          </w:p>
          <w:p>
            <w:pPr>
              <w:jc w:val="center"/>
              <w:spacing w:line="360" w:lineRule="auto"/>
              <w:rPr>
                <w:sz w:val="24"/>
                <w:szCs w:val="24"/>
                <w:highlight w:val="none"/>
              </w:rPr>
            </w:pPr>
            <w:r>
              <w:rPr>
                <w:rFonts w:hint="eastAsia"/>
                <w:sz w:val="24"/>
                <w:szCs w:val="24"/>
                <w:highlight w:val="none"/>
              </w:rPr>
              <w:t xml:space="preserve">（5分）</w:t>
            </w:r>
            <w:r/>
          </w:p>
        </w:tc>
        <w:tc>
          <w:tcPr>
            <w:shd w:val="clear" w:color="auto" w:fill="ffffff"/>
            <w:tcW w:w="6925" w:type="dxa"/>
            <w:vAlign w:val="center"/>
            <w:textDirection w:val="lrTb"/>
            <w:noWrap/>
          </w:tcPr>
          <w:p>
            <w:pPr>
              <w:spacing w:line="360" w:lineRule="auto"/>
              <w:rPr>
                <w:sz w:val="24"/>
                <w:szCs w:val="24"/>
                <w:highlight w:val="none"/>
              </w:rPr>
            </w:pPr>
            <w:r>
              <w:rPr>
                <w:sz w:val="24"/>
                <w:szCs w:val="24"/>
                <w:highlight w:val="none"/>
              </w:rPr>
              <w:t xml:space="preserve">根据投标人提供的样品送检方案进行评审，方案包括但不限于医疗机构污水特性分析，水样保存措施，运输及人员送样方案、现场监测人员</w:t>
            </w:r>
            <w:r>
              <w:rPr>
                <w:rFonts w:hint="eastAsia"/>
                <w:sz w:val="24"/>
                <w:szCs w:val="24"/>
                <w:highlight w:val="none"/>
              </w:rPr>
              <w:t xml:space="preserve">配备方案</w:t>
            </w:r>
            <w:r>
              <w:rPr>
                <w:sz w:val="24"/>
                <w:szCs w:val="24"/>
                <w:highlight w:val="none"/>
              </w:rPr>
              <w:t xml:space="preserve">、样品启动分析时间。</w:t>
            </w:r>
            <w:r/>
          </w:p>
          <w:p>
            <w:pPr>
              <w:spacing w:line="360" w:lineRule="auto"/>
              <w:rPr>
                <w:sz w:val="24"/>
                <w:szCs w:val="24"/>
                <w:highlight w:val="none"/>
              </w:rPr>
            </w:pPr>
            <w:r>
              <w:rPr>
                <w:rFonts w:hint="eastAsia"/>
                <w:sz w:val="24"/>
                <w:szCs w:val="24"/>
                <w:highlight w:val="none"/>
              </w:rPr>
              <w:t xml:space="preserve">1、方案完整有效、科学合理，各部分内容均符合上述要求，现场监测人员数量满足接送样品需求并配备（2 - 8℃）的冷藏箱，检测进度安排有序，能充分保障整个送检流程高效、准确进行的</w:t>
            </w:r>
            <w:r>
              <w:rPr>
                <w:sz w:val="24"/>
                <w:szCs w:val="24"/>
                <w:highlight w:val="none"/>
              </w:rPr>
              <w:t xml:space="preserve">得5分；</w:t>
            </w:r>
            <w:r/>
          </w:p>
          <w:p>
            <w:pPr>
              <w:spacing w:line="360" w:lineRule="auto"/>
              <w:rPr>
                <w:sz w:val="24"/>
                <w:szCs w:val="24"/>
                <w:highlight w:val="none"/>
              </w:rPr>
            </w:pPr>
            <w:r>
              <w:rPr>
                <w:rFonts w:hint="eastAsia"/>
                <w:sz w:val="24"/>
                <w:szCs w:val="24"/>
                <w:highlight w:val="none"/>
              </w:rPr>
              <w:t xml:space="preserve">2、方案较完整有效、较科学合理，各部分内容基本涵盖但存在部分细节不够完善之处，检测进度安排较有序，整体能基本满足送检要求，但在个别环节的科学性、合理性上稍显不足。的</w:t>
            </w:r>
            <w:r>
              <w:rPr>
                <w:sz w:val="24"/>
                <w:szCs w:val="24"/>
                <w:highlight w:val="none"/>
              </w:rPr>
              <w:t xml:space="preserve">得3分；</w:t>
            </w:r>
            <w:r/>
          </w:p>
          <w:p>
            <w:pPr>
              <w:spacing w:line="360" w:lineRule="auto"/>
              <w:rPr>
                <w:highlight w:val="none"/>
              </w:rPr>
            </w:pPr>
            <w:r>
              <w:rPr>
                <w:rFonts w:hint="eastAsia"/>
                <w:sz w:val="24"/>
                <w:szCs w:val="24"/>
                <w:highlight w:val="none"/>
              </w:rPr>
              <w:t xml:space="preserve">3、方案基本完整有效、科学性一般，部分关键内容有所缺失或描述简略笼统，检测进度安排一般，对送检流程的保障程度有限的</w:t>
            </w:r>
            <w:r>
              <w:rPr>
                <w:sz w:val="24"/>
                <w:szCs w:val="24"/>
                <w:highlight w:val="none"/>
              </w:rPr>
              <w:t xml:space="preserve">得1分；</w:t>
            </w:r>
            <w:r/>
          </w:p>
          <w:p>
            <w:pPr>
              <w:spacing w:line="360" w:lineRule="auto"/>
              <w:rPr>
                <w:rFonts w:hint="eastAsia" w:eastAsia="宋体"/>
                <w:sz w:val="24"/>
                <w:szCs w:val="24"/>
                <w:highlight w:val="none"/>
                <w:lang w:eastAsia="zh-CN"/>
              </w:rPr>
            </w:pPr>
            <w:r>
              <w:rPr>
                <w:rFonts w:hint="eastAsia"/>
                <w:sz w:val="24"/>
                <w:szCs w:val="24"/>
                <w:highlight w:val="none"/>
                <w:lang w:val="en-US" w:eastAsia="zh-CN"/>
              </w:rPr>
              <w:t xml:space="preserve">4.</w:t>
            </w:r>
            <w:r>
              <w:rPr>
                <w:rFonts w:ascii="Segoe UI" w:hAnsi="Segoe UI" w:eastAsia="Segoe UI" w:cs="Segoe UI"/>
                <w:i w:val="0"/>
                <w:iCs w:val="0"/>
                <w:caps w:val="0"/>
                <w:spacing w:val="0"/>
                <w:sz w:val="24"/>
                <w:szCs w:val="24"/>
                <w:highlight w:val="none"/>
                <w:shd w:val="clear" w:color="auto" w:fill="ffffff"/>
              </w:rPr>
              <w:t xml:space="preserve">未按要求提供相应的样品送检方案，或提供的方案完全不符合实际需求，无法有效指导样品送检工作</w:t>
            </w:r>
            <w:r>
              <w:rPr>
                <w:rFonts w:hint="eastAsia" w:ascii="Segoe UI" w:hAnsi="Segoe UI" w:cs="Segoe UI"/>
                <w:i w:val="0"/>
                <w:iCs w:val="0"/>
                <w:caps w:val="0"/>
                <w:spacing w:val="0"/>
                <w:sz w:val="24"/>
                <w:szCs w:val="24"/>
                <w:highlight w:val="none"/>
                <w:shd w:val="clear" w:color="auto" w:fill="ffffff"/>
                <w:lang w:val="en-US" w:eastAsia="zh-CN"/>
              </w:rPr>
              <w:t xml:space="preserve">的</w:t>
            </w:r>
            <w:r>
              <w:rPr>
                <w:rFonts w:hint="eastAsia"/>
                <w:sz w:val="24"/>
                <w:szCs w:val="24"/>
                <w:highlight w:val="none"/>
              </w:rPr>
              <w:t xml:space="preserve">不得分</w:t>
            </w:r>
            <w:r>
              <w:rPr>
                <w:rFonts w:hint="eastAsia"/>
                <w:sz w:val="24"/>
                <w:szCs w:val="24"/>
                <w:highlight w:val="none"/>
                <w:lang w:eastAsia="zh-CN"/>
              </w:rPr>
              <w:t xml:space="preserve">。</w:t>
            </w:r>
            <w:r/>
          </w:p>
        </w:tc>
      </w:tr>
      <w:tr>
        <w:trPr>
          <w:jc w:val="center"/>
          <w:trHeight w:val="621"/>
        </w:trPr>
        <w:tc>
          <w:tcPr>
            <w:shd w:val="clear" w:color="auto" w:fill="ffffff"/>
            <w:tcW w:w="2134" w:type="dxa"/>
            <w:vAlign w:val="center"/>
            <w:textDirection w:val="lrTb"/>
            <w:noWrap/>
          </w:tcPr>
          <w:p>
            <w:pPr>
              <w:jc w:val="center"/>
              <w:spacing w:line="360" w:lineRule="auto"/>
              <w:rPr>
                <w:sz w:val="24"/>
                <w:szCs w:val="24"/>
                <w:highlight w:val="none"/>
              </w:rPr>
            </w:pPr>
            <w:r>
              <w:rPr>
                <w:rFonts w:hint="eastAsia"/>
                <w:sz w:val="24"/>
                <w:szCs w:val="24"/>
                <w:highlight w:val="none"/>
              </w:rPr>
              <w:t xml:space="preserve">实验室能力条件</w:t>
            </w:r>
            <w:r/>
          </w:p>
          <w:p>
            <w:pPr>
              <w:jc w:val="center"/>
              <w:spacing w:line="360" w:lineRule="auto"/>
              <w:rPr>
                <w:sz w:val="24"/>
                <w:szCs w:val="24"/>
                <w:highlight w:val="none"/>
              </w:rPr>
            </w:pPr>
            <w:r>
              <w:rPr>
                <w:rFonts w:hint="eastAsia"/>
                <w:sz w:val="24"/>
                <w:szCs w:val="24"/>
                <w:highlight w:val="none"/>
              </w:rPr>
              <w:t xml:space="preserve">（5分）</w:t>
            </w:r>
            <w:r/>
          </w:p>
        </w:tc>
        <w:tc>
          <w:tcPr>
            <w:shd w:val="clear" w:color="auto" w:fill="ffffff"/>
            <w:tcW w:w="6925" w:type="dxa"/>
            <w:vAlign w:val="center"/>
            <w:textDirection w:val="lrTb"/>
            <w:noWrap/>
          </w:tcPr>
          <w:p>
            <w:pPr>
              <w:spacing w:line="360" w:lineRule="auto"/>
              <w:rPr>
                <w:sz w:val="24"/>
                <w:szCs w:val="24"/>
                <w:highlight w:val="none"/>
              </w:rPr>
            </w:pPr>
            <w:r>
              <w:rPr>
                <w:rFonts w:hint="eastAsia"/>
                <w:sz w:val="24"/>
                <w:szCs w:val="24"/>
                <w:highlight w:val="none"/>
              </w:rPr>
              <w:t xml:space="preserve">投标人自2022年以来，参加过省级及以上能力验证考核项目</w:t>
            </w:r>
            <w:r/>
          </w:p>
          <w:p>
            <w:pPr>
              <w:spacing w:line="360" w:lineRule="auto"/>
              <w:rPr>
                <w:sz w:val="24"/>
                <w:szCs w:val="24"/>
                <w:highlight w:val="none"/>
              </w:rPr>
            </w:pPr>
            <w:r>
              <w:rPr>
                <w:rFonts w:hint="eastAsia"/>
                <w:sz w:val="24"/>
                <w:szCs w:val="24"/>
                <w:highlight w:val="none"/>
              </w:rPr>
              <w:t xml:space="preserve">（1）水质（2）空气（3）土壤，在这三类能力验证中，每有一个通过指标项（结果满意）超过30项（不含）的得5分；20项（不含）-30项的得2分；10项（不含）-20项得1分；10项以下不得分；本项最高得5分。</w:t>
            </w:r>
            <w:r/>
          </w:p>
          <w:p>
            <w:pPr>
              <w:spacing w:line="360" w:lineRule="auto"/>
              <w:rPr>
                <w:sz w:val="24"/>
                <w:szCs w:val="24"/>
                <w:highlight w:val="none"/>
              </w:rPr>
            </w:pPr>
            <w:r>
              <w:rPr>
                <w:rFonts w:hint="eastAsia"/>
                <w:sz w:val="24"/>
                <w:szCs w:val="24"/>
                <w:highlight w:val="none"/>
              </w:rPr>
              <w:t xml:space="preserve">注：投标文件中提供投标实验室自2022年以来考核通过的能力验证结果通知单复印件加盖公章，未按要求不得分。</w:t>
            </w:r>
            <w:r/>
          </w:p>
        </w:tc>
      </w:tr>
    </w:tbl>
    <w:p>
      <w:pPr>
        <w:ind w:firstLine="482"/>
        <w:spacing w:line="360" w:lineRule="auto"/>
        <w:rPr>
          <w:b/>
          <w:bCs/>
          <w:sz w:val="24"/>
          <w:szCs w:val="24"/>
          <w:highlight w:val="none"/>
        </w:rPr>
      </w:pPr>
      <w:r>
        <w:rPr>
          <w:rFonts w:hint="eastAsia"/>
          <w:b/>
          <w:bCs/>
          <w:sz w:val="24"/>
          <w:szCs w:val="24"/>
          <w:highlight w:val="none"/>
        </w:rPr>
        <w:t xml:space="preserve">注：投标文件中所提供的全部证明材料，评审结束后采购人有权进行核实，如有不实，将按照相关法律法规规定进行处理。</w:t>
      </w:r>
      <w:r/>
    </w:p>
    <w:p>
      <w:pPr>
        <w:pStyle w:val="773"/>
        <w:ind w:firstLine="420"/>
        <w:spacing w:line="360" w:lineRule="auto"/>
        <w:rPr>
          <w:color w:val="auto"/>
          <w:highlight w:val="none"/>
        </w:rPr>
      </w:pPr>
      <w:r>
        <w:rPr>
          <w:color w:val="auto"/>
          <w:highlight w:val="none"/>
        </w:rPr>
      </w:r>
      <w:r/>
    </w:p>
    <w:p>
      <w:pPr>
        <w:spacing w:line="360" w:lineRule="auto"/>
        <w:rPr>
          <w:highlight w:val="none"/>
        </w:rPr>
      </w:pPr>
      <w:r>
        <w:rPr>
          <w:highlight w:val="none"/>
        </w:rPr>
      </w:r>
      <w:r/>
    </w:p>
    <w:p>
      <w:pPr>
        <w:pStyle w:val="922"/>
        <w:spacing w:line="360" w:lineRule="auto"/>
        <w:rPr>
          <w:rFonts w:ascii="黑体" w:eastAsia="黑体"/>
          <w:bCs/>
          <w:sz w:val="44"/>
          <w:highlight w:val="none"/>
        </w:rPr>
      </w:pPr>
      <w:r/>
      <w:bookmarkStart w:id="253" w:name="_Toc19647"/>
      <w:r/>
      <w:bookmarkStart w:id="254" w:name="_Toc25769"/>
      <w:r>
        <w:rPr>
          <w:rFonts w:hint="eastAsia" w:ascii="黑体" w:eastAsia="黑体"/>
          <w:sz w:val="44"/>
          <w:szCs w:val="44"/>
          <w:highlight w:val="none"/>
        </w:rPr>
        <w:t xml:space="preserve">第六章  投标</w:t>
      </w:r>
      <w:bookmarkEnd w:id="248"/>
      <w:r/>
      <w:bookmarkEnd w:id="249"/>
      <w:r/>
      <w:bookmarkEnd w:id="252"/>
      <w:r>
        <w:rPr>
          <w:rFonts w:hint="eastAsia" w:ascii="黑体" w:eastAsia="黑体"/>
          <w:sz w:val="44"/>
          <w:szCs w:val="44"/>
          <w:highlight w:val="none"/>
        </w:rPr>
        <w:t xml:space="preserve">文件格式</w:t>
      </w:r>
      <w:bookmarkEnd w:id="253"/>
      <w:r/>
      <w:bookmarkEnd w:id="254"/>
      <w:r/>
      <w:r/>
    </w:p>
    <w:p>
      <w:pPr>
        <w:jc w:val="center"/>
        <w:rPr>
          <w:rFonts w:ascii="宋体" w:hAnsi="宋体"/>
          <w:b/>
          <w:sz w:val="72"/>
          <w:highlight w:val="none"/>
        </w:rPr>
      </w:pPr>
      <w:r/>
      <w:bookmarkStart w:id="255" w:name="_Hlt26955039"/>
      <w:r/>
      <w:bookmarkEnd w:id="255"/>
      <w:r/>
      <w:bookmarkStart w:id="256" w:name="_Hlt26671244"/>
      <w:r/>
      <w:bookmarkEnd w:id="256"/>
      <w:r/>
      <w:bookmarkStart w:id="257" w:name="_Toc49090576"/>
      <w:r/>
      <w:bookmarkStart w:id="258" w:name="_Toc120614282"/>
      <w:r/>
      <w:bookmarkStart w:id="259" w:name="_Toc26554094"/>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ascii="宋体" w:hAnsi="宋体"/>
          <w:highlight w:val="none"/>
        </w:rPr>
      </w:pPr>
      <w:r>
        <w:rPr>
          <w:rFonts w:hint="eastAsia" w:ascii="宋体" w:hAnsi="宋体"/>
          <w:b/>
          <w:sz w:val="36"/>
          <w:highlight w:val="none"/>
        </w:rPr>
        <w:t xml:space="preserve">      日      期 ：</w:t>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投标文件目录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left="480"/>
        <w:spacing w:line="360" w:lineRule="auto"/>
        <w:rPr>
          <w:rFonts w:ascii="宋体" w:hAnsi="宋体"/>
          <w:iCs/>
          <w:sz w:val="24"/>
          <w:highlight w:val="none"/>
        </w:rPr>
      </w:pPr>
      <w:r>
        <w:rPr>
          <w:rFonts w:hint="eastAsia" w:ascii="宋体" w:hAnsi="宋体"/>
          <w:iCs/>
          <w:sz w:val="24"/>
          <w:highlight w:val="none"/>
        </w:rPr>
        <w:t xml:space="preserve">一、法人或者其他组织的营业执照等证明文件，自然人的身份证明</w:t>
      </w:r>
      <w:r/>
    </w:p>
    <w:p>
      <w:pPr>
        <w:ind w:left="480"/>
        <w:spacing w:line="360" w:lineRule="auto"/>
        <w:rPr>
          <w:rFonts w:ascii="宋体" w:hAnsi="宋体"/>
          <w:iCs/>
          <w:sz w:val="24"/>
          <w:highlight w:val="none"/>
        </w:rPr>
      </w:pPr>
      <w:r>
        <w:rPr>
          <w:rFonts w:hint="eastAsia" w:ascii="宋体" w:hAnsi="宋体"/>
          <w:iCs/>
          <w:sz w:val="24"/>
          <w:highlight w:val="none"/>
        </w:rPr>
        <w:t xml:space="preserve">二、具有良好的商业信誉和健全的财务会计制度</w:t>
      </w:r>
      <w:r/>
    </w:p>
    <w:p>
      <w:pPr>
        <w:ind w:left="480"/>
        <w:spacing w:line="360" w:lineRule="auto"/>
        <w:rPr>
          <w:rFonts w:ascii="宋体" w:hAnsi="宋体"/>
          <w:iCs/>
          <w:sz w:val="24"/>
          <w:highlight w:val="none"/>
        </w:rPr>
      </w:pPr>
      <w:r>
        <w:rPr>
          <w:rFonts w:hint="eastAsia" w:ascii="宋体" w:hAnsi="宋体"/>
          <w:iCs/>
          <w:sz w:val="24"/>
          <w:highlight w:val="none"/>
        </w:rPr>
        <w:t xml:space="preserve">三、依法缴纳税收和社会保障资金的相关材料</w:t>
      </w:r>
      <w:r/>
    </w:p>
    <w:p>
      <w:pPr>
        <w:ind w:left="480"/>
        <w:spacing w:line="360" w:lineRule="auto"/>
        <w:rPr>
          <w:rFonts w:ascii="宋体" w:hAnsi="宋体"/>
          <w:iCs/>
          <w:sz w:val="24"/>
          <w:highlight w:val="none"/>
        </w:rPr>
      </w:pPr>
      <w:r>
        <w:rPr>
          <w:rFonts w:hint="eastAsia" w:ascii="宋体" w:hAnsi="宋体"/>
          <w:iCs/>
          <w:sz w:val="24"/>
          <w:highlight w:val="none"/>
        </w:rPr>
        <w:t xml:space="preserve">四、具备履行合同所必需的设备和专业技术能力的书面声明</w:t>
      </w:r>
      <w:r/>
    </w:p>
    <w:p>
      <w:pPr>
        <w:ind w:firstLine="480"/>
        <w:spacing w:line="360" w:lineRule="auto"/>
        <w:rPr>
          <w:rFonts w:ascii="宋体" w:hAnsi="宋体"/>
          <w:iCs/>
          <w:sz w:val="24"/>
          <w:highlight w:val="none"/>
        </w:rPr>
      </w:pPr>
      <w:r>
        <w:rPr>
          <w:rFonts w:hint="eastAsia" w:ascii="宋体" w:hAnsi="宋体"/>
          <w:iCs/>
          <w:sz w:val="24"/>
          <w:highlight w:val="none"/>
        </w:rPr>
        <w:t xml:space="preserve">五、参加政府采购活动前 3 年内在经营活动中没有重大违法记录的书面声明</w:t>
      </w:r>
      <w:r/>
    </w:p>
    <w:p>
      <w:pPr>
        <w:ind w:firstLine="480"/>
        <w:spacing w:line="360" w:lineRule="auto"/>
        <w:rPr>
          <w:rFonts w:ascii="宋体" w:hAnsi="宋体"/>
          <w:iCs/>
          <w:sz w:val="24"/>
          <w:highlight w:val="none"/>
        </w:rPr>
      </w:pPr>
      <w:r>
        <w:rPr>
          <w:rFonts w:hint="eastAsia" w:ascii="宋体" w:hAnsi="宋体"/>
          <w:iCs/>
          <w:sz w:val="24"/>
          <w:highlight w:val="none"/>
        </w:rPr>
        <w:t xml:space="preserve">六、其他资格要求的证明文件</w:t>
      </w:r>
      <w:r/>
    </w:p>
    <w:p>
      <w:pPr>
        <w:ind w:firstLine="480"/>
        <w:spacing w:line="360" w:lineRule="auto"/>
        <w:rPr>
          <w:rFonts w:ascii="宋体" w:hAnsi="宋体"/>
          <w:iCs/>
          <w:sz w:val="24"/>
          <w:highlight w:val="none"/>
        </w:rPr>
      </w:pPr>
      <w:r>
        <w:rPr>
          <w:rFonts w:hint="eastAsia" w:ascii="宋体" w:hAnsi="宋体"/>
          <w:iCs/>
          <w:sz w:val="24"/>
          <w:highlight w:val="none"/>
        </w:rPr>
        <w:t xml:space="preserve">七、法人授权书</w:t>
      </w:r>
      <w:r/>
    </w:p>
    <w:p>
      <w:pPr>
        <w:ind w:firstLine="480"/>
        <w:spacing w:line="360" w:lineRule="auto"/>
        <w:rPr>
          <w:rFonts w:ascii="宋体" w:hAnsi="宋体"/>
          <w:iCs/>
          <w:sz w:val="24"/>
          <w:highlight w:val="none"/>
        </w:rPr>
      </w:pPr>
      <w:r>
        <w:rPr>
          <w:rFonts w:hint="eastAsia" w:ascii="宋体" w:hAnsi="宋体"/>
          <w:iCs/>
          <w:sz w:val="24"/>
          <w:highlight w:val="none"/>
        </w:rPr>
        <w:t xml:space="preserve">八、投标函</w:t>
      </w:r>
      <w:r/>
    </w:p>
    <w:p>
      <w:pPr>
        <w:ind w:firstLine="480"/>
        <w:spacing w:line="360" w:lineRule="auto"/>
        <w:rPr>
          <w:rFonts w:ascii="宋体" w:hAnsi="宋体"/>
          <w:iCs/>
          <w:sz w:val="24"/>
          <w:highlight w:val="none"/>
        </w:rPr>
      </w:pPr>
      <w:r>
        <w:rPr>
          <w:rFonts w:hint="eastAsia" w:ascii="宋体" w:hAnsi="宋体"/>
          <w:iCs/>
          <w:sz w:val="24"/>
          <w:highlight w:val="none"/>
        </w:rPr>
        <w:t xml:space="preserve">九、中小微企业声明函</w:t>
      </w:r>
      <w:r/>
    </w:p>
    <w:p>
      <w:pPr>
        <w:ind w:firstLine="480"/>
        <w:spacing w:line="360" w:lineRule="auto"/>
        <w:rPr>
          <w:rFonts w:ascii="宋体" w:hAnsi="宋体"/>
          <w:iCs/>
          <w:sz w:val="24"/>
          <w:highlight w:val="none"/>
        </w:rPr>
      </w:pPr>
      <w:r>
        <w:rPr>
          <w:rFonts w:hint="eastAsia" w:ascii="宋体" w:hAnsi="宋体"/>
          <w:iCs/>
          <w:sz w:val="24"/>
          <w:highlight w:val="none"/>
        </w:rPr>
        <w:t xml:space="preserve">十、残疾人福利性单位声明函</w:t>
      </w:r>
      <w:r/>
    </w:p>
    <w:p>
      <w:pPr>
        <w:ind w:firstLine="480"/>
        <w:spacing w:line="360" w:lineRule="auto"/>
        <w:rPr>
          <w:rFonts w:ascii="宋体" w:hAnsi="宋体"/>
          <w:iCs/>
          <w:sz w:val="24"/>
          <w:highlight w:val="none"/>
        </w:rPr>
      </w:pPr>
      <w:r>
        <w:rPr>
          <w:rFonts w:hint="eastAsia" w:ascii="宋体" w:hAnsi="宋体"/>
          <w:iCs/>
          <w:sz w:val="24"/>
          <w:highlight w:val="none"/>
        </w:rPr>
        <w:t xml:space="preserve">十一、投标分项报价表</w:t>
      </w:r>
      <w:r/>
    </w:p>
    <w:p>
      <w:pPr>
        <w:ind w:firstLine="480"/>
        <w:spacing w:line="360" w:lineRule="auto"/>
        <w:rPr>
          <w:highlight w:val="none"/>
        </w:rPr>
      </w:pPr>
      <w:r>
        <w:rPr>
          <w:rFonts w:hint="eastAsia" w:ascii="宋体" w:hAnsi="宋体"/>
          <w:iCs/>
          <w:sz w:val="24"/>
          <w:highlight w:val="none"/>
        </w:rPr>
        <w:t xml:space="preserve">十二、商务、技术要求响应及偏离表</w:t>
      </w:r>
      <w:r/>
    </w:p>
    <w:p>
      <w:pPr>
        <w:ind w:firstLine="480"/>
        <w:spacing w:line="360" w:lineRule="auto"/>
        <w:rPr>
          <w:rFonts w:ascii="宋体" w:hAnsi="宋体"/>
          <w:iCs/>
          <w:sz w:val="24"/>
          <w:highlight w:val="none"/>
        </w:rPr>
      </w:pPr>
      <w:r>
        <w:rPr>
          <w:rFonts w:hint="eastAsia" w:ascii="宋体" w:hAnsi="宋体"/>
          <w:iCs/>
          <w:sz w:val="24"/>
          <w:highlight w:val="none"/>
        </w:rPr>
        <w:t xml:space="preserve">十三、开标一览表</w:t>
      </w:r>
      <w:r/>
    </w:p>
    <w:p>
      <w:pPr>
        <w:ind w:firstLine="480"/>
        <w:spacing w:line="360" w:lineRule="auto"/>
        <w:rPr>
          <w:rFonts w:ascii="宋体" w:hAnsi="宋体"/>
          <w:iCs/>
          <w:sz w:val="24"/>
          <w:highlight w:val="none"/>
        </w:rPr>
      </w:pPr>
      <w:r>
        <w:rPr>
          <w:rFonts w:hint="eastAsia" w:ascii="宋体" w:hAnsi="宋体"/>
          <w:iCs/>
          <w:sz w:val="24"/>
          <w:highlight w:val="none"/>
        </w:rPr>
        <w:t xml:space="preserve">十四、项目需求响应方案</w:t>
      </w:r>
      <w:r/>
    </w:p>
    <w:p>
      <w:pPr>
        <w:ind w:firstLine="480"/>
        <w:spacing w:line="360" w:lineRule="auto"/>
        <w:rPr>
          <w:rFonts w:ascii="宋体" w:hAnsi="宋体"/>
          <w:iCs/>
          <w:sz w:val="24"/>
          <w:highlight w:val="none"/>
        </w:rPr>
      </w:pPr>
      <w:r>
        <w:rPr>
          <w:rFonts w:hint="eastAsia" w:ascii="宋体" w:hAnsi="宋体"/>
          <w:iCs/>
          <w:sz w:val="24"/>
          <w:highlight w:val="none"/>
        </w:rPr>
        <w:t xml:space="preserve">十五、类似项目业绩一览表</w:t>
      </w:r>
      <w:r/>
    </w:p>
    <w:p>
      <w:pPr>
        <w:ind w:firstLine="480"/>
        <w:spacing w:line="360" w:lineRule="auto"/>
        <w:rPr>
          <w:rFonts w:ascii="宋体" w:hAnsi="宋体"/>
          <w:iCs/>
          <w:sz w:val="24"/>
          <w:highlight w:val="none"/>
        </w:rPr>
      </w:pPr>
      <w:r>
        <w:rPr>
          <w:rFonts w:hint="eastAsia" w:ascii="宋体" w:hAnsi="宋体"/>
          <w:iCs/>
          <w:sz w:val="24"/>
          <w:highlight w:val="none"/>
        </w:rPr>
        <w:t xml:space="preserve">十六、项目团队人员一览表</w:t>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rPr>
          <w:rFonts w:hint="eastAsia" w:ascii="黑体" w:hAnsi="黑体" w:eastAsia="黑体"/>
          <w:iCs/>
          <w:sz w:val="32"/>
          <w:szCs w:val="32"/>
          <w:highlight w:val="none"/>
          <w:u w:val="single"/>
        </w:rPr>
        <w:t xml:space="preserve">一、法人或者其他组织的营业执照等证明文件，自然人的身份证明</w:t>
      </w:r>
      <w:r/>
    </w:p>
    <w:p>
      <w:pPr>
        <w:ind w:firstLine="480"/>
        <w:spacing w:line="440" w:lineRule="exact"/>
        <w:rPr>
          <w:rFonts w:ascii="宋体" w:hAnsi="宋体"/>
          <w:sz w:val="24"/>
          <w:highlight w:val="none"/>
        </w:rPr>
      </w:pPr>
      <w:r>
        <w:rPr>
          <w:rFonts w:ascii="宋体" w:hAnsi="宋体"/>
          <w:sz w:val="24"/>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二、具有良好的商业信誉和健全的财务会计制度</w:t>
      </w:r>
      <w:r/>
    </w:p>
    <w:p>
      <w:pPr>
        <w:ind w:firstLine="480"/>
        <w:spacing w:line="440" w:lineRule="exact"/>
        <w:rPr>
          <w:rFonts w:ascii="宋体" w:hAnsi="宋体"/>
          <w:bCs/>
          <w:sz w:val="24"/>
          <w:highlight w:val="none"/>
        </w:rPr>
      </w:pPr>
      <w:r>
        <w:rPr>
          <w:rFonts w:hint="eastAsia" w:ascii="宋体" w:hAnsi="宋体"/>
          <w:bCs/>
          <w:sz w:val="24"/>
          <w:highlight w:val="none"/>
        </w:rPr>
        <w:t xml:space="preserve">根据连财购〔2023〕4号、连财购（2023）9号文件精神，可以提供《财务状况报告及税收、社会保障资金缴纳情况承诺函》。</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三、依法缴纳税收和社会保障资金的相关材料</w:t>
      </w:r>
      <w:bookmarkEnd w:id="257"/>
      <w:bookmarkEnd w:id="258"/>
      <w:bookmarkEnd w:id="259"/>
      <w:r/>
    </w:p>
    <w:p>
      <w:pPr>
        <w:ind w:firstLine="480"/>
        <w:rPr>
          <w:rFonts w:ascii="宋体" w:hAnsi="宋体"/>
          <w:bCs/>
          <w:sz w:val="24"/>
          <w:highlight w:val="none"/>
        </w:rPr>
      </w:pPr>
      <w:r/>
      <w:bookmarkStart w:id="260" w:name="_Toc120614284"/>
      <w:r>
        <w:rPr>
          <w:rFonts w:hint="eastAsia" w:ascii="宋体" w:hAnsi="宋体"/>
          <w:bCs/>
          <w:sz w:val="24"/>
          <w:highlight w:val="none"/>
        </w:rPr>
        <w:t xml:space="preserve">根据连财购〔2023〕4号、连财购（2023）9号文件精神，可以提供《财务状况报告及税收、社会保障资金缴纳情况承诺函》。</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四、具备履行合同所必需的设备和专业技术能力的书面声明</w:t>
      </w:r>
      <w:r/>
    </w:p>
    <w:p>
      <w:pPr>
        <w:ind w:firstLine="492"/>
        <w:spacing w:line="460" w:lineRule="exact"/>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highlight w:val="none"/>
        </w:rPr>
      </w:pPr>
      <w:r>
        <w:rPr>
          <w:rFonts w:hint="eastAsia" w:ascii="宋体" w:hAnsi="宋体"/>
          <w:bCs/>
          <w:sz w:val="24"/>
          <w:highlight w:val="none"/>
        </w:rPr>
        <w:t xml:space="preserve">主要设备有：。</w:t>
      </w:r>
      <w:r/>
    </w:p>
    <w:p>
      <w:pPr>
        <w:ind w:firstLine="492"/>
        <w:spacing w:line="460" w:lineRule="exact"/>
        <w:rPr>
          <w:rFonts w:ascii="宋体" w:hAnsi="宋体"/>
          <w:bCs/>
          <w:sz w:val="24"/>
          <w:highlight w:val="none"/>
        </w:rPr>
      </w:pPr>
      <w:r>
        <w:rPr>
          <w:rFonts w:hint="eastAsia" w:ascii="宋体" w:hAnsi="宋体"/>
          <w:bCs/>
          <w:sz w:val="24"/>
          <w:highlight w:val="none"/>
        </w:rPr>
        <w:t xml:space="preserve">主要专业技术能力有：。</w:t>
      </w:r>
      <w:r/>
    </w:p>
    <w:p>
      <w:pPr>
        <w:spacing w:line="460" w:lineRule="exact"/>
        <w:rPr>
          <w:rFonts w:ascii="宋体" w:hAnsi="宋体"/>
          <w:bCs/>
          <w:sz w:val="24"/>
          <w:highlight w:val="none"/>
        </w:rPr>
      </w:pPr>
      <w:r>
        <w:rPr>
          <w:rFonts w:ascii="宋体" w:hAnsi="宋体"/>
          <w:bCs/>
          <w:sz w:val="24"/>
          <w:highlight w:val="none"/>
        </w:rPr>
      </w:r>
      <w:r/>
    </w:p>
    <w:p>
      <w:pPr>
        <w:ind w:firstLine="492"/>
        <w:spacing w:line="460" w:lineRule="exact"/>
        <w:rPr>
          <w:rFonts w:ascii="宋体" w:hAnsi="宋体"/>
          <w:bCs/>
          <w:sz w:val="24"/>
          <w:highlight w:val="none"/>
        </w:rPr>
      </w:pPr>
      <w:r>
        <w:rPr>
          <w:rFonts w:hint="eastAsia" w:ascii="宋体" w:hAnsi="宋体"/>
          <w:bCs/>
          <w:sz w:val="24"/>
          <w:highlight w:val="none"/>
        </w:rPr>
        <w:t xml:space="preserve">投标人（盖章）：</w:t>
      </w:r>
      <w:r/>
    </w:p>
    <w:p>
      <w:pPr>
        <w:ind w:firstLine="492"/>
        <w:spacing w:line="460" w:lineRule="exact"/>
        <w:rPr>
          <w:rFonts w:ascii="宋体" w:hAnsi="宋体"/>
          <w:bCs/>
          <w:sz w:val="24"/>
          <w:highlight w:val="none"/>
        </w:rPr>
      </w:pPr>
      <w:r>
        <w:rPr>
          <w:rFonts w:hint="eastAsia" w:ascii="宋体" w:hAnsi="宋体"/>
          <w:bCs/>
          <w:sz w:val="24"/>
          <w:highlight w:val="none"/>
        </w:rPr>
        <w:t xml:space="preserve">法定代表人或委托代理人（签字或盖章）：</w:t>
      </w:r>
      <w:r/>
    </w:p>
    <w:p>
      <w:pPr>
        <w:pStyle w:val="925"/>
        <w:ind w:firstLine="480"/>
        <w:rPr>
          <w:rFonts w:ascii="宋体" w:hAnsi="宋体"/>
          <w:bCs/>
          <w:sz w:val="24"/>
          <w:highlight w:val="none"/>
        </w:rPr>
      </w:pPr>
      <w:r>
        <w:rPr>
          <w:rFonts w:hint="eastAsia" w:ascii="宋体" w:hAnsi="宋体"/>
          <w:bCs/>
          <w:sz w:val="24"/>
          <w:highlight w:val="none"/>
        </w:rPr>
        <w:t xml:space="preserve">日期：    年     月     日</w:t>
      </w:r>
      <w:r/>
    </w:p>
    <w:p>
      <w:pPr>
        <w:pStyle w:val="925"/>
        <w:ind w:firstLine="482"/>
        <w:rPr>
          <w:rFonts w:ascii="宋体" w:hAnsi="宋体"/>
          <w:b/>
          <w:sz w:val="24"/>
          <w:highlight w:val="none"/>
        </w:rPr>
      </w:pPr>
      <w:r>
        <w:rPr>
          <w:rFonts w:ascii="宋体" w:hAnsi="宋体"/>
          <w:b/>
          <w:sz w:val="24"/>
          <w:highlight w:val="none"/>
        </w:rPr>
      </w:r>
      <w:r/>
    </w:p>
    <w:p>
      <w:pPr>
        <w:pStyle w:val="925"/>
        <w:ind w:firstLine="482"/>
        <w:rPr>
          <w:rFonts w:ascii="宋体" w:hAnsi="宋体"/>
          <w:b/>
          <w:sz w:val="24"/>
          <w:highlight w:val="none"/>
        </w:rPr>
      </w:pPr>
      <w:r>
        <w:rPr>
          <w:rFonts w:hint="eastAsia" w:ascii="宋体" w:hAnsi="宋体"/>
          <w:b/>
          <w:sz w:val="24"/>
          <w:highlight w:val="none"/>
        </w:rPr>
        <w:t xml:space="preserve">附主要设备和主要专业技术能力的证明材料如下：</w:t>
      </w:r>
      <w:r/>
    </w:p>
    <w:p>
      <w:pPr>
        <w:pStyle w:val="925"/>
        <w:ind w:firstLine="482"/>
        <w:rPr>
          <w:rFonts w:ascii="宋体" w:hAnsi="宋体"/>
          <w:b/>
          <w:sz w:val="24"/>
          <w:highlight w:val="none"/>
        </w:rPr>
      </w:pPr>
      <w:r>
        <w:rPr>
          <w:rFonts w:ascii="宋体" w:hAnsi="宋体"/>
          <w:b/>
          <w:sz w:val="24"/>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br w:type="page" w:clear="all"/>
      </w:r>
      <w:r>
        <w:rPr>
          <w:rFonts w:hint="eastAsia" w:ascii="黑体" w:hAnsi="黑体" w:eastAsia="黑体"/>
          <w:iCs/>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r/>
    </w:p>
    <w:p>
      <w:pPr>
        <w:spacing w:line="460" w:lineRule="exact"/>
        <w:rPr>
          <w:rFonts w:ascii="宋体" w:hAnsi="宋体"/>
          <w:bCs/>
          <w:sz w:val="24"/>
          <w:highlight w:val="none"/>
        </w:rPr>
      </w:pP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hint="eastAsia" w:ascii="宋体" w:hAnsi="宋体"/>
          <w:bCs/>
          <w:sz w:val="24"/>
          <w:highlight w:val="none"/>
        </w:rPr>
        <w:t xml:space="preserve">投标人（盖章）：</w:t>
      </w:r>
      <w:r/>
    </w:p>
    <w:p>
      <w:pPr>
        <w:ind w:firstLine="480"/>
        <w:spacing w:line="460" w:lineRule="exact"/>
        <w:rPr>
          <w:rFonts w:ascii="宋体" w:hAnsi="宋体"/>
          <w:bCs/>
          <w:sz w:val="24"/>
          <w:highlight w:val="none"/>
        </w:rPr>
      </w:pPr>
      <w:r>
        <w:rPr>
          <w:rFonts w:hint="eastAsia" w:ascii="宋体" w:hAnsi="宋体"/>
          <w:bCs/>
          <w:sz w:val="24"/>
          <w:highlight w:val="none"/>
        </w:rPr>
        <w:t xml:space="preserve">法定代表人或委托代理人（签字或盖章）：</w:t>
      </w:r>
      <w:r/>
    </w:p>
    <w:p>
      <w:pPr>
        <w:ind w:firstLine="480"/>
        <w:spacing w:line="460" w:lineRule="exact"/>
        <w:rPr>
          <w:rFonts w:ascii="宋体" w:hAnsi="宋体"/>
          <w:bCs/>
          <w:sz w:val="24"/>
          <w:highlight w:val="none"/>
        </w:rPr>
      </w:pPr>
      <w:r>
        <w:rPr>
          <w:rFonts w:hint="eastAsia" w:ascii="宋体" w:hAnsi="宋体"/>
          <w:bCs/>
          <w:sz w:val="24"/>
          <w:highlight w:val="none"/>
        </w:rPr>
        <w:t xml:space="preserve">日期：    年     月     日</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六、其他资格要求的证明文件</w:t>
      </w:r>
      <w:r/>
    </w:p>
    <w:p>
      <w:pPr>
        <w:spacing w:line="460" w:lineRule="exact"/>
        <w:rPr>
          <w:rFonts w:ascii="宋体" w:hAnsi="宋体"/>
          <w:bCs/>
          <w:sz w:val="24"/>
          <w:highlight w:val="none"/>
        </w:rPr>
      </w:pPr>
      <w:r>
        <w:rPr>
          <w:rFonts w:ascii="宋体" w:hAnsi="宋体"/>
          <w:bCs/>
          <w:sz w:val="24"/>
          <w:highlight w:val="none"/>
        </w:rPr>
      </w:r>
      <w:r/>
    </w:p>
    <w:p>
      <w:pPr>
        <w:spacing w:line="460" w:lineRule="exact"/>
        <w:rPr>
          <w:rFonts w:ascii="宋体" w:hAnsi="宋体"/>
          <w:bCs/>
          <w:sz w:val="24"/>
          <w:highlight w:val="none"/>
        </w:rPr>
      </w:pPr>
      <w:r>
        <w:rPr>
          <w:rFonts w:ascii="宋体" w:hAnsi="宋体"/>
          <w:bCs/>
          <w:sz w:val="24"/>
          <w:highlight w:val="none"/>
        </w:rPr>
      </w:r>
      <w:r/>
    </w:p>
    <w:p>
      <w:pPr>
        <w:jc w:val="center"/>
        <w:rPr>
          <w:rFonts w:ascii="黑体" w:hAnsi="黑体" w:eastAsia="黑体"/>
          <w:i/>
          <w:sz w:val="32"/>
          <w:szCs w:val="32"/>
          <w:highlight w:val="none"/>
          <w:u w:val="single"/>
        </w:rPr>
      </w:pPr>
      <w:r>
        <w:rPr>
          <w:rFonts w:hint="eastAsia" w:ascii="黑体" w:hAnsi="黑体" w:eastAsia="黑体"/>
          <w:iCs/>
          <w:sz w:val="32"/>
          <w:szCs w:val="32"/>
          <w:highlight w:val="none"/>
          <w:u w:val="single"/>
        </w:rPr>
        <w:br w:type="page" w:clear="all"/>
      </w:r>
      <w:r>
        <w:rPr>
          <w:rFonts w:hint="eastAsia" w:ascii="黑体" w:hAnsi="黑体" w:eastAsia="黑体"/>
          <w:iCs/>
          <w:sz w:val="32"/>
          <w:szCs w:val="32"/>
          <w:highlight w:val="none"/>
          <w:u w:val="single"/>
        </w:rPr>
        <w:t xml:space="preserve">七、法人授权书</w:t>
      </w:r>
      <w:r/>
    </w:p>
    <w:p>
      <w:pPr>
        <w:ind w:firstLine="481"/>
        <w:spacing w:line="460" w:lineRule="exact"/>
        <w:rPr>
          <w:rFonts w:ascii="宋体" w:hAnsi="宋体"/>
          <w:bCs/>
          <w:sz w:val="24"/>
          <w:highlight w:val="none"/>
        </w:rPr>
      </w:pPr>
      <w:r>
        <w:rPr>
          <w:rFonts w:hint="eastAsia" w:ascii="宋体" w:hAnsi="宋体"/>
          <w:bCs/>
          <w:sz w:val="24"/>
          <w:highlight w:val="none"/>
        </w:rPr>
        <w:t xml:space="preserve">致：</w:t>
      </w:r>
      <w:r/>
    </w:p>
    <w:p>
      <w:pPr>
        <w:ind w:firstLine="481"/>
        <w:spacing w:line="460" w:lineRule="exact"/>
        <w:rPr>
          <w:rFonts w:ascii="宋体" w:hAnsi="宋体"/>
          <w:bCs/>
          <w:sz w:val="24"/>
          <w:highlight w:val="none"/>
        </w:rPr>
      </w:pPr>
      <w:r>
        <w:rPr>
          <w:rFonts w:hint="eastAsia" w:ascii="宋体" w:hAnsi="宋体"/>
          <w:bCs/>
          <w:sz w:val="24"/>
          <w:highlight w:val="none"/>
        </w:rPr>
        <w:t xml:space="preserve">本人（姓名）系（投标人名称）的法定代表人（单位负责人），现委托（姓名）为我方代理人。代理人根据授权，以我方名义签署、澄清确认、递交、撤回、修改项目（分包号：）投标文件和处理有关事宜，其法律后果由我方承担。</w:t>
      </w:r>
      <w:r/>
    </w:p>
    <w:p>
      <w:pPr>
        <w:ind w:firstLine="481"/>
        <w:spacing w:line="460" w:lineRule="exact"/>
        <w:rPr>
          <w:rFonts w:ascii="宋体" w:hAnsi="宋体"/>
          <w:bCs/>
          <w:sz w:val="24"/>
          <w:highlight w:val="none"/>
        </w:rPr>
      </w:pPr>
      <w:r>
        <w:rPr>
          <w:rFonts w:hint="eastAsia" w:ascii="宋体" w:hAnsi="宋体"/>
          <w:bCs/>
          <w:sz w:val="24"/>
          <w:highlight w:val="none"/>
        </w:rPr>
        <w:t xml:space="preserve">委托期限：自本授权委托书签署之日起至投标有效期届满之日止。</w:t>
      </w:r>
      <w:r/>
    </w:p>
    <w:p>
      <w:pPr>
        <w:ind w:firstLine="481"/>
        <w:spacing w:line="460" w:lineRule="exact"/>
        <w:rPr>
          <w:rFonts w:ascii="宋体" w:hAnsi="宋体"/>
          <w:bCs/>
          <w:sz w:val="24"/>
          <w:highlight w:val="none"/>
        </w:rPr>
      </w:pPr>
      <w:r>
        <w:rPr>
          <w:rFonts w:hint="eastAsia" w:ascii="宋体" w:hAnsi="宋体"/>
          <w:bCs/>
          <w:sz w:val="24"/>
          <w:highlight w:val="none"/>
        </w:rPr>
        <w:t xml:space="preserve">代理人无转委托权。</w:t>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u w:val="single"/>
        </w:rPr>
      </w:pPr>
      <w:r>
        <w:rPr>
          <w:rFonts w:hint="eastAsia" w:ascii="宋体" w:hAnsi="宋体"/>
          <w:bCs/>
          <w:sz w:val="24"/>
          <w:highlight w:val="none"/>
        </w:rPr>
        <w:t xml:space="preserve">投标人名称（加盖公章）</w:t>
      </w:r>
      <w:r>
        <w:rPr>
          <w:rFonts w:hint="eastAsia" w:ascii="宋体" w:hAnsi="宋体"/>
          <w:bCs/>
          <w:sz w:val="24"/>
          <w:highlight w:val="none"/>
          <w:lang w:val="zh-CN"/>
        </w:rPr>
        <w:t xml:space="preserve">：</w:t>
      </w:r>
      <w:r/>
    </w:p>
    <w:p>
      <w:pPr>
        <w:ind w:firstLine="481"/>
        <w:spacing w:line="460" w:lineRule="exact"/>
        <w:rPr>
          <w:rFonts w:ascii="宋体" w:hAnsi="宋体"/>
          <w:bCs/>
          <w:sz w:val="24"/>
          <w:highlight w:val="none"/>
          <w:u w:val="single"/>
        </w:rPr>
      </w:pPr>
      <w:r>
        <w:rPr>
          <w:rFonts w:hint="eastAsia" w:ascii="宋体" w:hAnsi="宋体"/>
          <w:bCs/>
          <w:sz w:val="24"/>
          <w:highlight w:val="none"/>
        </w:rPr>
        <w:t xml:space="preserve">法定代表人（单位负责人）（签字、签章或印鉴）：</w:t>
      </w:r>
      <w:r/>
    </w:p>
    <w:p>
      <w:pPr>
        <w:ind w:firstLine="481"/>
        <w:spacing w:line="460" w:lineRule="exact"/>
        <w:rPr>
          <w:rFonts w:ascii="宋体" w:hAnsi="宋体"/>
          <w:bCs/>
          <w:sz w:val="24"/>
          <w:highlight w:val="none"/>
          <w:lang w:val="zh-CN"/>
        </w:rPr>
      </w:pPr>
      <w:r>
        <w:rPr>
          <w:rFonts w:hint="eastAsia" w:ascii="宋体" w:hAnsi="宋体"/>
          <w:bCs/>
          <w:sz w:val="24"/>
          <w:highlight w:val="none"/>
        </w:rPr>
        <w:t xml:space="preserve">委托代理人（签字/签章）：</w:t>
      </w:r>
      <w:r/>
    </w:p>
    <w:p>
      <w:pPr>
        <w:ind w:firstLine="481"/>
        <w:spacing w:line="460" w:lineRule="exact"/>
        <w:rPr>
          <w:rFonts w:ascii="宋体" w:hAnsi="宋体"/>
          <w:bCs/>
          <w:sz w:val="24"/>
          <w:highlight w:val="none"/>
          <w:lang w:val="zh-CN"/>
        </w:rPr>
      </w:pPr>
      <w:r>
        <w:rPr>
          <w:rFonts w:hint="eastAsia" w:ascii="宋体" w:hAnsi="宋体"/>
          <w:bCs/>
          <w:sz w:val="24"/>
          <w:highlight w:val="none"/>
        </w:rPr>
        <w:t xml:space="preserve">日期：年月日</w:t>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hint="eastAsia" w:ascii="宋体" w:hAnsi="宋体"/>
          <w:bCs/>
          <w:sz w:val="24"/>
          <w:highlight w:val="none"/>
        </w:rPr>
        <w:t xml:space="preserve">法定代表人（单位负责人）有效期内的身份证正反面电子件：</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tc>
        <w:tc>
          <w:tcPr>
            <w:tcW w:w="4536" w:type="dxa"/>
            <w:textDirection w:val="lrTb"/>
            <w:noWrap/>
          </w:tcPr>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tc>
      </w:tr>
    </w:tbl>
    <w:p>
      <w:pPr>
        <w:ind w:firstLine="481"/>
        <w:spacing w:line="460" w:lineRule="exact"/>
        <w:rPr>
          <w:rFonts w:ascii="宋体" w:hAnsi="宋体"/>
          <w:bCs/>
          <w:sz w:val="24"/>
          <w:highlight w:val="none"/>
        </w:rPr>
      </w:pPr>
      <w:r>
        <w:rPr>
          <w:rFonts w:hint="eastAsia" w:ascii="宋体" w:hAnsi="宋体"/>
          <w:bCs/>
          <w:sz w:val="24"/>
          <w:highlight w:val="none"/>
        </w:rPr>
        <w:t xml:space="preserve">委托代理人有效期内的身份证正反面电子件：</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tc>
        <w:tc>
          <w:tcPr>
            <w:tcW w:w="4536" w:type="dxa"/>
            <w:textDirection w:val="lrTb"/>
            <w:noWrap/>
          </w:tcPr>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tc>
      </w:tr>
    </w:tbl>
    <w:p>
      <w:pPr>
        <w:ind w:firstLine="481"/>
        <w:spacing w:line="460" w:lineRule="exact"/>
        <w:rPr>
          <w:rFonts w:ascii="宋体" w:hAnsi="宋体"/>
          <w:bCs/>
          <w:sz w:val="24"/>
          <w:highlight w:val="none"/>
        </w:rPr>
      </w:pPr>
      <w:r>
        <w:rPr>
          <w:rFonts w:hint="eastAsia" w:ascii="宋体" w:hAnsi="宋体"/>
          <w:bCs/>
          <w:sz w:val="24"/>
          <w:highlight w:val="none"/>
        </w:rPr>
        <w:t xml:space="preserve">填报说明：</w:t>
      </w:r>
      <w:r/>
    </w:p>
    <w:p>
      <w:pPr>
        <w:ind w:firstLine="481"/>
        <w:spacing w:line="460" w:lineRule="exact"/>
        <w:rPr>
          <w:rFonts w:ascii="宋体" w:hAnsi="宋体"/>
          <w:bCs/>
          <w:sz w:val="24"/>
          <w:highlight w:val="none"/>
        </w:rPr>
      </w:pPr>
      <w:r>
        <w:rPr>
          <w:rFonts w:hint="eastAsia" w:ascii="宋体" w:hAnsi="宋体"/>
          <w:bCs/>
          <w:sz w:val="24"/>
          <w:highlight w:val="none"/>
        </w:rPr>
        <w:t xml:space="preserve">1、若供应商为事业单位或其他组织或分支机构（仅当招标文件注明允许分支机构投标的），则法定代表人（单位负责人）处的签署人可为单位负责人。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sz w:val="24"/>
          <w:highlight w:val="none"/>
        </w:rPr>
      </w:pPr>
      <w:r>
        <w:rPr>
          <w:rFonts w:hint="eastAsia" w:ascii="宋体" w:hAnsi="宋体"/>
          <w:bCs/>
          <w:sz w:val="24"/>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highlight w:val="none"/>
        </w:rPr>
      </w:pPr>
      <w:r>
        <w:rPr>
          <w:rFonts w:hint="eastAsia" w:ascii="宋体" w:hAnsi="宋体"/>
          <w:bCs/>
          <w:sz w:val="24"/>
          <w:highlight w:val="none"/>
        </w:rPr>
        <w:t xml:space="preserve">3、供应商为自然人的情形，可不提供本《授权委托书》。</w:t>
      </w:r>
      <w:r>
        <w:rPr>
          <w:rFonts w:hint="eastAsia" w:ascii="宋体" w:hAnsi="宋体"/>
          <w:bCs/>
          <w:sz w:val="24"/>
          <w:highlight w:val="none"/>
        </w:rPr>
        <w:br w:type="page" w:clear="all"/>
      </w:r>
      <w:r/>
    </w:p>
    <w:p>
      <w:pPr>
        <w:jc w:val="cente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ind w:firstLine="481"/>
        <w:spacing w:line="460" w:lineRule="exact"/>
        <w:rPr>
          <w:rFonts w:ascii="宋体" w:hAnsi="宋体"/>
          <w:bCs/>
          <w:sz w:val="24"/>
          <w:highlight w:val="none"/>
        </w:rPr>
      </w:pPr>
      <w:r>
        <w:rPr>
          <w:rFonts w:hint="eastAsia" w:ascii="宋体" w:hAnsi="宋体"/>
          <w:bCs/>
          <w:sz w:val="24"/>
          <w:highlight w:val="none"/>
        </w:rPr>
        <w:t xml:space="preserve">致：</w:t>
      </w:r>
      <w:r/>
    </w:p>
    <w:p>
      <w:pPr>
        <w:ind w:firstLine="481"/>
        <w:spacing w:line="460" w:lineRule="exact"/>
        <w:rPr>
          <w:rFonts w:ascii="宋体" w:hAnsi="宋体"/>
          <w:bCs/>
          <w:sz w:val="24"/>
          <w:highlight w:val="none"/>
        </w:rPr>
      </w:pPr>
      <w:r>
        <w:rPr>
          <w:rFonts w:hint="eastAsia" w:ascii="宋体" w:hAnsi="宋体"/>
          <w:bCs/>
          <w:sz w:val="24"/>
          <w:highlight w:val="none"/>
        </w:rPr>
        <w:t xml:space="preserve">兹证明，</w:t>
      </w:r>
      <w:r/>
    </w:p>
    <w:p>
      <w:pPr>
        <w:ind w:firstLine="481"/>
        <w:spacing w:line="460" w:lineRule="exact"/>
        <w:rPr>
          <w:rFonts w:ascii="宋体" w:hAnsi="宋体"/>
          <w:bCs/>
          <w:sz w:val="24"/>
          <w:highlight w:val="none"/>
          <w:u w:val="single"/>
        </w:rPr>
      </w:pPr>
      <w:r>
        <w:rPr>
          <w:rFonts w:hint="eastAsia" w:ascii="宋体" w:hAnsi="宋体"/>
          <w:bCs/>
          <w:sz w:val="24"/>
          <w:highlight w:val="none"/>
        </w:rPr>
        <w:t xml:space="preserve">姓名：性别：年龄：职务：</w:t>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hint="eastAsia" w:ascii="宋体" w:hAnsi="宋体"/>
          <w:bCs/>
          <w:sz w:val="24"/>
          <w:highlight w:val="none"/>
        </w:rPr>
        <w:t xml:space="preserve">系（投标人名称）的法定代表人（单位负责人）。</w:t>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hint="eastAsia" w:ascii="宋体" w:hAnsi="宋体"/>
          <w:bCs/>
          <w:sz w:val="24"/>
          <w:highlight w:val="none"/>
        </w:rPr>
        <w:t xml:space="preserve">附：法定代表人（单位负责人）有效期内的身份证正反面电子件。</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tc>
        <w:tc>
          <w:tcPr>
            <w:tcW w:w="4536" w:type="dxa"/>
            <w:textDirection w:val="lrTb"/>
            <w:noWrap/>
          </w:tcPr>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tc>
      </w:tr>
    </w:tbl>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u w:val="single"/>
        </w:rPr>
      </w:pPr>
      <w:r>
        <w:rPr>
          <w:rFonts w:hint="eastAsia" w:ascii="宋体" w:hAnsi="宋体"/>
          <w:bCs/>
          <w:sz w:val="24"/>
          <w:highlight w:val="none"/>
        </w:rPr>
        <w:t xml:space="preserve">投标人名称（加盖公章）</w:t>
      </w:r>
      <w:r>
        <w:rPr>
          <w:rFonts w:hint="eastAsia" w:ascii="宋体" w:hAnsi="宋体"/>
          <w:bCs/>
          <w:sz w:val="24"/>
          <w:highlight w:val="none"/>
          <w:lang w:val="zh-CN"/>
        </w:rPr>
        <w:t xml:space="preserve">：</w:t>
      </w:r>
      <w:r/>
    </w:p>
    <w:p>
      <w:pPr>
        <w:ind w:firstLine="481"/>
        <w:spacing w:line="460" w:lineRule="exact"/>
        <w:rPr>
          <w:rFonts w:ascii="宋体" w:hAnsi="宋体"/>
          <w:bCs/>
          <w:sz w:val="24"/>
          <w:highlight w:val="none"/>
          <w:u w:val="single"/>
        </w:rPr>
      </w:pPr>
      <w:r>
        <w:rPr>
          <w:rFonts w:hint="eastAsia" w:ascii="宋体" w:hAnsi="宋体"/>
          <w:bCs/>
          <w:sz w:val="24"/>
          <w:highlight w:val="none"/>
        </w:rPr>
        <w:t xml:space="preserve">法定代表人（单位负责人）（签字、签章或印鉴）：</w:t>
      </w:r>
      <w:r/>
    </w:p>
    <w:p>
      <w:pPr>
        <w:ind w:firstLine="481"/>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ascii="楷体" w:hAnsi="楷体" w:eastAsia="楷体"/>
          <w:sz w:val="24"/>
          <w:szCs w:val="24"/>
          <w:highlight w:val="none"/>
        </w:rPr>
      </w:pPr>
      <w:r>
        <w:rPr>
          <w:rFonts w:hint="eastAsia" w:ascii="宋体" w:hAnsi="宋体"/>
          <w:bCs/>
          <w:sz w:val="24"/>
          <w:highlight w:val="none"/>
        </w:rPr>
        <w:t xml:space="preserve">日期：年月日</w:t>
      </w:r>
      <w:r/>
    </w:p>
    <w:p>
      <w:pPr>
        <w:spacing w:line="460" w:lineRule="exact"/>
        <w:rPr>
          <w:rFonts w:ascii="宋体" w:hAnsi="宋体"/>
          <w:bCs/>
          <w:sz w:val="24"/>
          <w:highlight w:val="none"/>
        </w:rPr>
      </w:pPr>
      <w:r>
        <w:rPr>
          <w:rFonts w:ascii="宋体" w:hAnsi="宋体"/>
          <w:bCs/>
          <w:sz w:val="24"/>
          <w:highlight w:val="none"/>
        </w:rPr>
      </w:r>
      <w:r/>
    </w:p>
    <w:p>
      <w:pPr>
        <w:pStyle w:val="923"/>
        <w:ind w:firstLine="3390"/>
        <w:jc w:val="both"/>
        <w:rPr>
          <w:rFonts w:ascii="黑体" w:hAnsi="黑体" w:eastAsia="黑体" w:cs="Times New Roman"/>
          <w:bCs w:val="0"/>
          <w:i/>
          <w:sz w:val="32"/>
          <w:szCs w:val="32"/>
          <w:highlight w:val="none"/>
        </w:rPr>
      </w:pPr>
      <w:r>
        <w:rPr>
          <w:rFonts w:ascii="宋体" w:hAnsi="宋体"/>
          <w:bCs w:val="0"/>
          <w:sz w:val="24"/>
          <w:highlight w:val="none"/>
        </w:rPr>
        <w:br w:type="page" w:clear="all"/>
      </w:r>
      <w:bookmarkStart w:id="261" w:name="_Toc27332"/>
      <w:r/>
      <w:bookmarkStart w:id="262" w:name="_Toc13921"/>
      <w:r/>
      <w:bookmarkStart w:id="263" w:name="_Toc10385"/>
      <w:r>
        <w:rPr>
          <w:rFonts w:hint="eastAsia" w:ascii="黑体" w:hAnsi="黑体" w:eastAsia="黑体" w:cs="Times New Roman"/>
          <w:b w:val="0"/>
          <w:bCs w:val="0"/>
          <w:iCs/>
          <w:sz w:val="32"/>
          <w:szCs w:val="32"/>
          <w:highlight w:val="none"/>
          <w:u w:val="single"/>
        </w:rPr>
        <w:t xml:space="preserve">八、投标函</w:t>
      </w:r>
      <w:bookmarkEnd w:id="261"/>
      <w:r/>
      <w:bookmarkEnd w:id="262"/>
      <w:r/>
      <w:bookmarkEnd w:id="263"/>
      <w:r/>
      <w:r/>
    </w:p>
    <w:p>
      <w:pPr>
        <w:pStyle w:val="1008"/>
        <w:ind w:firstLine="0"/>
        <w:spacing w:before="0" w:after="0" w:line="420" w:lineRule="exact"/>
        <w:rPr>
          <w:rFonts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rPr>
        <w:t xml:space="preserve">连云港市第一人民医院</w:t>
      </w:r>
      <w:r/>
    </w:p>
    <w:p>
      <w:pPr>
        <w:pStyle w:val="1008"/>
        <w:spacing w:before="0" w:after="0" w:line="420" w:lineRule="exact"/>
        <w:rPr>
          <w:rFonts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u w:val="single"/>
        </w:rPr>
        <w:t xml:space="preserve">（项目编号）</w:t>
      </w:r>
      <w:r>
        <w:rPr>
          <w:rFonts w:hint="eastAsia" w:ascii="宋体" w:hAnsi="宋体"/>
          <w:szCs w:val="21"/>
          <w:highlight w:val="none"/>
        </w:rPr>
        <w:t xml:space="preserve">招标文件，正式授权下述签字人______(姓名)代表我方______________（投标人的名称），全权处理本次项目投标的有关事宜。</w:t>
      </w:r>
      <w:r/>
    </w:p>
    <w:p>
      <w:pPr>
        <w:pStyle w:val="1008"/>
        <w:spacing w:before="0" w:after="0" w:line="420" w:lineRule="exact"/>
        <w:rPr>
          <w:rFonts w:ascii="宋体" w:hAnsi="宋体"/>
          <w:szCs w:val="21"/>
          <w:highlight w:val="none"/>
        </w:rPr>
      </w:pPr>
      <w:r>
        <w:rPr>
          <w:rFonts w:hint="eastAsia" w:ascii="宋体" w:hAnsi="宋体"/>
          <w:szCs w:val="21"/>
          <w:highlight w:val="none"/>
        </w:rPr>
        <w:t xml:space="preserve">据此函，__________签字人兹宣布同意如下：</w:t>
      </w:r>
      <w:r/>
    </w:p>
    <w:p>
      <w:pPr>
        <w:pStyle w:val="1008"/>
        <w:spacing w:before="0" w:after="0" w:line="420" w:lineRule="exact"/>
        <w:rPr>
          <w:rFonts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1008"/>
        <w:spacing w:before="0" w:after="0"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08"/>
        <w:spacing w:before="0" w:after="0" w:line="420" w:lineRule="exact"/>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08"/>
        <w:spacing w:before="0" w:after="0" w:line="420" w:lineRule="exact"/>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08"/>
        <w:spacing w:before="0" w:after="0"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08"/>
        <w:spacing w:before="0" w:after="0"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pStyle w:val="1008"/>
        <w:spacing w:before="0" w:after="0" w:line="42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账          号： </w:t>
      </w:r>
      <w:r/>
    </w:p>
    <w:p>
      <w:pPr>
        <w:pStyle w:val="1008"/>
        <w:ind w:left="420"/>
        <w:spacing w:before="0" w:after="0" w:line="420" w:lineRule="exact"/>
        <w:rPr>
          <w:rFonts w:ascii="宋体" w:hAnsi="宋体"/>
          <w:szCs w:val="21"/>
          <w:highlight w:val="none"/>
        </w:rPr>
      </w:pPr>
      <w:r>
        <w:rPr>
          <w:rFonts w:ascii="宋体" w:hAnsi="宋体"/>
          <w:szCs w:val="21"/>
          <w:highlight w:val="none"/>
        </w:rPr>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投标人（盖章）：</w:t>
      </w:r>
      <w:r/>
    </w:p>
    <w:p>
      <w:pPr>
        <w:pStyle w:val="1008"/>
        <w:ind w:left="420"/>
        <w:spacing w:before="0" w:after="0" w:line="420" w:lineRule="exact"/>
        <w:rPr>
          <w:rFonts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jc w:val="cente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九、中小微企业声明函（服务）</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本公司（联合体）郑重声明，根据《政府采购促进中小企业发展管理办法》(财库[2020]46号)的规定，本公司参加采购人组织的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560" w:lineRule="exact"/>
        <w:rPr>
          <w:rFonts w:ascii="宋体" w:hAnsi="宋体"/>
          <w:sz w:val="24"/>
          <w:szCs w:val="24"/>
          <w:highlight w:val="none"/>
        </w:rPr>
      </w:pPr>
      <w:r>
        <w:rPr>
          <w:rFonts w:ascii="宋体" w:hAnsi="宋体"/>
          <w:sz w:val="24"/>
          <w:szCs w:val="24"/>
          <w:highlight w:val="none"/>
        </w:rPr>
      </w:r>
      <w:r/>
    </w:p>
    <w:p>
      <w:pPr>
        <w:ind w:right="180" w:firstLine="360"/>
        <w:jc w:val="right"/>
        <w:spacing w:line="56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280"/>
        <w:spacing w:line="560" w:lineRule="exact"/>
        <w:rPr>
          <w:rFonts w:ascii="宋体" w:hAnsi="宋体"/>
          <w:sz w:val="24"/>
          <w:szCs w:val="24"/>
          <w:highlight w:val="none"/>
        </w:rPr>
      </w:pPr>
      <w:r>
        <w:rPr>
          <w:rFonts w:hint="eastAsia" w:ascii="宋体" w:hAnsi="宋体"/>
          <w:sz w:val="24"/>
          <w:szCs w:val="24"/>
          <w:highlight w:val="none"/>
        </w:rPr>
        <w:t xml:space="preserve">日  期：</w:t>
      </w:r>
      <w:r/>
    </w:p>
    <w:p>
      <w:pPr>
        <w:ind w:firstLine="240"/>
        <w:spacing w:line="560" w:lineRule="exact"/>
        <w:rPr>
          <w:rFonts w:ascii="宋体" w:hAnsi="宋体"/>
          <w:sz w:val="24"/>
          <w:szCs w:val="24"/>
          <w:highlight w:val="none"/>
        </w:rPr>
      </w:pPr>
      <w:r>
        <w:rPr>
          <w:rFonts w:ascii="宋体" w:hAnsi="宋体"/>
          <w:sz w:val="24"/>
          <w:szCs w:val="24"/>
          <w:highlight w:val="none"/>
        </w:rPr>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备注2：中标供应商的《中小企业声明函》随中标结果公开。</w:t>
      </w:r>
      <w:r/>
    </w:p>
    <w:p>
      <w:pPr>
        <w:jc w:val="center"/>
        <w:spacing w:line="460" w:lineRule="exact"/>
        <w:rPr>
          <w:rFonts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iCs/>
          <w:sz w:val="32"/>
          <w:szCs w:val="32"/>
          <w:highlight w:val="none"/>
          <w:u w:val="single"/>
        </w:rPr>
        <w:t xml:space="preserve">十、残疾人福利性单位声明函（分包号：**）</w:t>
      </w:r>
      <w:r/>
    </w:p>
    <w:p>
      <w:pPr>
        <w:ind w:firstLine="480"/>
        <w:spacing w:line="588" w:lineRule="exact"/>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80"/>
        <w:spacing w:line="588" w:lineRule="exact"/>
        <w:rPr>
          <w:rFonts w:ascii="宋体" w:hAnsi="宋体"/>
          <w:sz w:val="24"/>
          <w:highlight w:val="none"/>
        </w:rPr>
      </w:pPr>
      <w:r>
        <w:rPr>
          <w:rFonts w:ascii="宋体" w:hAnsi="宋体"/>
          <w:sz w:val="24"/>
          <w:highlight w:val="none"/>
        </w:rPr>
      </w:r>
      <w:r/>
    </w:p>
    <w:p>
      <w:pPr>
        <w:ind w:firstLine="480"/>
        <w:spacing w:line="588" w:lineRule="exact"/>
        <w:rPr>
          <w:rFonts w:ascii="宋体" w:hAnsi="宋体"/>
          <w:sz w:val="24"/>
          <w:highlight w:val="none"/>
        </w:rPr>
      </w:pPr>
      <w:r>
        <w:rPr>
          <w:rFonts w:hint="eastAsia" w:ascii="宋体" w:hAnsi="宋体"/>
          <w:sz w:val="24"/>
          <w:highlight w:val="none"/>
        </w:rPr>
        <w:t xml:space="preserve">（备注：1、中标人为残疾人福利单位的，此声明函将随中标结果同时公告，接受社会监督）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80" w:firstLine="360"/>
        <w:jc w:val="center"/>
        <w:spacing w:line="56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1560" w:firstLine="480"/>
        <w:jc w:val="center"/>
        <w:spacing w:line="588" w:lineRule="exact"/>
        <w:tabs>
          <w:tab w:val="left" w:pos="4860" w:leader="none"/>
        </w:tabs>
        <w:rPr>
          <w:rFonts w:ascii="宋体" w:hAnsi="宋体"/>
          <w:sz w:val="24"/>
          <w:highlight w:val="none"/>
        </w:rPr>
      </w:pPr>
      <w:r>
        <w:rPr>
          <w:rFonts w:hint="eastAsia" w:ascii="宋体" w:hAnsi="宋体"/>
          <w:sz w:val="24"/>
          <w:szCs w:val="24"/>
          <w:highlight w:val="none"/>
        </w:rPr>
        <w:t xml:space="preserve">日  期：</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iCs/>
          <w:sz w:val="32"/>
          <w:szCs w:val="32"/>
          <w:highlight w:val="none"/>
          <w:u w:val="single"/>
        </w:rPr>
      </w:pPr>
      <w:r>
        <w:rPr>
          <w:rFonts w:hint="eastAsia" w:ascii="黑体" w:hAnsi="黑体" w:eastAsia="黑体"/>
          <w:b/>
          <w:sz w:val="32"/>
          <w:szCs w:val="32"/>
          <w:highlight w:val="none"/>
        </w:rPr>
        <w:br w:type="page" w:clear="all"/>
      </w:r>
      <w:r>
        <w:rPr>
          <w:rFonts w:hint="eastAsia" w:ascii="黑体" w:hAnsi="黑体" w:eastAsia="黑体"/>
          <w:iCs/>
          <w:sz w:val="32"/>
          <w:szCs w:val="32"/>
          <w:highlight w:val="none"/>
          <w:u w:val="single"/>
        </w:rPr>
        <w:t xml:space="preserve">十一、投标分项报价表</w:t>
      </w:r>
      <w:r/>
    </w:p>
    <w:p>
      <w:pPr>
        <w:pStyle w:val="773"/>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项目名称：      项目编号：      分包号： </w:t>
      </w:r>
      <w:r/>
    </w:p>
    <w:p>
      <w:pPr>
        <w:pStyle w:val="773"/>
        <w:ind w:firstLine="7680"/>
        <w:spacing w:line="360" w:lineRule="auto"/>
        <w:rPr>
          <w:color w:val="auto"/>
          <w:highlight w:val="none"/>
        </w:rPr>
      </w:pPr>
      <w:r>
        <w:rPr>
          <w:rFonts w:hint="eastAsia" w:ascii="宋体" w:hAnsi="宋体" w:cs="宋体"/>
          <w:color w:val="auto"/>
          <w:sz w:val="24"/>
          <w:highlight w:val="none"/>
          <w:lang w:val="zh-TW"/>
        </w:rPr>
        <w:t xml:space="preserve">单位：元</w:t>
      </w:r>
      <w:r/>
    </w:p>
    <w:tbl>
      <w:tblPr>
        <w:tblStyle w:val="741"/>
        <w:tblW w:w="53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8"/>
        <w:gridCol w:w="2762"/>
        <w:gridCol w:w="1126"/>
        <w:gridCol w:w="1402"/>
        <w:gridCol w:w="1500"/>
        <w:gridCol w:w="2175"/>
      </w:tblGrid>
      <w:tr>
        <w:trPr>
          <w:jc w:val="center"/>
          <w:trHeight w:val="649"/>
        </w:trPr>
        <w:tc>
          <w:tcPr>
            <w:tcW w:w="819" w:type="dxa"/>
            <w:vAlign w:val="center"/>
            <w:textDirection w:val="lrTb"/>
            <w:noWrap/>
          </w:tcPr>
          <w:p>
            <w:pPr>
              <w:pStyle w:val="773"/>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序号</w:t>
            </w:r>
            <w:r/>
          </w:p>
        </w:tc>
        <w:tc>
          <w:tcPr>
            <w:tcW w:w="2762" w:type="dxa"/>
            <w:vAlign w:val="center"/>
            <w:textDirection w:val="lrTb"/>
            <w:noWrap/>
          </w:tcPr>
          <w:p>
            <w:pPr>
              <w:pStyle w:val="773"/>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服务项目</w:t>
            </w:r>
            <w:r/>
          </w:p>
        </w:tc>
        <w:tc>
          <w:tcPr>
            <w:tcW w:w="1126" w:type="dxa"/>
            <w:vAlign w:val="center"/>
            <w:textDirection w:val="lrTb"/>
            <w:noWrap/>
          </w:tcPr>
          <w:p>
            <w:pPr>
              <w:pStyle w:val="773"/>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单位</w:t>
            </w:r>
            <w:r/>
          </w:p>
        </w:tc>
        <w:tc>
          <w:tcPr>
            <w:tcW w:w="1402" w:type="dxa"/>
            <w:vAlign w:val="center"/>
            <w:textDirection w:val="lrTb"/>
            <w:noWrap/>
          </w:tcPr>
          <w:p>
            <w:pPr>
              <w:pStyle w:val="773"/>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rPr>
              <w:t xml:space="preserve">数量</w:t>
            </w:r>
            <w:r/>
          </w:p>
        </w:tc>
        <w:tc>
          <w:tcPr>
            <w:tcW w:w="1500" w:type="dxa"/>
            <w:vAlign w:val="center"/>
            <w:textDirection w:val="lrTb"/>
            <w:noWrap/>
          </w:tcPr>
          <w:p>
            <w:pPr>
              <w:pStyle w:val="773"/>
              <w:jc w:val="center"/>
              <w:spacing w:line="360" w:lineRule="auto"/>
              <w:rPr>
                <w:rFonts w:ascii="宋体" w:hAnsi="宋体" w:cs="宋体"/>
                <w:color w:val="auto"/>
                <w:sz w:val="24"/>
                <w:highlight w:val="none"/>
                <w:lang w:val="zh-TW"/>
              </w:rPr>
            </w:pPr>
            <w:r>
              <w:rPr>
                <w:rFonts w:hint="eastAsia" w:ascii="宋体" w:hAnsi="宋体" w:cs="宋体"/>
                <w:color w:val="auto"/>
                <w:sz w:val="24"/>
                <w:highlight w:val="none"/>
                <w:lang w:val="zh-TW"/>
              </w:rPr>
              <w:t xml:space="preserve">单价</w:t>
            </w:r>
            <w:r/>
          </w:p>
        </w:tc>
        <w:tc>
          <w:tcPr>
            <w:tcW w:w="2175" w:type="dxa"/>
            <w:vAlign w:val="center"/>
            <w:textDirection w:val="lrTb"/>
            <w:noWrap/>
          </w:tcPr>
          <w:p>
            <w:pPr>
              <w:pStyle w:val="77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r>
      <w:tr>
        <w:trPr>
          <w:jc w:val="center"/>
          <w:trHeight w:val="578"/>
        </w:trPr>
        <w:tc>
          <w:tcPr>
            <w:tcW w:w="819"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773"/>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773"/>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9"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773"/>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773"/>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78"/>
        </w:trPr>
        <w:tc>
          <w:tcPr>
            <w:tcW w:w="819"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62"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126"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02" w:type="dxa"/>
            <w:vAlign w:val="center"/>
            <w:textDirection w:val="lrTb"/>
            <w:noWrap/>
          </w:tcPr>
          <w:p>
            <w:pPr>
              <w:pStyle w:val="773"/>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00" w:type="dxa"/>
            <w:vAlign w:val="center"/>
            <w:textDirection w:val="lrTb"/>
            <w:noWrap/>
          </w:tcPr>
          <w:p>
            <w:pPr>
              <w:pStyle w:val="773"/>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c>
          <w:tcPr>
            <w:tcW w:w="2175" w:type="dxa"/>
            <w:vAlign w:val="center"/>
            <w:textDirection w:val="lrTb"/>
            <w:noWrap/>
          </w:tcPr>
          <w:p>
            <w:pPr>
              <w:pStyle w:val="773"/>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r>
        <w:trPr>
          <w:jc w:val="center"/>
          <w:trHeight w:val="588"/>
        </w:trPr>
        <w:tc>
          <w:tcPr>
            <w:gridSpan w:val="5"/>
            <w:tcW w:w="7609" w:type="dxa"/>
            <w:vAlign w:val="center"/>
            <w:textDirection w:val="lrTb"/>
            <w:noWrap/>
          </w:tcPr>
          <w:p>
            <w:pPr>
              <w:pStyle w:val="773"/>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总计（元）</w:t>
            </w:r>
            <w:r/>
          </w:p>
        </w:tc>
        <w:tc>
          <w:tcPr>
            <w:tcW w:w="2175" w:type="dxa"/>
            <w:vAlign w:val="center"/>
            <w:textDirection w:val="lrTb"/>
            <w:noWrap/>
          </w:tcPr>
          <w:p>
            <w:pPr>
              <w:pStyle w:val="773"/>
              <w:jc w:val="center"/>
              <w:spacing w:line="360" w:lineRule="auto"/>
              <w:rPr>
                <w:rFonts w:ascii="宋体" w:hAnsi="宋体" w:cs="宋体"/>
                <w:color w:val="auto"/>
                <w:sz w:val="24"/>
                <w:highlight w:val="none"/>
                <w:lang w:val="zh-TW"/>
              </w:rPr>
            </w:pPr>
            <w:r>
              <w:rPr>
                <w:rFonts w:ascii="宋体" w:hAnsi="宋体" w:cs="宋体"/>
                <w:color w:val="auto"/>
                <w:sz w:val="24"/>
                <w:highlight w:val="none"/>
                <w:lang w:val="zh-TW"/>
              </w:rPr>
            </w:r>
            <w:r/>
          </w:p>
        </w:tc>
      </w:tr>
    </w:tbl>
    <w:p>
      <w:pPr>
        <w:ind w:firstLine="480"/>
        <w:jc w:val="left"/>
        <w:spacing w:line="420" w:lineRule="exact"/>
        <w:rPr>
          <w:rFonts w:ascii="宋体" w:hAnsi="宋体"/>
          <w:bCs/>
          <w:sz w:val="24"/>
          <w:highlight w:val="none"/>
        </w:rPr>
      </w:pPr>
      <w:r>
        <w:rPr>
          <w:rFonts w:ascii="宋体" w:hAnsi="宋体"/>
          <w:bCs/>
          <w:sz w:val="24"/>
          <w:highlight w:val="none"/>
        </w:rPr>
      </w:r>
      <w:r/>
    </w:p>
    <w:p>
      <w:pPr>
        <w:ind w:firstLine="480"/>
        <w:jc w:val="left"/>
        <w:spacing w:line="420" w:lineRule="exact"/>
        <w:rPr>
          <w:rFonts w:ascii="宋体" w:hAnsi="宋体"/>
          <w:bCs/>
          <w:sz w:val="24"/>
          <w:highlight w:val="none"/>
        </w:rPr>
      </w:pPr>
      <w:r>
        <w:rPr>
          <w:rFonts w:hint="eastAsia" w:ascii="宋体" w:hAnsi="宋体"/>
          <w:bCs/>
          <w:sz w:val="24"/>
          <w:highlight w:val="none"/>
        </w:rPr>
        <w:t xml:space="preserve">投标人（盖章）：</w:t>
      </w:r>
      <w:r/>
    </w:p>
    <w:p>
      <w:pPr>
        <w:ind w:firstLine="480"/>
        <w:jc w:val="left"/>
        <w:spacing w:line="420" w:lineRule="exact"/>
        <w:rPr>
          <w:rFonts w:ascii="宋体" w:hAnsi="宋体"/>
          <w:bCs/>
          <w:sz w:val="24"/>
          <w:highlight w:val="none"/>
        </w:rPr>
      </w:pPr>
      <w:r>
        <w:rPr>
          <w:rFonts w:hint="eastAsia" w:ascii="宋体" w:hAnsi="宋体"/>
          <w:bCs/>
          <w:sz w:val="24"/>
          <w:highlight w:val="none"/>
        </w:rPr>
        <w:t xml:space="preserve">法定代表人或委托代理人（签字或盖章）：</w:t>
      </w:r>
      <w:r/>
    </w:p>
    <w:p>
      <w:pPr>
        <w:ind w:firstLine="480"/>
        <w:spacing w:line="420" w:lineRule="exact"/>
        <w:rPr>
          <w:rFonts w:ascii="黑体" w:hAnsi="黑体" w:eastAsia="黑体"/>
          <w:b/>
          <w:sz w:val="32"/>
          <w:szCs w:val="32"/>
          <w:highlight w:val="none"/>
        </w:rPr>
      </w:pPr>
      <w:r>
        <w:rPr>
          <w:rFonts w:hint="eastAsia" w:ascii="宋体" w:hAnsi="宋体"/>
          <w:bCs/>
          <w:sz w:val="24"/>
          <w:highlight w:val="none"/>
        </w:rPr>
        <w:t xml:space="preserve">日期：    年     月     日</w:t>
      </w:r>
      <w:r/>
    </w:p>
    <w:p>
      <w:pPr>
        <w:jc w:val="center"/>
        <w:spacing w:line="360" w:lineRule="auto"/>
        <w:rPr>
          <w:rFonts w:ascii="黑体" w:hAnsi="黑体" w:eastAsia="黑体"/>
          <w:iCs/>
          <w:sz w:val="32"/>
          <w:szCs w:val="32"/>
          <w:highlight w:val="none"/>
          <w:u w:val="single"/>
        </w:rPr>
      </w:pPr>
      <w:r>
        <w:rPr>
          <w:rFonts w:hint="eastAsia" w:ascii="黑体" w:hAnsi="黑体" w:eastAsia="黑体"/>
          <w:b/>
          <w:sz w:val="32"/>
          <w:szCs w:val="32"/>
          <w:highlight w:val="none"/>
        </w:rPr>
        <w:br w:type="page" w:clear="all"/>
      </w:r>
      <w:bookmarkEnd w:id="260"/>
      <w:r/>
      <w:bookmarkStart w:id="264" w:name="_Hlt26955054"/>
      <w:r/>
      <w:bookmarkEnd w:id="264"/>
      <w:r>
        <w:rPr>
          <w:rFonts w:hint="eastAsia" w:ascii="黑体" w:hAnsi="黑体" w:eastAsia="黑体"/>
          <w:iCs/>
          <w:sz w:val="32"/>
          <w:szCs w:val="32"/>
          <w:highlight w:val="none"/>
          <w:u w:val="single"/>
        </w:rPr>
        <w:t xml:space="preserve">十二、商务、技术要求响应及偏离表（分包号：**）</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请逐条对应采购文件“项目需求”等内容要求的商务、技术条件，填写该表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tcPr>
          <w:p>
            <w:pPr>
              <w:jc w:val="center"/>
              <w:spacing w:line="360" w:lineRule="auto"/>
              <w:rPr>
                <w:rFonts w:ascii="宋体" w:hAnsi="宋体"/>
                <w:sz w:val="24"/>
                <w:szCs w:val="24"/>
                <w:highlight w:val="none"/>
              </w:rPr>
            </w:pPr>
            <w:r/>
            <w:bookmarkStart w:id="265" w:name="_Hlt26609391"/>
            <w:r/>
            <w:bookmarkEnd w:id="265"/>
            <w:r/>
            <w:bookmarkStart w:id="266" w:name="_Hlt26955056"/>
            <w:r/>
            <w:bookmarkEnd w:id="266"/>
            <w:r/>
            <w:bookmarkStart w:id="267" w:name="_Hlt26955064"/>
            <w:r/>
            <w:bookmarkEnd w:id="267"/>
            <w:r/>
            <w:bookmarkStart w:id="268" w:name="_Hlt26782999"/>
            <w:r/>
            <w:bookmarkEnd w:id="268"/>
            <w:r/>
            <w:bookmarkStart w:id="269" w:name="_Hlt24879081"/>
            <w:r/>
            <w:bookmarkEnd w:id="269"/>
            <w:r/>
            <w:bookmarkStart w:id="270" w:name="_Hlt26671372"/>
            <w:r/>
            <w:bookmarkEnd w:id="270"/>
            <w:r/>
            <w:bookmarkStart w:id="271" w:name="_Hlt26671343"/>
            <w:r/>
            <w:bookmarkEnd w:id="271"/>
            <w:r/>
            <w:bookmarkStart w:id="272" w:name="_Hlt26580838"/>
            <w:r/>
            <w:bookmarkEnd w:id="272"/>
            <w:r>
              <w:rPr>
                <w:rFonts w:hint="eastAsia" w:ascii="宋体" w:hAnsi="宋体"/>
                <w:sz w:val="24"/>
                <w:szCs w:val="24"/>
                <w:highlight w:val="none"/>
              </w:rPr>
              <w:t xml:space="preserve">序号</w:t>
            </w:r>
            <w:r/>
          </w:p>
        </w:tc>
        <w:tc>
          <w:tcPr>
            <w:tcW w:w="2419" w:type="dxa"/>
            <w:vAlign w:val="center"/>
            <w:textDirection w:val="lrTb"/>
            <w:noWrap/>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w:t>
            </w:r>
            <w:r/>
          </w:p>
        </w:tc>
        <w:tc>
          <w:tcPr>
            <w:tcW w:w="2883" w:type="dxa"/>
            <w:vAlign w:val="center"/>
            <w:textDirection w:val="lrTb"/>
            <w:noWrap/>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投标响应情况</w:t>
            </w:r>
            <w:r/>
          </w:p>
        </w:tc>
        <w:tc>
          <w:tcPr>
            <w:tcW w:w="1302" w:type="dxa"/>
            <w:vAlign w:val="center"/>
            <w:textDirection w:val="lrTb"/>
            <w:noWrap/>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超出、符合或偏离</w:t>
            </w:r>
            <w:r/>
          </w:p>
        </w:tc>
        <w:tc>
          <w:tcPr>
            <w:tcW w:w="1614" w:type="dxa"/>
            <w:vAlign w:val="center"/>
            <w:textDirection w:val="lrTb"/>
            <w:noWrap/>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证明</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951"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419"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2883"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30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c>
          <w:tcPr>
            <w:tcW w:w="1614"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sz w:val="24"/>
          <w:szCs w:val="24"/>
          <w:highlight w:val="none"/>
        </w:rPr>
      </w:pPr>
      <w:r>
        <w:rPr>
          <w:rFonts w:hint="eastAsia" w:ascii="宋体" w:hAnsi="宋体"/>
          <w:sz w:val="24"/>
          <w:szCs w:val="24"/>
          <w:highlight w:val="none"/>
        </w:rPr>
        <w:t xml:space="preserve">注： 行数不够，可自行添加。</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投标人（盖章）：</w:t>
      </w:r>
      <w:r/>
    </w:p>
    <w:p>
      <w:pPr>
        <w:spacing w:line="360" w:lineRule="auto"/>
        <w:rPr>
          <w:rFonts w:ascii="宋体" w:hAnsi="宋体"/>
          <w:sz w:val="24"/>
          <w:highlight w:val="none"/>
        </w:rPr>
      </w:pPr>
      <w:r>
        <w:rPr>
          <w:rFonts w:hint="eastAsia" w:ascii="宋体" w:hAnsi="宋体"/>
          <w:sz w:val="24"/>
          <w:highlight w:val="none"/>
        </w:rPr>
        <w:t xml:space="preserve">法定代表人或委托代理人（签字或盖章）：</w:t>
      </w:r>
      <w:r/>
    </w:p>
    <w:p>
      <w:pPr>
        <w:spacing w:line="360" w:lineRule="auto"/>
        <w:rPr>
          <w:rFonts w:ascii="仿宋_GB2312" w:hAnsi="Arial"/>
          <w:sz w:val="30"/>
          <w:highlight w:val="none"/>
        </w:rPr>
      </w:pPr>
      <w:r>
        <w:rPr>
          <w:rFonts w:hint="eastAsia" w:ascii="宋体" w:hAnsi="宋体"/>
          <w:sz w:val="24"/>
          <w:highlight w:val="none"/>
        </w:rPr>
        <w:t xml:space="preserve">日期：    年     月     日</w:t>
      </w:r>
      <w:r/>
    </w:p>
    <w:p>
      <w:pPr>
        <w:pStyle w:val="925"/>
        <w:ind w:firstLine="0"/>
        <w:rPr>
          <w:rFonts w:ascii="宋体" w:hAnsi="宋体"/>
          <w:sz w:val="24"/>
          <w:highlight w:val="none"/>
        </w:rPr>
      </w:pPr>
      <w:r/>
      <w:bookmarkStart w:id="273" w:name="_Hlt26955066"/>
      <w:r/>
      <w:bookmarkEnd w:id="273"/>
      <w:r/>
      <w:bookmarkStart w:id="274" w:name="_Hlt26671374"/>
      <w:r/>
      <w:bookmarkEnd w:id="274"/>
      <w:r/>
      <w:bookmarkStart w:id="275" w:name="_Hlt26609389"/>
      <w:r/>
      <w:bookmarkEnd w:id="275"/>
      <w:r/>
      <w:bookmarkStart w:id="276" w:name="_Toc462564146"/>
      <w:r/>
      <w:bookmarkEnd w:id="243"/>
      <w:bookmarkEnd w:id="244"/>
      <w:bookmarkEnd w:id="276"/>
      <w:r/>
    </w:p>
    <w:p>
      <w:pPr>
        <w:jc w:val="center"/>
        <w:rPr>
          <w:rFonts w:ascii="黑体" w:hAnsi="黑体" w:eastAsia="黑体"/>
          <w:b/>
          <w:sz w:val="32"/>
          <w:szCs w:val="32"/>
          <w:highlight w:val="none"/>
        </w:rPr>
      </w:pPr>
      <w:r/>
      <w:bookmarkStart w:id="277" w:name="_格式2__法定代表人授权书"/>
      <w:r/>
      <w:bookmarkEnd w:id="277"/>
      <w:r/>
      <w:r/>
    </w:p>
    <w:p>
      <w:pPr>
        <w:jc w:val="center"/>
        <w:rPr>
          <w:rFonts w:ascii="黑体" w:hAnsi="黑体" w:eastAsia="黑体"/>
          <w:b/>
          <w:sz w:val="32"/>
          <w:szCs w:val="32"/>
          <w:highlight w:val="none"/>
        </w:rPr>
      </w:pPr>
      <w:r>
        <w:rPr>
          <w:rFonts w:ascii="黑体" w:hAnsi="黑体" w:eastAsia="黑体"/>
          <w:b/>
          <w:sz w:val="32"/>
          <w:szCs w:val="32"/>
          <w:highlight w:val="none"/>
        </w:rPr>
      </w:r>
      <w:r/>
    </w:p>
    <w:p>
      <w:pPr>
        <w:rPr>
          <w:rFonts w:ascii="黑体" w:hAnsi="黑体" w:eastAsia="黑体"/>
          <w:b/>
          <w:sz w:val="32"/>
          <w:szCs w:val="32"/>
          <w:highlight w:val="none"/>
        </w:rPr>
      </w:pPr>
      <w:r>
        <w:rPr>
          <w:rFonts w:ascii="黑体" w:hAnsi="黑体" w:eastAsia="黑体"/>
          <w:b/>
          <w:sz w:val="32"/>
          <w:szCs w:val="32"/>
          <w:highlight w:val="none"/>
        </w:rPr>
      </w:r>
      <w:r/>
    </w:p>
    <w:p>
      <w:pPr>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eastAsia="仿宋_GB2312"/>
          <w:sz w:val="24"/>
          <w:szCs w:val="20"/>
          <w:highlight w:val="none"/>
        </w:rPr>
      </w:pPr>
      <w:r>
        <w:rPr>
          <w:rFonts w:hint="eastAsia" w:ascii="黑体" w:hAnsi="黑体" w:eastAsia="黑体"/>
          <w:iCs/>
          <w:sz w:val="32"/>
          <w:szCs w:val="32"/>
          <w:highlight w:val="none"/>
          <w:u w:val="single"/>
        </w:rPr>
        <w:br w:type="page" w:clear="all"/>
      </w:r>
      <w:r>
        <w:rPr>
          <w:rFonts w:hint="eastAsia" w:ascii="黑体" w:hAnsi="黑体" w:eastAsia="黑体"/>
          <w:iCs/>
          <w:sz w:val="32"/>
          <w:szCs w:val="32"/>
          <w:highlight w:val="none"/>
          <w:u w:val="single"/>
        </w:rPr>
        <w:t xml:space="preserve">十三、开标一览表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项目编号：项目编号</w:t>
      </w:r>
      <w:r/>
    </w:p>
    <w:p>
      <w:pPr>
        <w:ind w:firstLine="480"/>
        <w:spacing w:line="360" w:lineRule="auto"/>
        <w:rPr>
          <w:sz w:val="24"/>
          <w:szCs w:val="24"/>
          <w:highlight w:val="none"/>
        </w:rPr>
      </w:pPr>
      <w:r>
        <w:rPr>
          <w:sz w:val="24"/>
          <w:szCs w:val="24"/>
          <w:highlight w:val="none"/>
        </w:rPr>
        <w:t xml:space="preserve">货币单位：人民币元</w:t>
      </w:r>
      <w:r/>
    </w:p>
    <w:tbl>
      <w:tblPr>
        <w:tblStyle w:val="9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textDirection w:val="lrTb"/>
            <w:noWrap/>
          </w:tcPr>
          <w:p>
            <w:pPr>
              <w:spacing w:line="360" w:lineRule="auto"/>
              <w:rPr>
                <w:rFonts w:ascii="宋体" w:hAnsi="宋体"/>
                <w:sz w:val="24"/>
                <w:szCs w:val="24"/>
                <w:highlight w:val="none"/>
              </w:rPr>
            </w:pPr>
            <w:r>
              <w:rPr>
                <w:rFonts w:hint="eastAsia" w:ascii="宋体" w:hAnsi="宋体"/>
                <w:sz w:val="24"/>
                <w:szCs w:val="24"/>
                <w:highlight w:val="none"/>
              </w:rPr>
              <w:t xml:space="preserve">项目名称</w:t>
            </w:r>
            <w:r/>
          </w:p>
        </w:tc>
        <w:tc>
          <w:tcPr>
            <w:tcW w:w="3056" w:type="dxa"/>
            <w:textDirection w:val="lrTb"/>
            <w:noWrap/>
          </w:tcPr>
          <w:p>
            <w:pPr>
              <w:spacing w:line="360" w:lineRule="auto"/>
              <w:rPr>
                <w:rFonts w:ascii="宋体" w:hAnsi="宋体"/>
                <w:sz w:val="24"/>
                <w:szCs w:val="24"/>
                <w:highlight w:val="none"/>
              </w:rPr>
            </w:pPr>
            <w:r>
              <w:rPr>
                <w:rFonts w:hint="eastAsia" w:ascii="宋体" w:hAnsi="宋体"/>
                <w:sz w:val="24"/>
                <w:szCs w:val="24"/>
                <w:highlight w:val="none"/>
              </w:rPr>
              <w:t xml:space="preserve">项目内容</w:t>
            </w:r>
            <w:r/>
          </w:p>
        </w:tc>
        <w:tc>
          <w:tcPr>
            <w:tcW w:w="3057" w:type="dxa"/>
            <w:textDirection w:val="lrTb"/>
            <w:noWrap/>
          </w:tcPr>
          <w:p>
            <w:pPr>
              <w:spacing w:line="360" w:lineRule="auto"/>
              <w:rPr>
                <w:rFonts w:ascii="宋体" w:hAnsi="宋体"/>
                <w:sz w:val="24"/>
                <w:szCs w:val="24"/>
                <w:highlight w:val="none"/>
              </w:rPr>
            </w:pPr>
            <w:r>
              <w:rPr>
                <w:rFonts w:hint="eastAsia" w:ascii="宋体" w:hAnsi="宋体" w:cs="宋体"/>
                <w:sz w:val="24"/>
                <w:szCs w:val="24"/>
                <w:highlight w:val="none"/>
              </w:rPr>
              <w:t xml:space="preserve">总价</w:t>
            </w:r>
            <w:r>
              <w:rPr>
                <w:rFonts w:ascii="宋体" w:hAnsi="宋体" w:cs="宋体"/>
                <w:sz w:val="24"/>
                <w:szCs w:val="24"/>
                <w:highlight w:val="none"/>
              </w:rPr>
              <w:t xml:space="preserve">（小写）</w:t>
            </w:r>
            <w:r/>
          </w:p>
        </w:tc>
      </w:tr>
      <w:tr>
        <w:trPr/>
        <w:tc>
          <w:tcPr>
            <w:tcW w:w="3056" w:type="dxa"/>
            <w:textDirection w:val="lrTb"/>
            <w:noWrap/>
          </w:tcPr>
          <w:p>
            <w:pPr>
              <w:spacing w:line="360" w:lineRule="auto"/>
              <w:rPr>
                <w:rFonts w:ascii="宋体" w:hAnsi="宋体"/>
                <w:sz w:val="24"/>
                <w:szCs w:val="24"/>
                <w:highlight w:val="none"/>
              </w:rPr>
            </w:pPr>
            <w:r>
              <w:rPr>
                <w:rFonts w:hint="eastAsia" w:ascii="宋体" w:hAnsi="宋体"/>
                <w:sz w:val="24"/>
                <w:szCs w:val="24"/>
                <w:highlight w:val="none"/>
              </w:rPr>
              <w:t xml:space="preserve">项目名称</w:t>
            </w:r>
            <w:r/>
          </w:p>
        </w:tc>
        <w:tc>
          <w:tcPr>
            <w:tcW w:w="3056" w:type="dxa"/>
            <w:textDirection w:val="lrTb"/>
            <w:noWrap/>
          </w:tcPr>
          <w:p>
            <w:pPr>
              <w:spacing w:line="360" w:lineRule="auto"/>
              <w:rPr>
                <w:rFonts w:ascii="宋体" w:hAnsi="宋体"/>
                <w:sz w:val="24"/>
                <w:szCs w:val="24"/>
                <w:highlight w:val="none"/>
              </w:rPr>
            </w:pPr>
            <w:r>
              <w:rPr>
                <w:rFonts w:ascii="宋体" w:hAnsi="宋体" w:cs="宋体"/>
                <w:sz w:val="24"/>
                <w:szCs w:val="24"/>
                <w:highlight w:val="none"/>
              </w:rPr>
              <w:t xml:space="preserve">详见投标文件</w:t>
            </w:r>
            <w:r/>
          </w:p>
        </w:tc>
        <w:tc>
          <w:tcPr>
            <w:tcW w:w="3057" w:type="dxa"/>
            <w:textDirection w:val="lrTb"/>
            <w:noWrap/>
          </w:tcPr>
          <w:p>
            <w:pPr>
              <w:spacing w:line="360" w:lineRule="auto"/>
              <w:rPr>
                <w:rFonts w:ascii="宋体" w:hAnsi="宋体"/>
                <w:sz w:val="24"/>
                <w:szCs w:val="24"/>
                <w:highlight w:val="none"/>
              </w:rPr>
            </w:pPr>
            <w:r>
              <w:rPr>
                <w:rFonts w:hint="eastAsia" w:ascii="宋体" w:hAnsi="宋体"/>
                <w:sz w:val="24"/>
                <w:szCs w:val="24"/>
                <w:highlight w:val="none"/>
              </w:rPr>
              <w:t xml:space="preserve">          元</w:t>
            </w:r>
            <w:r/>
          </w:p>
        </w:tc>
      </w:tr>
      <w:tr>
        <w:trPr/>
        <w:tc>
          <w:tcPr>
            <w:tcW w:w="3056" w:type="dxa"/>
            <w:textDirection w:val="lrTb"/>
            <w:noWrap/>
          </w:tcPr>
          <w:p>
            <w:pPr>
              <w:spacing w:line="360" w:lineRule="auto"/>
              <w:rPr>
                <w:rFonts w:ascii="宋体" w:hAnsi="宋体"/>
                <w:sz w:val="24"/>
                <w:szCs w:val="24"/>
                <w:highlight w:val="none"/>
              </w:rPr>
            </w:pPr>
            <w:r>
              <w:rPr>
                <w:rFonts w:hint="eastAsia" w:ascii="宋体" w:hAnsi="宋体"/>
                <w:sz w:val="24"/>
                <w:szCs w:val="24"/>
                <w:highlight w:val="none"/>
              </w:rPr>
              <w:t xml:space="preserve">总价（大写）：</w:t>
            </w:r>
            <w:r/>
          </w:p>
        </w:tc>
        <w:tc>
          <w:tcPr>
            <w:gridSpan w:val="2"/>
            <w:tcW w:w="6113" w:type="dxa"/>
            <w:textDirection w:val="lrTb"/>
            <w:noWrap/>
          </w:tcPr>
          <w:p>
            <w:pPr>
              <w:spacing w:line="360" w:lineRule="auto"/>
              <w:rPr>
                <w:rFonts w:ascii="宋体" w:hAnsi="宋体"/>
                <w:sz w:val="24"/>
                <w:szCs w:val="24"/>
                <w:highlight w:val="none"/>
              </w:rPr>
            </w:pPr>
            <w:r>
              <w:rPr>
                <w:rFonts w:hint="eastAsia" w:ascii="宋体" w:hAnsi="宋体"/>
                <w:sz w:val="24"/>
                <w:szCs w:val="24"/>
                <w:highlight w:val="none"/>
              </w:rPr>
              <w:t xml:space="preserve">金额大写</w:t>
            </w:r>
            <w:r/>
          </w:p>
        </w:tc>
      </w:tr>
    </w:tbl>
    <w:p>
      <w:pPr>
        <w:ind w:firstLine="480"/>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投标人公章：</w:t>
      </w:r>
      <w:r>
        <w:rPr>
          <w:rFonts w:ascii="宋体" w:hAnsi="宋体" w:cs="宋体"/>
          <w:sz w:val="24"/>
          <w:szCs w:val="24"/>
          <w:highlight w:val="none"/>
        </w:rPr>
        <w:t xml:space="preserve">（电子签章）</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spacing w:line="460" w:lineRule="exact"/>
        <w:rPr>
          <w:rFonts w:ascii="宋体" w:hAnsi="宋体"/>
          <w:bCs/>
          <w:sz w:val="24"/>
          <w:highlight w:val="none"/>
        </w:rPr>
      </w:pPr>
      <w:r>
        <w:rPr>
          <w:rFonts w:ascii="宋体" w:hAnsi="宋体"/>
          <w:bCs/>
          <w:sz w:val="24"/>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spacing w:line="360" w:lineRule="auto"/>
        <w:rPr>
          <w:rFonts w:ascii="黑体" w:hAnsi="黑体" w:eastAsia="黑体"/>
          <w:iCs/>
          <w:sz w:val="32"/>
          <w:szCs w:val="32"/>
          <w:highlight w:val="none"/>
          <w:u w:val="single"/>
        </w:rPr>
      </w:pPr>
      <w:r>
        <w:rPr>
          <w:rFonts w:hint="eastAsia" w:ascii="宋体" w:hAnsi="宋体" w:cs="仿宋"/>
          <w:b/>
          <w:bCs/>
          <w:sz w:val="32"/>
          <w:szCs w:val="32"/>
          <w:highlight w:val="none"/>
        </w:rPr>
        <w:br w:type="page" w:clear="all"/>
      </w:r>
      <w:r>
        <w:rPr>
          <w:rFonts w:hint="eastAsia" w:ascii="黑体" w:hAnsi="黑体" w:eastAsia="黑体"/>
          <w:iCs/>
          <w:sz w:val="32"/>
          <w:szCs w:val="32"/>
          <w:highlight w:val="none"/>
          <w:u w:val="single"/>
        </w:rPr>
        <w:t xml:space="preserve">十四、财务状况报告及税收、社会保障资金缴纳情况承诺函</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致：</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我方</w:t>
      </w:r>
      <w:r>
        <w:rPr>
          <w:rFonts w:hint="eastAsia" w:ascii="宋体" w:hAnsi="宋体"/>
          <w:sz w:val="24"/>
          <w:szCs w:val="24"/>
          <w:highlight w:val="none"/>
          <w:u w:val="single"/>
        </w:rPr>
        <w:t xml:space="preserve"> 供应商名称 </w:t>
      </w:r>
      <w:r>
        <w:rPr>
          <w:rFonts w:hint="eastAsia" w:ascii="宋体" w:hAnsi="宋体"/>
          <w:sz w:val="24"/>
          <w:szCs w:val="24"/>
          <w:highlight w:val="none"/>
        </w:rPr>
        <w:t xml:space="preserve">参加（项目编号：）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（1）具有良好的商业信誉和健全的财务会计制度（财务状况报告）；</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（2）有依法缴纳税收和社会保障资金的良好记录。</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特此承诺</w:t>
      </w:r>
      <w:r/>
    </w:p>
    <w:p>
      <w:pPr>
        <w:ind w:firstLine="36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投标人（盖章）：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法定代表人或委托代理人（签字或盖章）：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日期：    年     月     日</w:t>
      </w:r>
      <w:r/>
    </w:p>
    <w:p>
      <w:pPr>
        <w:jc w:val="center"/>
        <w:spacing w:line="360" w:lineRule="auto"/>
        <w:rPr>
          <w:rFonts w:ascii="黑体" w:hAnsi="黑体" w:eastAsia="黑体"/>
          <w:iCs/>
          <w:sz w:val="32"/>
          <w:szCs w:val="32"/>
          <w:highlight w:val="none"/>
          <w:u w:val="single"/>
        </w:rPr>
      </w:pPr>
      <w:r>
        <w:rPr>
          <w:rFonts w:hint="eastAsia" w:ascii="宋体" w:hAnsi="宋体" w:cs="仿宋"/>
          <w:b/>
          <w:bCs/>
          <w:sz w:val="32"/>
          <w:szCs w:val="32"/>
          <w:highlight w:val="none"/>
        </w:rPr>
        <w:br w:type="page" w:clear="all"/>
      </w:r>
      <w:bookmarkStart w:id="278" w:name="_Toc29464"/>
      <w:r/>
      <w:bookmarkStart w:id="279" w:name="_Toc31871"/>
      <w:r/>
      <w:bookmarkStart w:id="280" w:name="_Toc25466"/>
      <w:r>
        <w:rPr>
          <w:rFonts w:hint="eastAsia" w:ascii="黑体" w:hAnsi="黑体" w:eastAsia="黑体"/>
          <w:iCs/>
          <w:sz w:val="32"/>
          <w:szCs w:val="32"/>
          <w:highlight w:val="none"/>
          <w:u w:val="single"/>
        </w:rPr>
        <w:t xml:space="preserve">十五、项目需求响应方案</w:t>
      </w:r>
      <w:r/>
    </w:p>
    <w:p>
      <w:pPr>
        <w:pStyle w:val="773"/>
        <w:jc w:val="center"/>
        <w:spacing w:line="360" w:lineRule="auto"/>
        <w:rPr>
          <w:rFonts w:ascii="宋体" w:hAnsi="宋体" w:cs="仿宋"/>
          <w:b/>
          <w:bCs/>
          <w:color w:val="auto"/>
          <w:sz w:val="24"/>
          <w:highlight w:val="none"/>
        </w:rPr>
      </w:pPr>
      <w:r>
        <w:rPr>
          <w:rFonts w:hint="eastAsia" w:ascii="宋体" w:hAnsi="宋体"/>
          <w:color w:val="auto"/>
          <w:sz w:val="24"/>
          <w:highlight w:val="none"/>
        </w:rPr>
        <w:t xml:space="preserve">格式自定</w:t>
      </w:r>
      <w:r/>
    </w:p>
    <w:p>
      <w:pPr>
        <w:pStyle w:val="923"/>
        <w:spacing w:before="0" w:after="0" w:line="360" w:lineRule="auto"/>
        <w:tabs>
          <w:tab w:val="left" w:pos="1021" w:leader="none"/>
        </w:tabs>
        <w:rPr>
          <w:rFonts w:ascii="宋体" w:hAnsi="宋体"/>
          <w:sz w:val="28"/>
          <w:highlight w:val="none"/>
        </w:rPr>
      </w:pPr>
      <w:r>
        <w:rPr>
          <w:rFonts w:hint="eastAsia" w:ascii="宋体" w:hAnsi="宋体" w:cs="仿宋"/>
          <w:b w:val="0"/>
          <w:bCs w:val="0"/>
          <w:sz w:val="32"/>
          <w:szCs w:val="32"/>
          <w:highlight w:val="none"/>
        </w:rPr>
        <w:br w:type="page" w:clear="all"/>
      </w:r>
      <w:bookmarkStart w:id="281" w:name="_Toc4935"/>
      <w:r>
        <w:rPr>
          <w:rFonts w:hint="eastAsia" w:ascii="黑体" w:hAnsi="黑体" w:eastAsia="黑体" w:cs="Times New Roman"/>
          <w:b w:val="0"/>
          <w:bCs w:val="0"/>
          <w:iCs/>
          <w:sz w:val="32"/>
          <w:szCs w:val="32"/>
          <w:highlight w:val="none"/>
          <w:u w:val="single"/>
        </w:rPr>
        <w:t xml:space="preserve">十六、类似项目业绩一览表</w:t>
      </w:r>
      <w:bookmarkEnd w:id="278"/>
      <w:r/>
      <w:bookmarkEnd w:id="279"/>
      <w:r/>
      <w:bookmarkEnd w:id="280"/>
      <w:r/>
      <w:bookmarkEnd w:id="281"/>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hint="eastAsia" w:ascii="宋体" w:hAnsi="宋体"/>
                <w:sz w:val="28"/>
                <w:highlight w:val="none"/>
              </w:rPr>
              <w:t xml:space="preserve">序号</w:t>
            </w:r>
            <w:r/>
          </w:p>
        </w:tc>
        <w:tc>
          <w:tcPr>
            <w:tcW w:w="2439" w:type="dxa"/>
            <w:vAlign w:val="center"/>
            <w:textDirection w:val="lrTb"/>
            <w:noWrap/>
          </w:tcPr>
          <w:p>
            <w:pPr>
              <w:jc w:val="center"/>
              <w:spacing w:line="520" w:lineRule="exact"/>
              <w:rPr>
                <w:rFonts w:ascii="宋体" w:hAnsi="宋体"/>
                <w:sz w:val="28"/>
                <w:highlight w:val="none"/>
              </w:rPr>
            </w:pPr>
            <w:r>
              <w:rPr>
                <w:rFonts w:hint="eastAsia" w:ascii="宋体" w:hAnsi="宋体"/>
                <w:sz w:val="28"/>
                <w:highlight w:val="none"/>
              </w:rPr>
              <w:t xml:space="preserve">项目名称</w:t>
            </w:r>
            <w:r/>
          </w:p>
        </w:tc>
        <w:tc>
          <w:tcPr>
            <w:tcW w:w="2135" w:type="dxa"/>
            <w:vAlign w:val="center"/>
            <w:textDirection w:val="lrTb"/>
            <w:noWrap/>
          </w:tcPr>
          <w:p>
            <w:pPr>
              <w:jc w:val="center"/>
              <w:spacing w:line="520" w:lineRule="exact"/>
              <w:rPr>
                <w:rFonts w:ascii="宋体" w:hAnsi="宋体"/>
                <w:sz w:val="28"/>
                <w:highlight w:val="none"/>
              </w:rPr>
            </w:pPr>
            <w:r>
              <w:rPr>
                <w:rFonts w:hint="eastAsia" w:ascii="宋体" w:hAnsi="宋体"/>
                <w:sz w:val="28"/>
                <w:highlight w:val="none"/>
              </w:rPr>
              <w:t xml:space="preserve">签订时间</w:t>
            </w:r>
            <w:r/>
          </w:p>
        </w:tc>
        <w:tc>
          <w:tcPr>
            <w:tcW w:w="1358" w:type="dxa"/>
            <w:vAlign w:val="center"/>
            <w:textDirection w:val="lrTb"/>
            <w:noWrap/>
          </w:tcPr>
          <w:p>
            <w:pPr>
              <w:jc w:val="center"/>
              <w:spacing w:line="520" w:lineRule="exact"/>
              <w:rPr>
                <w:rFonts w:ascii="宋体" w:hAnsi="宋体"/>
                <w:sz w:val="28"/>
                <w:highlight w:val="none"/>
              </w:rPr>
            </w:pPr>
            <w:r>
              <w:rPr>
                <w:rFonts w:hint="eastAsia" w:ascii="宋体" w:hAnsi="宋体"/>
                <w:sz w:val="28"/>
                <w:highlight w:val="none"/>
              </w:rPr>
              <w:t xml:space="preserve">采购单位</w:t>
            </w:r>
            <w:r/>
          </w:p>
        </w:tc>
        <w:tc>
          <w:tcPr>
            <w:tcW w:w="2418" w:type="dxa"/>
            <w:vAlign w:val="center"/>
            <w:textDirection w:val="lrTb"/>
            <w:noWrap/>
          </w:tcPr>
          <w:p>
            <w:pPr>
              <w:jc w:val="center"/>
              <w:spacing w:line="520" w:lineRule="exact"/>
              <w:rPr>
                <w:rFonts w:ascii="宋体" w:hAnsi="宋体"/>
                <w:sz w:val="28"/>
                <w:highlight w:val="none"/>
              </w:rPr>
            </w:pPr>
            <w:r>
              <w:rPr>
                <w:rFonts w:hint="eastAsia" w:ascii="宋体" w:hAnsi="宋体"/>
                <w:sz w:val="28"/>
                <w:highlight w:val="none"/>
              </w:rPr>
              <w:t xml:space="preserve">合同金额</w:t>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53"/>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r>
        <w:trPr>
          <w:jc w:val="center"/>
          <w:trHeight w:val="772"/>
        </w:trPr>
        <w:tc>
          <w:tcPr>
            <w:tcW w:w="1014"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39"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135"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135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c>
          <w:tcPr>
            <w:tcW w:w="2418" w:type="dxa"/>
            <w:vAlign w:val="center"/>
            <w:textDirection w:val="lrTb"/>
            <w:noWrap/>
          </w:tcPr>
          <w:p>
            <w:pPr>
              <w:jc w:val="center"/>
              <w:spacing w:line="520" w:lineRule="exact"/>
              <w:rPr>
                <w:rFonts w:ascii="宋体" w:hAnsi="宋体"/>
                <w:sz w:val="28"/>
                <w:highlight w:val="none"/>
              </w:rPr>
            </w:pPr>
            <w:r>
              <w:rPr>
                <w:rFonts w:ascii="宋体" w:hAnsi="宋体"/>
                <w:sz w:val="28"/>
                <w:highlight w:val="none"/>
              </w:rPr>
            </w:r>
            <w:r/>
          </w:p>
        </w:tc>
      </w:tr>
    </w:tbl>
    <w:p>
      <w:pPr>
        <w:jc w:val="center"/>
        <w:spacing w:line="400" w:lineRule="exact"/>
        <w:rPr>
          <w:rFonts w:ascii="宋体" w:hAnsi="宋体"/>
          <w:b/>
          <w:sz w:val="28"/>
          <w:szCs w:val="30"/>
          <w:highlight w:val="none"/>
        </w:rPr>
      </w:pPr>
      <w:r>
        <w:rPr>
          <w:rFonts w:ascii="宋体" w:hAnsi="宋体"/>
          <w:b/>
          <w:sz w:val="28"/>
          <w:szCs w:val="30"/>
          <w:highlight w:val="none"/>
        </w:rPr>
      </w:r>
      <w:r/>
    </w:p>
    <w:p>
      <w:pPr>
        <w:spacing w:line="400" w:lineRule="exact"/>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bCs/>
          <w:sz w:val="24"/>
          <w:highlight w:val="none"/>
        </w:rPr>
      </w:pPr>
      <w:r>
        <w:rPr>
          <w:rFonts w:hint="eastAsia" w:ascii="宋体" w:hAnsi="宋体"/>
          <w:bCs/>
          <w:sz w:val="24"/>
          <w:highlight w:val="none"/>
        </w:rPr>
        <w:t xml:space="preserve">投标人（盖章）：</w:t>
      </w:r>
      <w:r/>
    </w:p>
    <w:p>
      <w:pPr>
        <w:ind w:firstLine="480"/>
        <w:spacing w:line="360" w:lineRule="auto"/>
        <w:rPr>
          <w:rFonts w:ascii="宋体" w:hAnsi="宋体"/>
          <w:bCs/>
          <w:sz w:val="24"/>
          <w:highlight w:val="none"/>
        </w:rPr>
      </w:pPr>
      <w:r>
        <w:rPr>
          <w:rFonts w:hint="eastAsia" w:ascii="宋体" w:hAnsi="宋体"/>
          <w:bCs/>
          <w:sz w:val="24"/>
          <w:highlight w:val="none"/>
        </w:rPr>
        <w:t xml:space="preserve">法定代表人或委托代理人（签字或盖章）：</w:t>
      </w:r>
      <w:r/>
    </w:p>
    <w:p>
      <w:pPr>
        <w:ind w:firstLine="480"/>
        <w:spacing w:line="360" w:lineRule="auto"/>
        <w:rPr>
          <w:rFonts w:ascii="宋体" w:hAnsi="宋体"/>
          <w:bCs/>
          <w:sz w:val="24"/>
          <w:highlight w:val="none"/>
        </w:rPr>
      </w:pPr>
      <w:r>
        <w:rPr>
          <w:rFonts w:hint="eastAsia" w:ascii="宋体" w:hAnsi="宋体"/>
          <w:bCs/>
          <w:sz w:val="24"/>
          <w:highlight w:val="none"/>
        </w:rPr>
        <w:t xml:space="preserve">日期：    年     月     日</w:t>
      </w:r>
      <w:r/>
    </w:p>
    <w:p>
      <w:pPr>
        <w:ind w:firstLine="480"/>
        <w:spacing w:line="360" w:lineRule="auto"/>
        <w:rPr>
          <w:rFonts w:ascii="宋体" w:hAnsi="宋体"/>
          <w:bCs/>
          <w:sz w:val="24"/>
          <w:highlight w:val="none"/>
        </w:rPr>
      </w:pPr>
      <w:r>
        <w:rPr>
          <w:rFonts w:ascii="宋体" w:hAnsi="宋体"/>
          <w:bCs/>
          <w:sz w:val="24"/>
          <w:highlight w:val="none"/>
        </w:rPr>
      </w:r>
      <w:r/>
    </w:p>
    <w:p>
      <w:pPr>
        <w:pStyle w:val="923"/>
        <w:spacing w:before="0" w:after="0" w:line="360" w:lineRule="auto"/>
        <w:rPr>
          <w:rFonts w:hAnsi="宋体"/>
          <w:szCs w:val="21"/>
          <w:highlight w:val="none"/>
        </w:rPr>
        <w:outlineLvl w:val="0"/>
      </w:pPr>
      <w:r>
        <w:rPr>
          <w:rFonts w:hint="eastAsia" w:ascii="宋体" w:hAnsi="宋体" w:cs="仿宋"/>
          <w:b w:val="0"/>
          <w:bCs w:val="0"/>
          <w:sz w:val="32"/>
          <w:szCs w:val="32"/>
          <w:highlight w:val="none"/>
        </w:rPr>
        <w:br w:type="page" w:clear="all"/>
      </w:r>
      <w:bookmarkStart w:id="282" w:name="_Toc16041"/>
      <w:r/>
      <w:bookmarkStart w:id="283" w:name="_Toc9559"/>
      <w:r/>
      <w:bookmarkStart w:id="284" w:name="_Toc25700"/>
      <w:r>
        <w:rPr>
          <w:rFonts w:hint="eastAsia" w:ascii="黑体" w:hAnsi="黑体" w:eastAsia="黑体" w:cs="Times New Roman"/>
          <w:b w:val="0"/>
          <w:bCs w:val="0"/>
          <w:iCs/>
          <w:sz w:val="32"/>
          <w:szCs w:val="32"/>
          <w:highlight w:val="none"/>
          <w:u w:val="single"/>
        </w:rPr>
        <w:t xml:space="preserve">十七、项目团队人员一览表</w:t>
      </w:r>
      <w:bookmarkEnd w:id="282"/>
      <w:r/>
      <w:bookmarkEnd w:id="283"/>
      <w:r/>
      <w:bookmarkEnd w:id="284"/>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tbl>
      <w:tblPr>
        <w:tblStyle w:val="741"/>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姓  名</w:t>
            </w:r>
            <w:r/>
          </w:p>
        </w:tc>
        <w:tc>
          <w:tcPr>
            <w:tcW w:w="1905"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本项目拟任</w:t>
            </w:r>
            <w:r/>
          </w:p>
          <w:p>
            <w:pPr>
              <w:jc w:val="center"/>
              <w:spacing w:line="360" w:lineRule="auto"/>
              <w:rPr>
                <w:rFonts w:ascii="宋体" w:hAnsi="宋体"/>
                <w:highlight w:val="none"/>
              </w:rPr>
            </w:pPr>
            <w:r>
              <w:rPr>
                <w:rFonts w:hint="eastAsia" w:ascii="宋体" w:hAnsi="宋体"/>
                <w:highlight w:val="none"/>
              </w:rPr>
              <w:t xml:space="preserve">职  务</w:t>
            </w:r>
            <w:r/>
          </w:p>
        </w:tc>
        <w:tc>
          <w:tcPr>
            <w:tcW w:w="1127"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技术</w:t>
            </w:r>
            <w:r/>
          </w:p>
          <w:p>
            <w:pPr>
              <w:jc w:val="center"/>
              <w:spacing w:line="360" w:lineRule="auto"/>
              <w:rPr>
                <w:rFonts w:ascii="宋体" w:hAnsi="宋体"/>
                <w:highlight w:val="none"/>
              </w:rPr>
            </w:pPr>
            <w:r>
              <w:rPr>
                <w:rFonts w:hint="eastAsia" w:ascii="宋体" w:hAnsi="宋体"/>
                <w:highlight w:val="none"/>
              </w:rPr>
              <w:t xml:space="preserve">职称</w:t>
            </w:r>
            <w:r/>
          </w:p>
        </w:tc>
        <w:tc>
          <w:tcPr>
            <w:tcW w:w="89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年龄</w:t>
            </w:r>
            <w:r/>
          </w:p>
        </w:tc>
        <w:tc>
          <w:tcPr>
            <w:tcW w:w="89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学历</w:t>
            </w:r>
            <w:r/>
          </w:p>
        </w:tc>
        <w:tc>
          <w:tcPr>
            <w:tcW w:w="2814"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主要资历及担任过的职务</w:t>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r>
        <w:trPr>
          <w:trHeight w:val="729"/>
        </w:trPr>
        <w:tc>
          <w:tcPr>
            <w:tcW w:w="1470"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905"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1127"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896"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c>
          <w:tcPr>
            <w:tcW w:w="2814" w:type="dxa"/>
            <w:vAlign w:val="center"/>
            <w:textDirection w:val="lrTb"/>
            <w:noWrap/>
          </w:tcPr>
          <w:p>
            <w:pPr>
              <w:jc w:val="center"/>
              <w:spacing w:line="360" w:lineRule="auto"/>
              <w:rPr>
                <w:rFonts w:ascii="宋体" w:hAnsi="宋体"/>
                <w:sz w:val="28"/>
                <w:highlight w:val="none"/>
              </w:rPr>
            </w:pPr>
            <w:r>
              <w:rPr>
                <w:rFonts w:ascii="宋体" w:hAnsi="宋体"/>
                <w:sz w:val="28"/>
                <w:highlight w:val="none"/>
              </w:rPr>
            </w:r>
            <w:r/>
          </w:p>
        </w:tc>
      </w:tr>
    </w:tbl>
    <w:p>
      <w:pPr>
        <w:spacing w:line="360" w:lineRule="auto"/>
        <w:rPr>
          <w:rFonts w:ascii="宋体" w:hAnsi="宋体"/>
          <w:b/>
          <w:sz w:val="28"/>
          <w:szCs w:val="30"/>
          <w:highlight w:val="none"/>
        </w:rPr>
      </w:pPr>
      <w:r>
        <w:rPr>
          <w:rFonts w:ascii="宋体" w:hAnsi="宋体"/>
          <w:b/>
          <w:sz w:val="28"/>
          <w:szCs w:val="30"/>
          <w:highlight w:val="none"/>
        </w:rPr>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投标人（盖章）：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法定代表人或委托代理人（签字或盖章）：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日期：    年     月     日</w:t>
      </w:r>
      <w:r/>
    </w:p>
    <w:p>
      <w:pPr>
        <w:ind w:firstLine="643"/>
        <w:jc w:val="center"/>
        <w:spacing w:line="360" w:lineRule="auto"/>
        <w:rPr>
          <w:rFonts w:ascii="宋体" w:hAnsi="宋体" w:cs="仿宋"/>
          <w:b/>
          <w:bCs/>
          <w:sz w:val="32"/>
          <w:szCs w:val="32"/>
          <w:highlight w:val="none"/>
        </w:rPr>
      </w:pPr>
      <w:r>
        <w:rPr>
          <w:rFonts w:hint="eastAsia" w:ascii="宋体" w:hAnsi="宋体" w:cs="仿宋"/>
          <w:b/>
          <w:bCs/>
          <w:sz w:val="32"/>
          <w:szCs w:val="32"/>
          <w:highlight w:val="none"/>
        </w:rPr>
        <w:br w:type="page" w:clear="all"/>
      </w: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地址：邮编：</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联系人：联系电话：</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地址：邮编：</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质疑项目的编号：包号：</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p>
    <w:p>
      <w:pPr>
        <w:spacing w:line="360" w:lineRule="auto"/>
        <w:rPr>
          <w:rFonts w:ascii="宋体" w:hAnsi="宋体" w:cs="仿宋"/>
          <w:sz w:val="24"/>
          <w:szCs w:val="24"/>
          <w:highlight w:val="none"/>
        </w:rPr>
      </w:pPr>
      <w:r>
        <w:rPr>
          <w:rFonts w:ascii="宋体" w:hAnsi="宋体" w:cs="仿宋"/>
          <w:sz w:val="24"/>
          <w:szCs w:val="24"/>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p>
    <w:p>
      <w:pPr>
        <w:spacing w:line="360" w:lineRule="auto"/>
        <w:rPr>
          <w:rFonts w:ascii="宋体" w:hAnsi="宋体" w:cs="仿宋"/>
          <w:sz w:val="24"/>
          <w:szCs w:val="24"/>
          <w:highlight w:val="none"/>
          <w:u w:val="single"/>
        </w:rPr>
      </w:pPr>
      <w:r>
        <w:rPr>
          <w:rFonts w:ascii="宋体" w:hAnsi="宋体" w:cs="仿宋"/>
          <w:sz w:val="24"/>
          <w:szCs w:val="24"/>
          <w:highlight w:val="none"/>
          <w:u w:val="singl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p>
    <w:p>
      <w:pPr>
        <w:spacing w:line="360" w:lineRule="auto"/>
        <w:rPr>
          <w:rFonts w:ascii="宋体" w:hAnsi="宋体"/>
          <w:sz w:val="24"/>
          <w:szCs w:val="24"/>
          <w:highlight w:val="none"/>
        </w:rPr>
      </w:pPr>
      <w:r>
        <w:rPr>
          <w:rFonts w:hint="eastAsia" w:ascii="宋体" w:hAnsi="宋体"/>
          <w:sz w:val="24"/>
          <w:szCs w:val="24"/>
          <w:highlight w:val="none"/>
        </w:rPr>
        <w:t xml:space="preserve">签字(签章)：                   公章：                      </w:t>
      </w:r>
      <w:r/>
    </w:p>
    <w:p>
      <w:pPr>
        <w:spacing w:line="360" w:lineRule="auto"/>
        <w:rPr>
          <w:rFonts w:ascii="宋体" w:hAnsi="宋体"/>
          <w:sz w:val="24"/>
          <w:szCs w:val="24"/>
          <w:highlight w:val="none"/>
        </w:rPr>
      </w:pPr>
      <w:r>
        <w:rPr>
          <w:rFonts w:hint="eastAsia" w:ascii="宋体" w:hAnsi="宋体"/>
          <w:sz w:val="24"/>
          <w:szCs w:val="24"/>
          <w:highlight w:val="none"/>
        </w:rPr>
        <w:t xml:space="preserve">日期：    </w:t>
      </w:r>
      <w:r/>
    </w:p>
    <w:p>
      <w:pPr>
        <w:spacing w:line="360" w:lineRule="auto"/>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360" w:lineRule="auto"/>
        <w:widowControl/>
        <w:rPr>
          <w:sz w:val="24"/>
          <w:szCs w:val="24"/>
          <w:highlight w:val="none"/>
        </w:rPr>
      </w:pPr>
      <w:r>
        <w:rPr>
          <w:rFonts w:hint="eastAsia" w:ascii="宋体" w:hAnsi="宋体"/>
          <w:b/>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pStyle w:val="925"/>
        <w:rPr>
          <w:sz w:val="24"/>
          <w:szCs w:val="24"/>
          <w:highlight w:val="none"/>
        </w:rPr>
      </w:pPr>
      <w:r>
        <w:rPr>
          <w:sz w:val="24"/>
          <w:szCs w:val="24"/>
          <w:highlight w:val="none"/>
        </w:rPr>
      </w:r>
      <w:r/>
    </w:p>
    <w:p>
      <w:pPr>
        <w:pStyle w:val="925"/>
        <w:rPr>
          <w:sz w:val="24"/>
          <w:szCs w:val="24"/>
          <w:highlight w:val="none"/>
        </w:rPr>
      </w:pPr>
      <w:r>
        <w:rPr>
          <w:sz w:val="24"/>
          <w:szCs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Segoe UI">
    <w:panose1 w:val="020B0502040204020203"/>
  </w:font>
  <w:font w:name="PMingLiU">
    <w:panose1 w:val="02020500000000000000"/>
  </w:font>
  <w:font w:name="楷体_GB2312">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4"/>
        <w:rFonts w:ascii="宋体" w:hAnsi="宋体" w:cs="宋体"/>
      </w:rPr>
      <w:framePr w:wrap="around" w:vAnchor="text" w:hAnchor="margin" w:xAlign="center" w:y="1"/>
    </w:pPr>
    <w:r>
      <w:rPr>
        <w:rFonts w:hint="eastAsia" w:ascii="宋体" w:hAnsi="宋体" w:cs="宋体"/>
      </w:rPr>
      <w:fldChar w:fldCharType="begin"/>
    </w:r>
    <w:r>
      <w:rPr>
        <w:rStyle w:val="994"/>
        <w:rFonts w:hint="eastAsia" w:ascii="宋体" w:hAnsi="宋体" w:cs="宋体"/>
      </w:rPr>
      <w:instrText xml:space="preserve">PAGE  </w:instrText>
    </w:r>
    <w:r>
      <w:rPr>
        <w:rFonts w:hint="eastAsia" w:ascii="宋体" w:hAnsi="宋体" w:cs="宋体"/>
      </w:rPr>
      <w:fldChar w:fldCharType="separate"/>
    </w:r>
    <w:r>
      <w:rPr>
        <w:rStyle w:val="994"/>
        <w:rFonts w:hint="eastAsia" w:ascii="宋体" w:hAnsi="宋体" w:cs="宋体"/>
      </w:rPr>
      <w:t xml:space="preserve">３５</w:t>
    </w:r>
    <w:r>
      <w:rPr>
        <w:rFonts w:hint="eastAsia" w:ascii="宋体" w:hAnsi="宋体" w:cs="宋体"/>
      </w:rPr>
      <w:fldChar w:fldCharType="end"/>
    </w:r>
    <w:r/>
  </w:p>
  <w:p>
    <w:pPr>
      <w:pStyle w:val="96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p>
  <w:p>
    <w:pPr>
      <w:pStyle w:val="9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4"/>
        <w:rFonts w:ascii="宋体" w:hAnsi="宋体" w:cs="宋体"/>
      </w:rPr>
      <w:framePr w:wrap="around" w:vAnchor="text" w:hAnchor="margin" w:xAlign="center" w:y="1"/>
    </w:pPr>
    <w:r>
      <w:rPr>
        <w:rFonts w:hint="eastAsia" w:ascii="宋体" w:hAnsi="宋体" w:cs="宋体"/>
      </w:rPr>
      <w:fldChar w:fldCharType="begin"/>
    </w:r>
    <w:r>
      <w:rPr>
        <w:rStyle w:val="994"/>
        <w:rFonts w:hint="eastAsia" w:ascii="宋体" w:hAnsi="宋体" w:cs="宋体"/>
      </w:rPr>
      <w:instrText xml:space="preserve">PAGE  </w:instrText>
    </w:r>
    <w:r>
      <w:rPr>
        <w:rFonts w:hint="eastAsia" w:ascii="宋体" w:hAnsi="宋体" w:cs="宋体"/>
      </w:rPr>
      <w:fldChar w:fldCharType="separate"/>
    </w:r>
    <w:r>
      <w:rPr>
        <w:rStyle w:val="994"/>
        <w:rFonts w:ascii="宋体" w:hAnsi="宋体" w:cs="宋体"/>
      </w:rPr>
      <w:t xml:space="preserve">37</w:t>
    </w:r>
    <w:r>
      <w:rPr>
        <w:rFonts w:hint="eastAsia" w:ascii="宋体" w:hAnsi="宋体" w:cs="宋体"/>
      </w:rPr>
      <w:fldChar w:fldCharType="end"/>
    </w:r>
    <w:r/>
  </w:p>
  <w:p>
    <w:pPr>
      <w:pStyle w:val="968"/>
      <w:jc w:val="center"/>
      <w:rPr>
        <w:b/>
        <w:i/>
      </w:rPr>
    </w:pP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99"/>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3">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0"/>
    <w:link w:val="731"/>
    <w:uiPriority w:val="9"/>
    <w:rPr>
      <w:rFonts w:ascii="Arial" w:hAnsi="Arial" w:eastAsia="Arial" w:cs="Arial"/>
      <w:sz w:val="40"/>
      <w:szCs w:val="40"/>
    </w:rPr>
  </w:style>
  <w:style w:type="character" w:styleId="15">
    <w:name w:val="Heading 2 Char"/>
    <w:basedOn w:val="740"/>
    <w:link w:val="732"/>
    <w:uiPriority w:val="9"/>
    <w:rPr>
      <w:rFonts w:ascii="Arial" w:hAnsi="Arial" w:eastAsia="Arial" w:cs="Arial"/>
      <w:sz w:val="34"/>
    </w:rPr>
  </w:style>
  <w:style w:type="character" w:styleId="17">
    <w:name w:val="Heading 3 Char"/>
    <w:basedOn w:val="740"/>
    <w:link w:val="733"/>
    <w:uiPriority w:val="9"/>
    <w:rPr>
      <w:rFonts w:ascii="Arial" w:hAnsi="Arial" w:eastAsia="Arial" w:cs="Arial"/>
      <w:sz w:val="30"/>
      <w:szCs w:val="30"/>
    </w:rPr>
  </w:style>
  <w:style w:type="character" w:styleId="19">
    <w:name w:val="Heading 4 Char"/>
    <w:basedOn w:val="740"/>
    <w:link w:val="734"/>
    <w:uiPriority w:val="9"/>
    <w:rPr>
      <w:rFonts w:ascii="Arial" w:hAnsi="Arial" w:eastAsia="Arial" w:cs="Arial"/>
      <w:b/>
      <w:bCs/>
      <w:sz w:val="26"/>
      <w:szCs w:val="26"/>
    </w:rPr>
  </w:style>
  <w:style w:type="character" w:styleId="21">
    <w:name w:val="Heading 5 Char"/>
    <w:basedOn w:val="740"/>
    <w:link w:val="735"/>
    <w:uiPriority w:val="9"/>
    <w:rPr>
      <w:rFonts w:ascii="Arial" w:hAnsi="Arial" w:eastAsia="Arial" w:cs="Arial"/>
      <w:b/>
      <w:bCs/>
      <w:sz w:val="24"/>
      <w:szCs w:val="24"/>
    </w:rPr>
  </w:style>
  <w:style w:type="character" w:styleId="23">
    <w:name w:val="Heading 6 Char"/>
    <w:basedOn w:val="740"/>
    <w:link w:val="736"/>
    <w:uiPriority w:val="9"/>
    <w:rPr>
      <w:rFonts w:ascii="Arial" w:hAnsi="Arial" w:eastAsia="Arial" w:cs="Arial"/>
      <w:b/>
      <w:bCs/>
      <w:sz w:val="22"/>
      <w:szCs w:val="22"/>
    </w:rPr>
  </w:style>
  <w:style w:type="character" w:styleId="25">
    <w:name w:val="Heading 7 Char"/>
    <w:basedOn w:val="740"/>
    <w:link w:val="737"/>
    <w:uiPriority w:val="9"/>
    <w:rPr>
      <w:rFonts w:ascii="Arial" w:hAnsi="Arial" w:eastAsia="Arial" w:cs="Arial"/>
      <w:b/>
      <w:bCs/>
      <w:i/>
      <w:iCs/>
      <w:sz w:val="22"/>
      <w:szCs w:val="22"/>
    </w:rPr>
  </w:style>
  <w:style w:type="character" w:styleId="27">
    <w:name w:val="Heading 8 Char"/>
    <w:basedOn w:val="740"/>
    <w:link w:val="738"/>
    <w:uiPriority w:val="9"/>
    <w:rPr>
      <w:rFonts w:ascii="Arial" w:hAnsi="Arial" w:eastAsia="Arial" w:cs="Arial"/>
      <w:i/>
      <w:iCs/>
      <w:sz w:val="22"/>
      <w:szCs w:val="22"/>
    </w:rPr>
  </w:style>
  <w:style w:type="character" w:styleId="29">
    <w:name w:val="Heading 9 Char"/>
    <w:basedOn w:val="740"/>
    <w:link w:val="739"/>
    <w:uiPriority w:val="9"/>
    <w:rPr>
      <w:rFonts w:ascii="Arial" w:hAnsi="Arial" w:eastAsia="Arial" w:cs="Arial"/>
      <w:i/>
      <w:iCs/>
      <w:sz w:val="21"/>
      <w:szCs w:val="21"/>
    </w:rPr>
  </w:style>
  <w:style w:type="character" w:styleId="34">
    <w:name w:val="Title Char"/>
    <w:basedOn w:val="740"/>
    <w:link w:val="765"/>
    <w:uiPriority w:val="10"/>
    <w:rPr>
      <w:sz w:val="48"/>
      <w:szCs w:val="48"/>
    </w:rPr>
  </w:style>
  <w:style w:type="character" w:styleId="36">
    <w:name w:val="Subtitle Char"/>
    <w:basedOn w:val="740"/>
    <w:link w:val="759"/>
    <w:uiPriority w:val="11"/>
    <w:rPr>
      <w:sz w:val="24"/>
      <w:szCs w:val="24"/>
    </w:rPr>
  </w:style>
  <w:style w:type="character" w:styleId="38">
    <w:name w:val="Quote Char"/>
    <w:link w:val="787"/>
    <w:uiPriority w:val="29"/>
    <w:rPr>
      <w:i/>
    </w:rPr>
  </w:style>
  <w:style w:type="character" w:styleId="40">
    <w:name w:val="Intense Quote Char"/>
    <w:link w:val="789"/>
    <w:uiPriority w:val="30"/>
    <w:rPr>
      <w:i/>
    </w:rPr>
  </w:style>
  <w:style w:type="character" w:styleId="42">
    <w:name w:val="Header Char"/>
    <w:basedOn w:val="740"/>
    <w:link w:val="756"/>
    <w:uiPriority w:val="99"/>
  </w:style>
  <w:style w:type="character" w:styleId="46">
    <w:name w:val="Caption Char"/>
    <w:basedOn w:val="743"/>
    <w:link w:val="755"/>
    <w:uiPriority w:val="99"/>
  </w:style>
  <w:style w:type="character" w:styleId="175">
    <w:name w:val="Footnote Text Char"/>
    <w:link w:val="760"/>
    <w:uiPriority w:val="99"/>
    <w:rPr>
      <w:sz w:val="18"/>
    </w:rPr>
  </w:style>
  <w:style w:type="character" w:styleId="178">
    <w:name w:val="Endnote Text Char"/>
    <w:link w:val="753"/>
    <w:uiPriority w:val="99"/>
    <w:rPr>
      <w:sz w:val="20"/>
    </w:rPr>
  </w:style>
  <w:style w:type="paragraph" w:styleId="189">
    <w:name w:val="TOC Heading"/>
    <w:uiPriority w:val="39"/>
    <w:unhideWhenUsed/>
  </w:style>
  <w:style w:type="paragraph" w:styleId="73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1">
    <w:name w:val="Heading 1"/>
    <w:basedOn w:val="730"/>
    <w:next w:val="730"/>
    <w:link w:val="774"/>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75"/>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76"/>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7"/>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8"/>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9"/>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81"/>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2"/>
    <w:uiPriority w:val="9"/>
    <w:unhideWhenUsed/>
    <w:qFormat/>
    <w:pPr>
      <w:keepLines/>
      <w:keepNext/>
      <w:spacing w:before="320" w:after="200"/>
      <w:outlineLvl w:val="8"/>
    </w:pPr>
    <w:rPr>
      <w:rFonts w:ascii="Arial" w:hAnsi="Arial" w:eastAsia="Arial" w:cs="Arial"/>
      <w:i/>
      <w:iCs/>
    </w:rPr>
  </w:style>
  <w:style w:type="character" w:styleId="740" w:default="1">
    <w:name w:val="Default Paragraph Font"/>
    <w:uiPriority w:val="1"/>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30"/>
    <w:uiPriority w:val="0"/>
    <w:semiHidden/>
    <w:qFormat/>
    <w:pPr>
      <w:jc w:val="left"/>
    </w:pPr>
    <w:rPr>
      <w:szCs w:val="20"/>
    </w:rPr>
  </w:style>
  <w:style w:type="paragraph" w:styleId="745">
    <w:name w:val="Body Text"/>
    <w:basedOn w:val="730"/>
    <w:next w:val="746"/>
    <w:uiPriority w:val="1"/>
    <w:unhideWhenUsed/>
    <w:qFormat/>
    <w:pPr>
      <w:ind w:left="400"/>
      <w:jc w:val="left"/>
    </w:pPr>
    <w:rPr>
      <w:rFonts w:hint="eastAsia" w:ascii="楷体" w:hAnsi="楷体" w:eastAsia="楷体" w:cs="楷体"/>
      <w:sz w:val="24"/>
      <w:szCs w:val="24"/>
      <w:lang w:val="zh-CN"/>
    </w:rPr>
  </w:style>
  <w:style w:type="paragraph" w:styleId="746">
    <w:name w:val="Body Text 2"/>
    <w:basedOn w:val="730"/>
    <w:uiPriority w:val="0"/>
    <w:qFormat/>
    <w:pPr>
      <w:jc w:val="center"/>
    </w:pPr>
  </w:style>
  <w:style w:type="paragraph" w:styleId="747">
    <w:name w:val="Body Text Indent"/>
    <w:basedOn w:val="730"/>
    <w:next w:val="748"/>
    <w:uiPriority w:val="0"/>
    <w:qFormat/>
    <w:pPr>
      <w:ind w:firstLine="600"/>
    </w:pPr>
    <w:rPr>
      <w:rFonts w:eastAsia="仿宋_GB2312"/>
      <w:sz w:val="30"/>
      <w:szCs w:val="30"/>
    </w:rPr>
  </w:style>
  <w:style w:type="paragraph" w:styleId="748" w:customStyle="1">
    <w:name w:val="样式 正文文本缩进 + 左  0 字符"/>
    <w:basedOn w:val="730"/>
    <w:uiPriority w:val="0"/>
    <w:qFormat/>
    <w:pPr>
      <w:ind w:firstLine="250"/>
    </w:pPr>
    <w:rPr>
      <w:rFonts w:cs="宋体"/>
      <w:szCs w:val="20"/>
    </w:rPr>
  </w:style>
  <w:style w:type="paragraph" w:styleId="749">
    <w:name w:val="toc 5"/>
    <w:basedOn w:val="730"/>
    <w:next w:val="730"/>
    <w:uiPriority w:val="39"/>
    <w:unhideWhenUsed/>
    <w:qFormat/>
    <w:pPr>
      <w:ind w:left="1134"/>
      <w:spacing w:after="57"/>
    </w:pPr>
  </w:style>
  <w:style w:type="paragraph" w:styleId="750">
    <w:name w:val="toc 3"/>
    <w:basedOn w:val="730"/>
    <w:next w:val="730"/>
    <w:uiPriority w:val="39"/>
    <w:unhideWhenUsed/>
    <w:qFormat/>
    <w:pPr>
      <w:ind w:left="567"/>
      <w:spacing w:after="57"/>
    </w:pPr>
  </w:style>
  <w:style w:type="paragraph" w:styleId="751">
    <w:name w:val="Plain Text"/>
    <w:basedOn w:val="730"/>
    <w:uiPriority w:val="99"/>
    <w:qFormat/>
    <w:pPr>
      <w:spacing w:line="400" w:lineRule="exact"/>
    </w:pPr>
    <w:rPr>
      <w:rFonts w:ascii="宋体" w:hAnsi="Courier New"/>
      <w:sz w:val="24"/>
      <w:szCs w:val="20"/>
    </w:rPr>
  </w:style>
  <w:style w:type="paragraph" w:styleId="752">
    <w:name w:val="toc 8"/>
    <w:basedOn w:val="730"/>
    <w:next w:val="730"/>
    <w:uiPriority w:val="39"/>
    <w:unhideWhenUsed/>
    <w:qFormat/>
    <w:pPr>
      <w:ind w:left="1984"/>
      <w:spacing w:after="57"/>
    </w:pPr>
  </w:style>
  <w:style w:type="paragraph" w:styleId="753">
    <w:name w:val="endnote text"/>
    <w:basedOn w:val="730"/>
    <w:link w:val="920"/>
    <w:uiPriority w:val="99"/>
    <w:semiHidden/>
    <w:unhideWhenUsed/>
    <w:qFormat/>
    <w:rPr>
      <w:sz w:val="20"/>
    </w:rPr>
  </w:style>
  <w:style w:type="paragraph" w:styleId="754">
    <w:name w:val="Balloon Text"/>
    <w:basedOn w:val="730"/>
    <w:link w:val="1044"/>
    <w:uiPriority w:val="99"/>
    <w:semiHidden/>
    <w:unhideWhenUsed/>
    <w:qFormat/>
    <w:rPr>
      <w:sz w:val="18"/>
      <w:szCs w:val="18"/>
    </w:rPr>
  </w:style>
  <w:style w:type="paragraph" w:styleId="755">
    <w:name w:val="Footer"/>
    <w:basedOn w:val="730"/>
    <w:link w:val="793"/>
    <w:uiPriority w:val="99"/>
    <w:unhideWhenUsed/>
    <w:qFormat/>
    <w:pPr>
      <w:tabs>
        <w:tab w:val="center" w:pos="7143" w:leader="none"/>
        <w:tab w:val="right" w:pos="14287" w:leader="none"/>
      </w:tabs>
    </w:pPr>
  </w:style>
  <w:style w:type="paragraph" w:styleId="756">
    <w:name w:val="Header"/>
    <w:basedOn w:val="730"/>
    <w:link w:val="791"/>
    <w:uiPriority w:val="99"/>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786"/>
    <w:uiPriority w:val="11"/>
    <w:qFormat/>
    <w:pPr>
      <w:spacing w:before="200" w:after="200"/>
    </w:pPr>
    <w:rPr>
      <w:sz w:val="24"/>
      <w:szCs w:val="24"/>
    </w:rPr>
  </w:style>
  <w:style w:type="paragraph" w:styleId="760">
    <w:name w:val="footnote text"/>
    <w:basedOn w:val="730"/>
    <w:link w:val="919"/>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Title"/>
    <w:basedOn w:val="730"/>
    <w:next w:val="730"/>
    <w:link w:val="785"/>
    <w:uiPriority w:val="10"/>
    <w:qFormat/>
    <w:pPr>
      <w:contextualSpacing/>
      <w:spacing w:before="300" w:after="200"/>
    </w:pPr>
    <w:rPr>
      <w:sz w:val="48"/>
      <w:szCs w:val="48"/>
    </w:rPr>
  </w:style>
  <w:style w:type="paragraph" w:styleId="766">
    <w:name w:val="Body Text First Indent"/>
    <w:basedOn w:val="745"/>
    <w:next w:val="767"/>
    <w:uiPriority w:val="0"/>
    <w:qFormat/>
    <w:pPr>
      <w:ind w:firstLine="420"/>
      <w:spacing w:after="120"/>
    </w:pPr>
    <w:rPr>
      <w:rFonts w:eastAsia="宋体"/>
      <w:sz w:val="21"/>
    </w:rPr>
  </w:style>
  <w:style w:type="paragraph" w:styleId="767">
    <w:name w:val="Body Text First Indent 2"/>
    <w:basedOn w:val="747"/>
    <w:next w:val="730"/>
    <w:uiPriority w:val="0"/>
    <w:qFormat/>
    <w:pPr>
      <w:ind w:left="420" w:firstLine="420"/>
      <w:spacing w:after="120"/>
      <w:tabs>
        <w:tab w:val="left" w:pos="675" w:leader="none"/>
      </w:tabs>
    </w:pPr>
    <w:rPr>
      <w:sz w:val="21"/>
      <w:szCs w:val="24"/>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14:textFill>
        <w14:solidFill>
          <w14:schemeClr w14:val="hlink"/>
        </w14:solidFill>
      </w14:textFill>
    </w:rPr>
  </w:style>
  <w:style w:type="character" w:styleId="771">
    <w:name w:val="annotation reference"/>
    <w:uiPriority w:val="0"/>
    <w:qFormat/>
    <w:rPr>
      <w:sz w:val="21"/>
      <w:szCs w:val="21"/>
    </w:rPr>
  </w:style>
  <w:style w:type="character" w:styleId="772">
    <w:name w:val="footnote reference"/>
    <w:uiPriority w:val="99"/>
    <w:unhideWhenUsed/>
    <w:qFormat/>
    <w:rPr>
      <w:vertAlign w:val="superscript"/>
    </w:rPr>
  </w:style>
  <w:style w:type="paragraph" w:styleId="773"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774" w:customStyle="1">
    <w:name w:val="标题 1 Char1"/>
    <w:link w:val="731"/>
    <w:uiPriority w:val="9"/>
    <w:qFormat/>
    <w:rPr>
      <w:rFonts w:ascii="Arial" w:hAnsi="Arial" w:eastAsia="Arial" w:cs="Arial"/>
      <w:sz w:val="40"/>
      <w:szCs w:val="40"/>
    </w:rPr>
  </w:style>
  <w:style w:type="character" w:styleId="775" w:customStyle="1">
    <w:name w:val="标题 2 Char1"/>
    <w:link w:val="732"/>
    <w:uiPriority w:val="9"/>
    <w:qFormat/>
    <w:rPr>
      <w:rFonts w:ascii="Arial" w:hAnsi="Arial" w:eastAsia="Arial" w:cs="Arial"/>
      <w:sz w:val="34"/>
    </w:rPr>
  </w:style>
  <w:style w:type="character" w:styleId="776" w:customStyle="1">
    <w:name w:val="标题 3 Char1"/>
    <w:link w:val="733"/>
    <w:uiPriority w:val="9"/>
    <w:qFormat/>
    <w:rPr>
      <w:rFonts w:ascii="Arial" w:hAnsi="Arial" w:eastAsia="Arial" w:cs="Arial"/>
      <w:sz w:val="30"/>
      <w:szCs w:val="30"/>
    </w:rPr>
  </w:style>
  <w:style w:type="character" w:styleId="777" w:customStyle="1">
    <w:name w:val="标题 4 Char1"/>
    <w:link w:val="734"/>
    <w:uiPriority w:val="9"/>
    <w:qFormat/>
    <w:rPr>
      <w:rFonts w:ascii="Arial" w:hAnsi="Arial" w:eastAsia="Arial" w:cs="Arial"/>
      <w:b/>
      <w:bCs/>
      <w:sz w:val="26"/>
      <w:szCs w:val="26"/>
    </w:rPr>
  </w:style>
  <w:style w:type="character" w:styleId="778" w:customStyle="1">
    <w:name w:val="标题 5 Char1"/>
    <w:link w:val="735"/>
    <w:uiPriority w:val="9"/>
    <w:qFormat/>
    <w:rPr>
      <w:rFonts w:ascii="Arial" w:hAnsi="Arial" w:eastAsia="Arial" w:cs="Arial"/>
      <w:b/>
      <w:bCs/>
      <w:sz w:val="24"/>
      <w:szCs w:val="24"/>
    </w:rPr>
  </w:style>
  <w:style w:type="character" w:styleId="779" w:customStyle="1">
    <w:name w:val="标题 6 Char1"/>
    <w:link w:val="736"/>
    <w:uiPriority w:val="9"/>
    <w:qFormat/>
    <w:rPr>
      <w:rFonts w:ascii="Arial" w:hAnsi="Arial" w:eastAsia="Arial" w:cs="Arial"/>
      <w:b/>
      <w:bCs/>
      <w:sz w:val="22"/>
      <w:szCs w:val="22"/>
    </w:rPr>
  </w:style>
  <w:style w:type="character" w:styleId="780" w:customStyle="1">
    <w:name w:val="标题 7 Char1"/>
    <w:link w:val="737"/>
    <w:uiPriority w:val="9"/>
    <w:qFormat/>
    <w:rPr>
      <w:rFonts w:ascii="Arial" w:hAnsi="Arial" w:eastAsia="Arial" w:cs="Arial"/>
      <w:b/>
      <w:bCs/>
      <w:i/>
      <w:iCs/>
      <w:sz w:val="22"/>
      <w:szCs w:val="22"/>
    </w:rPr>
  </w:style>
  <w:style w:type="character" w:styleId="781" w:customStyle="1">
    <w:name w:val="标题 8 Char1"/>
    <w:link w:val="738"/>
    <w:uiPriority w:val="9"/>
    <w:qFormat/>
    <w:rPr>
      <w:rFonts w:ascii="Arial" w:hAnsi="Arial" w:eastAsia="Arial" w:cs="Arial"/>
      <w:i/>
      <w:iCs/>
      <w:sz w:val="22"/>
      <w:szCs w:val="22"/>
    </w:rPr>
  </w:style>
  <w:style w:type="character" w:styleId="782" w:customStyle="1">
    <w:name w:val="标题 9 Char1"/>
    <w:link w:val="739"/>
    <w:uiPriority w:val="9"/>
    <w:qFormat/>
    <w:rPr>
      <w:rFonts w:ascii="Arial" w:hAnsi="Arial" w:eastAsia="Arial" w:cs="Arial"/>
      <w:i/>
      <w:iCs/>
      <w:sz w:val="21"/>
      <w:szCs w:val="21"/>
    </w:rPr>
  </w:style>
  <w:style w:type="paragraph" w:styleId="783">
    <w:name w:val="List Paragraph"/>
    <w:basedOn w:val="730"/>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Char"/>
    <w:link w:val="765"/>
    <w:uiPriority w:val="10"/>
    <w:qFormat/>
    <w:rPr>
      <w:sz w:val="48"/>
      <w:szCs w:val="48"/>
    </w:rPr>
  </w:style>
  <w:style w:type="character" w:styleId="786" w:customStyle="1">
    <w:name w:val="副标题 Char"/>
    <w:link w:val="759"/>
    <w:uiPriority w:val="11"/>
    <w:qFormat/>
    <w:rPr>
      <w:sz w:val="24"/>
      <w:szCs w:val="24"/>
    </w:rPr>
  </w:style>
  <w:style w:type="paragraph" w:styleId="787">
    <w:name w:val="Quote"/>
    <w:basedOn w:val="730"/>
    <w:next w:val="730"/>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730"/>
    <w:next w:val="730"/>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页眉 Char1"/>
    <w:link w:val="756"/>
    <w:uiPriority w:val="99"/>
    <w:qFormat/>
  </w:style>
  <w:style w:type="character" w:styleId="792" w:customStyle="1">
    <w:name w:val="Footer Char"/>
    <w:link w:val="755"/>
    <w:uiPriority w:val="99"/>
    <w:qFormat/>
  </w:style>
  <w:style w:type="character" w:styleId="793" w:customStyle="1">
    <w:name w:val="页脚 Char1"/>
    <w:link w:val="755"/>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60"/>
    <w:uiPriority w:val="99"/>
    <w:qFormat/>
    <w:rPr>
      <w:sz w:val="18"/>
    </w:rPr>
  </w:style>
  <w:style w:type="character" w:styleId="920" w:customStyle="1">
    <w:name w:val="尾注文本 Char"/>
    <w:link w:val="753"/>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标题 11"/>
    <w:basedOn w:val="730"/>
    <w:next w:val="730"/>
    <w:link w:val="934"/>
    <w:uiPriority w:val="0"/>
    <w:qFormat/>
    <w:pPr>
      <w:jc w:val="center"/>
      <w:keepNext/>
      <w:outlineLvl w:val="0"/>
    </w:pPr>
    <w:rPr>
      <w:rFonts w:ascii="楷体_GB2312" w:eastAsia="楷体_GB2312"/>
      <w:sz w:val="28"/>
      <w:szCs w:val="28"/>
    </w:rPr>
  </w:style>
  <w:style w:type="paragraph" w:styleId="923" w:customStyle="1">
    <w:name w:val="标题 21"/>
    <w:basedOn w:val="730"/>
    <w:next w:val="730"/>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4" w:customStyle="1">
    <w:name w:val="标题 311"/>
    <w:basedOn w:val="730"/>
    <w:next w:val="925"/>
    <w:link w:val="936"/>
    <w:uiPriority w:val="0"/>
    <w:qFormat/>
    <w:pPr>
      <w:keepLines/>
      <w:keepNext/>
      <w:spacing w:before="260" w:after="260" w:line="416" w:lineRule="auto"/>
      <w:outlineLvl w:val="2"/>
    </w:pPr>
    <w:rPr>
      <w:b/>
      <w:bCs/>
      <w:sz w:val="32"/>
      <w:szCs w:val="32"/>
    </w:rPr>
  </w:style>
  <w:style w:type="paragraph" w:styleId="925" w:customStyle="1">
    <w:name w:val="正文缩进1"/>
    <w:basedOn w:val="730"/>
    <w:link w:val="937"/>
    <w:uiPriority w:val="0"/>
    <w:qFormat/>
    <w:pPr>
      <w:ind w:firstLine="420"/>
    </w:pPr>
  </w:style>
  <w:style w:type="paragraph" w:styleId="926" w:customStyle="1">
    <w:name w:val="标题 41"/>
    <w:basedOn w:val="730"/>
    <w:next w:val="925"/>
    <w:link w:val="938"/>
    <w:uiPriority w:val="0"/>
    <w:qFormat/>
    <w:pPr>
      <w:keepLines/>
      <w:keepNext/>
      <w:spacing w:before="280" w:after="290" w:line="376" w:lineRule="auto"/>
      <w:outlineLvl w:val="3"/>
    </w:pPr>
    <w:rPr>
      <w:rFonts w:ascii="Arial" w:hAnsi="Arial" w:eastAsia="黑体" w:cs="Arial"/>
      <w:b/>
      <w:bCs/>
      <w:sz w:val="28"/>
      <w:szCs w:val="28"/>
    </w:rPr>
  </w:style>
  <w:style w:type="paragraph" w:styleId="927" w:customStyle="1">
    <w:name w:val="标题 51"/>
    <w:basedOn w:val="730"/>
    <w:next w:val="925"/>
    <w:link w:val="939"/>
    <w:uiPriority w:val="0"/>
    <w:qFormat/>
    <w:pPr>
      <w:keepNext/>
      <w:outlineLvl w:val="4"/>
    </w:pPr>
    <w:rPr>
      <w:rFonts w:ascii="宋体"/>
      <w:color w:val="000000"/>
      <w:sz w:val="28"/>
      <w:szCs w:val="28"/>
    </w:rPr>
  </w:style>
  <w:style w:type="paragraph" w:styleId="928" w:customStyle="1">
    <w:name w:val="标题 61"/>
    <w:basedOn w:val="730"/>
    <w:next w:val="730"/>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customStyle="1">
    <w:name w:val="标题 71"/>
    <w:basedOn w:val="730"/>
    <w:next w:val="730"/>
    <w:link w:val="941"/>
    <w:uiPriority w:val="0"/>
    <w:qFormat/>
    <w:pPr>
      <w:numPr>
        <w:ilvl w:val="6"/>
        <w:numId w:val="1"/>
      </w:numPr>
      <w:keepLines/>
      <w:keepNext/>
      <w:spacing w:before="240" w:after="64" w:line="320" w:lineRule="auto"/>
      <w:outlineLvl w:val="6"/>
    </w:pPr>
    <w:rPr>
      <w:b/>
      <w:bCs/>
      <w:sz w:val="24"/>
      <w:szCs w:val="24"/>
    </w:rPr>
  </w:style>
  <w:style w:type="paragraph" w:styleId="930" w:customStyle="1">
    <w:name w:val="标题 81"/>
    <w:basedOn w:val="730"/>
    <w:next w:val="730"/>
    <w:link w:val="9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1" w:customStyle="1">
    <w:name w:val="标题 91"/>
    <w:basedOn w:val="730"/>
    <w:next w:val="730"/>
    <w:link w:val="943"/>
    <w:uiPriority w:val="0"/>
    <w:qFormat/>
    <w:pPr>
      <w:numPr>
        <w:ilvl w:val="8"/>
        <w:numId w:val="1"/>
      </w:numPr>
      <w:keepLines/>
      <w:keepNext/>
      <w:spacing w:before="240" w:after="64" w:line="320" w:lineRule="auto"/>
      <w:outlineLvl w:val="8"/>
    </w:pPr>
    <w:rPr>
      <w:rFonts w:ascii="Arial" w:hAnsi="Arial" w:eastAsia="黑体"/>
    </w:rPr>
  </w:style>
  <w:style w:type="character" w:styleId="932" w:customStyle="1">
    <w:name w:val="默认段落字体1"/>
    <w:uiPriority w:val="1"/>
    <w:unhideWhenUsed/>
    <w:qFormat/>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标题 1 Char"/>
    <w:link w:val="922"/>
    <w:uiPriority w:val="0"/>
    <w:qFormat/>
    <w:rPr>
      <w:rFonts w:ascii="楷体_GB2312" w:hAnsi="Times New Roman" w:eastAsia="楷体_GB2312" w:cs="Times New Roman"/>
      <w:sz w:val="28"/>
      <w:szCs w:val="28"/>
    </w:rPr>
  </w:style>
  <w:style w:type="character" w:styleId="935" w:customStyle="1">
    <w:name w:val="标题 2 Char"/>
    <w:link w:val="923"/>
    <w:uiPriority w:val="0"/>
    <w:qFormat/>
    <w:rPr>
      <w:rFonts w:ascii="Arial" w:hAnsi="Arial" w:eastAsia="幼圆" w:cs="Arial"/>
      <w:b/>
      <w:bCs/>
      <w:sz w:val="44"/>
      <w:szCs w:val="44"/>
    </w:rPr>
  </w:style>
  <w:style w:type="character" w:styleId="936" w:customStyle="1">
    <w:name w:val="标题 3 Char"/>
    <w:link w:val="924"/>
    <w:uiPriority w:val="0"/>
    <w:qFormat/>
    <w:rPr>
      <w:rFonts w:ascii="Times New Roman" w:hAnsi="Times New Roman" w:eastAsia="宋体" w:cs="Times New Roman"/>
      <w:b/>
      <w:bCs/>
      <w:sz w:val="32"/>
      <w:szCs w:val="32"/>
    </w:rPr>
  </w:style>
  <w:style w:type="character" w:styleId="937" w:customStyle="1">
    <w:name w:val="正文缩进 Char"/>
    <w:link w:val="925"/>
    <w:uiPriority w:val="0"/>
    <w:qFormat/>
    <w:rPr>
      <w:rFonts w:ascii="Times New Roman" w:hAnsi="Times New Roman" w:eastAsia="宋体" w:cs="Times New Roman"/>
      <w:szCs w:val="21"/>
    </w:rPr>
  </w:style>
  <w:style w:type="character" w:styleId="938" w:customStyle="1">
    <w:name w:val="标题 4 Char"/>
    <w:link w:val="926"/>
    <w:uiPriority w:val="0"/>
    <w:qFormat/>
    <w:rPr>
      <w:rFonts w:ascii="Arial" w:hAnsi="Arial" w:eastAsia="黑体" w:cs="Arial"/>
      <w:b/>
      <w:bCs/>
      <w:sz w:val="28"/>
      <w:szCs w:val="28"/>
    </w:rPr>
  </w:style>
  <w:style w:type="character" w:styleId="939" w:customStyle="1">
    <w:name w:val="标题 5 Char"/>
    <w:link w:val="927"/>
    <w:uiPriority w:val="0"/>
    <w:qFormat/>
    <w:rPr>
      <w:rFonts w:ascii="宋体" w:hAnsi="Times New Roman" w:eastAsia="宋体" w:cs="Times New Roman"/>
      <w:color w:val="000000"/>
      <w:sz w:val="28"/>
      <w:szCs w:val="28"/>
    </w:rPr>
  </w:style>
  <w:style w:type="character" w:styleId="940" w:customStyle="1">
    <w:name w:val="标题 6 Char"/>
    <w:link w:val="928"/>
    <w:uiPriority w:val="0"/>
    <w:qFormat/>
    <w:rPr>
      <w:rFonts w:ascii="Arial" w:hAnsi="Arial" w:eastAsia="黑体" w:cs="Times New Roman"/>
      <w:b/>
      <w:bCs/>
      <w:sz w:val="24"/>
      <w:szCs w:val="24"/>
    </w:rPr>
  </w:style>
  <w:style w:type="character" w:styleId="941" w:customStyle="1">
    <w:name w:val="标题 7 Char"/>
    <w:link w:val="929"/>
    <w:uiPriority w:val="0"/>
    <w:qFormat/>
    <w:rPr>
      <w:rFonts w:ascii="Times New Roman" w:hAnsi="Times New Roman" w:eastAsia="宋体" w:cs="Times New Roman"/>
      <w:b/>
      <w:bCs/>
      <w:sz w:val="24"/>
      <w:szCs w:val="24"/>
    </w:rPr>
  </w:style>
  <w:style w:type="character" w:styleId="942" w:customStyle="1">
    <w:name w:val="标题 8 Char"/>
    <w:link w:val="930"/>
    <w:uiPriority w:val="0"/>
    <w:qFormat/>
    <w:rPr>
      <w:rFonts w:ascii="Arial" w:hAnsi="Arial" w:eastAsia="黑体" w:cs="Times New Roman"/>
      <w:sz w:val="24"/>
      <w:szCs w:val="24"/>
    </w:rPr>
  </w:style>
  <w:style w:type="character" w:styleId="943" w:customStyle="1">
    <w:name w:val="标题 9 Char"/>
    <w:link w:val="931"/>
    <w:uiPriority w:val="0"/>
    <w:qFormat/>
    <w:rPr>
      <w:rFonts w:ascii="Arial" w:hAnsi="Arial" w:eastAsia="黑体" w:cs="Times New Roman"/>
      <w:szCs w:val="21"/>
    </w:rPr>
  </w:style>
  <w:style w:type="paragraph" w:styleId="944" w:customStyle="1">
    <w:name w:val="列表 31"/>
    <w:basedOn w:val="730"/>
    <w:uiPriority w:val="0"/>
    <w:qFormat/>
    <w:pPr>
      <w:ind w:left="100" w:hanging="200"/>
    </w:pPr>
  </w:style>
  <w:style w:type="paragraph" w:styleId="945" w:customStyle="1">
    <w:name w:val="目录 71"/>
    <w:basedOn w:val="730"/>
    <w:next w:val="730"/>
    <w:uiPriority w:val="0"/>
    <w:semiHidden/>
    <w:qFormat/>
    <w:pPr>
      <w:ind w:left="1260"/>
      <w:jc w:val="left"/>
    </w:pPr>
  </w:style>
  <w:style w:type="paragraph" w:styleId="946" w:customStyle="1">
    <w:name w:val="文档结构图1"/>
    <w:basedOn w:val="730"/>
    <w:link w:val="947"/>
    <w:uiPriority w:val="0"/>
    <w:semiHidden/>
    <w:qFormat/>
    <w:pPr>
      <w:shd w:val="clear" w:color="auto" w:fill="000080"/>
    </w:pPr>
  </w:style>
  <w:style w:type="character" w:styleId="947" w:customStyle="1">
    <w:name w:val="文档结构图 Char"/>
    <w:link w:val="946"/>
    <w:uiPriority w:val="0"/>
    <w:semiHidden/>
    <w:qFormat/>
    <w:rPr>
      <w:rFonts w:ascii="Times New Roman" w:hAnsi="Times New Roman" w:eastAsia="宋体" w:cs="Times New Roman"/>
      <w:szCs w:val="21"/>
      <w:shd w:val="clear" w:color="auto" w:fill="000080"/>
    </w:rPr>
  </w:style>
  <w:style w:type="paragraph" w:styleId="948" w:customStyle="1">
    <w:name w:val="批注文字1"/>
    <w:basedOn w:val="730"/>
    <w:link w:val="949"/>
    <w:uiPriority w:val="0"/>
    <w:semiHidden/>
    <w:qFormat/>
    <w:pPr>
      <w:jc w:val="left"/>
    </w:pPr>
  </w:style>
  <w:style w:type="character" w:styleId="949" w:customStyle="1">
    <w:name w:val="批注文字 Char"/>
    <w:link w:val="948"/>
    <w:uiPriority w:val="0"/>
    <w:semiHidden/>
    <w:qFormat/>
    <w:rPr>
      <w:rFonts w:ascii="Times New Roman" w:hAnsi="Times New Roman" w:eastAsia="宋体" w:cs="Times New Roman"/>
      <w:szCs w:val="21"/>
    </w:rPr>
  </w:style>
  <w:style w:type="paragraph" w:styleId="950" w:customStyle="1">
    <w:name w:val="正文文本 31"/>
    <w:basedOn w:val="730"/>
    <w:link w:val="951"/>
    <w:uiPriority w:val="0"/>
    <w:qFormat/>
    <w:rPr>
      <w:rFonts w:ascii="仿宋_GB2312" w:hAnsi="Arial" w:eastAsia="仿宋_GB2312"/>
      <w:sz w:val="32"/>
      <w:szCs w:val="32"/>
    </w:rPr>
  </w:style>
  <w:style w:type="character" w:styleId="951" w:customStyle="1">
    <w:name w:val="正文文本 3 Char"/>
    <w:link w:val="950"/>
    <w:uiPriority w:val="0"/>
    <w:qFormat/>
    <w:rPr>
      <w:rFonts w:ascii="仿宋_GB2312" w:hAnsi="Arial" w:eastAsia="仿宋_GB2312" w:cs="Times New Roman"/>
      <w:sz w:val="32"/>
      <w:szCs w:val="32"/>
    </w:rPr>
  </w:style>
  <w:style w:type="paragraph" w:styleId="952" w:customStyle="1">
    <w:name w:val="正文文本1"/>
    <w:basedOn w:val="730"/>
    <w:link w:val="953"/>
    <w:uiPriority w:val="0"/>
    <w:qFormat/>
    <w:rPr>
      <w:rFonts w:ascii="楷体_GB2312" w:hAnsi="Arial" w:eastAsia="楷体_GB2312"/>
      <w:sz w:val="28"/>
      <w:szCs w:val="28"/>
    </w:rPr>
  </w:style>
  <w:style w:type="character" w:styleId="953" w:customStyle="1">
    <w:name w:val="正文文本 Char"/>
    <w:link w:val="952"/>
    <w:uiPriority w:val="0"/>
    <w:qFormat/>
    <w:rPr>
      <w:rFonts w:ascii="楷体_GB2312" w:hAnsi="Arial" w:eastAsia="楷体_GB2312" w:cs="Times New Roman"/>
      <w:sz w:val="28"/>
      <w:szCs w:val="28"/>
    </w:rPr>
  </w:style>
  <w:style w:type="paragraph" w:styleId="954" w:customStyle="1">
    <w:name w:val="正文文本缩进1"/>
    <w:basedOn w:val="730"/>
    <w:link w:val="955"/>
    <w:uiPriority w:val="0"/>
    <w:qFormat/>
    <w:pPr>
      <w:ind w:firstLine="645"/>
    </w:pPr>
    <w:rPr>
      <w:rFonts w:ascii="楷体_GB2312" w:eastAsia="楷体_GB2312"/>
      <w:sz w:val="32"/>
      <w:szCs w:val="32"/>
    </w:rPr>
  </w:style>
  <w:style w:type="character" w:styleId="955" w:customStyle="1">
    <w:name w:val="正文文本缩进 Char"/>
    <w:link w:val="954"/>
    <w:uiPriority w:val="0"/>
    <w:qFormat/>
    <w:rPr>
      <w:rFonts w:ascii="楷体_GB2312" w:hAnsi="Times New Roman" w:eastAsia="楷体_GB2312" w:cs="Times New Roman"/>
      <w:sz w:val="32"/>
      <w:szCs w:val="32"/>
    </w:rPr>
  </w:style>
  <w:style w:type="paragraph" w:styleId="956" w:customStyle="1">
    <w:name w:val="列表 21"/>
    <w:basedOn w:val="730"/>
    <w:uiPriority w:val="0"/>
    <w:qFormat/>
    <w:pPr>
      <w:ind w:left="100" w:hanging="200"/>
    </w:pPr>
  </w:style>
  <w:style w:type="paragraph" w:styleId="957" w:customStyle="1">
    <w:name w:val="目录 51"/>
    <w:basedOn w:val="730"/>
    <w:next w:val="730"/>
    <w:uiPriority w:val="0"/>
    <w:semiHidden/>
    <w:qFormat/>
    <w:pPr>
      <w:ind w:left="840"/>
      <w:jc w:val="left"/>
    </w:pPr>
  </w:style>
  <w:style w:type="paragraph" w:styleId="958" w:customStyle="1">
    <w:name w:val="目录 31"/>
    <w:basedOn w:val="730"/>
    <w:next w:val="730"/>
    <w:uiPriority w:val="0"/>
    <w:semiHidden/>
    <w:qFormat/>
    <w:pPr>
      <w:ind w:left="420"/>
      <w:jc w:val="left"/>
    </w:pPr>
    <w:rPr>
      <w:i/>
      <w:iCs/>
      <w:szCs w:val="24"/>
    </w:rPr>
  </w:style>
  <w:style w:type="paragraph" w:styleId="959" w:customStyle="1">
    <w:name w:val="纯文本11"/>
    <w:basedOn w:val="730"/>
    <w:link w:val="960"/>
    <w:uiPriority w:val="0"/>
    <w:qFormat/>
    <w:rPr>
      <w:rFonts w:ascii="宋体" w:hAnsi="Courier New" w:cs="Courier New"/>
    </w:rPr>
  </w:style>
  <w:style w:type="character" w:styleId="960" w:customStyle="1">
    <w:name w:val="纯文本 Char"/>
    <w:link w:val="959"/>
    <w:uiPriority w:val="0"/>
    <w:qFormat/>
    <w:rPr>
      <w:rFonts w:ascii="宋体" w:hAnsi="Courier New" w:eastAsia="宋体" w:cs="Courier New"/>
      <w:szCs w:val="21"/>
    </w:rPr>
  </w:style>
  <w:style w:type="paragraph" w:styleId="961" w:customStyle="1">
    <w:name w:val="目录 81"/>
    <w:basedOn w:val="730"/>
    <w:next w:val="730"/>
    <w:uiPriority w:val="0"/>
    <w:semiHidden/>
    <w:qFormat/>
    <w:pPr>
      <w:ind w:left="1470"/>
      <w:jc w:val="left"/>
    </w:pPr>
  </w:style>
  <w:style w:type="paragraph" w:styleId="962" w:customStyle="1">
    <w:name w:val="日期1"/>
    <w:basedOn w:val="730"/>
    <w:next w:val="730"/>
    <w:link w:val="963"/>
    <w:uiPriority w:val="0"/>
    <w:qFormat/>
    <w:rPr>
      <w:sz w:val="24"/>
      <w:szCs w:val="24"/>
    </w:rPr>
  </w:style>
  <w:style w:type="character" w:styleId="963" w:customStyle="1">
    <w:name w:val="日期 Char"/>
    <w:link w:val="962"/>
    <w:uiPriority w:val="0"/>
    <w:qFormat/>
    <w:rPr>
      <w:rFonts w:ascii="Times New Roman" w:hAnsi="Times New Roman" w:eastAsia="宋体" w:cs="Times New Roman"/>
      <w:sz w:val="24"/>
      <w:szCs w:val="24"/>
    </w:rPr>
  </w:style>
  <w:style w:type="paragraph" w:styleId="964" w:customStyle="1">
    <w:name w:val="正文文本缩进 21"/>
    <w:basedOn w:val="730"/>
    <w:link w:val="965"/>
    <w:uiPriority w:val="0"/>
    <w:qFormat/>
    <w:pPr>
      <w:ind w:left="630" w:firstLine="645"/>
    </w:pPr>
    <w:rPr>
      <w:rFonts w:ascii="Arial" w:hAnsi="Arial" w:eastAsia="仿宋_GB2312" w:cs="Arial"/>
      <w:sz w:val="32"/>
      <w:szCs w:val="32"/>
    </w:rPr>
  </w:style>
  <w:style w:type="character" w:styleId="965" w:customStyle="1">
    <w:name w:val="正文文本缩进 2 Char"/>
    <w:link w:val="964"/>
    <w:uiPriority w:val="0"/>
    <w:qFormat/>
    <w:rPr>
      <w:rFonts w:ascii="Arial" w:hAnsi="Arial" w:eastAsia="仿宋_GB2312" w:cs="Arial"/>
      <w:sz w:val="32"/>
      <w:szCs w:val="32"/>
    </w:rPr>
  </w:style>
  <w:style w:type="paragraph" w:styleId="966" w:customStyle="1">
    <w:name w:val="批注框文本1"/>
    <w:basedOn w:val="730"/>
    <w:link w:val="967"/>
    <w:uiPriority w:val="0"/>
    <w:semiHidden/>
    <w:qFormat/>
    <w:rPr>
      <w:sz w:val="18"/>
      <w:szCs w:val="18"/>
    </w:rPr>
  </w:style>
  <w:style w:type="character" w:styleId="967" w:customStyle="1">
    <w:name w:val="批注框文本 Char"/>
    <w:link w:val="966"/>
    <w:uiPriority w:val="0"/>
    <w:semiHidden/>
    <w:qFormat/>
    <w:rPr>
      <w:rFonts w:ascii="Times New Roman" w:hAnsi="Times New Roman" w:eastAsia="宋体" w:cs="Times New Roman"/>
      <w:sz w:val="18"/>
      <w:szCs w:val="18"/>
    </w:rPr>
  </w:style>
  <w:style w:type="paragraph" w:styleId="968" w:customStyle="1">
    <w:name w:val="页脚1"/>
    <w:basedOn w:val="730"/>
    <w:link w:val="969"/>
    <w:uiPriority w:val="0"/>
    <w:qFormat/>
    <w:pPr>
      <w:jc w:val="left"/>
      <w:tabs>
        <w:tab w:val="center" w:pos="4153" w:leader="none"/>
        <w:tab w:val="right" w:pos="8306" w:leader="none"/>
      </w:tabs>
    </w:pPr>
    <w:rPr>
      <w:sz w:val="18"/>
      <w:szCs w:val="18"/>
    </w:rPr>
  </w:style>
  <w:style w:type="character" w:styleId="969" w:customStyle="1">
    <w:name w:val="页脚 Char"/>
    <w:link w:val="968"/>
    <w:uiPriority w:val="0"/>
    <w:qFormat/>
    <w:rPr>
      <w:rFonts w:ascii="Times New Roman" w:hAnsi="Times New Roman" w:eastAsia="宋体" w:cs="Times New Roman"/>
      <w:sz w:val="18"/>
      <w:szCs w:val="18"/>
    </w:rPr>
  </w:style>
  <w:style w:type="paragraph" w:styleId="970" w:customStyle="1">
    <w:name w:val="页眉1"/>
    <w:basedOn w:val="730"/>
    <w:link w:val="971"/>
    <w:uiPriority w:val="0"/>
    <w:qFormat/>
    <w:pPr>
      <w:jc w:val="center"/>
      <w:tabs>
        <w:tab w:val="center" w:pos="4153" w:leader="none"/>
        <w:tab w:val="right" w:pos="8306" w:leader="none"/>
      </w:tabs>
      <w:pBdr>
        <w:bottom w:val="single" w:color="000000" w:sz="6" w:space="1"/>
      </w:pBdr>
    </w:pPr>
    <w:rPr>
      <w:sz w:val="18"/>
      <w:szCs w:val="18"/>
    </w:rPr>
  </w:style>
  <w:style w:type="character" w:styleId="971" w:customStyle="1">
    <w:name w:val="页眉 Char"/>
    <w:link w:val="970"/>
    <w:uiPriority w:val="0"/>
    <w:qFormat/>
    <w:rPr>
      <w:rFonts w:ascii="Times New Roman" w:hAnsi="Times New Roman" w:eastAsia="宋体" w:cs="Times New Roman"/>
      <w:sz w:val="18"/>
      <w:szCs w:val="18"/>
    </w:rPr>
  </w:style>
  <w:style w:type="paragraph" w:styleId="972" w:customStyle="1">
    <w:name w:val="目录 1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973" w:customStyle="1">
    <w:name w:val="目录 41"/>
    <w:basedOn w:val="730"/>
    <w:next w:val="730"/>
    <w:uiPriority w:val="0"/>
    <w:semiHidden/>
    <w:qFormat/>
    <w:pPr>
      <w:ind w:left="630"/>
      <w:jc w:val="left"/>
    </w:pPr>
  </w:style>
  <w:style w:type="paragraph" w:styleId="974" w:customStyle="1">
    <w:name w:val="列表1"/>
    <w:basedOn w:val="730"/>
    <w:uiPriority w:val="0"/>
    <w:qFormat/>
    <w:pPr>
      <w:ind w:left="200" w:hanging="200"/>
    </w:pPr>
  </w:style>
  <w:style w:type="paragraph" w:styleId="975" w:customStyle="1">
    <w:name w:val="目录 61"/>
    <w:basedOn w:val="730"/>
    <w:next w:val="730"/>
    <w:uiPriority w:val="0"/>
    <w:semiHidden/>
    <w:qFormat/>
    <w:pPr>
      <w:ind w:left="1050"/>
      <w:jc w:val="left"/>
    </w:pPr>
  </w:style>
  <w:style w:type="paragraph" w:styleId="976" w:customStyle="1">
    <w:name w:val="正文文本缩进 31"/>
    <w:basedOn w:val="730"/>
    <w:link w:val="977"/>
    <w:uiPriority w:val="0"/>
    <w:qFormat/>
    <w:pPr>
      <w:ind w:left="645" w:firstLine="645"/>
    </w:pPr>
    <w:rPr>
      <w:rFonts w:ascii="Arial" w:hAnsi="Arial" w:eastAsia="仿宋_GB2312" w:cs="Arial"/>
      <w:color w:val="ffff00"/>
      <w:sz w:val="32"/>
      <w:szCs w:val="32"/>
    </w:rPr>
  </w:style>
  <w:style w:type="character" w:styleId="977" w:customStyle="1">
    <w:name w:val="正文文本缩进 3 Char"/>
    <w:link w:val="976"/>
    <w:uiPriority w:val="0"/>
    <w:qFormat/>
    <w:rPr>
      <w:rFonts w:ascii="Arial" w:hAnsi="Arial" w:eastAsia="仿宋_GB2312" w:cs="Arial"/>
      <w:color w:val="ffff00"/>
      <w:sz w:val="32"/>
      <w:szCs w:val="32"/>
    </w:rPr>
  </w:style>
  <w:style w:type="paragraph" w:styleId="978" w:customStyle="1">
    <w:name w:val="图表目录1"/>
    <w:basedOn w:val="730"/>
    <w:next w:val="730"/>
    <w:uiPriority w:val="0"/>
    <w:semiHidden/>
    <w:qFormat/>
    <w:pPr>
      <w:ind w:left="840" w:hanging="420"/>
    </w:pPr>
  </w:style>
  <w:style w:type="paragraph" w:styleId="979" w:customStyle="1">
    <w:name w:val="目录 21"/>
    <w:basedOn w:val="730"/>
    <w:next w:val="730"/>
    <w:uiPriority w:val="0"/>
    <w:semiHidden/>
    <w:qFormat/>
    <w:pPr>
      <w:ind w:left="210"/>
      <w:jc w:val="left"/>
    </w:pPr>
    <w:rPr>
      <w:smallCaps/>
      <w:szCs w:val="24"/>
    </w:rPr>
  </w:style>
  <w:style w:type="paragraph" w:styleId="980" w:customStyle="1">
    <w:name w:val="目录 91"/>
    <w:basedOn w:val="730"/>
    <w:next w:val="730"/>
    <w:uiPriority w:val="0"/>
    <w:semiHidden/>
    <w:qFormat/>
    <w:pPr>
      <w:ind w:left="1680"/>
      <w:jc w:val="left"/>
    </w:pPr>
  </w:style>
  <w:style w:type="paragraph" w:styleId="981" w:customStyle="1">
    <w:name w:val="正文文本 21"/>
    <w:basedOn w:val="730"/>
    <w:link w:val="982"/>
    <w:uiPriority w:val="0"/>
    <w:qFormat/>
    <w:pPr>
      <w:jc w:val="center"/>
      <w:widowControl/>
    </w:pPr>
    <w:rPr>
      <w:rFonts w:ascii="楷体_GB2312" w:eastAsia="楷体_GB2312"/>
      <w:sz w:val="28"/>
      <w:szCs w:val="28"/>
    </w:rPr>
  </w:style>
  <w:style w:type="character" w:styleId="982" w:customStyle="1">
    <w:name w:val="正文文本 2 Char"/>
    <w:link w:val="981"/>
    <w:uiPriority w:val="0"/>
    <w:qFormat/>
    <w:rPr>
      <w:rFonts w:ascii="楷体_GB2312" w:hAnsi="Times New Roman" w:eastAsia="楷体_GB2312" w:cs="Times New Roman"/>
      <w:sz w:val="28"/>
      <w:szCs w:val="28"/>
    </w:rPr>
  </w:style>
  <w:style w:type="paragraph" w:styleId="983"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4"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paragraph" w:styleId="985" w:customStyle="1">
    <w:name w:val="索引 11"/>
    <w:basedOn w:val="730"/>
    <w:next w:val="730"/>
    <w:uiPriority w:val="0"/>
    <w:semiHidden/>
    <w:qFormat/>
    <w:pPr>
      <w:spacing w:line="240" w:lineRule="atLeast"/>
    </w:pPr>
    <w:rPr>
      <w:b/>
      <w:bCs/>
    </w:rPr>
  </w:style>
  <w:style w:type="paragraph" w:styleId="986" w:customStyle="1">
    <w:name w:val="批注主题1"/>
    <w:basedOn w:val="948"/>
    <w:next w:val="948"/>
    <w:link w:val="987"/>
    <w:uiPriority w:val="0"/>
    <w:semiHidden/>
    <w:qFormat/>
    <w:rPr>
      <w:b/>
      <w:bCs/>
    </w:rPr>
  </w:style>
  <w:style w:type="character" w:styleId="987" w:customStyle="1">
    <w:name w:val="批注主题 Char"/>
    <w:link w:val="986"/>
    <w:uiPriority w:val="0"/>
    <w:semiHidden/>
    <w:qFormat/>
    <w:rPr>
      <w:rFonts w:ascii="Times New Roman" w:hAnsi="Times New Roman" w:eastAsia="宋体" w:cs="Times New Roman"/>
      <w:b/>
      <w:bCs/>
      <w:szCs w:val="21"/>
    </w:rPr>
  </w:style>
  <w:style w:type="paragraph" w:styleId="988" w:customStyle="1">
    <w:name w:val="正文首行缩进1"/>
    <w:basedOn w:val="730"/>
    <w:link w:val="989"/>
    <w:uiPriority w:val="0"/>
    <w:qFormat/>
    <w:pPr>
      <w:ind w:firstLine="200"/>
      <w:spacing w:line="360" w:lineRule="auto"/>
    </w:pPr>
    <w:rPr>
      <w:rFonts w:ascii="仿宋_GB2312" w:eastAsia="仿宋_GB2312"/>
      <w:sz w:val="30"/>
      <w:szCs w:val="30"/>
    </w:rPr>
  </w:style>
  <w:style w:type="character" w:styleId="989" w:customStyle="1">
    <w:name w:val="正文首行缩进 Char"/>
    <w:link w:val="988"/>
    <w:uiPriority w:val="0"/>
    <w:qFormat/>
    <w:rPr>
      <w:rFonts w:ascii="仿宋_GB2312" w:hAnsi="Times New Roman" w:eastAsia="仿宋_GB2312" w:cs="Times New Roman"/>
      <w:sz w:val="30"/>
      <w:szCs w:val="30"/>
    </w:rPr>
  </w:style>
  <w:style w:type="paragraph" w:styleId="990" w:customStyle="1">
    <w:name w:val="正文首行缩进 21"/>
    <w:basedOn w:val="954"/>
    <w:link w:val="991"/>
    <w:uiPriority w:val="0"/>
    <w:qFormat/>
    <w:pPr>
      <w:ind w:firstLine="420"/>
      <w:spacing w:line="360" w:lineRule="auto"/>
    </w:pPr>
    <w:rPr>
      <w:rFonts w:ascii="宋体" w:hAnsi="宋体" w:eastAsia="宋体"/>
      <w:sz w:val="21"/>
      <w:szCs w:val="20"/>
    </w:rPr>
  </w:style>
  <w:style w:type="character" w:styleId="991" w:customStyle="1">
    <w:name w:val="正文首行缩进 2 Char"/>
    <w:link w:val="990"/>
    <w:uiPriority w:val="0"/>
    <w:qFormat/>
    <w:rPr>
      <w:rFonts w:ascii="宋体" w:hAnsi="宋体" w:eastAsia="宋体" w:cs="Times New Roman"/>
      <w:sz w:val="32"/>
      <w:szCs w:val="20"/>
    </w:rPr>
  </w:style>
  <w:style w:type="table" w:styleId="992" w:customStyle="1">
    <w:name w:val="网格型1"/>
    <w:basedOn w:val="933"/>
    <w:uiPriority w:val="0"/>
    <w:qFormat/>
    <w:pPr>
      <w:jc w:val="both"/>
      <w:widowControl w:val="off"/>
    </w:pPr>
    <w:tblPr>
      <w:tblCellMar>
        <w:left w:w="0" w:type="dxa"/>
        <w:top w:w="0" w:type="dxa"/>
        <w:right w:w="0" w:type="dxa"/>
        <w:bottom w:w="0" w:type="dxa"/>
      </w:tblCellMar>
    </w:tblPr>
  </w:style>
  <w:style w:type="character" w:styleId="993" w:customStyle="1">
    <w:name w:val="要点1"/>
    <w:uiPriority w:val="0"/>
    <w:qFormat/>
    <w:rPr>
      <w:b/>
      <w:bCs/>
    </w:rPr>
  </w:style>
  <w:style w:type="character" w:styleId="994" w:customStyle="1">
    <w:name w:val="页码1"/>
    <w:uiPriority w:val="0"/>
    <w:qFormat/>
  </w:style>
  <w:style w:type="character" w:styleId="995" w:customStyle="1">
    <w:name w:val="已访问的超链接1"/>
    <w:uiPriority w:val="0"/>
    <w:qFormat/>
    <w:rPr>
      <w:color w:val="800080"/>
      <w:u w:val="single"/>
    </w:rPr>
  </w:style>
  <w:style w:type="character" w:styleId="996" w:customStyle="1">
    <w:name w:val="强调1"/>
    <w:basedOn w:val="932"/>
    <w:uiPriority w:val="20"/>
    <w:qFormat/>
    <w:rPr>
      <w:i/>
    </w:rPr>
  </w:style>
  <w:style w:type="character" w:styleId="997" w:customStyle="1">
    <w:name w:val="超链接1"/>
    <w:uiPriority w:val="0"/>
    <w:qFormat/>
    <w:rPr>
      <w:color w:val="0000ff"/>
      <w:u w:val="single"/>
    </w:rPr>
  </w:style>
  <w:style w:type="character" w:styleId="998" w:customStyle="1">
    <w:name w:val="批注引用1"/>
    <w:uiPriority w:val="0"/>
    <w:semiHidden/>
    <w:qFormat/>
    <w:rPr>
      <w:sz w:val="21"/>
      <w:szCs w:val="21"/>
    </w:rPr>
  </w:style>
  <w:style w:type="paragraph" w:styleId="999" w:customStyle="1">
    <w:name w:val="标题 5（有编号）（绿盟科技）"/>
    <w:basedOn w:val="730"/>
    <w:next w:val="1000"/>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00"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1001" w:customStyle="1">
    <w:name w:val="二级目录 Char"/>
    <w:link w:val="1002"/>
    <w:uiPriority w:val="0"/>
    <w:qFormat/>
    <w:rPr>
      <w:b/>
      <w:sz w:val="30"/>
      <w:szCs w:val="28"/>
    </w:rPr>
  </w:style>
  <w:style w:type="paragraph" w:styleId="1002" w:customStyle="1">
    <w:name w:val="二级目录"/>
    <w:next w:val="730"/>
    <w:link w:val="100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列出段落 Char"/>
    <w:link w:val="1005"/>
    <w:uiPriority w:val="0"/>
    <w:qFormat/>
    <w:rPr>
      <w:rFonts w:ascii="Calibri" w:hAnsi="Calibri"/>
      <w:sz w:val="24"/>
      <w:szCs w:val="24"/>
      <w:lang w:eastAsia="en-US" w:bidi="en-US"/>
    </w:rPr>
  </w:style>
  <w:style w:type="paragraph" w:styleId="1005" w:customStyle="1">
    <w:name w:val="列出段落1"/>
    <w:basedOn w:val="730"/>
    <w:link w:val="1004"/>
    <w:uiPriority w:val="0"/>
    <w:qFormat/>
    <w:pPr>
      <w:contextualSpacing/>
      <w:ind w:left="720"/>
      <w:jc w:val="left"/>
      <w:widowControl/>
    </w:pPr>
    <w:rPr>
      <w:rFonts w:ascii="Calibri" w:hAnsi="Calibri"/>
      <w:sz w:val="24"/>
      <w:szCs w:val="24"/>
      <w:lang w:eastAsia="en-US" w:bidi="en-US"/>
    </w:rPr>
  </w:style>
  <w:style w:type="character" w:styleId="1006"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007" w:customStyle="1">
    <w:name w:val="table_lines"/>
    <w:basedOn w:val="730"/>
    <w:uiPriority w:val="0"/>
    <w:qFormat/>
    <w:pPr>
      <w:jc w:val="left"/>
      <w:widowControl/>
    </w:pPr>
    <w:rPr>
      <w:sz w:val="20"/>
      <w:szCs w:val="20"/>
      <w:lang w:val="de-DE" w:eastAsia="de-DE"/>
    </w:rPr>
  </w:style>
  <w:style w:type="paragraph" w:styleId="1008"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009"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12"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013"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customStyle="1">
    <w:name w:val="Char Char Char Char"/>
    <w:basedOn w:val="946"/>
    <w:uiPriority w:val="0"/>
    <w:qFormat/>
    <w:pPr>
      <w:spacing w:line="360" w:lineRule="auto"/>
    </w:pPr>
    <w:rPr>
      <w:rFonts w:ascii="Tahoma" w:hAnsi="Tahoma"/>
      <w:sz w:val="24"/>
      <w:szCs w:val="24"/>
    </w:rPr>
  </w:style>
  <w:style w:type="paragraph" w:styleId="1015" w:customStyle="1">
    <w:name w:val="修订1"/>
    <w:uiPriority w:val="99"/>
    <w:semiHidden/>
    <w:qFormat/>
    <w:rPr>
      <w:rFonts w:ascii="Times New Roman" w:hAnsi="Times New Roman" w:eastAsia="宋体" w:cs="Times New Roman"/>
      <w:sz w:val="21"/>
      <w:szCs w:val="21"/>
      <w:lang w:val="en-US" w:eastAsia="zh-CN" w:bidi="ar-SA"/>
    </w:rPr>
  </w:style>
  <w:style w:type="paragraph" w:styleId="1016"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17" w:customStyle="1">
    <w:name w:val="列出段落2"/>
    <w:basedOn w:val="730"/>
    <w:uiPriority w:val="0"/>
    <w:qFormat/>
    <w:pPr>
      <w:ind w:firstLine="200"/>
    </w:pPr>
    <w:rPr>
      <w:szCs w:val="20"/>
    </w:rPr>
  </w:style>
  <w:style w:type="paragraph" w:styleId="1018"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Body Text(ch)"/>
    <w:basedOn w:val="730"/>
    <w:next w:val="952"/>
    <w:uiPriority w:val="0"/>
    <w:qFormat/>
    <w:pPr>
      <w:spacing w:after="120"/>
    </w:pPr>
    <w:rPr>
      <w:rFonts w:ascii="宋体" w:hAnsi="Arial"/>
      <w:bCs/>
      <w:iCs/>
      <w:szCs w:val="24"/>
    </w:rPr>
  </w:style>
  <w:style w:type="paragraph" w:styleId="1020" w:customStyle="1">
    <w:name w:val="Char 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021"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customStyle="1">
    <w:name w:val="Char Char Char Char1"/>
    <w:basedOn w:val="946"/>
    <w:uiPriority w:val="0"/>
    <w:qFormat/>
    <w:pPr>
      <w:spacing w:line="360" w:lineRule="auto"/>
    </w:pPr>
    <w:rPr>
      <w:rFonts w:ascii="Tahoma" w:hAnsi="Tahoma"/>
      <w:sz w:val="24"/>
      <w:szCs w:val="24"/>
    </w:rPr>
  </w:style>
  <w:style w:type="paragraph" w:styleId="1023" w:customStyle="1">
    <w:name w:val="Char"/>
    <w:basedOn w:val="730"/>
    <w:uiPriority w:val="0"/>
    <w:qFormat/>
    <w:pPr>
      <w:ind w:firstLine="200"/>
      <w:tabs>
        <w:tab w:val="left" w:pos="360" w:leader="none"/>
      </w:tabs>
    </w:pPr>
    <w:rPr>
      <w:sz w:val="28"/>
      <w:szCs w:val="30"/>
    </w:rPr>
  </w:style>
  <w:style w:type="paragraph" w:styleId="1024"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025" w:customStyle="1">
    <w:name w:val="Char1"/>
    <w:basedOn w:val="946"/>
    <w:uiPriority w:val="0"/>
    <w:qFormat/>
    <w:rPr>
      <w:rFonts w:ascii="Tahoma" w:hAnsi="Tahoma"/>
      <w:sz w:val="24"/>
      <w:szCs w:val="24"/>
    </w:rPr>
  </w:style>
  <w:style w:type="paragraph" w:styleId="1026" w:customStyle="1">
    <w:name w:val="列出段落3"/>
    <w:basedOn w:val="730"/>
    <w:uiPriority w:val="0"/>
    <w:qFormat/>
    <w:pPr>
      <w:contextualSpacing/>
      <w:ind w:left="720"/>
      <w:jc w:val="left"/>
      <w:widowControl/>
    </w:pPr>
    <w:rPr>
      <w:rFonts w:ascii="Calibri" w:hAnsi="Calibri"/>
      <w:sz w:val="24"/>
      <w:szCs w:val="24"/>
      <w:lang w:eastAsia="en-US" w:bidi="en-US"/>
    </w:rPr>
  </w:style>
  <w:style w:type="paragraph" w:styleId="1027" w:customStyle="1">
    <w:name w:val="4"/>
    <w:basedOn w:val="730"/>
    <w:next w:val="976"/>
    <w:uiPriority w:val="0"/>
    <w:qFormat/>
    <w:pPr>
      <w:ind w:firstLine="420"/>
      <w:spacing w:line="360" w:lineRule="auto"/>
    </w:pPr>
    <w:rPr>
      <w:color w:val="ff0000"/>
      <w:sz w:val="24"/>
      <w:szCs w:val="24"/>
    </w:rPr>
  </w:style>
  <w:style w:type="paragraph" w:styleId="1028"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029" w:customStyle="1">
    <w:name w:val="Char Char Char Char Char Char Char Char Char Char"/>
    <w:basedOn w:val="730"/>
    <w:uiPriority w:val="0"/>
    <w:qFormat/>
    <w:pPr>
      <w:spacing w:line="360" w:lineRule="auto"/>
    </w:pPr>
    <w:rPr>
      <w:sz w:val="24"/>
      <w:szCs w:val="20"/>
    </w:rPr>
  </w:style>
  <w:style w:type="paragraph" w:styleId="1030" w:customStyle="1">
    <w:name w:val="样式1"/>
    <w:basedOn w:val="730"/>
    <w:uiPriority w:val="0"/>
    <w:qFormat/>
    <w:pPr>
      <w:numPr>
        <w:ilvl w:val="0"/>
        <w:numId w:val="4"/>
      </w:numPr>
    </w:pPr>
    <w:rPr>
      <w:rFonts w:ascii="宋体" w:hAnsi="宋体"/>
    </w:rPr>
  </w:style>
  <w:style w:type="paragraph" w:styleId="103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32"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标题3"/>
    <w:basedOn w:val="730"/>
    <w:next w:val="730"/>
    <w:uiPriority w:val="0"/>
    <w:qFormat/>
    <w:pPr>
      <w:ind w:firstLine="624"/>
      <w:spacing w:line="590" w:lineRule="atLeast"/>
    </w:pPr>
    <w:rPr>
      <w:rFonts w:ascii="方正黑体_GBK" w:eastAsia="方正黑体_GBK"/>
      <w:sz w:val="32"/>
      <w:szCs w:val="32"/>
    </w:rPr>
  </w:style>
  <w:style w:type="paragraph" w:styleId="1035"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6"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1037" w:customStyle="1">
    <w:name w:val="table_1stline"/>
    <w:basedOn w:val="730"/>
    <w:uiPriority w:val="0"/>
    <w:qFormat/>
    <w:pPr>
      <w:jc w:val="left"/>
      <w:spacing w:before="120"/>
      <w:widowControl/>
    </w:pPr>
    <w:rPr>
      <w:bCs/>
      <w:sz w:val="20"/>
      <w:szCs w:val="20"/>
      <w:lang w:val="de-DE" w:eastAsia="de-DE"/>
    </w:rPr>
  </w:style>
  <w:style w:type="paragraph" w:styleId="1038"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纯文本1"/>
    <w:basedOn w:val="730"/>
    <w:uiPriority w:val="0"/>
    <w:qFormat/>
    <w:rPr>
      <w:rFonts w:ascii="宋体" w:hAnsi="Courier New" w:cs="Courier New"/>
    </w:rPr>
  </w:style>
  <w:style w:type="paragraph" w:styleId="1040" w:customStyle="1">
    <w:name w:val="标题 31"/>
    <w:basedOn w:val="730"/>
    <w:next w:val="730"/>
    <w:uiPriority w:val="9"/>
    <w:qFormat/>
    <w:pPr>
      <w:keepLines/>
      <w:keepNext/>
      <w:spacing w:before="260" w:after="260" w:line="416" w:lineRule="auto"/>
      <w:outlineLvl w:val="2"/>
    </w:pPr>
    <w:rPr>
      <w:b/>
      <w:bCs/>
      <w:sz w:val="32"/>
      <w:szCs w:val="32"/>
    </w:rPr>
  </w:style>
  <w:style w:type="character" w:styleId="1041" w:customStyle="1">
    <w:name w:val="NormalCharacter"/>
    <w:uiPriority w:val="0"/>
    <w:qFormat/>
  </w:style>
  <w:style w:type="paragraph" w:styleId="1042" w:customStyle="1">
    <w:name w:val=".o.a"/>
    <w:basedOn w:val="773"/>
    <w:next w:val="773"/>
    <w:uiPriority w:val="0"/>
    <w:qFormat/>
    <w:rPr>
      <w:rFonts w:ascii="宋体"/>
      <w:color w:val="auto"/>
    </w:rPr>
  </w:style>
  <w:style w:type="paragraph" w:styleId="1043" w:customStyle="1">
    <w:name w:val="Table Paragraph"/>
    <w:basedOn w:val="730"/>
    <w:uiPriority w:val="1"/>
    <w:unhideWhenUsed/>
    <w:qFormat/>
    <w:pPr>
      <w:jc w:val="center"/>
    </w:pPr>
    <w:rPr>
      <w:rFonts w:hint="eastAsia" w:ascii="楷体" w:hAnsi="楷体" w:eastAsia="楷体" w:cs="楷体"/>
      <w:sz w:val="22"/>
      <w:lang w:val="zh-CN"/>
    </w:rPr>
  </w:style>
  <w:style w:type="character" w:styleId="1044" w:customStyle="1">
    <w:name w:val="批注框文本 Char1"/>
    <w:basedOn w:val="740"/>
    <w:link w:val="754"/>
    <w:uiPriority w:val="99"/>
    <w:semiHidden/>
    <w:qFormat/>
    <w:rPr>
      <w:sz w:val="18"/>
      <w:szCs w:val="18"/>
    </w:rPr>
  </w:style>
  <w:style w:type="numbering" w:styleId="10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82DEE-0734-4EA2-9813-C62A6405675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4</cp:revision>
  <dcterms:created xsi:type="dcterms:W3CDTF">2025-09-30T04:12:00Z</dcterms:created>
  <dcterms:modified xsi:type="dcterms:W3CDTF">2025-10-16T05:17:44Z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eyJoZGlkIjoiYzBkYTM1MmQ0YjdmYjRmNGY2MGVhNmEwNDYwYTBkMGMiLCJ1c2VySWQiOiI0MTgwMzI5NzUifQ==</vt:lpwstr>
  </property>
  <property fmtid="{D5CDD505-2E9C-101B-9397-08002B2CF9AE}" pid="3" name="KSOProductBuildVer">
    <vt:lpwstr>2052-12.1.0.22529</vt:lpwstr>
  </property>
  <property fmtid="{D5CDD505-2E9C-101B-9397-08002B2CF9AE}" pid="4" name="ICV">
    <vt:lpwstr>F31138071C8146CAB6DE80C7031D72DD_13</vt:lpwstr>
  </property>
</Properties>
</file>