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pStyle w:val="729"/>
        <w:rPr>
          <w:color w:val="auto"/>
          <w:highlight w:val="none"/>
        </w:rPr>
      </w:pPr>
      <w:r>
        <w:rPr>
          <w:color w:val="auto"/>
          <w:highlight w:val="none"/>
        </w:rPr>
      </w:r>
      <w:r/>
    </w:p>
    <w:p>
      <w:pPr>
        <w:pStyle w:val="740"/>
        <w:jc w:val="center"/>
        <w:rPr>
          <w:rFonts w:eastAsia="黑体"/>
          <w:b/>
          <w:bCs/>
          <w:color w:val="auto"/>
          <w:sz w:val="84"/>
          <w:highlight w:val="none"/>
        </w:rPr>
      </w:pPr>
      <w:r>
        <w:rPr>
          <w:rFonts w:hint="eastAsia" w:eastAsia="黑体"/>
          <w:b/>
          <w:bCs/>
          <w:color w:val="auto"/>
          <w:sz w:val="84"/>
          <w:highlight w:val="none"/>
        </w:rPr>
        <w:t xml:space="preserve">招　标　文　件</w:t>
      </w:r>
      <w:r/>
    </w:p>
    <w:p>
      <w:pPr>
        <w:ind w:firstLine="1506"/>
        <w:rPr>
          <w:b/>
          <w:color w:val="auto"/>
          <w:sz w:val="30"/>
          <w:szCs w:val="30"/>
          <w:highlight w:val="none"/>
          <w:u w:val="single"/>
        </w:rPr>
      </w:pPr>
      <w:r>
        <w:rPr>
          <w:rFonts w:hint="eastAsia"/>
          <w:b/>
          <w:color w:val="auto"/>
          <w:sz w:val="30"/>
          <w:szCs w:val="30"/>
          <w:highlight w:val="none"/>
        </w:rPr>
        <w:t xml:space="preserve">项目名称：</w:t>
      </w:r>
      <w:r>
        <w:rPr>
          <w:rFonts w:hint="eastAsia"/>
          <w:b/>
          <w:color w:val="auto"/>
          <w:sz w:val="32"/>
          <w:szCs w:val="32"/>
          <w:highlight w:val="none"/>
        </w:rPr>
        <w:t xml:space="preserve">南京鼓楼医院徐庄院区会议系统 </w:t>
      </w:r>
      <w:r/>
    </w:p>
    <w:p>
      <w:pPr>
        <w:ind w:firstLine="1506"/>
        <w:rPr>
          <w:b/>
          <w:color w:val="auto"/>
          <w:sz w:val="30"/>
          <w:szCs w:val="30"/>
          <w:highlight w:val="none"/>
        </w:rPr>
      </w:pPr>
      <w:r>
        <w:rPr>
          <w:rFonts w:hint="eastAsia"/>
          <w:b/>
          <w:color w:val="auto"/>
          <w:sz w:val="30"/>
          <w:szCs w:val="30"/>
          <w:highlight w:val="none"/>
        </w:rPr>
        <w:t xml:space="preserve">项目编号：</w:t>
      </w:r>
      <w:r>
        <w:rPr>
          <w:rFonts w:hint="eastAsia"/>
          <w:b/>
          <w:color w:val="auto"/>
          <w:sz w:val="32"/>
          <w:szCs w:val="32"/>
          <w:highlight w:val="none"/>
        </w:rPr>
        <w:t xml:space="preserve">JSZC-320100-JZCG-G2025-0416 </w:t>
      </w:r>
      <w:r>
        <w:rPr>
          <w:rFonts w:hint="eastAsia"/>
          <w:b/>
          <w:color w:val="auto"/>
          <w:sz w:val="30"/>
          <w:szCs w:val="30"/>
          <w:highlight w:val="none"/>
        </w:rPr>
        <w:t xml:space="preserve">              </w:t>
      </w:r>
      <w:r/>
    </w:p>
    <w:p>
      <w:pPr>
        <w:jc w:val="center"/>
        <w:rPr>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740"/>
        <w:ind w:firstLine="0"/>
        <w:jc w:val="center"/>
        <w:rPr>
          <w:b/>
          <w:bCs/>
          <w:color w:val="auto"/>
          <w:sz w:val="32"/>
          <w:highlight w:val="none"/>
        </w:rPr>
      </w:pPr>
      <w:r>
        <w:rPr>
          <w:rFonts w:hint="eastAsia"/>
          <w:b/>
          <w:bCs/>
          <w:color w:val="auto"/>
          <w:sz w:val="32"/>
          <w:highlight w:val="none"/>
        </w:rPr>
        <w:t xml:space="preserve">南京市公共资源交易中心</w:t>
      </w:r>
      <w:r/>
    </w:p>
    <w:p>
      <w:pPr>
        <w:jc w:val="center"/>
        <w:rPr>
          <w:b/>
          <w:color w:val="auto"/>
          <w:sz w:val="32"/>
          <w:szCs w:val="32"/>
          <w:highlight w:val="none"/>
        </w:rPr>
      </w:pPr>
      <w:r>
        <w:rPr>
          <w:rFonts w:hint="eastAsia"/>
          <w:b/>
          <w:color w:val="auto"/>
          <w:sz w:val="32"/>
          <w:szCs w:val="32"/>
          <w:highlight w:val="none"/>
        </w:rPr>
        <w:t xml:space="preserve">2025年1</w:t>
      </w:r>
      <w:r>
        <w:rPr>
          <w:rFonts w:hint="eastAsia"/>
          <w:b/>
          <w:color w:val="auto"/>
          <w:sz w:val="32"/>
          <w:szCs w:val="32"/>
          <w:highlight w:val="none"/>
          <w:lang w:val="en-US" w:eastAsia="zh-CN"/>
        </w:rPr>
        <w:t xml:space="preserve">2</w:t>
      </w:r>
      <w:r>
        <w:rPr>
          <w:rFonts w:hint="eastAsia"/>
          <w:b/>
          <w:color w:val="auto"/>
          <w:sz w:val="32"/>
          <w:szCs w:val="32"/>
          <w:highlight w:val="none"/>
        </w:rPr>
        <w:t xml:space="preserve">月</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left"/>
        <w:spacing w:before="120" w:after="120" w:line="360" w:lineRule="auto"/>
        <w:rPr>
          <w:color w:val="auto"/>
          <w:szCs w:val="21"/>
          <w:highlight w:val="none"/>
        </w:rPr>
      </w:pPr>
      <w:r>
        <w:rPr>
          <w:rFonts w:hint="eastAsia" w:ascii="Arial" w:hAnsi="Arial"/>
          <w:color w:val="auto"/>
          <w:sz w:val="24"/>
          <w:szCs w:val="24"/>
          <w:highlight w:val="none"/>
        </w:rPr>
        <w:t xml:space="preserve"> </w:t>
      </w:r>
      <w:r/>
    </w:p>
    <w:p>
      <w:pPr>
        <w:jc w:val="center"/>
        <w:spacing w:line="480" w:lineRule="auto"/>
        <w:rPr>
          <w:rFonts w:ascii="黑体" w:hAnsi="Arial" w:eastAsia="黑体"/>
          <w:b/>
          <w:color w:val="auto"/>
          <w:sz w:val="44"/>
          <w:szCs w:val="21"/>
          <w:highlight w:val="none"/>
        </w:rPr>
        <w:outlineLvl w:val="0"/>
      </w:pPr>
      <w:r>
        <w:rPr>
          <w:color w:val="auto"/>
          <w:szCs w:val="21"/>
          <w:highlight w:val="none"/>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投标邀请…………………………………… 2</w:t>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投标人须知………………………………… 4</w:t>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合同文本……………………………………12</w:t>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采购需求……………………………………17</w:t>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评标方法与评标标准………………………43</w:t>
      </w:r>
      <w:r/>
    </w:p>
    <w:p>
      <w:pPr>
        <w:numPr>
          <w:ilvl w:val="0"/>
          <w:numId w:val="4"/>
        </w:numPr>
        <w:jc w:val="center"/>
        <w:spacing w:line="96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投标文件格式………………………………46</w:t>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ind w:right="840"/>
        <w:jc w:val="center"/>
        <w:rPr>
          <w:rFonts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投标邀请</w:t>
      </w:r>
      <w:r/>
    </w:p>
    <w:p>
      <w:pPr>
        <w:ind w:firstLine="480"/>
        <w:spacing w:line="264"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264" w:lineRule="auto"/>
        <w:rPr>
          <w:rFonts w:ascii="宋体" w:hAnsi="宋体"/>
          <w:color w:val="auto"/>
          <w:sz w:val="24"/>
          <w:szCs w:val="24"/>
          <w:highlight w:val="none"/>
        </w:rPr>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ascii="宋体" w:hAnsi="宋体"/>
          <w:color w:val="auto"/>
          <w:sz w:val="24"/>
          <w:szCs w:val="24"/>
          <w:highlight w:val="none"/>
        </w:rPr>
        <w:t xml:space="preserve">受南京鼓楼医院（采购单位）委托，南京市公共资源交易中心（以下简称“交易中心”）就南京鼓楼医院徐庄院区会议系统（项目名称）进行公开招标采购，欢迎符合条件的供应商投标。</w:t>
      </w:r>
      <w:r/>
    </w:p>
    <w:p>
      <w:pPr>
        <w:pStyle w:val="655"/>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p>
    <w:p>
      <w:pPr>
        <w:ind w:firstLine="480"/>
        <w:spacing w:line="264" w:lineRule="auto"/>
        <w:rPr>
          <w:rFonts w:ascii="宋体" w:hAnsi="宋体"/>
          <w:color w:val="auto"/>
          <w:sz w:val="24"/>
          <w:szCs w:val="24"/>
          <w:highlight w:val="none"/>
        </w:rPr>
      </w:pPr>
      <w:r/>
      <w:bookmarkStart w:id="12" w:name="_Toc28359080"/>
      <w:r/>
      <w:bookmarkStart w:id="13" w:name="_Toc28359003"/>
      <w:r/>
      <w:bookmarkStart w:id="14" w:name="_Toc38985264"/>
      <w:r/>
      <w:bookmarkStart w:id="15" w:name="_Toc35393622"/>
      <w:r/>
      <w:bookmarkStart w:id="16" w:name="_Toc35393791"/>
      <w:r>
        <w:rPr>
          <w:rFonts w:hint="eastAsia" w:ascii="宋体" w:hAnsi="宋体"/>
          <w:color w:val="auto"/>
          <w:sz w:val="24"/>
          <w:szCs w:val="24"/>
          <w:highlight w:val="none"/>
        </w:rPr>
        <w:t xml:space="preserve">1.项目编号：JSZC-320100-JZCG-G2025-0416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2.项目名称：南京鼓楼医院徐庄院区会议系统</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ascii="宋体" w:hAnsi="宋体"/>
          <w:color w:val="auto"/>
          <w:sz w:val="24"/>
          <w:szCs w:val="24"/>
          <w:highlight w:val="none"/>
        </w:rPr>
        <w:t xml:space="preserve">160</w:t>
      </w:r>
      <w:r>
        <w:rPr>
          <w:rFonts w:hint="eastAsia" w:ascii="宋体" w:hAnsi="宋体"/>
          <w:color w:val="auto"/>
          <w:sz w:val="24"/>
          <w:szCs w:val="24"/>
          <w:highlight w:val="none"/>
        </w:rPr>
        <w:t xml:space="preserve">万元</w:t>
      </w:r>
      <w:r/>
    </w:p>
    <w:p>
      <w:pPr>
        <w:ind w:firstLine="480"/>
        <w:spacing w:line="264" w:lineRule="auto"/>
        <w:rPr>
          <w:rFonts w:ascii="宋体" w:hAnsi="宋体" w:cs="宋体"/>
          <w:color w:val="auto"/>
          <w:sz w:val="24"/>
          <w:szCs w:val="24"/>
          <w:highlight w:val="none"/>
        </w:rPr>
      </w:pPr>
      <w:r>
        <w:rPr>
          <w:rFonts w:hint="eastAsia" w:ascii="宋体" w:hAnsi="宋体"/>
          <w:color w:val="auto"/>
          <w:sz w:val="24"/>
          <w:szCs w:val="24"/>
          <w:highlight w:val="none"/>
        </w:rPr>
        <w:t xml:space="preserve">4.最高限价：本项目</w:t>
      </w:r>
      <w:r>
        <w:rPr>
          <w:rFonts w:hint="eastAsia" w:ascii="宋体" w:hAnsi="宋体" w:cs="宋体"/>
          <w:color w:val="auto"/>
          <w:sz w:val="24"/>
          <w:szCs w:val="24"/>
          <w:highlight w:val="none"/>
        </w:rPr>
        <w:t xml:space="preserve">设定最高限价为</w:t>
      </w:r>
      <w:r>
        <w:rPr>
          <w:rFonts w:ascii="宋体" w:hAnsi="宋体"/>
          <w:color w:val="auto"/>
          <w:sz w:val="24"/>
          <w:szCs w:val="24"/>
          <w:highlight w:val="none"/>
        </w:rPr>
        <w:t xml:space="preserve">140</w:t>
      </w:r>
      <w:r>
        <w:rPr>
          <w:rFonts w:hint="eastAsia" w:ascii="宋体" w:hAnsi="宋体"/>
          <w:color w:val="auto"/>
          <w:sz w:val="24"/>
          <w:szCs w:val="24"/>
          <w:highlight w:val="none"/>
        </w:rPr>
        <w:t xml:space="preserve">万元</w:t>
      </w:r>
      <w:r>
        <w:rPr>
          <w:rFonts w:hint="eastAsia" w:ascii="宋体" w:hAnsi="宋体" w:cs="宋体"/>
          <w:color w:val="auto"/>
          <w:sz w:val="24"/>
          <w:szCs w:val="24"/>
          <w:highlight w:val="none"/>
        </w:rPr>
        <w:t xml:space="preserve">。</w:t>
      </w:r>
      <w:r/>
    </w:p>
    <w:p>
      <w:pPr>
        <w:ind w:firstLine="480"/>
        <w:spacing w:line="264" w:lineRule="auto"/>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为满足南京鼓楼医院徐庄院区37号楼学术交流、业务研讨及日常办公需求，拟对楼内的会议空间（含报告厅、多功能厅及会议室）进行专业会议系统建设；通过部署音视频、显示、发言及控制等系统，既能针对性匹配各空间大型讲座、中小型研讨、日常沟通等多样化场景需求，解决传统会议痛点以提升沟通效率与质量，也能适配医院数字化转型下科研教学、跨科室协作及对外合作的现代化发展需要，打造功能完善的现代化会议场所。</w:t>
      </w:r>
      <w:r>
        <w:rPr>
          <w:rFonts w:hint="eastAsia" w:ascii="宋体" w:hAnsi="宋体" w:cs="宋体"/>
          <w:color w:val="auto"/>
          <w:sz w:val="24"/>
          <w:szCs w:val="24"/>
          <w:highlight w:val="none"/>
        </w:rPr>
        <w:t xml:space="preserve">（详细内容见本招标文件第四章）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6.合同履行期限：</w:t>
      </w:r>
      <w:r>
        <w:rPr>
          <w:rFonts w:ascii="宋体" w:hAnsi="宋体" w:cs="宋体"/>
          <w:color w:val="auto"/>
          <w:sz w:val="24"/>
          <w:szCs w:val="24"/>
          <w:highlight w:val="none"/>
        </w:rPr>
        <w:t xml:space="preserve">合同签订后</w:t>
      </w:r>
      <w:r>
        <w:rPr>
          <w:rFonts w:ascii="宋体" w:hAnsi="宋体" w:cs="宋体"/>
          <w:bCs/>
          <w:color w:val="auto"/>
          <w:sz w:val="24"/>
          <w:szCs w:val="24"/>
          <w:highlight w:val="none"/>
        </w:rPr>
        <w:t xml:space="preserve">30</w:t>
      </w:r>
      <w:r>
        <w:rPr>
          <w:rFonts w:ascii="宋体" w:hAnsi="宋体" w:cs="宋体"/>
          <w:color w:val="auto"/>
          <w:sz w:val="24"/>
          <w:szCs w:val="24"/>
          <w:highlight w:val="none"/>
        </w:rPr>
        <w:t xml:space="preserve">天内交付并完成安装调试及验收等相关工作</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7.本项目不接受进口产品投标。</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55"/>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color w:val="auto"/>
          <w:sz w:val="24"/>
          <w:szCs w:val="24"/>
          <w:highlight w:val="none"/>
        </w:rPr>
      </w:pPr>
      <w:r/>
      <w:bookmarkStart w:id="17" w:name="_Toc38985265"/>
      <w:r/>
      <w:bookmarkStart w:id="18" w:name="_Toc28359004"/>
      <w:r/>
      <w:bookmarkStart w:id="19" w:name="_Toc35393623"/>
      <w:r/>
      <w:bookmarkStart w:id="20" w:name="_Toc35393792"/>
      <w:r/>
      <w:bookmarkStart w:id="21" w:name="_Toc28359081"/>
      <w:r>
        <w:rPr>
          <w:rFonts w:hint="eastAsia" w:ascii="宋体" w:hAnsi="宋体" w:cs="宋体"/>
          <w:color w:val="auto"/>
          <w:sz w:val="24"/>
          <w:szCs w:val="24"/>
          <w:highlight w:val="none"/>
        </w:rPr>
        <w:t xml:space="preserve">（一）通用资格要求</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2.落实政府采购政策需满足的资格要求：无</w:t>
      </w:r>
      <w:r/>
    </w:p>
    <w:p>
      <w:pPr>
        <w:ind w:firstLine="480"/>
        <w:spacing w:line="264" w:lineRule="auto"/>
        <w:rPr>
          <w:rFonts w:ascii="宋体" w:hAnsi="宋体"/>
          <w:color w:val="auto"/>
          <w:sz w:val="24"/>
          <w:szCs w:val="24"/>
          <w:highlight w:val="none"/>
        </w:rPr>
      </w:pPr>
      <w:r>
        <w:rPr>
          <w:rFonts w:hint="eastAsia" w:ascii="宋体" w:hAnsi="宋体" w:cs="宋体"/>
          <w:color w:val="auto"/>
          <w:sz w:val="24"/>
          <w:szCs w:val="24"/>
          <w:highlight w:val="none"/>
        </w:rPr>
        <w:t xml:space="preserve">（二）本项目特定资格要求：</w:t>
      </w:r>
      <w:r>
        <w:rPr>
          <w:rFonts w:hint="eastAsia" w:ascii="宋体" w:hAnsi="宋体"/>
          <w:color w:val="auto"/>
          <w:sz w:val="24"/>
          <w:szCs w:val="24"/>
          <w:highlight w:val="none"/>
        </w:rPr>
        <w:t xml:space="preserve">无</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（三）拒绝下述供应商参加本次采购活动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2.为采购项目提供整体设计、规范编制或者项目管理、监理、检测等服务的供应商，不得参加本项目的采购活动。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655"/>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bookmarkEnd w:id="18"/>
      <w:r/>
      <w:bookmarkEnd w:id="19"/>
      <w:r/>
      <w:bookmarkEnd w:id="20"/>
      <w:r/>
      <w:bookmarkEnd w:id="21"/>
      <w:r/>
      <w:r/>
    </w:p>
    <w:p>
      <w:pPr>
        <w:ind w:firstLine="480"/>
        <w:spacing w:line="264" w:lineRule="auto"/>
        <w:rPr>
          <w:rFonts w:ascii="宋体" w:hAnsi="宋体" w:cs="宋体"/>
          <w:color w:val="auto"/>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1.时间：自招标文件公告发布之日起。</w:t>
      </w:r>
      <w:r/>
    </w:p>
    <w:p>
      <w:pPr>
        <w:ind w:firstLine="480"/>
        <w:spacing w:line="264"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655"/>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bookmarkEnd w:id="25"/>
      <w:r/>
      <w:bookmarkEnd w:id="26"/>
      <w:r/>
      <w:r/>
    </w:p>
    <w:p>
      <w:pPr>
        <w:ind w:firstLine="480"/>
        <w:spacing w:line="264" w:lineRule="auto"/>
        <w:rPr>
          <w:rFonts w:ascii="宋体" w:hAnsi="宋体"/>
          <w:bCs/>
          <w:color w:val="auto"/>
          <w:sz w:val="24"/>
          <w:szCs w:val="24"/>
          <w:highlight w:val="none"/>
          <w:u w:val="single"/>
        </w:rPr>
      </w:pPr>
      <w:r/>
      <w:bookmarkStart w:id="27" w:name="_Toc35393794"/>
      <w:r/>
      <w:bookmarkStart w:id="28" w:name="_Toc38985267"/>
      <w:r/>
      <w:bookmarkStart w:id="29" w:name="_Toc28359007"/>
      <w:r/>
      <w:bookmarkStart w:id="30" w:name="_Toc28359084"/>
      <w:r/>
      <w:bookmarkStart w:id="31" w:name="_Toc35393625"/>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25</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rPr>
        <w:t xml:space="preserve">12月19</w:t>
      </w:r>
      <w:r>
        <w:rPr>
          <w:rFonts w:hint="eastAsia" w:ascii="宋体" w:hAnsi="宋体"/>
          <w:bCs/>
          <w:color w:val="auto"/>
          <w:sz w:val="24"/>
          <w:szCs w:val="24"/>
          <w:highlight w:val="none"/>
        </w:rPr>
        <w:t xml:space="preserve">日14</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分（北京时间）。</w:t>
      </w:r>
      <w:r/>
    </w:p>
    <w:p>
      <w:pPr>
        <w:ind w:firstLine="480"/>
        <w:spacing w:line="264" w:lineRule="auto"/>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655"/>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7"/>
      <w:r/>
      <w:bookmarkEnd w:id="28"/>
      <w:r/>
      <w:bookmarkEnd w:id="29"/>
      <w:r/>
      <w:bookmarkEnd w:id="30"/>
      <w:r/>
      <w:bookmarkEnd w:id="31"/>
      <w:r/>
      <w:r/>
    </w:p>
    <w:p>
      <w:pPr>
        <w:ind w:firstLine="480"/>
        <w:spacing w:line="264" w:lineRule="auto"/>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公告期限为自本公告发布之日起5个工作日。</w:t>
      </w:r>
      <w:r/>
    </w:p>
    <w:p>
      <w:pPr>
        <w:pStyle w:val="655"/>
        <w:ind w:firstLine="498"/>
        <w:spacing w:before="145" w:after="145" w:line="264" w:lineRule="auto"/>
        <w:rPr>
          <w:color w:val="auto"/>
          <w:highlight w:val="none"/>
        </w:rPr>
      </w:pPr>
      <w:r>
        <w:rPr>
          <w:rFonts w:hint="eastAsia"/>
          <w:color w:val="auto"/>
          <w:highlight w:val="none"/>
        </w:rPr>
        <w:t xml:space="preserve">六、其他事宜</w:t>
      </w:r>
      <w:bookmarkEnd w:id="32"/>
      <w:r/>
      <w:bookmarkEnd w:id="33"/>
      <w:r/>
      <w:bookmarkEnd w:id="34"/>
      <w:r/>
      <w:r/>
    </w:p>
    <w:p>
      <w:pPr>
        <w:ind w:firstLine="480"/>
        <w:spacing w:line="264" w:lineRule="auto"/>
        <w:tabs>
          <w:tab w:val="left" w:pos="900" w:leader="none"/>
        </w:tabs>
        <w:rPr>
          <w:rFonts w:ascii="宋体" w:hAnsi="宋体"/>
          <w:bCs/>
          <w:color w:val="auto"/>
          <w:sz w:val="24"/>
          <w:szCs w:val="24"/>
          <w:highlight w:val="none"/>
        </w:rPr>
      </w:pPr>
      <w:r/>
      <w:bookmarkStart w:id="35" w:name="_Toc38985269"/>
      <w:r/>
      <w:bookmarkStart w:id="36" w:name="_Toc28359085"/>
      <w:r/>
      <w:bookmarkStart w:id="37" w:name="_Toc35393627"/>
      <w:r/>
      <w:bookmarkStart w:id="38" w:name="_Toc28359008"/>
      <w:r/>
      <w:bookmarkStart w:id="39" w:name="_Toc35393796"/>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64" w:lineRule="auto"/>
        <w:tabs>
          <w:tab w:val="left" w:pos="900" w:leader="none"/>
        </w:tabs>
        <w:rPr>
          <w:rFonts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本项目不组织集中</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00"/>
          <w:rFonts w:hint="eastAsia" w:ascii="宋体" w:hAnsi="宋体" w:cs="宋体"/>
          <w:color w:val="auto"/>
          <w:sz w:val="24"/>
          <w:szCs w:val="24"/>
          <w:highlight w:val="none"/>
        </w:rPr>
        <w:t xml:space="preserve">下载地址</w:t>
      </w:r>
      <w:r>
        <w:rPr>
          <w:rStyle w:val="700"/>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（CTRL+鼠标左键）。</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pStyle w:val="655"/>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5"/>
      <w:r/>
      <w:bookmarkEnd w:id="36"/>
      <w:r/>
      <w:bookmarkEnd w:id="37"/>
      <w:r/>
      <w:bookmarkEnd w:id="38"/>
      <w:r/>
      <w:bookmarkEnd w:id="39"/>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名  称：南京鼓楼医院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w:t>
      </w:r>
      <w:r>
        <w:rPr>
          <w:rFonts w:hint="eastAsia" w:ascii="宋体" w:hAnsi="宋体"/>
          <w:color w:val="auto"/>
          <w:sz w:val="24"/>
          <w:szCs w:val="24"/>
          <w:highlight w:val="none"/>
        </w:rPr>
        <w:t xml:space="preserve">中山路3</w:t>
      </w:r>
      <w:r>
        <w:rPr>
          <w:rFonts w:ascii="宋体" w:hAnsi="宋体"/>
          <w:color w:val="auto"/>
          <w:sz w:val="24"/>
          <w:szCs w:val="24"/>
          <w:highlight w:val="none"/>
        </w:rPr>
        <w:t xml:space="preserve">21号</w:t>
      </w:r>
      <w:r>
        <w:rPr>
          <w:rFonts w:hint="eastAsia" w:ascii="宋体" w:hAnsi="宋体"/>
          <w:color w:val="auto"/>
          <w:sz w:val="24"/>
          <w:szCs w:val="24"/>
          <w:highlight w:val="none"/>
        </w:rPr>
        <w:t xml:space="preserve">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联系人：张老师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联系电话：025-</w:t>
      </w:r>
      <w:r>
        <w:rPr>
          <w:rFonts w:ascii="宋体" w:hAnsi="宋体"/>
          <w:color w:val="auto"/>
          <w:sz w:val="24"/>
          <w:szCs w:val="24"/>
          <w:highlight w:val="none"/>
        </w:rPr>
        <w:t xml:space="preserve">83105006</w:t>
      </w:r>
      <w:r>
        <w:rPr>
          <w:rFonts w:hint="eastAsia" w:ascii="宋体" w:hAnsi="宋体"/>
          <w:color w:val="auto"/>
          <w:sz w:val="24"/>
          <w:szCs w:val="24"/>
          <w:highlight w:val="none"/>
        </w:rPr>
        <w:t xml:space="preserve"> </w:t>
      </w:r>
      <w:bookmarkStart w:id="40" w:name="_Toc28359086"/>
      <w:r/>
      <w:bookmarkStart w:id="41" w:name="_Toc28359009"/>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2.交易中心</w:t>
      </w:r>
      <w:bookmarkEnd w:id="40"/>
      <w:r/>
      <w:bookmarkEnd w:id="41"/>
      <w:r/>
      <w:r/>
    </w:p>
    <w:p>
      <w:pPr>
        <w:ind w:firstLine="480"/>
        <w:spacing w:line="252" w:lineRule="auto"/>
        <w:rPr>
          <w:rFonts w:ascii="宋体" w:hAnsi="宋体"/>
          <w:color w:val="auto"/>
          <w:sz w:val="24"/>
          <w:szCs w:val="24"/>
          <w:highlight w:val="none"/>
        </w:rPr>
      </w:pPr>
      <w:r>
        <w:rPr>
          <w:rFonts w:hint="eastAsia" w:ascii="宋体" w:hAnsi="宋体"/>
          <w:color w:val="auto"/>
          <w:sz w:val="24"/>
          <w:szCs w:val="24"/>
          <w:highlight w:val="none"/>
        </w:rPr>
        <w:t xml:space="preserve">地　址：南京市建邺区江东中路265号  </w:t>
      </w:r>
      <w:r/>
    </w:p>
    <w:p>
      <w:pPr>
        <w:ind w:firstLine="480"/>
        <w:spacing w:line="252" w:lineRule="auto"/>
        <w:rPr>
          <w:rFonts w:ascii="宋体" w:hAnsi="宋体"/>
          <w:color w:val="auto"/>
          <w:sz w:val="24"/>
          <w:szCs w:val="24"/>
          <w:highlight w:val="none"/>
        </w:rPr>
      </w:pPr>
      <w:r>
        <w:rPr>
          <w:rFonts w:hint="eastAsia" w:ascii="宋体" w:hAnsi="宋体"/>
          <w:color w:val="auto"/>
          <w:sz w:val="24"/>
          <w:szCs w:val="24"/>
          <w:highlight w:val="none"/>
        </w:rPr>
        <w:t xml:space="preserve">联系人：郭先生</w:t>
      </w:r>
      <w:r/>
    </w:p>
    <w:p>
      <w:pPr>
        <w:ind w:firstLine="480"/>
        <w:spacing w:line="264" w:lineRule="auto"/>
        <w:rPr>
          <w:color w:val="auto"/>
          <w:highlight w:val="none"/>
        </w:rPr>
      </w:pPr>
      <w:r>
        <w:rPr>
          <w:rFonts w:hint="eastAsia" w:ascii="宋体" w:hAnsi="宋体"/>
          <w:color w:val="auto"/>
          <w:sz w:val="24"/>
          <w:szCs w:val="24"/>
          <w:highlight w:val="none"/>
        </w:rPr>
        <w:t xml:space="preserve">联系电话：025-68505815 </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right="840"/>
        <w:jc w:val="center"/>
        <w:rPr>
          <w:rFonts w:ascii="方正小标宋简体" w:hAnsi="方正小标宋简体" w:eastAsia="方正小标宋简体" w:cs="方正小标宋简体"/>
          <w:color w:val="auto"/>
          <w:sz w:val="36"/>
          <w:szCs w:val="36"/>
          <w:highlight w:val="none"/>
        </w:rPr>
        <w:outlineLvl w:val="0"/>
      </w:pPr>
      <w:r>
        <w:rPr>
          <w:rFonts w:ascii="宋体" w:hAnsi="宋体"/>
          <w:color w:val="auto"/>
          <w:sz w:val="24"/>
          <w:szCs w:val="24"/>
          <w:highlight w:val="none"/>
        </w:rPr>
        <w:br w:type="page" w:clear="all"/>
      </w:r>
      <w:bookmarkEnd w:id="1"/>
      <w:r/>
      <w:bookmarkEnd w:id="2"/>
      <w:r/>
      <w:bookmarkEnd w:id="3"/>
      <w:r/>
      <w:bookmarkEnd w:id="4"/>
      <w:r/>
      <w:bookmarkEnd w:id="5"/>
      <w:r/>
      <w:bookmarkStart w:id="42" w:name="_Toc120614211"/>
      <w:r/>
      <w:bookmarkStart w:id="43" w:name="_Toc479757207"/>
      <w:r/>
      <w:bookmarkStart w:id="44" w:name="_Toc16938558"/>
      <w:r/>
      <w:bookmarkStart w:id="45" w:name="_Toc513029242"/>
      <w:r/>
      <w:bookmarkStart w:id="46" w:name="_Toc20823314"/>
      <w:r/>
      <w:bookmarkStart w:id="47" w:name="_Toc120614221"/>
      <w:r>
        <w:rPr>
          <w:rFonts w:hint="eastAsia" w:ascii="方正小标宋简体" w:hAnsi="方正小标宋简体" w:eastAsia="方正小标宋简体" w:cs="方正小标宋简体"/>
          <w:color w:val="auto"/>
          <w:sz w:val="36"/>
          <w:szCs w:val="36"/>
          <w:highlight w:val="none"/>
        </w:rPr>
        <w:t xml:space="preserve">第二章  </w:t>
      </w:r>
      <w:bookmarkEnd w:id="42"/>
      <w:r/>
      <w:bookmarkStart w:id="48" w:name="_Toc513029202"/>
      <w:r/>
      <w:bookmarkStart w:id="49" w:name="_Toc20823274"/>
      <w:r/>
      <w:bookmarkStart w:id="50" w:name="_Toc16938518"/>
      <w:r/>
      <w:bookmarkStart w:id="51" w:name="_Toc120614213"/>
      <w:r>
        <w:rPr>
          <w:rFonts w:hint="eastAsia" w:ascii="方正小标宋简体" w:hAnsi="方正小标宋简体" w:eastAsia="方正小标宋简体" w:cs="方正小标宋简体"/>
          <w:color w:val="auto"/>
          <w:sz w:val="36"/>
          <w:szCs w:val="36"/>
          <w:highlight w:val="none"/>
        </w:rPr>
        <w:t xml:space="preserve">投标人须知</w:t>
      </w:r>
      <w:bookmarkEnd w:id="48"/>
      <w:r/>
      <w:bookmarkEnd w:id="49"/>
      <w:r/>
      <w:bookmarkEnd w:id="50"/>
      <w:r/>
      <w:bookmarkEnd w:id="51"/>
      <w:r/>
      <w:r/>
    </w:p>
    <w:p>
      <w:pPr>
        <w:pStyle w:val="655"/>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52" w:name="_Toc120614214"/>
      <w:r/>
      <w:bookmarkStart w:id="53" w:name="_Toc20823275"/>
      <w:r/>
      <w:bookmarkStart w:id="54" w:name="_Toc513029203"/>
      <w:r/>
      <w:bookmarkStart w:id="55" w:name="_Toc16938519"/>
      <w:r>
        <w:rPr>
          <w:rFonts w:hint="eastAsia" w:ascii="方正黑体_GBK" w:hAnsi="方正黑体_GBK" w:eastAsia="方正黑体_GBK" w:cs="方正黑体_GBK"/>
          <w:b w:val="0"/>
          <w:bCs w:val="0"/>
          <w:color w:val="auto"/>
          <w:sz w:val="30"/>
          <w:szCs w:val="30"/>
          <w:highlight w:val="none"/>
        </w:rPr>
        <w:t xml:space="preserve">一、总则</w:t>
      </w:r>
      <w:bookmarkEnd w:id="52"/>
      <w:r/>
      <w:bookmarkEnd w:id="53"/>
      <w:r/>
      <w:bookmarkEnd w:id="54"/>
      <w:r/>
      <w:bookmarkEnd w:id="55"/>
      <w:r/>
      <w:r/>
    </w:p>
    <w:p>
      <w:pPr>
        <w:pStyle w:val="656"/>
        <w:ind w:firstLine="420"/>
        <w:spacing w:before="0" w:after="0" w:line="240" w:lineRule="auto"/>
        <w:rPr>
          <w:rFonts w:ascii="方正楷体_GBK" w:hAnsi="方正楷体_GBK" w:eastAsia="方正楷体_GBK" w:cs="方正楷体_GBK"/>
          <w:color w:val="auto"/>
          <w:highlight w:val="none"/>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color w:val="auto"/>
          <w:highlight w:val="none"/>
        </w:rPr>
        <w:t xml:space="preserve">1</w:t>
      </w:r>
      <w:bookmarkEnd w:id="57"/>
      <w:r>
        <w:rPr>
          <w:rFonts w:hint="eastAsia" w:ascii="方正楷体_GBK" w:hAnsi="方正楷体_GBK" w:eastAsia="方正楷体_GBK" w:cs="方正楷体_GBK"/>
          <w:color w:val="auto"/>
          <w:highlight w:val="none"/>
        </w:rPr>
        <w:t xml:space="preserve">.招标方式</w:t>
      </w:r>
      <w:bookmarkEnd w:id="58"/>
      <w:r/>
      <w:bookmarkEnd w:id="59"/>
      <w:r/>
      <w:bookmarkEnd w:id="60"/>
      <w:r/>
      <w:r/>
    </w:p>
    <w:p>
      <w:pPr>
        <w:ind w:firstLine="420"/>
        <w:rPr>
          <w:rFonts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656"/>
        <w:ind w:firstLine="420"/>
        <w:spacing w:before="0" w:after="0" w:line="240" w:lineRule="auto"/>
        <w:rPr>
          <w:rFonts w:ascii="方正楷体_GBK" w:hAnsi="方正楷体_GBK" w:eastAsia="方正楷体_GBK" w:cs="方正楷体_GBK"/>
          <w:color w:val="auto"/>
          <w:highlight w:val="none"/>
        </w:rPr>
      </w:pPr>
      <w:r/>
      <w:bookmarkStart w:id="61" w:name="_Toc16938521"/>
      <w:r/>
      <w:bookmarkStart w:id="62" w:name="_Toc20823277"/>
      <w:r/>
      <w:bookmarkStart w:id="63" w:name="_Toc513029205"/>
      <w:r>
        <w:rPr>
          <w:rFonts w:hint="eastAsia" w:ascii="方正楷体_GBK" w:hAnsi="方正楷体_GBK" w:eastAsia="方正楷体_GBK" w:cs="方正楷体_GBK"/>
          <w:color w:val="auto"/>
          <w:highlight w:val="none"/>
        </w:rPr>
        <w:t xml:space="preserve">2.合格的投标人</w:t>
      </w:r>
      <w:bookmarkEnd w:id="61"/>
      <w:r/>
      <w:bookmarkEnd w:id="62"/>
      <w:r/>
      <w:bookmarkEnd w:id="63"/>
      <w:r/>
      <w:r/>
    </w:p>
    <w:p>
      <w:pPr>
        <w:ind w:firstLine="420"/>
        <w:rPr>
          <w:rFonts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656"/>
        <w:ind w:firstLine="420"/>
        <w:spacing w:before="0" w:after="0" w:line="240" w:lineRule="auto"/>
        <w:rPr>
          <w:rFonts w:ascii="方正楷体_GBK" w:hAnsi="方正楷体_GBK" w:eastAsia="方正楷体_GBK" w:cs="方正楷体_GBK"/>
          <w:color w:val="auto"/>
          <w:highlight w:val="none"/>
        </w:rPr>
      </w:pPr>
      <w:r/>
      <w:bookmarkStart w:id="64" w:name="_Toc513029206"/>
      <w:r/>
      <w:bookmarkStart w:id="65" w:name="_Toc16938522"/>
      <w:r/>
      <w:bookmarkStart w:id="66" w:name="_Toc20823278"/>
      <w:r>
        <w:rPr>
          <w:rFonts w:hint="eastAsia" w:ascii="方正楷体_GBK" w:hAnsi="方正楷体_GBK" w:eastAsia="方正楷体_GBK" w:cs="方正楷体_GBK"/>
          <w:color w:val="auto"/>
          <w:highlight w:val="none"/>
        </w:rPr>
        <w:t xml:space="preserve">3.适用法律</w:t>
      </w:r>
      <w:bookmarkEnd w:id="64"/>
      <w:r/>
      <w:bookmarkEnd w:id="65"/>
      <w:r/>
      <w:bookmarkEnd w:id="66"/>
      <w:r/>
      <w:r/>
    </w:p>
    <w:p>
      <w:pPr>
        <w:ind w:firstLine="420"/>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656"/>
        <w:ind w:firstLine="420"/>
        <w:spacing w:before="0" w:after="0" w:line="240" w:lineRule="auto"/>
        <w:rPr>
          <w:rFonts w:ascii="方正楷体_GBK" w:hAnsi="方正楷体_GBK" w:eastAsia="方正楷体_GBK" w:cs="方正楷体_GBK"/>
          <w:color w:val="auto"/>
          <w:highlight w:val="none"/>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color w:val="auto"/>
          <w:highlight w:val="none"/>
        </w:rPr>
        <w:t xml:space="preserve">4.投标费用</w:t>
      </w:r>
      <w:bookmarkEnd w:id="67"/>
      <w:r/>
      <w:bookmarkEnd w:id="68"/>
      <w:r/>
      <w:bookmarkEnd w:id="69"/>
      <w:r/>
      <w:bookmarkEnd w:id="70"/>
      <w:r/>
      <w:r/>
    </w:p>
    <w:p>
      <w:pPr>
        <w:ind w:firstLine="420"/>
        <w:rPr>
          <w:rFonts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655"/>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71" w:name="_Toc16938525"/>
      <w:r/>
      <w:bookmarkStart w:id="72" w:name="_Toc513029209"/>
      <w:r/>
      <w:bookmarkStart w:id="73" w:name="_Toc20823281"/>
      <w:r/>
      <w:bookmarkStart w:id="74" w:name="_Toc120614215"/>
      <w:r>
        <w:rPr>
          <w:rFonts w:hint="eastAsia" w:ascii="方正黑体_GBK" w:hAnsi="方正黑体_GBK" w:eastAsia="方正黑体_GBK" w:cs="方正黑体_GBK"/>
          <w:b w:val="0"/>
          <w:bCs w:val="0"/>
          <w:color w:val="auto"/>
          <w:sz w:val="30"/>
          <w:szCs w:val="30"/>
          <w:highlight w:val="none"/>
        </w:rPr>
        <w:t xml:space="preserve">二、招标文件</w:t>
      </w:r>
      <w:bookmarkEnd w:id="71"/>
      <w:r/>
      <w:bookmarkEnd w:id="72"/>
      <w:r/>
      <w:bookmarkEnd w:id="73"/>
      <w:r/>
      <w:bookmarkEnd w:id="74"/>
      <w:r/>
      <w:r/>
    </w:p>
    <w:p>
      <w:pPr>
        <w:pStyle w:val="656"/>
        <w:ind w:firstLine="420"/>
        <w:spacing w:before="0" w:after="0" w:line="240" w:lineRule="auto"/>
        <w:rPr>
          <w:rFonts w:ascii="方正楷体_GBK" w:hAnsi="方正楷体_GBK" w:eastAsia="方正楷体_GBK" w:cs="方正楷体_GBK"/>
          <w:color w:val="auto"/>
          <w:highlight w:val="none"/>
        </w:rPr>
      </w:pPr>
      <w:r/>
      <w:bookmarkStart w:id="75" w:name="_Toc20823282"/>
      <w:r/>
      <w:bookmarkStart w:id="76" w:name="_Toc16938526"/>
      <w:r/>
      <w:bookmarkStart w:id="77" w:name="_Toc513029210"/>
      <w:r>
        <w:rPr>
          <w:rFonts w:hint="eastAsia" w:ascii="方正楷体_GBK" w:hAnsi="方正楷体_GBK" w:eastAsia="方正楷体_GBK" w:cs="方正楷体_GBK"/>
          <w:color w:val="auto"/>
          <w:highlight w:val="none"/>
        </w:rPr>
        <w:t xml:space="preserve">6.招标文件构成</w:t>
      </w:r>
      <w:bookmarkEnd w:id="75"/>
      <w:r/>
      <w:bookmarkEnd w:id="76"/>
      <w:r/>
      <w:bookmarkEnd w:id="77"/>
      <w:r/>
      <w:r/>
    </w:p>
    <w:p>
      <w:pPr>
        <w:ind w:firstLine="420"/>
        <w:rPr>
          <w:rFonts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ascii="宋体" w:hAnsi="宋体"/>
          <w:color w:val="auto"/>
          <w:sz w:val="24"/>
          <w:highlight w:val="none"/>
        </w:rPr>
      </w:pPr>
      <w:r>
        <w:rPr>
          <w:rFonts w:hint="eastAsia" w:ascii="宋体" w:hAnsi="宋体"/>
          <w:color w:val="auto"/>
          <w:sz w:val="24"/>
          <w:highlight w:val="none"/>
        </w:rPr>
        <w:t xml:space="preserve">（1）投标邀请</w:t>
      </w:r>
      <w:r/>
    </w:p>
    <w:p>
      <w:pPr>
        <w:ind w:firstLine="420"/>
        <w:rPr>
          <w:rFonts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ascii="宋体" w:hAnsi="宋体"/>
          <w:color w:val="auto"/>
          <w:sz w:val="24"/>
          <w:highlight w:val="none"/>
        </w:rPr>
      </w:pPr>
      <w:r>
        <w:rPr>
          <w:rFonts w:hint="eastAsia" w:ascii="宋体" w:hAnsi="宋体"/>
          <w:color w:val="auto"/>
          <w:sz w:val="24"/>
          <w:highlight w:val="none"/>
        </w:rPr>
        <w:t xml:space="preserve">（3）合同文本</w:t>
      </w:r>
      <w:r/>
    </w:p>
    <w:p>
      <w:pPr>
        <w:ind w:firstLine="420"/>
        <w:rPr>
          <w:rFonts w:ascii="宋体" w:hAnsi="宋体"/>
          <w:color w:val="auto"/>
          <w:sz w:val="24"/>
          <w:highlight w:val="none"/>
        </w:rPr>
      </w:pPr>
      <w:r>
        <w:rPr>
          <w:rFonts w:hint="eastAsia" w:ascii="宋体" w:hAnsi="宋体"/>
          <w:color w:val="auto"/>
          <w:sz w:val="24"/>
          <w:highlight w:val="none"/>
        </w:rPr>
        <w:t xml:space="preserve">（4）采购需求</w:t>
      </w:r>
      <w:r/>
    </w:p>
    <w:p>
      <w:pPr>
        <w:ind w:firstLine="420"/>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firstLine="420"/>
        <w:spacing w:before="0" w:after="0" w:line="240" w:lineRule="auto"/>
        <w:rPr>
          <w:rFonts w:ascii="方正楷体_GBK" w:hAnsi="方正楷体_GBK" w:eastAsia="方正楷体_GBK" w:cs="方正楷体_GBK"/>
          <w:color w:val="auto"/>
          <w:highlight w:val="none"/>
        </w:rPr>
      </w:pPr>
      <w:r/>
      <w:bookmarkStart w:id="78" w:name="_Toc462564070"/>
      <w:r/>
      <w:bookmarkStart w:id="79" w:name="_Toc513029211"/>
      <w:r/>
      <w:bookmarkStart w:id="80" w:name="_Toc20823283"/>
      <w:r/>
      <w:bookmarkStart w:id="81" w:name="_Toc16938527"/>
      <w:r>
        <w:rPr>
          <w:rFonts w:hint="eastAsia" w:ascii="方正楷体_GBK" w:hAnsi="方正楷体_GBK" w:eastAsia="方正楷体_GBK" w:cs="方正楷体_GBK"/>
          <w:color w:val="auto"/>
          <w:highlight w:val="none"/>
        </w:rPr>
        <w:t xml:space="preserve">7.招标文件的澄清</w:t>
      </w:r>
      <w:bookmarkEnd w:id="78"/>
      <w:r/>
      <w:bookmarkEnd w:id="79"/>
      <w:r/>
      <w:bookmarkEnd w:id="80"/>
      <w:r/>
      <w:bookmarkEnd w:id="81"/>
      <w:r/>
      <w:r/>
    </w:p>
    <w:p>
      <w:pPr>
        <w:ind w:firstLine="420"/>
        <w:rPr>
          <w:rFonts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656"/>
        <w:ind w:firstLine="420"/>
        <w:spacing w:before="0" w:after="0" w:line="240" w:lineRule="auto"/>
        <w:rPr>
          <w:rFonts w:ascii="方正楷体_GBK" w:hAnsi="方正楷体_GBK" w:eastAsia="方正楷体_GBK" w:cs="方正楷体_GBK"/>
          <w:color w:val="auto"/>
          <w:highlight w:val="none"/>
        </w:rPr>
      </w:pPr>
      <w:r/>
      <w:bookmarkStart w:id="82" w:name="_Toc462564071"/>
      <w:r/>
      <w:bookmarkStart w:id="83" w:name="_Toc513029212"/>
      <w:r/>
      <w:bookmarkStart w:id="84" w:name="_Toc16938528"/>
      <w:r/>
      <w:bookmarkStart w:id="85" w:name="_Toc20823284"/>
      <w:r>
        <w:rPr>
          <w:rFonts w:hint="eastAsia" w:ascii="方正楷体_GBK" w:hAnsi="方正楷体_GBK" w:eastAsia="方正楷体_GBK" w:cs="方正楷体_GBK"/>
          <w:color w:val="auto"/>
          <w:highlight w:val="none"/>
        </w:rPr>
        <w:t xml:space="preserve">8.招标文件的修改</w:t>
      </w:r>
      <w:bookmarkEnd w:id="82"/>
      <w:r/>
      <w:bookmarkEnd w:id="83"/>
      <w:r/>
      <w:bookmarkEnd w:id="84"/>
      <w:r/>
      <w:bookmarkEnd w:id="85"/>
      <w:r/>
      <w:r/>
    </w:p>
    <w:p>
      <w:pPr>
        <w:ind w:firstLine="420"/>
        <w:rPr>
          <w:rFonts w:ascii="宋体" w:hAnsi="宋体"/>
          <w:color w:val="auto"/>
          <w:sz w:val="24"/>
          <w:highlight w:val="none"/>
        </w:rPr>
      </w:pPr>
      <w:r/>
      <w:bookmarkStart w:id="86" w:name="_Toc16938529"/>
      <w:r/>
      <w:bookmarkStart w:id="87" w:name="_Toc20823285"/>
      <w:r/>
      <w:bookmarkStart w:id="88" w:name="_Toc120614216"/>
      <w:r/>
      <w:bookmarkStart w:id="89" w:name="_Toc462564072"/>
      <w:r/>
      <w:bookmarkStart w:id="90" w:name="_Toc513029213"/>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655"/>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6"/>
      <w:r/>
      <w:bookmarkEnd w:id="87"/>
      <w:r/>
      <w:bookmarkEnd w:id="88"/>
      <w:r/>
      <w:bookmarkEnd w:id="89"/>
      <w:r/>
      <w:bookmarkEnd w:id="90"/>
      <w:r/>
      <w:r/>
    </w:p>
    <w:p>
      <w:pPr>
        <w:pStyle w:val="656"/>
        <w:ind w:firstLine="420"/>
        <w:spacing w:before="0" w:after="0" w:line="240" w:lineRule="auto"/>
        <w:rPr>
          <w:rFonts w:ascii="方正楷体_GBK" w:hAnsi="方正楷体_GBK" w:eastAsia="方正楷体_GBK" w:cs="方正楷体_GBK"/>
          <w:color w:val="auto"/>
          <w:highlight w:val="none"/>
        </w:rPr>
      </w:pPr>
      <w:r/>
      <w:bookmarkStart w:id="91" w:name="_Toc20823286"/>
      <w:r/>
      <w:bookmarkStart w:id="92" w:name="_Toc16938530"/>
      <w:r/>
      <w:bookmarkStart w:id="93" w:name="_Toc462564073"/>
      <w:r/>
      <w:bookmarkStart w:id="94" w:name="_Toc513029214"/>
      <w:r>
        <w:rPr>
          <w:rFonts w:hint="eastAsia" w:ascii="方正楷体_GBK" w:hAnsi="方正楷体_GBK" w:eastAsia="方正楷体_GBK" w:cs="方正楷体_GBK"/>
          <w:color w:val="auto"/>
          <w:highlight w:val="none"/>
        </w:rPr>
        <w:t xml:space="preserve">9.投标文件的语言及度量衡单位</w:t>
      </w:r>
      <w:bookmarkEnd w:id="91"/>
      <w:r/>
      <w:bookmarkEnd w:id="92"/>
      <w:r/>
      <w:bookmarkEnd w:id="93"/>
      <w:r/>
      <w:bookmarkEnd w:id="94"/>
      <w:r/>
      <w:r/>
    </w:p>
    <w:p>
      <w:pPr>
        <w:ind w:firstLine="420"/>
        <w:rPr>
          <w:rFonts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656"/>
        <w:ind w:firstLine="420"/>
        <w:spacing w:before="0" w:after="0" w:line="240" w:lineRule="auto"/>
        <w:rPr>
          <w:rFonts w:ascii="方正楷体_GBK" w:hAnsi="方正楷体_GBK" w:eastAsia="方正楷体_GBK" w:cs="方正楷体_GBK"/>
          <w:color w:val="auto"/>
          <w:highlight w:val="none"/>
        </w:rPr>
      </w:pPr>
      <w:r/>
      <w:bookmarkStart w:id="95" w:name="_Toc16938531"/>
      <w:r/>
      <w:bookmarkStart w:id="96" w:name="_Toc462564074"/>
      <w:r/>
      <w:bookmarkStart w:id="97" w:name="_Toc513029215"/>
      <w:r/>
      <w:bookmarkStart w:id="98" w:name="_Toc20823287"/>
      <w:r>
        <w:rPr>
          <w:rFonts w:hint="eastAsia" w:ascii="方正楷体_GBK" w:hAnsi="方正楷体_GBK" w:eastAsia="方正楷体_GBK" w:cs="方正楷体_GBK"/>
          <w:color w:val="auto"/>
          <w:highlight w:val="none"/>
        </w:rPr>
        <w:t xml:space="preserve">10.投标文件构成</w:t>
      </w:r>
      <w:bookmarkEnd w:id="95"/>
      <w:r/>
      <w:bookmarkEnd w:id="96"/>
      <w:r/>
      <w:bookmarkEnd w:id="97"/>
      <w:r/>
      <w:bookmarkEnd w:id="98"/>
      <w:r/>
      <w:r/>
    </w:p>
    <w:p>
      <w:pPr>
        <w:ind w:firstLine="420"/>
        <w:rPr>
          <w:rFonts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656"/>
        <w:ind w:firstLine="420"/>
        <w:spacing w:before="0" w:after="0" w:line="240" w:lineRule="auto"/>
        <w:rPr>
          <w:rFonts w:ascii="方正楷体_GBK" w:hAnsi="方正楷体_GBK" w:eastAsia="方正楷体_GBK" w:cs="方正楷体_GBK"/>
          <w:color w:val="auto"/>
          <w:highlight w:val="none"/>
        </w:rPr>
      </w:pPr>
      <w:r/>
      <w:bookmarkStart w:id="99" w:name="_Hlt26670360"/>
      <w:r/>
      <w:bookmarkEnd w:id="99"/>
      <w:r/>
      <w:bookmarkStart w:id="100" w:name="_Hlt26954838"/>
      <w:r/>
      <w:bookmarkEnd w:id="100"/>
      <w:r/>
      <w:bookmarkStart w:id="101" w:name="_Hlt26668975"/>
      <w:r/>
      <w:bookmarkEnd w:id="101"/>
      <w:r/>
      <w:bookmarkStart w:id="102" w:name="_Toc49090509"/>
      <w:r/>
      <w:bookmarkStart w:id="103" w:name="_Toc14577357"/>
      <w:r/>
      <w:bookmarkStart w:id="104" w:name="_Toc513029219"/>
      <w:r/>
      <w:bookmarkStart w:id="105" w:name="_Toc14577354"/>
      <w:r/>
      <w:bookmarkStart w:id="106" w:name="_Toc513029216"/>
      <w:r/>
      <w:bookmarkStart w:id="107" w:name="_Toc49090507"/>
      <w:r>
        <w:rPr>
          <w:rFonts w:hint="eastAsia" w:ascii="方正楷体_GBK" w:hAnsi="方正楷体_GBK" w:eastAsia="方正楷体_GBK" w:cs="方正楷体_GBK"/>
          <w:color w:val="auto"/>
          <w:highlight w:val="none"/>
        </w:rPr>
        <w:t xml:space="preserve">11.证明投标人及投标标的符合招标文件规定的文件</w:t>
      </w:r>
      <w:bookmarkEnd w:id="102"/>
      <w:r/>
      <w:bookmarkEnd w:id="103"/>
      <w:r/>
      <w:bookmarkEnd w:id="104"/>
      <w:r/>
      <w:bookmarkEnd w:id="105"/>
      <w:bookmarkEnd w:id="106"/>
      <w:bookmarkEnd w:id="107"/>
      <w:r/>
    </w:p>
    <w:p>
      <w:pPr>
        <w:ind w:firstLine="420"/>
        <w:rPr>
          <w:rFonts w:ascii="宋体" w:hAnsi="宋体"/>
          <w:color w:val="auto"/>
          <w:sz w:val="24"/>
          <w:highlight w:val="none"/>
        </w:rPr>
      </w:pPr>
      <w:r/>
      <w:bookmarkStart w:id="108" w:name="_Toc14577355"/>
      <w:r/>
      <w:bookmarkStart w:id="109"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12.投标分项报价</w:t>
      </w:r>
      <w:bookmarkEnd w:id="108"/>
      <w:r/>
      <w:bookmarkStart w:id="110" w:name="_Hlt26670373"/>
      <w:r/>
      <w:bookmarkEnd w:id="110"/>
      <w:r>
        <w:rPr>
          <w:rFonts w:hint="eastAsia" w:ascii="方正楷体_GBK" w:hAnsi="方正楷体_GBK" w:eastAsia="方正楷体_GBK" w:cs="方正楷体_GBK"/>
          <w:color w:val="auto"/>
          <w:highlight w:val="none"/>
        </w:rPr>
        <w:t xml:space="preserve">表</w:t>
      </w:r>
      <w:bookmarkEnd w:id="109"/>
      <w:r>
        <w:rPr>
          <w:rFonts w:hint="eastAsia" w:ascii="方正楷体_GBK" w:hAnsi="方正楷体_GBK" w:eastAsia="方正楷体_GBK" w:cs="方正楷体_GBK"/>
          <w:color w:val="auto"/>
          <w:highlight w:val="none"/>
        </w:rPr>
        <w:t xml:space="preserve">（如有）</w:t>
      </w:r>
      <w:r/>
    </w:p>
    <w:p>
      <w:pPr>
        <w:ind w:firstLine="420"/>
        <w:rPr>
          <w:rFonts w:ascii="宋体" w:hAnsi="宋体"/>
          <w:color w:val="auto"/>
          <w:sz w:val="24"/>
          <w:highlight w:val="none"/>
        </w:rPr>
      </w:pPr>
      <w:r>
        <w:rPr>
          <w:rFonts w:hint="eastAsia" w:ascii="宋体" w:hAnsi="宋体"/>
          <w:color w:val="auto"/>
          <w:sz w:val="24"/>
          <w:highlight w:val="none"/>
        </w:rPr>
        <w:t xml:space="preserve">12.1 投</w:t>
      </w:r>
      <w:bookmarkStart w:id="111" w:name="_Hlt26954840"/>
      <w:r/>
      <w:bookmarkEnd w:id="111"/>
      <w:r>
        <w:rPr>
          <w:rFonts w:hint="eastAsia" w:ascii="宋体" w:hAnsi="宋体"/>
          <w:color w:val="auto"/>
          <w:sz w:val="24"/>
          <w:highlight w:val="none"/>
        </w:rPr>
        <w:t xml:space="preserve">标人应按照招标文件规定格式填报投标分项报价表</w:t>
      </w:r>
      <w:bookmarkStart w:id="112" w:name="_Hlt26670399"/>
      <w:r/>
      <w:bookmarkEnd w:id="112"/>
      <w:r>
        <w:rPr>
          <w:rFonts w:hint="eastAsia" w:ascii="宋体" w:hAnsi="宋体"/>
          <w:color w:val="auto"/>
          <w:sz w:val="24"/>
          <w:highlight w:val="none"/>
        </w:rPr>
        <w:t xml:space="preserve">。</w:t>
      </w:r>
      <w:r/>
    </w:p>
    <w:p>
      <w:pPr>
        <w:ind w:firstLine="420"/>
        <w:rPr>
          <w:rFonts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656"/>
        <w:ind w:firstLine="420"/>
        <w:spacing w:before="0" w:after="0" w:line="240" w:lineRule="auto"/>
        <w:rPr>
          <w:rFonts w:ascii="方正楷体_GBK" w:hAnsi="方正楷体_GBK" w:eastAsia="方正楷体_GBK" w:cs="方正楷体_GBK"/>
          <w:color w:val="auto"/>
          <w:highlight w:val="none"/>
        </w:rPr>
      </w:pPr>
      <w:r/>
      <w:bookmarkStart w:id="113" w:name="_Hlt26954844"/>
      <w:r/>
      <w:bookmarkEnd w:id="113"/>
      <w:r/>
      <w:bookmarkStart w:id="114" w:name="_Hlt26670403"/>
      <w:r/>
      <w:bookmarkEnd w:id="114"/>
      <w:r/>
      <w:bookmarkStart w:id="115" w:name="_Hlt26670486"/>
      <w:r/>
      <w:bookmarkEnd w:id="115"/>
      <w:r/>
      <w:bookmarkStart w:id="116" w:name="_Hlt26668983"/>
      <w:r/>
      <w:bookmarkEnd w:id="116"/>
      <w:r/>
      <w:bookmarkStart w:id="117" w:name="_Hlt26954731"/>
      <w:r/>
      <w:bookmarkEnd w:id="117"/>
      <w:r/>
      <w:bookmarkStart w:id="118" w:name="_Hlt26670482"/>
      <w:r/>
      <w:bookmarkEnd w:id="118"/>
      <w:r/>
      <w:bookmarkStart w:id="119" w:name="_Hlt26670425"/>
      <w:r/>
      <w:bookmarkEnd w:id="119"/>
      <w:r/>
      <w:bookmarkStart w:id="120" w:name="_Hlt26954842"/>
      <w:r/>
      <w:bookmarkEnd w:id="120"/>
      <w:r/>
      <w:bookmarkStart w:id="121" w:name="_Hlt26954848"/>
      <w:r/>
      <w:bookmarkEnd w:id="121"/>
      <w:r/>
      <w:bookmarkStart w:id="122" w:name="_Hlt26954846"/>
      <w:r/>
      <w:bookmarkEnd w:id="122"/>
      <w:r>
        <w:rPr>
          <w:rFonts w:hint="eastAsia" w:ascii="方正楷体_GBK" w:hAnsi="方正楷体_GBK" w:eastAsia="方正楷体_GBK" w:cs="方正楷体_GBK"/>
          <w:color w:val="auto"/>
          <w:highlight w:val="none"/>
        </w:rPr>
        <w:t xml:space="preserve">13.响应及偏离表</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投标人需对招标文件中的技术要求与商务要求逐项作出响应或偏离说明。</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656"/>
        <w:ind w:firstLine="420"/>
        <w:spacing w:before="0" w:after="0" w:line="240" w:lineRule="auto"/>
        <w:rPr>
          <w:rFonts w:ascii="方正楷体_GBK" w:hAnsi="方正楷体_GBK" w:eastAsia="方正楷体_GBK" w:cs="方正楷体_GBK"/>
          <w:color w:val="auto"/>
          <w:highlight w:val="none"/>
        </w:rPr>
      </w:pPr>
      <w:r/>
      <w:bookmarkStart w:id="123" w:name="_Toc14577359"/>
      <w:r/>
      <w:bookmarkStart w:id="124" w:name="_Toc49090510"/>
      <w:r>
        <w:rPr>
          <w:rFonts w:hint="eastAsia" w:ascii="方正楷体_GBK" w:hAnsi="方正楷体_GBK" w:eastAsia="方正楷体_GBK" w:cs="方正楷体_GBK"/>
          <w:color w:val="auto"/>
          <w:highlight w:val="none"/>
        </w:rPr>
        <w:t xml:space="preserve">14.投标函和开标一览表及核心产品品牌一览表</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投标人应按照招标文件规定格式完整、正确填报投标函、开标一览表及核心产品品牌一览表。</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auto"/>
          <w:sz w:val="24"/>
          <w:highlight w:val="none"/>
        </w:rPr>
        <w:t xml:space="preserve">以</w:t>
      </w:r>
      <w:r>
        <w:rPr>
          <w:rFonts w:hint="eastAsia" w:ascii="宋体" w:hAnsi="宋体"/>
          <w:color w:val="auto"/>
          <w:sz w:val="24"/>
          <w:highlight w:val="none"/>
          <w:lang w:val="zh-CN"/>
        </w:rPr>
        <w:t xml:space="preserve">开标一览表中价格为准。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14.3 核心产品品牌一览表中所投核心产品品牌缺项的将视为无效投标。</w:t>
      </w:r>
      <w:bookmarkEnd w:id="123"/>
      <w:bookmarkEnd w:id="124"/>
      <w:r/>
    </w:p>
    <w:p>
      <w:pPr>
        <w:pStyle w:val="656"/>
        <w:ind w:firstLine="420"/>
        <w:spacing w:before="0" w:after="0" w:line="240" w:lineRule="auto"/>
        <w:rPr>
          <w:rFonts w:ascii="方正楷体_GBK" w:hAnsi="方正楷体_GBK" w:eastAsia="方正楷体_GBK" w:cs="方正楷体_GBK"/>
          <w:color w:val="auto"/>
          <w:highlight w:val="none"/>
        </w:rPr>
      </w:pPr>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color w:val="auto"/>
          <w:highlight w:val="none"/>
        </w:rPr>
        <w:t xml:space="preserve">15.投标有效期</w:t>
      </w:r>
      <w:bookmarkEnd w:id="128"/>
      <w:r/>
      <w:bookmarkEnd w:id="129"/>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15.1 投标有效期为</w:t>
      </w:r>
      <w:r>
        <w:rPr>
          <w:rFonts w:hint="eastAsia" w:ascii="宋体" w:hAnsi="宋体"/>
          <w:color w:val="auto"/>
          <w:sz w:val="24"/>
          <w:highlight w:val="none"/>
        </w:rPr>
        <w:t xml:space="preserve">招标公告</w:t>
      </w:r>
      <w:r>
        <w:rPr>
          <w:rFonts w:hint="eastAsia" w:ascii="宋体" w:hAnsi="宋体"/>
          <w:color w:val="auto"/>
          <w:sz w:val="24"/>
          <w:highlight w:val="none"/>
          <w:lang w:val="zh-CN"/>
        </w:rPr>
        <w:t xml:space="preserve">规定的开标之日</w:t>
      </w:r>
      <w:r>
        <w:rPr>
          <w:rFonts w:hint="eastAsia" w:ascii="宋体" w:hAnsi="宋体"/>
          <w:color w:val="auto"/>
          <w:sz w:val="24"/>
          <w:highlight w:val="none"/>
        </w:rPr>
        <w:t xml:space="preserve">起</w:t>
      </w:r>
      <w:r>
        <w:rPr>
          <w:rFonts w:hint="eastAsia" w:ascii="宋体" w:hAnsi="宋体"/>
          <w:color w:val="auto"/>
          <w:sz w:val="24"/>
          <w:highlight w:val="none"/>
          <w:lang w:val="zh-CN"/>
        </w:rPr>
        <w:t xml:space="preserve">六十天。投标有效期比规定短的将被视为未实质性响应招标文件而</w:t>
      </w:r>
      <w:r>
        <w:rPr>
          <w:rFonts w:hint="eastAsia" w:ascii="宋体" w:hAnsi="宋体"/>
          <w:color w:val="auto"/>
          <w:sz w:val="24"/>
          <w:highlight w:val="none"/>
        </w:rPr>
        <w:t xml:space="preserve">被</w:t>
      </w:r>
      <w:r>
        <w:rPr>
          <w:rFonts w:hint="eastAsia" w:ascii="宋体" w:hAnsi="宋体"/>
          <w:color w:val="auto"/>
          <w:sz w:val="24"/>
          <w:highlight w:val="none"/>
          <w:lang w:val="zh-CN"/>
        </w:rPr>
        <w:t xml:space="preserve">拒绝。</w:t>
      </w:r>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5"/>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130" w:name="_Hlt26954852"/>
      <w:r/>
      <w:bookmarkEnd w:id="130"/>
      <w:r/>
      <w:bookmarkStart w:id="131" w:name="_Hlt26954739"/>
      <w:r/>
      <w:bookmarkEnd w:id="131"/>
      <w:r/>
      <w:bookmarkStart w:id="132" w:name="_Toc16938540"/>
      <w:r/>
      <w:bookmarkStart w:id="133" w:name="_Toc20823296"/>
      <w:r/>
      <w:bookmarkStart w:id="134" w:name="_Toc513029224"/>
      <w:r/>
      <w:bookmarkStart w:id="135" w:name="_Toc120614217"/>
      <w:r>
        <w:rPr>
          <w:rFonts w:hint="eastAsia" w:ascii="方正黑体_GBK" w:hAnsi="方正黑体_GBK" w:eastAsia="方正黑体_GBK" w:cs="方正黑体_GBK"/>
          <w:b w:val="0"/>
          <w:bCs w:val="0"/>
          <w:color w:val="auto"/>
          <w:sz w:val="30"/>
          <w:szCs w:val="30"/>
          <w:highlight w:val="none"/>
        </w:rPr>
        <w:t xml:space="preserve">四、投标文件的递交</w:t>
      </w:r>
      <w:bookmarkEnd w:id="132"/>
      <w:r/>
      <w:bookmarkEnd w:id="133"/>
      <w:r/>
      <w:bookmarkEnd w:id="134"/>
      <w:r/>
      <w:bookmarkEnd w:id="135"/>
      <w:r/>
      <w:r/>
    </w:p>
    <w:p>
      <w:pPr>
        <w:pStyle w:val="656"/>
        <w:ind w:firstLine="420"/>
        <w:spacing w:before="0" w:after="0" w:line="240" w:lineRule="auto"/>
        <w:rPr>
          <w:rFonts w:ascii="方正楷体_GBK" w:hAnsi="方正楷体_GBK" w:eastAsia="方正楷体_GBK" w:cs="方正楷体_GBK"/>
          <w:color w:val="auto"/>
          <w:highlight w:val="none"/>
        </w:rPr>
      </w:pPr>
      <w:r/>
      <w:bookmarkStart w:id="136" w:name="_Toc16938541"/>
      <w:r/>
      <w:bookmarkStart w:id="137" w:name="_Toc20823297"/>
      <w:r/>
      <w:bookmarkStart w:id="138" w:name="_Toc513029225"/>
      <w:r/>
      <w:bookmarkStart w:id="139" w:name="_Toc462564084"/>
      <w:r>
        <w:rPr>
          <w:rFonts w:hint="eastAsia" w:ascii="方正楷体_GBK" w:hAnsi="方正楷体_GBK" w:eastAsia="方正楷体_GBK" w:cs="方正楷体_GBK"/>
          <w:color w:val="auto"/>
          <w:highlight w:val="none"/>
        </w:rPr>
        <w:t xml:space="preserve">17.投标文件</w:t>
      </w:r>
      <w:bookmarkEnd w:id="136"/>
      <w:r/>
      <w:bookmarkEnd w:id="137"/>
      <w:r/>
      <w:bookmarkEnd w:id="138"/>
      <w:r/>
      <w:bookmarkEnd w:id="139"/>
      <w:r>
        <w:rPr>
          <w:rFonts w:hint="eastAsia" w:ascii="方正楷体_GBK" w:hAnsi="方正楷体_GBK" w:eastAsia="方正楷体_GBK" w:cs="方正楷体_GBK"/>
          <w:color w:val="auto"/>
          <w:highlight w:val="none"/>
        </w:rPr>
        <w:t xml:space="preserve">的递交</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bookmarkEnd w:id="140"/>
      <w:bookmarkEnd w:id="141"/>
      <w:bookmarkEnd w:id="142"/>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656"/>
        <w:ind w:firstLine="420"/>
        <w:spacing w:before="0" w:after="0" w:line="240" w:lineRule="auto"/>
        <w:rPr>
          <w:rFonts w:ascii="方正楷体_GBK" w:hAnsi="方正楷体_GBK" w:eastAsia="方正楷体_GBK" w:cs="方正楷体_GBK"/>
          <w:color w:val="auto"/>
          <w:highlight w:val="none"/>
        </w:rPr>
      </w:pPr>
      <w:r/>
      <w:bookmarkStart w:id="143" w:name="_Toc513029227"/>
      <w:r/>
      <w:bookmarkStart w:id="144" w:name="_Toc16938543"/>
      <w:r/>
      <w:bookmarkStart w:id="145" w:name="_Toc20823299"/>
      <w:r>
        <w:rPr>
          <w:rFonts w:hint="eastAsia" w:ascii="方正楷体_GBK" w:hAnsi="方正楷体_GBK" w:eastAsia="方正楷体_GBK" w:cs="方正楷体_GBK"/>
          <w:color w:val="auto"/>
          <w:highlight w:val="none"/>
        </w:rPr>
        <w:t xml:space="preserve">18.投标文件</w:t>
      </w:r>
      <w:bookmarkEnd w:id="143"/>
      <w:r/>
      <w:bookmarkEnd w:id="144"/>
      <w:r/>
      <w:bookmarkEnd w:id="145"/>
      <w:r>
        <w:rPr>
          <w:rFonts w:hint="eastAsia" w:ascii="方正楷体_GBK" w:hAnsi="方正楷体_GBK" w:eastAsia="方正楷体_GBK" w:cs="方正楷体_GBK"/>
          <w:color w:val="auto"/>
          <w:highlight w:val="none"/>
        </w:rPr>
        <w:t xml:space="preserve">的拒收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656"/>
        <w:ind w:firstLine="420"/>
        <w:spacing w:before="0" w:after="0" w:line="240" w:lineRule="auto"/>
        <w:rPr>
          <w:rFonts w:ascii="方正楷体_GBK" w:hAnsi="方正楷体_GBK" w:eastAsia="方正楷体_GBK" w:cs="方正楷体_GBK"/>
          <w:color w:val="auto"/>
          <w:highlight w:val="none"/>
        </w:rPr>
      </w:pPr>
      <w:r/>
      <w:bookmarkStart w:id="146" w:name="_Toc16938544"/>
      <w:r/>
      <w:bookmarkStart w:id="147" w:name="_Toc513029228"/>
      <w:r/>
      <w:bookmarkStart w:id="148" w:name="_Toc20823300"/>
      <w:r>
        <w:rPr>
          <w:rFonts w:hint="eastAsia" w:ascii="方正楷体_GBK" w:hAnsi="方正楷体_GBK" w:eastAsia="方正楷体_GBK" w:cs="方正楷体_GBK"/>
          <w:color w:val="auto"/>
          <w:highlight w:val="none"/>
        </w:rPr>
        <w:t xml:space="preserve">19.投标文件的撤回和修改</w:t>
      </w:r>
      <w:bookmarkEnd w:id="146"/>
      <w:r/>
      <w:bookmarkEnd w:id="147"/>
      <w:r/>
      <w:bookmarkEnd w:id="148"/>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49" w:name="_Toc20823301"/>
      <w:r/>
      <w:bookmarkStart w:id="150" w:name="_Toc16938545"/>
      <w:r/>
      <w:bookmarkStart w:id="151" w:name="_Toc120614218"/>
      <w:r/>
      <w:bookmarkStart w:id="152" w:name="_Toc513029229"/>
      <w:r/>
      <w:r/>
    </w:p>
    <w:p>
      <w:pPr>
        <w:pStyle w:val="655"/>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49"/>
      <w:r/>
      <w:bookmarkEnd w:id="150"/>
      <w:r/>
      <w:bookmarkEnd w:id="151"/>
      <w:r/>
      <w:bookmarkEnd w:id="152"/>
      <w:r/>
      <w:r/>
    </w:p>
    <w:p>
      <w:pPr>
        <w:pStyle w:val="656"/>
        <w:ind w:firstLine="420"/>
        <w:spacing w:before="0" w:after="0" w:line="240" w:lineRule="auto"/>
        <w:rPr>
          <w:rFonts w:ascii="方正楷体_GBK" w:hAnsi="方正楷体_GBK" w:eastAsia="方正楷体_GBK" w:cs="方正楷体_GBK"/>
          <w:color w:val="auto"/>
          <w:highlight w:val="none"/>
        </w:rPr>
      </w:pPr>
      <w:r/>
      <w:bookmarkStart w:id="153" w:name="_Toc20823302"/>
      <w:r/>
      <w:bookmarkStart w:id="154" w:name="_Toc16938546"/>
      <w:r/>
      <w:bookmarkStart w:id="155" w:name="_Toc513029230"/>
      <w:r>
        <w:rPr>
          <w:rFonts w:hint="eastAsia" w:ascii="方正楷体_GBK" w:hAnsi="方正楷体_GBK" w:eastAsia="方正楷体_GBK" w:cs="方正楷体_GBK"/>
          <w:color w:val="auto"/>
          <w:highlight w:val="none"/>
        </w:rPr>
        <w:t xml:space="preserve">20.开标</w:t>
      </w:r>
      <w:bookmarkEnd w:id="153"/>
      <w:r/>
      <w:bookmarkEnd w:id="154"/>
      <w:r/>
      <w:bookmarkEnd w:id="155"/>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w:t>
      </w:r>
      <w:r>
        <w:rPr>
          <w:rFonts w:hint="eastAsia" w:ascii="宋体" w:hAnsi="宋体"/>
          <w:color w:val="auto"/>
          <w:sz w:val="24"/>
          <w:highlight w:val="none"/>
        </w:rPr>
        <w:t xml:space="preserve">结果</w:t>
      </w:r>
      <w:r>
        <w:rPr>
          <w:rFonts w:hint="eastAsia" w:ascii="宋体" w:hAnsi="宋体"/>
          <w:color w:val="auto"/>
          <w:sz w:val="24"/>
          <w:highlight w:val="none"/>
          <w:lang w:val="zh-CN"/>
        </w:rPr>
        <w:t xml:space="preserve">有疑义，应当根据《操作手册》规定提出，苏采云系统中《开标记录表》公布后5分钟内未提出的，视同认可开标结果。</w:t>
      </w:r>
      <w:r/>
    </w:p>
    <w:p>
      <w:pPr>
        <w:pStyle w:val="656"/>
        <w:ind w:firstLine="420"/>
        <w:spacing w:before="0" w:after="0" w:line="240" w:lineRule="auto"/>
        <w:rPr>
          <w:rFonts w:ascii="方正楷体_GBK" w:hAnsi="方正楷体_GBK" w:eastAsia="方正楷体_GBK" w:cs="方正楷体_GBK"/>
          <w:color w:val="auto"/>
          <w:highlight w:val="none"/>
        </w:rPr>
      </w:pPr>
      <w:r/>
      <w:bookmarkStart w:id="156" w:name="_Toc16938547"/>
      <w:r/>
      <w:bookmarkStart w:id="157" w:name="_Toc513029231"/>
      <w:r/>
      <w:bookmarkStart w:id="158" w:name="_Toc20823303"/>
      <w:r>
        <w:rPr>
          <w:rFonts w:hint="eastAsia" w:ascii="方正楷体_GBK" w:hAnsi="方正楷体_GBK" w:eastAsia="方正楷体_GBK" w:cs="方正楷体_GBK"/>
          <w:color w:val="auto"/>
          <w:highlight w:val="none"/>
        </w:rPr>
        <w:t xml:space="preserve">21.评标</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评标由依法组建的</w:t>
      </w:r>
      <w:r>
        <w:rPr>
          <w:rFonts w:hint="eastAsia" w:ascii="宋体" w:hAnsi="宋体"/>
          <w:color w:val="auto"/>
          <w:sz w:val="24"/>
          <w:highlight w:val="none"/>
          <w:lang w:val="zh-CN"/>
        </w:rPr>
        <w:t xml:space="preserve">评标委员会（以下简称“评委会”）进行。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评委会由采购人代表和有关方面专家组成，人员构成符合政府采购有关规定。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56"/>
      <w:bookmarkEnd w:id="157"/>
      <w:bookmarkEnd w:id="158"/>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w:t>
      </w:r>
      <w:r>
        <w:rPr>
          <w:rFonts w:hint="eastAsia" w:ascii="宋体" w:hAnsi="宋体"/>
          <w:color w:val="auto"/>
          <w:sz w:val="24"/>
          <w:highlight w:val="none"/>
        </w:rPr>
        <w:t xml:space="preserve">方式</w:t>
      </w:r>
      <w:r>
        <w:rPr>
          <w:rFonts w:hint="eastAsia" w:ascii="宋体" w:hAnsi="宋体"/>
          <w:color w:val="auto"/>
          <w:sz w:val="24"/>
          <w:highlight w:val="none"/>
          <w:lang w:val="zh-CN"/>
        </w:rPr>
        <w:t xml:space="preserve">影响评标，否则其投标文件将被作为无效投标文件。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w:t>
      </w:r>
      <w:r>
        <w:rPr>
          <w:rFonts w:hint="eastAsia" w:ascii="宋体" w:hAnsi="宋体"/>
          <w:color w:val="auto"/>
          <w:sz w:val="24"/>
          <w:highlight w:val="none"/>
        </w:rPr>
        <w:t xml:space="preserve">本单位</w:t>
      </w:r>
      <w:r>
        <w:rPr>
          <w:rFonts w:hint="eastAsia" w:ascii="宋体" w:hAnsi="宋体"/>
          <w:color w:val="auto"/>
          <w:sz w:val="24"/>
          <w:highlight w:val="none"/>
          <w:lang w:val="zh-CN"/>
        </w:rPr>
        <w:t xml:space="preserve">的评审得分及排</w:t>
      </w:r>
      <w:r>
        <w:rPr>
          <w:rFonts w:hint="eastAsia" w:ascii="宋体" w:hAnsi="宋体"/>
          <w:color w:val="auto"/>
          <w:sz w:val="24"/>
          <w:highlight w:val="none"/>
        </w:rPr>
        <w:t xml:space="preserve">名</w:t>
      </w:r>
      <w:r>
        <w:rPr>
          <w:rFonts w:hint="eastAsia" w:ascii="宋体" w:hAnsi="宋体"/>
          <w:color w:val="auto"/>
          <w:sz w:val="24"/>
          <w:highlight w:val="none"/>
          <w:lang w:val="zh-CN"/>
        </w:rPr>
        <w:t xml:space="preserve">情况。</w:t>
      </w:r>
      <w:r/>
    </w:p>
    <w:p>
      <w:pPr>
        <w:pStyle w:val="656"/>
        <w:ind w:firstLine="420"/>
        <w:spacing w:before="0" w:after="0" w:line="240" w:lineRule="auto"/>
        <w:rPr>
          <w:rFonts w:ascii="方正楷体_GBK" w:hAnsi="方正楷体_GBK" w:eastAsia="方正楷体_GBK" w:cs="方正楷体_GBK"/>
          <w:color w:val="auto"/>
          <w:highlight w:val="none"/>
        </w:rPr>
      </w:pPr>
      <w:r/>
      <w:bookmarkStart w:id="159" w:name="_Toc513029232"/>
      <w:r/>
      <w:bookmarkStart w:id="160" w:name="_Toc20823304"/>
      <w:r/>
      <w:bookmarkStart w:id="161" w:name="_Toc16938548"/>
      <w:r>
        <w:rPr>
          <w:rFonts w:hint="eastAsia" w:ascii="方正楷体_GBK" w:hAnsi="方正楷体_GBK" w:eastAsia="方正楷体_GBK" w:cs="方正楷体_GBK"/>
          <w:color w:val="auto"/>
          <w:highlight w:val="none"/>
        </w:rPr>
        <w:t xml:space="preserve">23.投标文件的澄清</w:t>
      </w:r>
      <w:bookmarkEnd w:id="159"/>
      <w:r/>
      <w:bookmarkEnd w:id="160"/>
      <w:r/>
      <w:bookmarkEnd w:id="161"/>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出澄清、说明和补正，其风险由投标人自行承担。</w:t>
      </w:r>
      <w:r/>
    </w:p>
    <w:p>
      <w:pPr>
        <w:pStyle w:val="656"/>
        <w:ind w:firstLine="420"/>
        <w:spacing w:before="0" w:after="0" w:line="240" w:lineRule="auto"/>
        <w:rPr>
          <w:rFonts w:ascii="方正楷体_GBK" w:hAnsi="方正楷体_GBK" w:eastAsia="方正楷体_GBK" w:cs="方正楷体_GBK"/>
          <w:color w:val="auto"/>
          <w:highlight w:val="none"/>
        </w:rPr>
      </w:pPr>
      <w:r/>
      <w:bookmarkStart w:id="162" w:name="_Toc16938549"/>
      <w:r/>
      <w:bookmarkStart w:id="163" w:name="_Toc513029233"/>
      <w:r/>
      <w:bookmarkStart w:id="164" w:name="_Toc20823305"/>
      <w:r>
        <w:rPr>
          <w:rFonts w:hint="eastAsia" w:ascii="方正楷体_GBK" w:hAnsi="方正楷体_GBK" w:eastAsia="方正楷体_GBK" w:cs="方正楷体_GBK"/>
          <w:color w:val="auto"/>
          <w:highlight w:val="none"/>
        </w:rPr>
        <w:t xml:space="preserve">24.投标文件的</w:t>
      </w:r>
      <w:bookmarkEnd w:id="162"/>
      <w:r/>
      <w:bookmarkEnd w:id="163"/>
      <w:r/>
      <w:bookmarkEnd w:id="164"/>
      <w:r>
        <w:rPr>
          <w:rFonts w:hint="eastAsia" w:ascii="方正楷体_GBK" w:hAnsi="方正楷体_GBK" w:eastAsia="方正楷体_GBK" w:cs="方正楷体_GBK"/>
          <w:color w:val="auto"/>
          <w:highlight w:val="none"/>
        </w:rPr>
        <w:t xml:space="preserve">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投标文件审查分为资格审查和符合性审查。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资格审查。依据法律法规和招标文件规定，由采购人对投标文件中的资格证明文件进行审查，</w:t>
      </w:r>
      <w:r>
        <w:rPr>
          <w:rFonts w:hint="eastAsia" w:ascii="宋体" w:hAnsi="宋体"/>
          <w:color w:val="auto"/>
          <w:sz w:val="24"/>
          <w:highlight w:val="none"/>
        </w:rPr>
        <w:t xml:space="preserve">并</w:t>
      </w:r>
      <w:r>
        <w:rPr>
          <w:rFonts w:hint="eastAsia" w:ascii="宋体" w:hAnsi="宋体"/>
          <w:color w:val="auto"/>
          <w:sz w:val="24"/>
          <w:highlight w:val="none"/>
          <w:lang w:val="zh-CN"/>
        </w:rPr>
        <w:t xml:space="preserve">向评委会反馈</w:t>
      </w:r>
      <w:r>
        <w:rPr>
          <w:rFonts w:hint="eastAsia" w:ascii="宋体" w:hAnsi="宋体"/>
          <w:color w:val="auto"/>
          <w:sz w:val="24"/>
          <w:highlight w:val="none"/>
        </w:rPr>
        <w:t xml:space="preserve">审查结论</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符合性审查。依据招标文件的规定，由评委会从有效性、完整性和对招标文件的响应程度</w:t>
      </w:r>
      <w:r>
        <w:rPr>
          <w:rFonts w:hint="eastAsia" w:ascii="宋体" w:hAnsi="宋体"/>
          <w:color w:val="auto"/>
          <w:sz w:val="24"/>
          <w:highlight w:val="none"/>
        </w:rPr>
        <w:t xml:space="preserve">等方面对投标文件</w:t>
      </w:r>
      <w:r>
        <w:rPr>
          <w:rFonts w:hint="eastAsia" w:ascii="宋体" w:hAnsi="宋体"/>
          <w:color w:val="auto"/>
          <w:sz w:val="24"/>
          <w:highlight w:val="none"/>
          <w:lang w:val="zh-CN"/>
        </w:rPr>
        <w:t xml:space="preserve">进行审查，以确定是否对招标文件的实质性要求作出响应。</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未通过资格审查或符合性审查的投标人，交易中心将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苏采云系统告知</w:t>
      </w:r>
      <w:r>
        <w:rPr>
          <w:rFonts w:hint="eastAsia" w:ascii="宋体" w:hAnsi="宋体"/>
          <w:color w:val="auto"/>
          <w:sz w:val="24"/>
          <w:highlight w:val="none"/>
        </w:rPr>
        <w:t xml:space="preserve">其具体</w:t>
      </w:r>
      <w:r>
        <w:rPr>
          <w:rFonts w:hint="eastAsia" w:ascii="宋体" w:hAnsi="宋体"/>
          <w:color w:val="auto"/>
          <w:sz w:val="24"/>
          <w:highlight w:val="none"/>
          <w:lang w:val="zh-CN"/>
        </w:rPr>
        <w:t xml:space="preserve">原因，评标结束后</w:t>
      </w:r>
      <w:r>
        <w:rPr>
          <w:rFonts w:hint="eastAsia" w:ascii="宋体" w:hAnsi="宋体"/>
          <w:color w:val="auto"/>
          <w:sz w:val="24"/>
          <w:highlight w:val="none"/>
        </w:rPr>
        <w:t xml:space="preserve">不再接受有关询问</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仅对</w:t>
      </w:r>
      <w:r>
        <w:rPr>
          <w:rFonts w:hint="eastAsia" w:ascii="宋体" w:hAnsi="宋体"/>
          <w:color w:val="auto"/>
          <w:sz w:val="24"/>
          <w:highlight w:val="none"/>
          <w:lang w:val="zh-CN"/>
        </w:rPr>
        <w:t xml:space="preserve">实质性响应招标文件要求</w:t>
      </w:r>
      <w:r>
        <w:rPr>
          <w:rFonts w:hint="eastAsia" w:ascii="宋体" w:hAnsi="宋体"/>
          <w:color w:val="auto"/>
          <w:sz w:val="24"/>
          <w:highlight w:val="none"/>
        </w:rPr>
        <w:t xml:space="preserve">的投标文件进行详细评审</w:t>
      </w:r>
      <w:r>
        <w:rPr>
          <w:rFonts w:hint="eastAsia" w:ascii="宋体" w:hAnsi="宋体"/>
          <w:color w:val="auto"/>
          <w:sz w:val="24"/>
          <w:highlight w:val="none"/>
          <w:lang w:val="zh-CN"/>
        </w:rPr>
        <w:t xml:space="preserve">。实质性响应的投标文件应该是与招标文件要求的全部条款、条件和规格相符，没有重大偏离或保留的文件。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少数服从多数的原则作出结论。评委</w:t>
      </w:r>
      <w:r>
        <w:rPr>
          <w:rFonts w:hint="eastAsia" w:ascii="宋体" w:hAnsi="宋体"/>
          <w:color w:val="auto"/>
          <w:sz w:val="24"/>
          <w:highlight w:val="none"/>
        </w:rPr>
        <w:t xml:space="preserve">会认</w:t>
      </w:r>
      <w:r>
        <w:rPr>
          <w:rFonts w:hint="eastAsia" w:ascii="宋体" w:hAnsi="宋体"/>
          <w:color w:val="auto"/>
          <w:sz w:val="24"/>
          <w:highlight w:val="none"/>
          <w:lang w:val="zh-CN"/>
        </w:rPr>
        <w:t xml:space="preserve">定投标文件的响应性只根据投标文件本身的内容，而不寻求外部的证据。</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auto"/>
          <w:sz w:val="24"/>
          <w:highlight w:val="none"/>
          <w:lang w:val="zh-CN"/>
        </w:rPr>
      </w:pPr>
      <w:r/>
      <w:bookmarkStart w:id="165" w:name="_Toc16938550"/>
      <w:r/>
      <w:bookmarkStart w:id="166" w:name="_Toc513029234"/>
      <w:r/>
      <w:bookmarkStart w:id="167" w:name="_Toc20823306"/>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投标人在开、评标全过程中应保持通讯畅通，及时登录苏采云系统查阅、答复相关信息，并安排专人与交易中心及评委会联系。</w:t>
      </w:r>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65"/>
      <w:r/>
      <w:bookmarkEnd w:id="166"/>
      <w:r/>
      <w:bookmarkEnd w:id="167"/>
      <w:r>
        <w:rPr>
          <w:rFonts w:hint="eastAsia" w:ascii="方正楷体_GBK" w:hAnsi="方正楷体_GBK" w:eastAsia="方正楷体_GBK" w:cs="方正楷体_GBK"/>
          <w:color w:val="auto"/>
          <w:highlight w:val="none"/>
        </w:rPr>
        <w:t xml:space="preserve">5.无效投标和废标</w:t>
      </w:r>
      <w:r/>
    </w:p>
    <w:p>
      <w:pPr>
        <w:ind w:firstLine="420"/>
        <w:rPr>
          <w:rFonts w:ascii="宋体" w:hAnsi="宋体"/>
          <w:color w:val="auto"/>
          <w:sz w:val="24"/>
          <w:highlight w:val="none"/>
          <w:lang w:val="zh-CN"/>
        </w:rPr>
      </w:pPr>
      <w:r/>
      <w:bookmarkStart w:id="168" w:name="_Toc20823307"/>
      <w:r/>
      <w:bookmarkStart w:id="169" w:name="_Toc16938551"/>
      <w:r/>
      <w:bookmarkStart w:id="170" w:name="_Toc513029235"/>
      <w:r/>
      <w:bookmarkStart w:id="171" w:name="_Toc120614219"/>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b/>
          <w:bCs/>
          <w:color w:val="auto"/>
          <w:sz w:val="24"/>
          <w:highlight w:val="none"/>
          <w:lang w:val="zh-CN"/>
        </w:rPr>
        <w:t xml:space="preserve">本文件中斜体且有下划线部分，或者打“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25.1.12 投标文件未按照招标文件要求加盖电子公章。</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25.2.5 因苏采云系统故障造成开标不成功。</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25.3 如出现投标截止时间后参加投标的供应商或者对招标文件作出实质性响应的供应商不足三家的情况，按政府采购相关规定执行。</w:t>
      </w:r>
      <w:r/>
    </w:p>
    <w:p>
      <w:pPr>
        <w:ind w:firstLine="420"/>
        <w:rPr>
          <w:rFonts w:ascii="宋体" w:hAnsi="宋体"/>
          <w:color w:val="auto"/>
          <w:sz w:val="24"/>
          <w:highlight w:val="none"/>
        </w:rPr>
      </w:pPr>
      <w:r>
        <w:rPr>
          <w:rFonts w:hint="eastAsia" w:ascii="宋体" w:hAnsi="宋体"/>
          <w:color w:val="auto"/>
          <w:sz w:val="24"/>
          <w:highlight w:val="none"/>
          <w:lang w:val="zh-CN"/>
        </w:rPr>
        <w:t xml:space="preserve">25.4 如出现25.2.1或25.3情形，招标活动失败，评审委员会</w:t>
      </w:r>
      <w:r>
        <w:rPr>
          <w:rFonts w:hint="eastAsia" w:ascii="宋体" w:hAnsi="宋体"/>
          <w:color w:val="auto"/>
          <w:sz w:val="24"/>
          <w:highlight w:val="none"/>
        </w:rPr>
        <w:t xml:space="preserve">应</w:t>
      </w:r>
      <w:r>
        <w:rPr>
          <w:rFonts w:hint="eastAsia" w:ascii="宋体" w:hAnsi="宋体"/>
          <w:color w:val="auto"/>
          <w:sz w:val="24"/>
          <w:highlight w:val="none"/>
          <w:lang w:bidi="ar"/>
        </w:rPr>
        <w:t xml:space="preserve">对</w:t>
      </w:r>
      <w:r>
        <w:rPr>
          <w:rFonts w:hint="eastAsia" w:ascii="宋体" w:hAnsi="宋体"/>
          <w:color w:val="auto"/>
          <w:sz w:val="24"/>
          <w:highlight w:val="none"/>
          <w:lang w:val="zh-CN" w:bidi="ar"/>
        </w:rPr>
        <w:t xml:space="preserve">招标文件是否存在不合理条款</w:t>
      </w:r>
      <w:r>
        <w:rPr>
          <w:rFonts w:hint="eastAsia" w:ascii="宋体" w:hAnsi="宋体"/>
          <w:color w:val="auto"/>
          <w:sz w:val="24"/>
          <w:highlight w:val="none"/>
          <w:lang w:bidi="ar"/>
        </w:rPr>
        <w:t xml:space="preserve">进行论证，并在评审报告中写明</w:t>
      </w:r>
      <w:r>
        <w:rPr>
          <w:rFonts w:hint="eastAsia" w:ascii="宋体" w:hAnsi="宋体"/>
          <w:color w:val="auto"/>
          <w:sz w:val="24"/>
          <w:highlight w:val="none"/>
          <w:lang w:val="zh-CN" w:bidi="ar"/>
        </w:rPr>
        <w:t xml:space="preserve">论证意见。</w:t>
      </w:r>
      <w:r/>
    </w:p>
    <w:p>
      <w:pPr>
        <w:pStyle w:val="655"/>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68"/>
      <w:r/>
      <w:bookmarkEnd w:id="169"/>
      <w:r/>
      <w:bookmarkEnd w:id="170"/>
      <w:r>
        <w:rPr>
          <w:rFonts w:hint="eastAsia" w:ascii="方正黑体_GBK" w:hAnsi="方正黑体_GBK" w:eastAsia="方正黑体_GBK" w:cs="方正黑体_GBK"/>
          <w:b w:val="0"/>
          <w:bCs w:val="0"/>
          <w:color w:val="auto"/>
          <w:sz w:val="30"/>
          <w:szCs w:val="30"/>
          <w:highlight w:val="none"/>
        </w:rPr>
        <w:t xml:space="preserve">定标</w:t>
      </w:r>
      <w:bookmarkEnd w:id="171"/>
      <w:r/>
      <w:r/>
    </w:p>
    <w:p>
      <w:pPr>
        <w:pStyle w:val="656"/>
        <w:ind w:firstLine="420"/>
        <w:spacing w:before="0" w:after="0" w:line="240" w:lineRule="auto"/>
        <w:rPr>
          <w:rFonts w:ascii="方正楷体_GBK" w:hAnsi="方正楷体_GBK" w:eastAsia="方正楷体_GBK" w:cs="方正楷体_GBK"/>
          <w:color w:val="auto"/>
          <w:highlight w:val="none"/>
        </w:rPr>
      </w:pPr>
      <w:r/>
      <w:bookmarkStart w:id="172" w:name="_Toc513029238"/>
      <w:r/>
      <w:bookmarkStart w:id="173" w:name="_Toc16938554"/>
      <w:r/>
      <w:bookmarkStart w:id="174" w:name="_Toc20823310"/>
      <w:r>
        <w:rPr>
          <w:rFonts w:hint="eastAsia" w:ascii="方正楷体_GBK" w:hAnsi="方正楷体_GBK" w:eastAsia="方正楷体_GBK" w:cs="方正楷体_GBK"/>
          <w:color w:val="auto"/>
          <w:highlight w:val="none"/>
        </w:rPr>
        <w:t xml:space="preserve">2</w:t>
      </w:r>
      <w:bookmarkEnd w:id="172"/>
      <w:r>
        <w:rPr>
          <w:rFonts w:hint="eastAsia" w:ascii="方正楷体_GBK" w:hAnsi="方正楷体_GBK" w:eastAsia="方正楷体_GBK" w:cs="方正楷体_GBK"/>
          <w:color w:val="auto"/>
          <w:highlight w:val="none"/>
        </w:rPr>
        <w:t xml:space="preserve">6.确定</w:t>
      </w:r>
      <w:bookmarkEnd w:id="173"/>
      <w:r/>
      <w:bookmarkEnd w:id="174"/>
      <w:r>
        <w:rPr>
          <w:rFonts w:hint="eastAsia" w:ascii="方正楷体_GBK" w:hAnsi="方正楷体_GBK" w:eastAsia="方正楷体_GBK" w:cs="方正楷体_GBK"/>
          <w:color w:val="auto"/>
          <w:highlight w:val="none"/>
        </w:rPr>
        <w:t xml:space="preserve">中标单位</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向评审专家、采购人或交易中心工作人员行贿或者提供其他不正当利益。</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与其他供应商、评审专家、采购人或交易中心工作人员恶意串通。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rPr>
          <w:rFonts w:ascii="宋体" w:hAnsi="宋体"/>
          <w:b/>
          <w:bCs/>
          <w:color w:val="auto"/>
          <w:sz w:val="24"/>
          <w:highlight w:val="none"/>
          <w:lang w:val="zh-CN"/>
        </w:rPr>
      </w:pPr>
      <w:r/>
      <w:bookmarkStart w:id="175"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175"/>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55"/>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176" w:name="_Toc120614220"/>
      <w:r/>
      <w:bookmarkStart w:id="177" w:name="_Toc16938552"/>
      <w:r/>
      <w:bookmarkStart w:id="178" w:name="_Toc513029236"/>
      <w:r/>
      <w:bookmarkStart w:id="179" w:name="_Toc20823308"/>
      <w:r>
        <w:rPr>
          <w:rFonts w:hint="eastAsia" w:ascii="方正黑体_GBK" w:hAnsi="方正黑体_GBK" w:eastAsia="方正黑体_GBK" w:cs="方正黑体_GBK"/>
          <w:b w:val="0"/>
          <w:bCs w:val="0"/>
          <w:color w:val="auto"/>
          <w:sz w:val="30"/>
          <w:szCs w:val="30"/>
          <w:highlight w:val="none"/>
        </w:rPr>
        <w:t xml:space="preserve">七、授予合同</w:t>
      </w:r>
      <w:bookmarkEnd w:id="176"/>
      <w:r/>
      <w:bookmarkEnd w:id="177"/>
      <w:bookmarkEnd w:id="178"/>
      <w:bookmarkEnd w:id="179"/>
      <w:r/>
    </w:p>
    <w:p>
      <w:pPr>
        <w:pStyle w:val="656"/>
        <w:ind w:firstLine="420"/>
        <w:spacing w:before="0" w:after="0" w:line="240" w:lineRule="auto"/>
        <w:rPr>
          <w:rFonts w:ascii="方正楷体_GBK" w:hAnsi="方正楷体_GBK" w:eastAsia="方正楷体_GBK" w:cs="方正楷体_GBK"/>
          <w:color w:val="auto"/>
          <w:highlight w:val="none"/>
        </w:rPr>
      </w:pPr>
      <w:r/>
      <w:bookmarkStart w:id="180" w:name="_Toc513029237"/>
      <w:r/>
      <w:bookmarkStart w:id="181" w:name="_Toc16938553"/>
      <w:r/>
      <w:bookmarkStart w:id="182" w:name="_Toc20823309"/>
      <w:r>
        <w:rPr>
          <w:rFonts w:hint="eastAsia" w:ascii="方正楷体_GBK" w:hAnsi="方正楷体_GBK" w:eastAsia="方正楷体_GBK" w:cs="方正楷体_GBK"/>
          <w:color w:val="auto"/>
          <w:highlight w:val="none"/>
        </w:rPr>
        <w:t xml:space="preserve">28.签订合同</w:t>
      </w:r>
      <w:r/>
    </w:p>
    <w:p>
      <w:pPr>
        <w:ind w:firstLine="420"/>
        <w:rPr>
          <w:rFonts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bookmarkEnd w:id="180"/>
      <w:bookmarkEnd w:id="181"/>
      <w:bookmarkEnd w:id="182"/>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w:t>
      </w:r>
      <w:r>
        <w:rPr>
          <w:rFonts w:hint="eastAsia" w:ascii="宋体" w:hAnsi="宋体"/>
          <w:color w:val="auto"/>
          <w:sz w:val="24"/>
          <w:highlight w:val="none"/>
        </w:rPr>
        <w:t xml:space="preserve">平台</w:t>
      </w:r>
      <w:r>
        <w:rPr>
          <w:rFonts w:hint="eastAsia" w:ascii="宋体" w:hAnsi="宋体"/>
          <w:color w:val="auto"/>
          <w:sz w:val="24"/>
          <w:highlight w:val="none"/>
          <w:lang w:val="zh-CN"/>
        </w:rPr>
        <w:t xml:space="preserve">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150号），需要缴纳履约保证金的，</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655"/>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rPr>
          <w:rFonts w:ascii="宋体" w:hAnsi="宋体"/>
          <w:color w:val="auto"/>
          <w:sz w:val="24"/>
          <w:highlight w:val="none"/>
          <w:lang w:val="zh-CN"/>
        </w:rPr>
      </w:pPr>
      <w:r>
        <w:rPr>
          <w:rFonts w:hint="eastAsia" w:ascii="宋体" w:hAnsi="宋体"/>
          <w:color w:val="auto"/>
          <w:sz w:val="24"/>
          <w:highlight w:val="none"/>
        </w:rPr>
        <w:t xml:space="preserve">35.</w:t>
      </w:r>
      <w:r>
        <w:rPr>
          <w:rFonts w:hint="eastAsia" w:ascii="宋体" w:hAnsi="宋体"/>
          <w:b/>
          <w:bCs/>
          <w:color w:val="auto"/>
          <w:sz w:val="24"/>
          <w:highlight w:val="none"/>
          <w:lang w:val="zh-CN"/>
        </w:rPr>
        <w:t xml:space="preserve">供应商（含潜在供应商）对采购方式、采购需求、供应商资格条件、评标方法和评标标准、合同文本的</w:t>
      </w:r>
      <w:r>
        <w:rPr>
          <w:rFonts w:hint="eastAsia" w:ascii="宋体" w:hAnsi="宋体"/>
          <w:b/>
          <w:bCs/>
          <w:color w:val="auto"/>
          <w:sz w:val="24"/>
          <w:highlight w:val="none"/>
        </w:rPr>
        <w:t xml:space="preserve">询问或</w:t>
      </w:r>
      <w:r>
        <w:rPr>
          <w:rFonts w:hint="eastAsia" w:ascii="宋体" w:hAnsi="宋体"/>
          <w:b/>
          <w:bCs/>
          <w:color w:val="auto"/>
          <w:sz w:val="24"/>
          <w:highlight w:val="none"/>
          <w:lang w:val="zh-CN"/>
        </w:rPr>
        <w:t xml:space="preserve">质疑向采购人提出，由采购人负责答复。</w:t>
      </w:r>
      <w:r>
        <w:rPr>
          <w:rFonts w:hint="eastAsia" w:ascii="宋体" w:hAnsi="宋体"/>
          <w:color w:val="auto"/>
          <w:sz w:val="24"/>
          <w:highlight w:val="none"/>
          <w:lang w:val="zh-CN"/>
        </w:rPr>
        <w:t xml:space="preserve">供应商对</w:t>
      </w:r>
      <w:r>
        <w:rPr>
          <w:rFonts w:hint="eastAsia" w:ascii="宋体" w:hAnsi="宋体"/>
          <w:color w:val="auto"/>
          <w:sz w:val="24"/>
          <w:highlight w:val="none"/>
        </w:rPr>
        <w:t xml:space="preserve">采购过程、采购结果</w:t>
      </w:r>
      <w:r>
        <w:rPr>
          <w:rFonts w:hint="eastAsia" w:ascii="宋体" w:hAnsi="宋体"/>
          <w:color w:val="auto"/>
          <w:sz w:val="24"/>
          <w:highlight w:val="none"/>
          <w:lang w:val="zh-CN"/>
        </w:rPr>
        <w:t xml:space="preserve">的询问</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质疑向交易中心提出，由交易中心负责答复。</w:t>
      </w:r>
      <w:r/>
    </w:p>
    <w:p>
      <w:pPr>
        <w:ind w:firstLine="422"/>
        <w:rPr>
          <w:rFonts w:ascii="宋体" w:hAnsi="宋体"/>
          <w:b/>
          <w:bCs/>
          <w:color w:val="auto"/>
          <w:sz w:val="24"/>
          <w:highlight w:val="none"/>
          <w:lang w:val="zh-CN"/>
        </w:rPr>
      </w:pPr>
      <w:r>
        <w:rPr>
          <w:rFonts w:hint="eastAsia" w:ascii="宋体" w:hAnsi="宋体"/>
          <w:b/>
          <w:bCs/>
          <w:color w:val="auto"/>
          <w:sz w:val="24"/>
          <w:highlight w:val="none"/>
          <w:lang w:val="zh-CN"/>
        </w:rPr>
        <w:t xml:space="preserve">采购人《质疑函》接收人及联系方式：南京市玄武区双龙巷5号4楼4</w:t>
      </w:r>
      <w:r>
        <w:rPr>
          <w:rFonts w:ascii="宋体" w:hAnsi="宋体"/>
          <w:b/>
          <w:bCs/>
          <w:color w:val="auto"/>
          <w:sz w:val="24"/>
          <w:highlight w:val="none"/>
          <w:lang w:val="zh-CN"/>
        </w:rPr>
        <w:t xml:space="preserve">10（南京鼓楼医院医用物资采购中心）张老师</w:t>
      </w:r>
      <w:r>
        <w:rPr>
          <w:rFonts w:hint="eastAsia" w:ascii="宋体" w:hAnsi="宋体"/>
          <w:b/>
          <w:bCs/>
          <w:color w:val="auto"/>
          <w:sz w:val="24"/>
          <w:highlight w:val="none"/>
          <w:lang w:val="zh-CN"/>
        </w:rPr>
        <w:t xml:space="preserve"> </w:t>
      </w:r>
      <w:r>
        <w:rPr>
          <w:rFonts w:ascii="宋体" w:hAnsi="宋体"/>
          <w:b/>
          <w:bCs/>
          <w:color w:val="auto"/>
          <w:sz w:val="24"/>
          <w:highlight w:val="none"/>
          <w:lang w:val="zh-CN"/>
        </w:rPr>
        <w:t xml:space="preserve">025-83105006</w:t>
      </w:r>
      <w:r>
        <w:rPr>
          <w:rFonts w:hint="eastAsia" w:ascii="宋体" w:hAnsi="宋体"/>
          <w:b/>
          <w:bCs/>
          <w:color w:val="auto"/>
          <w:sz w:val="24"/>
          <w:highlight w:val="none"/>
          <w:lang w:val="zh-CN"/>
        </w:rPr>
        <w:t xml:space="preserve">。</w:t>
      </w:r>
      <w:r/>
    </w:p>
    <w:p>
      <w:pPr>
        <w:ind w:firstLine="420"/>
        <w:rPr>
          <w:rFonts w:ascii="宋体" w:hAnsi="宋体"/>
          <w:color w:val="auto"/>
          <w:sz w:val="24"/>
          <w:highlight w:val="none"/>
        </w:rPr>
      </w:pPr>
      <w:r>
        <w:rPr>
          <w:rFonts w:hint="eastAsia" w:ascii="宋体" w:hAnsi="宋体"/>
          <w:color w:val="auto"/>
          <w:sz w:val="24"/>
          <w:highlight w:val="none"/>
          <w:lang w:val="zh-CN"/>
        </w:rPr>
        <w:t xml:space="preserve">交易中心《质疑函》接收部门为政府</w:t>
      </w:r>
      <w:r>
        <w:rPr>
          <w:rFonts w:hint="eastAsia" w:ascii="宋体" w:hAnsi="宋体"/>
          <w:color w:val="auto"/>
          <w:sz w:val="24"/>
          <w:highlight w:val="none"/>
        </w:rPr>
        <w:t xml:space="preserve">集中</w:t>
      </w:r>
      <w:r>
        <w:rPr>
          <w:rFonts w:hint="eastAsia" w:ascii="宋体" w:hAnsi="宋体"/>
          <w:color w:val="auto"/>
          <w:sz w:val="24"/>
          <w:highlight w:val="none"/>
          <w:lang w:val="zh-CN"/>
        </w:rPr>
        <w:t xml:space="preserve">采购</w:t>
      </w:r>
      <w:r>
        <w:rPr>
          <w:rFonts w:hint="eastAsia" w:ascii="宋体" w:hAnsi="宋体"/>
          <w:color w:val="auto"/>
          <w:sz w:val="24"/>
          <w:highlight w:val="none"/>
        </w:rPr>
        <w:t xml:space="preserve">处</w:t>
      </w:r>
      <w:r>
        <w:rPr>
          <w:rFonts w:hint="eastAsia" w:ascii="宋体" w:hAnsi="宋体"/>
          <w:color w:val="auto"/>
          <w:sz w:val="24"/>
          <w:highlight w:val="none"/>
          <w:lang w:val="zh-CN"/>
        </w:rPr>
        <w:t xml:space="preserve">。收件人：南京市公共资源交易中心政府</w:t>
      </w:r>
      <w:r>
        <w:rPr>
          <w:rFonts w:hint="eastAsia" w:ascii="宋体" w:hAnsi="宋体"/>
          <w:color w:val="auto"/>
          <w:sz w:val="24"/>
          <w:highlight w:val="none"/>
        </w:rPr>
        <w:t xml:space="preserve">集中</w:t>
      </w:r>
      <w:r>
        <w:rPr>
          <w:rFonts w:hint="eastAsia" w:ascii="宋体" w:hAnsi="宋体"/>
          <w:color w:val="auto"/>
          <w:sz w:val="24"/>
          <w:highlight w:val="none"/>
          <w:lang w:val="zh-CN"/>
        </w:rPr>
        <w:t xml:space="preserve">采购</w:t>
      </w:r>
      <w:r>
        <w:rPr>
          <w:rFonts w:hint="eastAsia" w:ascii="宋体" w:hAnsi="宋体"/>
          <w:color w:val="auto"/>
          <w:sz w:val="24"/>
          <w:highlight w:val="none"/>
        </w:rPr>
        <w:t xml:space="preserve">处</w:t>
      </w:r>
      <w:r>
        <w:rPr>
          <w:rFonts w:hint="eastAsia" w:ascii="宋体" w:hAnsi="宋体"/>
          <w:color w:val="auto"/>
          <w:sz w:val="24"/>
          <w:highlight w:val="none"/>
          <w:lang w:val="zh-CN"/>
        </w:rPr>
        <w:t xml:space="preserve">，地址：南京市江东中路265号南京市公共资源交易中心北门，联系电话：025-68505926。</w:t>
      </w:r>
      <w:r>
        <w:rPr>
          <w:rFonts w:hint="eastAsia" w:ascii="宋体" w:hAnsi="宋体"/>
          <w:color w:val="auto"/>
          <w:sz w:val="24"/>
          <w:highlight w:val="none"/>
        </w:rPr>
        <w:t xml:space="preserve"> </w:t>
      </w:r>
      <w:r/>
    </w:p>
    <w:p>
      <w:pPr>
        <w:ind w:firstLine="422"/>
        <w:rPr>
          <w:rFonts w:ascii="宋体" w:hAnsi="宋体"/>
          <w:b/>
          <w:bCs/>
          <w:color w:val="auto"/>
          <w:sz w:val="24"/>
          <w:highlight w:val="none"/>
          <w:lang w:val="zh-CN"/>
        </w:rPr>
      </w:pPr>
      <w:r>
        <w:rPr>
          <w:rFonts w:hint="eastAsia" w:ascii="宋体" w:hAnsi="宋体"/>
          <w:b/>
          <w:bCs/>
          <w:color w:val="auto"/>
          <w:sz w:val="24"/>
          <w:highlight w:val="none"/>
        </w:rPr>
        <w:t xml:space="preserve">由采购人负责答复的质疑，采购人将《质疑答复函》抄送交易中心。</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内容不符合《政府采购质疑和投诉办法》第十二条规定的质疑。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超出政府采购法定期限的质疑。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以传真、电子邮件等方式递交的非原件形式的质疑。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6.4 未参加采购活动或在采购活动中自身权益未受到损害的供应商所提出的质疑。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6.5 供应商组成联合体参加采购活动，联合体中任何一方或多方未按要求签字</w:t>
      </w:r>
      <w:r>
        <w:rPr>
          <w:rFonts w:hint="eastAsia" w:ascii="宋体" w:hAnsi="宋体"/>
          <w:color w:val="auto"/>
          <w:sz w:val="24"/>
          <w:highlight w:val="none"/>
        </w:rPr>
        <w:t xml:space="preserve">或签章</w:t>
      </w:r>
      <w:r>
        <w:rPr>
          <w:rFonts w:hint="eastAsia" w:ascii="宋体" w:hAnsi="宋体"/>
          <w:color w:val="auto"/>
          <w:sz w:val="24"/>
          <w:highlight w:val="none"/>
          <w:lang w:val="zh-CN"/>
        </w:rPr>
        <w:t xml:space="preserve">、加盖公章的质疑。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ascii="宋体" w:hAnsi="宋体"/>
          <w:color w:val="auto"/>
          <w:sz w:val="24"/>
          <w:highlight w:val="none"/>
          <w:lang w:val="zh-CN"/>
        </w:rPr>
      </w:pPr>
      <w:r>
        <w:rPr>
          <w:rFonts w:hint="eastAsia" w:ascii="宋体" w:hAnsi="宋体"/>
          <w:color w:val="auto"/>
          <w:sz w:val="24"/>
          <w:highlight w:val="none"/>
        </w:rPr>
        <w:t xml:space="preserve">37.</w:t>
      </w:r>
      <w:r>
        <w:rPr>
          <w:rFonts w:hint="eastAsia" w:ascii="宋体" w:hAnsi="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5"/>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656"/>
        <w:ind w:firstLine="420"/>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ascii="宋体" w:hAnsi="宋体"/>
          <w:color w:val="auto"/>
          <w:sz w:val="24"/>
          <w:highlight w:val="none"/>
          <w:lang w:val="zh-CN"/>
        </w:rPr>
      </w:pPr>
      <w:r>
        <w:rPr>
          <w:rFonts w:hint="eastAsia" w:ascii="宋体" w:hAnsi="宋体"/>
          <w:color w:val="auto"/>
          <w:sz w:val="24"/>
          <w:highlight w:val="none"/>
        </w:rPr>
        <w:t xml:space="preserve">38.1 本项目中的</w:t>
      </w:r>
      <w:r>
        <w:rPr>
          <w:rFonts w:hint="eastAsia" w:ascii="宋体" w:hAnsi="宋体"/>
          <w:color w:val="auto"/>
          <w:sz w:val="24"/>
          <w:highlight w:val="none"/>
          <w:lang w:val="zh-CN"/>
        </w:rPr>
        <w:t xml:space="preserve">货物</w:t>
      </w:r>
      <w:r>
        <w:rPr>
          <w:rFonts w:hint="eastAsia" w:ascii="宋体" w:hAnsi="宋体"/>
          <w:color w:val="auto"/>
          <w:sz w:val="24"/>
          <w:highlight w:val="none"/>
        </w:rPr>
        <w:t xml:space="preserve">全部</w:t>
      </w:r>
      <w:r>
        <w:rPr>
          <w:rFonts w:hint="eastAsia" w:ascii="宋体" w:hAnsi="宋体"/>
          <w:color w:val="auto"/>
          <w:sz w:val="24"/>
          <w:highlight w:val="none"/>
          <w:lang w:val="zh-CN"/>
        </w:rPr>
        <w:t xml:space="preserve">由中小企业制造的，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p>
    <w:p>
      <w:pPr>
        <w:ind w:firstLine="420"/>
        <w:rPr>
          <w:rFonts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《商品包装政府采购需求标准（试行）》《快递包装政府采购需求标准（试行）》（财办库〔2020〕123号）、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ascii="宋体" w:hAnsi="宋体"/>
          <w:color w:val="auto"/>
          <w:sz w:val="24"/>
          <w:highlight w:val="none"/>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656"/>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29"/>
        <w:rPr>
          <w:rFonts w:ascii="宋体" w:hAnsi="宋体" w:eastAsia="宋体" w:cs="Times New Roman"/>
          <w:color w:val="auto"/>
          <w:sz w:val="24"/>
          <w:highlight w:val="none"/>
        </w:rPr>
      </w:pPr>
      <w:r>
        <w:rPr>
          <w:rFonts w:ascii="宋体" w:hAnsi="宋体" w:eastAsia="宋体" w:cs="Times New Roman"/>
          <w:color w:val="auto"/>
          <w:sz w:val="24"/>
          <w:highlight w:val="none"/>
        </w:rPr>
      </w:r>
      <w:r/>
    </w:p>
    <w:p>
      <w:pPr>
        <w:rPr>
          <w:rFonts w:ascii="宋体" w:hAnsi="宋体"/>
          <w:color w:val="auto"/>
          <w:sz w:val="24"/>
          <w:highlight w:val="none"/>
          <w:lang w:val="zh-CN"/>
        </w:rPr>
      </w:pPr>
      <w:r>
        <w:rPr>
          <w:rFonts w:ascii="宋体" w:hAnsi="宋体"/>
          <w:color w:val="auto"/>
          <w:sz w:val="24"/>
          <w:highlight w:val="none"/>
          <w:lang w:val="zh-CN"/>
        </w:rPr>
      </w:r>
      <w:r/>
    </w:p>
    <w:p>
      <w:pPr>
        <w:pStyle w:val="729"/>
        <w:rPr>
          <w:rFonts w:ascii="宋体" w:hAnsi="宋体" w:eastAsia="宋体" w:cs="Times New Roman"/>
          <w:color w:val="auto"/>
          <w:sz w:val="24"/>
          <w:highlight w:val="none"/>
        </w:rPr>
      </w:pPr>
      <w:r>
        <w:rPr>
          <w:rFonts w:ascii="宋体" w:hAnsi="宋体" w:eastAsia="宋体" w:cs="Times New Roman"/>
          <w:color w:val="auto"/>
          <w:sz w:val="24"/>
          <w:highlight w:val="none"/>
        </w:rPr>
      </w:r>
      <w:r/>
    </w:p>
    <w:p>
      <w:pPr>
        <w:rPr>
          <w:rFonts w:ascii="宋体" w:hAnsi="宋体"/>
          <w:color w:val="auto"/>
          <w:sz w:val="24"/>
          <w:highlight w:val="none"/>
          <w:lang w:val="zh-CN"/>
        </w:rPr>
      </w:pPr>
      <w:r>
        <w:rPr>
          <w:rFonts w:ascii="宋体" w:hAnsi="宋体"/>
          <w:color w:val="auto"/>
          <w:sz w:val="24"/>
          <w:highlight w:val="none"/>
          <w:lang w:val="zh-CN"/>
        </w:rPr>
      </w:r>
      <w:r/>
    </w:p>
    <w:p>
      <w:pPr>
        <w:pStyle w:val="729"/>
        <w:ind w:left="0"/>
        <w:jc w:val="center"/>
        <w:rPr>
          <w:rFonts w:ascii="黑体" w:hAnsi="Times New Roman" w:eastAsia="黑体" w:cs="Times New Roman"/>
          <w:color w:val="auto"/>
          <w:sz w:val="44"/>
          <w:szCs w:val="44"/>
          <w:highlight w:val="none"/>
        </w:rPr>
        <w:outlineLvl w:val="0"/>
      </w:pPr>
      <w:r>
        <w:rPr>
          <w:rFonts w:hint="eastAsia"/>
          <w:color w:val="auto"/>
          <w:highlight w:val="none"/>
        </w:rPr>
        <w:br w:type="page" w:clear="all"/>
      </w:r>
      <w:bookmarkEnd w:id="43"/>
      <w:r/>
      <w:bookmarkEnd w:id="44"/>
      <w:r/>
      <w:bookmarkEnd w:id="45"/>
      <w:r/>
      <w:bookmarkEnd w:id="46"/>
      <w:r/>
      <w:bookmarkEnd w:id="47"/>
      <w:r/>
      <w:bookmarkStart w:id="183" w:name="_Toc20823315"/>
      <w:r/>
      <w:bookmarkStart w:id="184" w:name="_Toc513029243"/>
      <w:r/>
      <w:bookmarkStart w:id="185" w:name="_Toc16938559"/>
      <w:r/>
      <w:bookmarkStart w:id="186" w:name="_Toc16938590"/>
      <w:r/>
      <w:bookmarkStart w:id="187" w:name="_Hlt16619350"/>
      <w:r/>
      <w:bookmarkStart w:id="188" w:name="_Toc120614244"/>
      <w:r/>
      <w:bookmarkStart w:id="189" w:name="_Toc20823346"/>
      <w:r/>
      <w:bookmarkStart w:id="190" w:name="_Toc462564139"/>
      <w:r/>
      <w:bookmarkStart w:id="191" w:name="_Toc479757211"/>
      <w:r>
        <w:rPr>
          <w:rFonts w:hint="eastAsia" w:ascii="方正小标宋简体" w:hAnsi="方正小标宋简体" w:eastAsia="方正小标宋简体" w:cs="方正小标宋简体"/>
          <w:color w:val="auto"/>
          <w:sz w:val="36"/>
          <w:szCs w:val="36"/>
          <w:highlight w:val="none"/>
          <w:lang w:val="en-US"/>
        </w:rPr>
        <w:t xml:space="preserve">第三章  合同文本</w:t>
      </w:r>
      <w:r/>
    </w:p>
    <w:p>
      <w:pPr>
        <w:ind w:firstLine="480"/>
        <w:spacing w:line="264" w:lineRule="auto"/>
        <w:rPr>
          <w:rFonts w:ascii="宋体" w:hAnsi="宋体"/>
          <w:bCs/>
          <w:color w:val="auto"/>
          <w:sz w:val="24"/>
          <w:szCs w:val="21"/>
          <w:highlight w:val="none"/>
        </w:rPr>
      </w:pPr>
      <w:r>
        <w:rPr>
          <w:rFonts w:hint="eastAsia" w:ascii="宋体" w:hAnsi="宋体"/>
          <w:bCs/>
          <w:color w:val="auto"/>
          <w:sz w:val="24"/>
          <w:szCs w:val="21"/>
          <w:highlight w:val="none"/>
        </w:rPr>
        <w:t xml:space="preserve">以下为本项目的合同条款，合同双方不得对招标、投标文件内容作实质性修改。</w:t>
      </w:r>
      <w:r/>
    </w:p>
    <w:p>
      <w:pPr>
        <w:jc w:val="center"/>
        <w:spacing w:before="145" w:after="145" w:line="264" w:lineRule="auto"/>
        <w:rPr>
          <w:rFonts w:ascii="宋体" w:hAnsi="宋体"/>
          <w:b/>
          <w:color w:val="auto"/>
          <w:sz w:val="30"/>
          <w:szCs w:val="21"/>
          <w:highlight w:val="none"/>
        </w:rPr>
      </w:pPr>
      <w:r>
        <w:rPr>
          <w:rFonts w:ascii="宋体" w:hAnsi="宋体"/>
          <w:b/>
          <w:color w:val="auto"/>
          <w:sz w:val="30"/>
          <w:szCs w:val="21"/>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spacing w:line="264"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677"/>
        <w:spacing w:line="264" w:lineRule="auto"/>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本合同金额为（大写）：____________________圆（_________________元）人民币。</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 签订合同时，乙方按照合同金额</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u w:val="single"/>
        </w:rPr>
        <w:t xml:space="preserve">10</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%缴纳履约保证金。合同履行结束后，甲方按以下约定退还：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6.1.1 退还时间及条件：验收合格且合同履行期结束后5个工作日内。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6.1.2 退还方式：扣除违约费用后一次性无息退还。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6.1.3 不予退还的情形：合同约定的交付期内未履约完成、验收不合格、整改不到位等情形。</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如无需缴纳履约保证金，此条删除）</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677"/>
        <w:spacing w:line="264" w:lineRule="auto"/>
        <w:rPr>
          <w:rFonts w:hAnsi="宋体"/>
          <w:color w:val="auto"/>
          <w:sz w:val="24"/>
          <w:szCs w:val="24"/>
          <w:highlight w:val="none"/>
        </w:rPr>
      </w:pPr>
      <w:r>
        <w:rPr>
          <w:rFonts w:hint="eastAsia" w:hAnsi="宋体"/>
          <w:color w:val="auto"/>
          <w:sz w:val="24"/>
          <w:szCs w:val="24"/>
          <w:highlight w:val="none"/>
        </w:rPr>
        <w:t xml:space="preserve">8.1 合同款项的支付方式及时间</w:t>
      </w:r>
      <w:r/>
    </w:p>
    <w:p>
      <w:pPr>
        <w:pStyle w:val="677"/>
        <w:spacing w:line="264" w:lineRule="auto"/>
        <w:rPr>
          <w:rFonts w:hAnsi="宋体"/>
          <w:color w:val="auto"/>
          <w:sz w:val="24"/>
          <w:szCs w:val="24"/>
          <w:highlight w:val="none"/>
        </w:rPr>
      </w:pPr>
      <w:r>
        <w:rPr>
          <w:rFonts w:hint="eastAsia" w:hAnsi="宋体"/>
          <w:color w:val="auto"/>
          <w:sz w:val="24"/>
          <w:szCs w:val="24"/>
          <w:highlight w:val="none"/>
        </w:rPr>
        <w:t xml:space="preserve">8.1.1 合同签订且乙方人员进场开始实施后，甲方支付合同总价款的30%作为预付款。</w:t>
      </w:r>
      <w:r/>
    </w:p>
    <w:p>
      <w:pPr>
        <w:pStyle w:val="677"/>
        <w:spacing w:line="264" w:lineRule="auto"/>
        <w:rPr>
          <w:rFonts w:hAnsi="宋体"/>
          <w:color w:val="auto"/>
          <w:sz w:val="24"/>
          <w:szCs w:val="24"/>
          <w:highlight w:val="none"/>
        </w:rPr>
      </w:pPr>
      <w:r>
        <w:rPr>
          <w:rFonts w:hint="eastAsia" w:hAnsi="宋体"/>
          <w:color w:val="auto"/>
          <w:sz w:val="24"/>
          <w:szCs w:val="24"/>
          <w:highlight w:val="none"/>
        </w:rPr>
        <w:t xml:space="preserve">8.1.2 供货结束并验收合格后，甲方支付合同总价款的70%。</w:t>
      </w:r>
      <w:r/>
    </w:p>
    <w:p>
      <w:pPr>
        <w:pStyle w:val="677"/>
        <w:spacing w:line="264" w:lineRule="auto"/>
        <w:rPr>
          <w:rFonts w:hAnsi="宋体"/>
          <w:color w:val="auto"/>
          <w:sz w:val="24"/>
          <w:szCs w:val="24"/>
          <w:highlight w:val="none"/>
        </w:rPr>
      </w:pPr>
      <w:r>
        <w:rPr>
          <w:rFonts w:hint="eastAsia" w:hAnsi="宋体"/>
          <w:color w:val="auto"/>
          <w:sz w:val="24"/>
          <w:szCs w:val="24"/>
          <w:highlight w:val="none"/>
        </w:rPr>
        <w:t xml:space="preserve">8.1.3 满足合同约定支付条件的，甲方收到乙方发票后10个工作日内，将资金支付到合同约定的乙方账户。 </w:t>
      </w:r>
      <w:r/>
    </w:p>
    <w:p>
      <w:pPr>
        <w:pStyle w:val="677"/>
        <w:spacing w:line="264" w:lineRule="auto"/>
        <w:rPr>
          <w:rFonts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pStyle w:val="677"/>
        <w:spacing w:line="264" w:lineRule="auto"/>
        <w:rPr>
          <w:rFonts w:hAnsi="宋体"/>
          <w:color w:val="auto"/>
          <w:sz w:val="24"/>
          <w:szCs w:val="24"/>
          <w:highlight w:val="none"/>
        </w:rPr>
      </w:pPr>
      <w:r>
        <w:rPr>
          <w:rFonts w:hint="eastAsia" w:hAnsi="宋体"/>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 </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183"/>
      <w:bookmarkEnd w:id="184"/>
      <w:bookmarkEnd w:id="185"/>
      <w:r/>
    </w:p>
    <w:p>
      <w:pPr>
        <w:pStyle w:val="677"/>
        <w:spacing w:before="120" w:after="120" w:line="264" w:lineRule="auto"/>
        <w:rPr>
          <w:rFonts w:hAnsi="宋体"/>
          <w:color w:val="auto"/>
          <w:sz w:val="24"/>
          <w:szCs w:val="24"/>
          <w:highlight w:val="none"/>
        </w:rPr>
      </w:pPr>
      <w:r/>
      <w:bookmarkStart w:id="192" w:name="_Hlt16619369"/>
      <w:r/>
      <w:bookmarkEnd w:id="192"/>
      <w:r>
        <w:rPr>
          <w:rFonts w:hint="eastAsia" w:hAnsi="宋体"/>
          <w:color w:val="auto"/>
          <w:sz w:val="24"/>
          <w:szCs w:val="24"/>
          <w:highlight w:val="none"/>
        </w:rPr>
        <w:t xml:space="preserve">  </w:t>
      </w:r>
      <w:r/>
    </w:p>
    <w:p>
      <w:pPr>
        <w:pStyle w:val="677"/>
        <w:spacing w:before="120" w:after="120" w:line="264" w:lineRule="auto"/>
        <w:rPr>
          <w:rFonts w:hAnsi="宋体"/>
          <w:color w:val="auto"/>
          <w:sz w:val="24"/>
          <w:szCs w:val="24"/>
          <w:highlight w:val="none"/>
        </w:rPr>
      </w:pPr>
      <w:r>
        <w:rPr>
          <w:rFonts w:hint="eastAsia" w:hAnsi="宋体"/>
          <w:color w:val="auto"/>
          <w:sz w:val="24"/>
          <w:szCs w:val="24"/>
          <w:highlight w:val="none"/>
        </w:rPr>
        <w:t xml:space="preserve">甲  方：（公章）                       乙  方：（公章） </w:t>
      </w:r>
      <w:r/>
    </w:p>
    <w:p>
      <w:pPr>
        <w:pStyle w:val="677"/>
        <w:spacing w:before="120" w:after="120" w:line="264" w:lineRule="auto"/>
        <w:rPr>
          <w:rFonts w:hAnsi="宋体"/>
          <w:color w:val="auto"/>
          <w:sz w:val="24"/>
          <w:szCs w:val="24"/>
          <w:highlight w:val="none"/>
        </w:rPr>
      </w:pPr>
      <w:r>
        <w:rPr>
          <w:rFonts w:hint="eastAsia" w:hAnsi="宋体"/>
          <w:color w:val="auto"/>
          <w:sz w:val="24"/>
          <w:szCs w:val="24"/>
          <w:highlight w:val="none"/>
        </w:rPr>
        <w:t xml:space="preserve">地  址：                               地  址： </w:t>
      </w:r>
      <w:r/>
    </w:p>
    <w:p>
      <w:pPr>
        <w:pStyle w:val="677"/>
        <w:spacing w:before="120" w:after="120" w:line="264" w:lineRule="auto"/>
        <w:rPr>
          <w:rFonts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677"/>
        <w:spacing w:before="120" w:after="120" w:line="264" w:lineRule="auto"/>
        <w:rPr>
          <w:rFonts w:hAnsi="宋体"/>
          <w:color w:val="auto"/>
          <w:sz w:val="24"/>
          <w:szCs w:val="24"/>
          <w:highlight w:val="none"/>
        </w:rPr>
      </w:pPr>
      <w:r>
        <w:rPr>
          <w:rFonts w:hint="eastAsia" w:hAnsi="宋体"/>
          <w:color w:val="auto"/>
          <w:sz w:val="24"/>
          <w:szCs w:val="24"/>
          <w:highlight w:val="none"/>
        </w:rPr>
        <w:t xml:space="preserve">联系电话：                             联系电话：          </w:t>
      </w:r>
      <w:r/>
    </w:p>
    <w:p>
      <w:pPr>
        <w:pStyle w:val="677"/>
        <w:spacing w:before="120" w:after="120" w:line="264" w:lineRule="auto"/>
        <w:rPr>
          <w:rFonts w:hAnsi="宋体"/>
          <w:color w:val="auto"/>
          <w:sz w:val="24"/>
          <w:szCs w:val="24"/>
          <w:highlight w:val="none"/>
        </w:rPr>
      </w:pPr>
      <w:r>
        <w:rPr>
          <w:rFonts w:hint="eastAsia" w:hAnsi="宋体"/>
          <w:color w:val="auto"/>
          <w:sz w:val="24"/>
          <w:szCs w:val="24"/>
          <w:highlight w:val="none"/>
        </w:rPr>
        <w:t xml:space="preserve">                                          </w:t>
      </w:r>
      <w:r/>
    </w:p>
    <w:p>
      <w:pPr>
        <w:pStyle w:val="677"/>
        <w:ind w:firstLine="4800"/>
        <w:spacing w:before="120" w:after="120" w:line="264" w:lineRule="auto"/>
        <w:rPr>
          <w:rFonts w:hAnsi="宋体"/>
          <w:color w:val="auto"/>
          <w:sz w:val="24"/>
          <w:szCs w:val="24"/>
          <w:highlight w:val="none"/>
        </w:rPr>
      </w:pPr>
      <w:r>
        <w:rPr>
          <w:rFonts w:hint="eastAsia" w:hAnsi="宋体"/>
          <w:color w:val="auto"/>
          <w:sz w:val="24"/>
          <w:szCs w:val="24"/>
          <w:highlight w:val="none"/>
        </w:rPr>
        <w:t xml:space="preserve">签订日期：      </w:t>
      </w:r>
      <w:r/>
    </w:p>
    <w:p>
      <w:pPr>
        <w:jc w:val="center"/>
        <w:spacing w:before="145" w:after="145" w:line="264" w:lineRule="auto"/>
        <w:rPr>
          <w:rFonts w:ascii="宋体" w:hAnsi="宋体"/>
          <w:b/>
          <w:color w:val="auto"/>
          <w:sz w:val="30"/>
          <w:szCs w:val="21"/>
          <w:highlight w:val="none"/>
        </w:rPr>
      </w:pPr>
      <w:r>
        <w:rPr>
          <w:rFonts w:ascii="宋体" w:hAnsi="宋体"/>
          <w:b/>
          <w:color w:val="auto"/>
          <w:sz w:val="30"/>
          <w:szCs w:val="21"/>
          <w:highlight w:val="none"/>
        </w:rPr>
      </w:r>
      <w:r/>
    </w:p>
    <w:p>
      <w:pPr>
        <w:spacing w:before="145" w:after="145" w:line="264" w:lineRule="auto"/>
        <w:rPr>
          <w:rFonts w:ascii="方正小标宋简体" w:hAnsi="方正小标宋简体" w:eastAsia="方正小标宋简体" w:cs="方正小标宋简体"/>
          <w:bCs/>
          <w:color w:val="auto"/>
          <w:sz w:val="32"/>
          <w:szCs w:val="32"/>
          <w:highlight w:val="none"/>
        </w:rPr>
      </w:pPr>
      <w:r>
        <w:rPr>
          <w:rFonts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1"/>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677"/>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auto"/>
          <w:sz w:val="36"/>
          <w:szCs w:val="36"/>
          <w:highlight w:val="none"/>
        </w:rPr>
        <w:outlineLvl w:val="0"/>
      </w:pPr>
      <w:r>
        <w:rPr>
          <w:rFonts w:ascii="黑体" w:hAnsi="Courier New" w:eastAsia="黑体" w:cs="Courier New"/>
          <w:bCs/>
          <w:color w:val="auto"/>
          <w:sz w:val="44"/>
          <w:szCs w:val="21"/>
          <w:highlight w:val="none"/>
        </w:rPr>
        <w:br w:type="page" w:clear="all"/>
      </w:r>
      <w:bookmarkEnd w:id="186"/>
      <w:r/>
      <w:bookmarkEnd w:id="187"/>
      <w:r/>
      <w:bookmarkEnd w:id="188"/>
      <w:r/>
      <w:bookmarkEnd w:id="189"/>
      <w:r>
        <w:rPr>
          <w:rFonts w:hint="eastAsia" w:ascii="方正小标宋简体" w:hAnsi="方正小标宋简体" w:eastAsia="方正小标宋简体" w:cs="方正小标宋简体"/>
          <w:color w:val="auto"/>
          <w:sz w:val="36"/>
          <w:szCs w:val="36"/>
          <w:highlight w:val="none"/>
        </w:rPr>
        <w:t xml:space="preserve">第四章  采购需求</w:t>
      </w:r>
      <w:r/>
    </w:p>
    <w:p>
      <w:pPr>
        <w:ind w:firstLine="480"/>
        <w:spacing w:line="264" w:lineRule="auto"/>
        <w:rPr>
          <w:rFonts w:ascii="黑体" w:hAnsi="黑体" w:eastAsia="黑体" w:cs="黑体"/>
          <w:color w:val="auto"/>
          <w:sz w:val="24"/>
          <w:szCs w:val="24"/>
          <w:highlight w:val="none"/>
        </w:rPr>
      </w:pPr>
      <w:r/>
      <w:bookmarkStart w:id="193" w:name="_Toc26554093"/>
      <w:r/>
      <w:bookmarkStart w:id="194" w:name="_Toc49090575"/>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spacing w:line="264"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88" w:lineRule="auto"/>
        <w:rPr>
          <w:rFonts w:ascii="宋体" w:hAnsi="宋体"/>
          <w:color w:val="auto"/>
          <w:sz w:val="24"/>
          <w:szCs w:val="24"/>
          <w:highlight w:val="none"/>
        </w:rPr>
      </w:pPr>
      <w:r>
        <w:rPr>
          <w:rFonts w:hint="eastAsia" w:ascii="宋体" w:hAnsi="宋体"/>
          <w:color w:val="auto"/>
          <w:sz w:val="24"/>
          <w:szCs w:val="24"/>
          <w:highlight w:val="none"/>
        </w:rPr>
        <w:t xml:space="preserve">为满足南京鼓楼医院徐庄院区37号楼学术交流、业务研讨及日常办公需求，拟对楼内的会议空间（含报告厅、多功能厅及会议室）进行专业会议系统建设；通过部署音视频、显示、发言及控制等系统，既能针对性匹配各空间大型讲座、中小型研讨、日常沟通等多样化场景需求，解决传统会议痛点以提升沟通效率与质量，也能适配医院数字化转型下科研教学、跨科室协作及对外合作的现代化发展需要，打造功能完善的现代化会议场所。</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spacing w:line="264" w:lineRule="auto"/>
        <w:rPr>
          <w:rFonts w:ascii="宋体" w:hAnsi="宋体" w:cs="宋体"/>
          <w:bCs/>
          <w:color w:val="auto"/>
          <w:sz w:val="24"/>
          <w:szCs w:val="24"/>
          <w:highlight w:val="none"/>
        </w:rPr>
      </w:pPr>
      <w:r>
        <w:rPr>
          <w:rFonts w:hint="eastAsia" w:ascii="黑体" w:hAnsi="黑体" w:eastAsia="黑体" w:cs="黑体"/>
          <w:color w:val="auto"/>
          <w:sz w:val="24"/>
          <w:szCs w:val="24"/>
          <w:highlight w:val="none"/>
        </w:rPr>
        <w:t xml:space="preserve">三、项目清单</w:t>
      </w:r>
      <w:r/>
    </w:p>
    <w:tbl>
      <w:tblPr>
        <w:tblStyle w:val="663"/>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945"/>
        <w:gridCol w:w="792"/>
        <w:gridCol w:w="784"/>
        <w:gridCol w:w="937"/>
        <w:gridCol w:w="645"/>
        <w:gridCol w:w="992"/>
        <w:gridCol w:w="709"/>
        <w:gridCol w:w="1134"/>
        <w:gridCol w:w="1134"/>
      </w:tblGrid>
      <w:tr>
        <w:trPr>
          <w:jc w:val="center"/>
          <w:trHeight w:val="240"/>
        </w:trPr>
        <w:tc>
          <w:tcPr>
            <w:tcW w:w="710" w:type="dxa"/>
            <w:vAlign w:val="center"/>
            <w:vMerge w:val="restart"/>
            <w:textDirection w:val="lrTb"/>
            <w:noWrap w:val="false"/>
          </w:tcPr>
          <w:p>
            <w:pPr>
              <w:jc w:val="center"/>
              <w:spacing w:line="240" w:lineRule="exact"/>
              <w:widowControl/>
              <w:rPr>
                <w:rFonts w:ascii="宋体" w:hAnsi="宋体" w:cs="宋体"/>
                <w:b/>
                <w:color w:val="auto"/>
                <w:spacing w:val="-10"/>
                <w:sz w:val="18"/>
                <w:szCs w:val="18"/>
                <w:highlight w:val="none"/>
              </w:rPr>
            </w:pPr>
            <w:r>
              <w:rPr>
                <w:rFonts w:hint="eastAsia" w:ascii="宋体" w:hAnsi="宋体" w:cs="宋体"/>
                <w:b/>
                <w:color w:val="auto"/>
                <w:spacing w:val="-10"/>
                <w:sz w:val="18"/>
                <w:szCs w:val="18"/>
                <w:highlight w:val="none"/>
              </w:rPr>
              <w:t xml:space="preserve">序号</w:t>
            </w:r>
            <w:r/>
          </w:p>
        </w:tc>
        <w:tc>
          <w:tcPr>
            <w:tcW w:w="1945" w:type="dxa"/>
            <w:vAlign w:val="center"/>
            <w:vMerge w:val="restart"/>
            <w:textDirection w:val="lrTb"/>
            <w:noWrap w:val="false"/>
          </w:tcPr>
          <w:p>
            <w:pPr>
              <w:jc w:val="center"/>
              <w:spacing w:line="240" w:lineRule="exact"/>
              <w:widowControl/>
              <w:rPr>
                <w:rFonts w:ascii="宋体" w:hAnsi="宋体" w:cs="宋体"/>
                <w:b/>
                <w:color w:val="auto"/>
                <w:spacing w:val="-10"/>
                <w:sz w:val="18"/>
                <w:szCs w:val="18"/>
                <w:highlight w:val="none"/>
              </w:rPr>
            </w:pPr>
            <w:r>
              <w:rPr>
                <w:rFonts w:hint="eastAsia" w:ascii="宋体" w:hAnsi="宋体" w:cs="宋体"/>
                <w:b/>
                <w:color w:val="auto"/>
                <w:spacing w:val="-10"/>
                <w:sz w:val="18"/>
                <w:szCs w:val="18"/>
                <w:highlight w:val="none"/>
              </w:rPr>
              <w:t xml:space="preserve">分项名称</w:t>
            </w:r>
            <w:r/>
          </w:p>
        </w:tc>
        <w:tc>
          <w:tcPr>
            <w:tcW w:w="792" w:type="dxa"/>
            <w:vAlign w:val="center"/>
            <w:vMerge w:val="restart"/>
            <w:textDirection w:val="lrTb"/>
            <w:noWrap w:val="false"/>
          </w:tcPr>
          <w:p>
            <w:pPr>
              <w:jc w:val="center"/>
              <w:spacing w:line="240" w:lineRule="exact"/>
              <w:widowControl/>
              <w:rPr>
                <w:rFonts w:ascii="宋体" w:hAnsi="宋体" w:cs="宋体"/>
                <w:b/>
                <w:color w:val="auto"/>
                <w:spacing w:val="-10"/>
                <w:sz w:val="18"/>
                <w:szCs w:val="18"/>
                <w:highlight w:val="none"/>
              </w:rPr>
            </w:pPr>
            <w:r>
              <w:rPr>
                <w:rFonts w:hint="eastAsia" w:ascii="宋体" w:hAnsi="宋体" w:cs="宋体"/>
                <w:b/>
                <w:color w:val="auto"/>
                <w:spacing w:val="-10"/>
                <w:sz w:val="18"/>
                <w:szCs w:val="18"/>
                <w:highlight w:val="none"/>
              </w:rPr>
              <w:t xml:space="preserve">数量</w:t>
            </w:r>
            <w:r/>
          </w:p>
        </w:tc>
        <w:tc>
          <w:tcPr>
            <w:tcW w:w="784" w:type="dxa"/>
            <w:vAlign w:val="center"/>
            <w:vMerge w:val="restart"/>
            <w:textDirection w:val="lrTb"/>
            <w:noWrap w:val="false"/>
          </w:tcPr>
          <w:p>
            <w:pPr>
              <w:jc w:val="center"/>
              <w:spacing w:line="240" w:lineRule="exact"/>
              <w:widowControl/>
              <w:rPr>
                <w:rFonts w:ascii="宋体" w:hAnsi="宋体" w:cs="宋体"/>
                <w:b/>
                <w:color w:val="auto"/>
                <w:spacing w:val="-10"/>
                <w:sz w:val="18"/>
                <w:szCs w:val="18"/>
                <w:highlight w:val="none"/>
              </w:rPr>
            </w:pPr>
            <w:r>
              <w:rPr>
                <w:rFonts w:hint="eastAsia" w:ascii="宋体" w:hAnsi="宋体" w:cs="宋体"/>
                <w:b/>
                <w:color w:val="auto"/>
                <w:spacing w:val="-10"/>
                <w:sz w:val="18"/>
                <w:szCs w:val="18"/>
                <w:highlight w:val="none"/>
              </w:rPr>
              <w:t xml:space="preserve">单位</w:t>
            </w:r>
            <w:r/>
          </w:p>
        </w:tc>
        <w:tc>
          <w:tcPr>
            <w:tcW w:w="937" w:type="dxa"/>
            <w:vAlign w:val="center"/>
            <w:vMerge w:val="restart"/>
            <w:textDirection w:val="lrTb"/>
            <w:noWrap w:val="false"/>
          </w:tcPr>
          <w:p>
            <w:pPr>
              <w:jc w:val="center"/>
              <w:spacing w:line="240" w:lineRule="exact"/>
              <w:widowControl/>
              <w:rPr>
                <w:rFonts w:ascii="宋体" w:hAnsi="宋体" w:cs="宋体"/>
                <w:b/>
                <w:color w:val="auto"/>
                <w:spacing w:val="-10"/>
                <w:sz w:val="18"/>
                <w:szCs w:val="18"/>
                <w:highlight w:val="none"/>
              </w:rPr>
            </w:pPr>
            <w:r>
              <w:rPr>
                <w:rFonts w:hint="eastAsia" w:ascii="宋体" w:hAnsi="宋体" w:cs="宋体"/>
                <w:b/>
                <w:color w:val="auto"/>
                <w:spacing w:val="-10"/>
                <w:sz w:val="18"/>
                <w:szCs w:val="18"/>
                <w:highlight w:val="none"/>
              </w:rPr>
              <w:t xml:space="preserve">单价上限（元）</w:t>
            </w:r>
            <w:r>
              <w:rPr>
                <w:b/>
                <w:color w:val="auto"/>
                <w:spacing w:val="-10"/>
                <w:sz w:val="18"/>
                <w:szCs w:val="18"/>
                <w:highlight w:val="none"/>
              </w:rPr>
              <w:t xml:space="preserve"> </w:t>
            </w:r>
            <w:r/>
          </w:p>
        </w:tc>
        <w:tc>
          <w:tcPr>
            <w:tcW w:w="645" w:type="dxa"/>
            <w:vAlign w:val="center"/>
            <w:vMerge w:val="restart"/>
            <w:textDirection w:val="lrTb"/>
            <w:noWrap w:val="false"/>
          </w:tcPr>
          <w:p>
            <w:pPr>
              <w:jc w:val="center"/>
              <w:spacing w:line="240" w:lineRule="exact"/>
              <w:widowControl/>
              <w:rPr>
                <w:rFonts w:ascii="宋体" w:hAnsi="宋体" w:cs="宋体"/>
                <w:b/>
                <w:color w:val="auto"/>
                <w:spacing w:val="-10"/>
                <w:sz w:val="18"/>
                <w:szCs w:val="18"/>
                <w:highlight w:val="none"/>
              </w:rPr>
            </w:pPr>
            <w:r>
              <w:rPr>
                <w:rFonts w:hint="eastAsia" w:ascii="宋体" w:hAnsi="宋体" w:cs="宋体"/>
                <w:b/>
                <w:color w:val="auto"/>
                <w:spacing w:val="-10"/>
                <w:sz w:val="18"/>
                <w:szCs w:val="18"/>
                <w:highlight w:val="none"/>
              </w:rPr>
              <w:t xml:space="preserve">产品类型</w:t>
            </w:r>
            <w:r>
              <w:rPr>
                <w:b/>
                <w:color w:val="auto"/>
                <w:spacing w:val="-10"/>
                <w:sz w:val="18"/>
                <w:szCs w:val="18"/>
                <w:highlight w:val="none"/>
              </w:rPr>
              <w:t xml:space="preserve"> </w:t>
            </w:r>
            <w:r/>
          </w:p>
        </w:tc>
        <w:tc>
          <w:tcPr>
            <w:tcW w:w="992" w:type="dxa"/>
            <w:vAlign w:val="center"/>
            <w:vMerge w:val="restart"/>
            <w:textDirection w:val="lrTb"/>
            <w:noWrap w:val="false"/>
          </w:tcPr>
          <w:p>
            <w:pPr>
              <w:jc w:val="center"/>
              <w:spacing w:line="240" w:lineRule="exact"/>
              <w:widowControl/>
              <w:rPr>
                <w:rFonts w:ascii="宋体" w:hAnsi="宋体" w:cs="宋体"/>
                <w:b/>
                <w:color w:val="auto"/>
                <w:spacing w:val="-10"/>
                <w:sz w:val="18"/>
                <w:szCs w:val="18"/>
                <w:highlight w:val="none"/>
              </w:rPr>
            </w:pPr>
            <w:r>
              <w:rPr>
                <w:rFonts w:hint="eastAsia" w:ascii="宋体" w:hAnsi="宋体" w:cs="宋体"/>
                <w:b/>
                <w:color w:val="auto"/>
                <w:spacing w:val="-10"/>
                <w:sz w:val="18"/>
                <w:szCs w:val="18"/>
                <w:highlight w:val="none"/>
              </w:rPr>
              <w:t xml:space="preserve">所属行业</w:t>
            </w:r>
            <w:r/>
          </w:p>
        </w:tc>
        <w:tc>
          <w:tcPr>
            <w:tcW w:w="709" w:type="dxa"/>
            <w:vAlign w:val="center"/>
            <w:vMerge w:val="restart"/>
            <w:textDirection w:val="lrTb"/>
            <w:noWrap w:val="false"/>
          </w:tcPr>
          <w:p>
            <w:pPr>
              <w:jc w:val="center"/>
              <w:spacing w:line="240" w:lineRule="exact"/>
              <w:widowControl/>
              <w:rPr>
                <w:rFonts w:ascii="宋体" w:hAnsi="宋体" w:cs="宋体"/>
                <w:b/>
                <w:color w:val="auto"/>
                <w:spacing w:val="-10"/>
                <w:sz w:val="18"/>
                <w:szCs w:val="18"/>
                <w:highlight w:val="none"/>
              </w:rPr>
            </w:pPr>
            <w:r>
              <w:rPr>
                <w:rFonts w:hint="eastAsia" w:ascii="宋体" w:hAnsi="宋体" w:cs="宋体"/>
                <w:b/>
                <w:color w:val="auto"/>
                <w:spacing w:val="-10"/>
                <w:sz w:val="18"/>
                <w:szCs w:val="18"/>
                <w:highlight w:val="none"/>
              </w:rPr>
              <w:t xml:space="preserve">属性</w:t>
            </w:r>
            <w:r/>
          </w:p>
        </w:tc>
        <w:tc>
          <w:tcPr>
            <w:tcW w:w="1134" w:type="dxa"/>
            <w:vAlign w:val="center"/>
            <w:vMerge w:val="restart"/>
            <w:textDirection w:val="lrTb"/>
            <w:noWrap w:val="false"/>
          </w:tcPr>
          <w:p>
            <w:pPr>
              <w:jc w:val="center"/>
              <w:spacing w:line="240" w:lineRule="exact"/>
              <w:widowControl/>
              <w:rPr>
                <w:rFonts w:ascii="宋体" w:hAnsi="宋体" w:cs="宋体"/>
                <w:b/>
                <w:color w:val="auto"/>
                <w:spacing w:val="-10"/>
                <w:sz w:val="18"/>
                <w:szCs w:val="18"/>
                <w:highlight w:val="none"/>
              </w:rPr>
            </w:pPr>
            <w:r>
              <w:rPr>
                <w:rFonts w:hint="eastAsia" w:ascii="宋体" w:hAnsi="宋体" w:cs="宋体"/>
                <w:b/>
                <w:color w:val="auto"/>
                <w:spacing w:val="-10"/>
                <w:sz w:val="18"/>
                <w:szCs w:val="18"/>
                <w:highlight w:val="none"/>
              </w:rPr>
              <w:t xml:space="preserve">政府强制采购节能产品</w:t>
            </w:r>
            <w:r>
              <w:rPr>
                <w:b/>
                <w:color w:val="auto"/>
                <w:spacing w:val="-10"/>
                <w:sz w:val="18"/>
                <w:szCs w:val="18"/>
                <w:highlight w:val="none"/>
              </w:rPr>
              <w:t xml:space="preserve"> </w:t>
            </w:r>
            <w:r/>
          </w:p>
        </w:tc>
        <w:tc>
          <w:tcPr>
            <w:tcW w:w="1134" w:type="dxa"/>
            <w:vAlign w:val="center"/>
            <w:vMerge w:val="restart"/>
            <w:textDirection w:val="lrTb"/>
            <w:noWrap w:val="false"/>
          </w:tcPr>
          <w:p>
            <w:pPr>
              <w:jc w:val="center"/>
              <w:spacing w:line="240" w:lineRule="exact"/>
              <w:widowControl/>
              <w:rPr>
                <w:rFonts w:ascii="宋体" w:hAnsi="宋体" w:cs="宋体"/>
                <w:b/>
                <w:color w:val="auto"/>
                <w:spacing w:val="-10"/>
                <w:sz w:val="18"/>
                <w:szCs w:val="18"/>
                <w:highlight w:val="none"/>
              </w:rPr>
            </w:pPr>
            <w:r>
              <w:rPr>
                <w:rFonts w:hint="eastAsia" w:ascii="宋体" w:hAnsi="宋体" w:cs="宋体"/>
                <w:b/>
                <w:color w:val="auto"/>
                <w:spacing w:val="-10"/>
                <w:sz w:val="18"/>
                <w:szCs w:val="18"/>
                <w:highlight w:val="none"/>
              </w:rPr>
              <w:t xml:space="preserve">备注</w:t>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55</w:t>
            </w:r>
            <w:r>
              <w:rPr>
                <w:rFonts w:hint="eastAsia" w:ascii="宋体" w:hAnsi="宋体"/>
                <w:color w:val="auto"/>
                <w:spacing w:val="-10"/>
                <w:sz w:val="18"/>
                <w:szCs w:val="18"/>
                <w:highlight w:val="none"/>
              </w:rPr>
              <w:t xml:space="preserve">寸液晶显示器</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4120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是</w:t>
            </w:r>
            <w:r/>
          </w:p>
        </w:tc>
        <w:tc>
          <w:tcPr>
            <w:tcW w:w="1134" w:type="dxa"/>
            <w:vAlign w:val="center"/>
            <w:vMerge w:val="restart"/>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报告厅（</w:t>
            </w:r>
            <w:r>
              <w:rPr>
                <w:color w:val="auto"/>
                <w:spacing w:val="-10"/>
                <w:sz w:val="18"/>
                <w:szCs w:val="18"/>
                <w:highlight w:val="none"/>
              </w:rPr>
              <w:t xml:space="preserve">286</w:t>
            </w:r>
            <w:r>
              <w:rPr>
                <w:rFonts w:hint="eastAsia" w:ascii="宋体" w:hAnsi="宋体" w:cs="宋体"/>
                <w:color w:val="auto"/>
                <w:spacing w:val="-10"/>
                <w:sz w:val="18"/>
                <w:szCs w:val="18"/>
                <w:highlight w:val="none"/>
              </w:rPr>
              <w:t xml:space="preserve">㎡）</w:t>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55</w:t>
            </w:r>
            <w:r>
              <w:rPr>
                <w:rFonts w:hint="eastAsia" w:ascii="宋体" w:hAnsi="宋体"/>
                <w:color w:val="auto"/>
                <w:spacing w:val="-10"/>
                <w:sz w:val="18"/>
                <w:szCs w:val="18"/>
                <w:highlight w:val="none"/>
              </w:rPr>
              <w:t xml:space="preserve">寸屏吊装支架</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个</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470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LED</w:t>
            </w:r>
            <w:r>
              <w:rPr>
                <w:rFonts w:hint="eastAsia" w:ascii="宋体" w:hAnsi="宋体"/>
                <w:color w:val="auto"/>
                <w:spacing w:val="-10"/>
                <w:sz w:val="18"/>
                <w:szCs w:val="18"/>
                <w:highlight w:val="none"/>
              </w:rPr>
              <w:t xml:space="preserve">显示屏</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26.112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平方米</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15830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LED</w:t>
            </w:r>
            <w:r>
              <w:rPr>
                <w:rFonts w:hint="eastAsia" w:ascii="宋体" w:hAnsi="宋体"/>
                <w:color w:val="auto"/>
                <w:spacing w:val="-10"/>
                <w:sz w:val="18"/>
                <w:szCs w:val="18"/>
                <w:highlight w:val="none"/>
              </w:rPr>
              <w:t xml:space="preserve">控制器</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17960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集中式拼控器</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20000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控制电脑1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9150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是</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7</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无线投屏套装</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3740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8</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多屏控制软件</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应用软件</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9</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安装结构</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26.112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平方米</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3600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10</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配电柜</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4670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11</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备品备件</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20520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12</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线阵列音箱</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8</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只</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6020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13</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12</w:t>
            </w:r>
            <w:r>
              <w:rPr>
                <w:rFonts w:hint="eastAsia" w:ascii="宋体" w:hAnsi="宋体"/>
                <w:color w:val="auto"/>
                <w:spacing w:val="-10"/>
                <w:sz w:val="18"/>
                <w:szCs w:val="18"/>
                <w:highlight w:val="none"/>
              </w:rPr>
              <w:t xml:space="preserve">寸低音线阵音箱</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只</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7780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14</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线阵田字支架配件</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1770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15</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辅助音箱</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只</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2060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16</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返听音箱</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只</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1910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17</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线阵功放</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3170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18</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线阵超低功放</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4460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19</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辅助功放</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2720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20</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返听功放</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2720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21</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数字调音台</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15040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22</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多媒体数字矩阵器</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15910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23</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全自动数字反馈抑制器1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1530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24</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一拖二无线话筒（手持）</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1950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25</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天线放大器</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3600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26</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数控电源时序器</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3440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27</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数字会议系统主机1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4150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核心产品</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28</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数字会议系统主席单元1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2440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29</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数字会议系统代表单元1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3080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30</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分体式视频会议终端1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25650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31</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高清会议摄像机1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10060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32</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中控主机1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24370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33</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中控平板1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2670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34</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交换机</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1150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35</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场控视频</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980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36</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NVR</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1250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37</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控制电脑2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9150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是</w:t>
            </w:r>
            <w:r/>
          </w:p>
        </w:tc>
        <w:tc>
          <w:tcPr>
            <w:tcW w:w="1134" w:type="dxa"/>
            <w:vAlign w:val="center"/>
            <w:vMerge w:val="restart"/>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多功能厅（</w:t>
            </w:r>
            <w:r>
              <w:rPr>
                <w:color w:val="auto"/>
                <w:spacing w:val="-10"/>
                <w:sz w:val="18"/>
                <w:szCs w:val="18"/>
                <w:highlight w:val="none"/>
              </w:rPr>
              <w:t xml:space="preserve">111</w:t>
            </w:r>
            <w:r>
              <w:rPr>
                <w:rFonts w:hint="eastAsia" w:ascii="宋体" w:hAnsi="宋体" w:cs="宋体"/>
                <w:color w:val="auto"/>
                <w:spacing w:val="-10"/>
                <w:sz w:val="18"/>
                <w:szCs w:val="18"/>
                <w:highlight w:val="none"/>
              </w:rPr>
              <w:t xml:space="preserve">㎡）</w:t>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38</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无线投屏套装</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2480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39</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线性声柱1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只</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3320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40</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专业吸顶音箱1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只</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430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41</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专业功放1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2720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42</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编组调音台1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5650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43</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多媒体数字矩阵器1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5650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44</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全自动数字反馈抑制器2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1530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45</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一拖二无线话筒（手持）</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2600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46</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数控电源时序器</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1300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47</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数字会议系统主机2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4150</w:t>
            </w:r>
            <w:r/>
          </w:p>
        </w:tc>
        <w:tc>
          <w:tcPr>
            <w:tcW w:w="645" w:type="dxa"/>
            <w:vAlign w:val="center"/>
            <w:textDirection w:val="lrTb"/>
            <w:noWrap w:val="false"/>
          </w:tcPr>
          <w:p>
            <w:pPr>
              <w:jc w:val="both"/>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48</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数字会议系统主席单元2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2440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49</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数字会议系统代表单元2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3080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50</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分体式视频会议终端2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25650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51</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高清会议摄像机2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10060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52</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中控主机2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24370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53</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中控平板2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2670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54</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86</w:t>
            </w:r>
            <w:r>
              <w:rPr>
                <w:rFonts w:hint="eastAsia" w:ascii="宋体" w:hAnsi="宋体"/>
                <w:color w:val="auto"/>
                <w:spacing w:val="-10"/>
                <w:sz w:val="18"/>
                <w:szCs w:val="18"/>
                <w:highlight w:val="none"/>
              </w:rPr>
              <w:t xml:space="preserve">寸液晶显示器1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21620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是</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55</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OPS</w:t>
            </w:r>
            <w:r>
              <w:rPr>
                <w:rFonts w:hint="eastAsia" w:ascii="宋体" w:hAnsi="宋体"/>
                <w:color w:val="auto"/>
                <w:spacing w:val="-10"/>
                <w:sz w:val="18"/>
                <w:szCs w:val="18"/>
                <w:highlight w:val="none"/>
              </w:rPr>
              <w:t xml:space="preserve">电脑1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4280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56</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无线投屏器1</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980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57</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控制电脑3</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9150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是</w:t>
            </w:r>
            <w:r/>
          </w:p>
        </w:tc>
        <w:tc>
          <w:tcPr>
            <w:tcW w:w="1134" w:type="dxa"/>
            <w:vAlign w:val="center"/>
            <w:vMerge w:val="restart"/>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会议室</w:t>
            </w:r>
            <w:r>
              <w:rPr>
                <w:color w:val="auto"/>
                <w:spacing w:val="-10"/>
                <w:sz w:val="18"/>
                <w:szCs w:val="18"/>
                <w:highlight w:val="none"/>
              </w:rPr>
              <w:t xml:space="preserve">1</w:t>
            </w:r>
            <w:r>
              <w:rPr>
                <w:rFonts w:hint="eastAsia" w:ascii="宋体" w:hAnsi="宋体" w:cs="宋体"/>
                <w:color w:val="auto"/>
                <w:spacing w:val="-10"/>
                <w:sz w:val="18"/>
                <w:szCs w:val="18"/>
                <w:highlight w:val="none"/>
              </w:rPr>
              <w:t xml:space="preserve">（</w:t>
            </w:r>
            <w:r>
              <w:rPr>
                <w:color w:val="auto"/>
                <w:spacing w:val="-10"/>
                <w:sz w:val="18"/>
                <w:szCs w:val="18"/>
                <w:highlight w:val="none"/>
              </w:rPr>
              <w:t xml:space="preserve">60</w:t>
            </w:r>
            <w:r>
              <w:rPr>
                <w:rFonts w:hint="eastAsia" w:ascii="宋体" w:hAnsi="宋体" w:cs="宋体"/>
                <w:color w:val="auto"/>
                <w:spacing w:val="-10"/>
                <w:sz w:val="18"/>
                <w:szCs w:val="18"/>
                <w:highlight w:val="none"/>
              </w:rPr>
              <w:t xml:space="preserve">㎡）</w:t>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58</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无线投屏套装</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3740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59</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线性声柱2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只</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3320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60</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专业吸顶音箱2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只</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430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61</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专业功放2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2720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62</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编组调音台2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5650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63</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多媒体数字矩阵器2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5650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64</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全自动数字反馈抑制器3</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1530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65</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数控电源时序器</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1630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66</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数字会议系统主机3</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4150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67</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数字会议系统主席单元3</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2440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68</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数字会议系统代表单元3</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23</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3080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69</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高清会议摄像机3</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10060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70</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中控主机3</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24370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71</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中控平板3</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2670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72</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86</w:t>
            </w:r>
            <w:r>
              <w:rPr>
                <w:rFonts w:hint="eastAsia" w:ascii="宋体" w:hAnsi="宋体"/>
                <w:color w:val="auto"/>
                <w:spacing w:val="-10"/>
                <w:sz w:val="18"/>
                <w:szCs w:val="18"/>
                <w:highlight w:val="none"/>
              </w:rPr>
              <w:t xml:space="preserve">寸液晶显示器2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21620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是</w:t>
            </w:r>
            <w:r/>
          </w:p>
        </w:tc>
        <w:tc>
          <w:tcPr>
            <w:tcW w:w="1134" w:type="dxa"/>
            <w:vAlign w:val="center"/>
            <w:vMerge w:val="restart"/>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会议室</w:t>
            </w:r>
            <w:r>
              <w:rPr>
                <w:color w:val="auto"/>
                <w:spacing w:val="-10"/>
                <w:sz w:val="18"/>
                <w:szCs w:val="18"/>
                <w:highlight w:val="none"/>
              </w:rPr>
              <w:t xml:space="preserve">2</w:t>
            </w:r>
            <w:r>
              <w:rPr>
                <w:rFonts w:hint="eastAsia" w:ascii="宋体" w:hAnsi="宋体" w:cs="宋体"/>
                <w:color w:val="auto"/>
                <w:spacing w:val="-10"/>
                <w:sz w:val="18"/>
                <w:szCs w:val="18"/>
                <w:highlight w:val="none"/>
              </w:rPr>
              <w:t xml:space="preserve">（</w:t>
            </w:r>
            <w:r>
              <w:rPr>
                <w:color w:val="auto"/>
                <w:spacing w:val="-10"/>
                <w:sz w:val="18"/>
                <w:szCs w:val="18"/>
                <w:highlight w:val="none"/>
              </w:rPr>
              <w:t xml:space="preserve">55</w:t>
            </w:r>
            <w:r>
              <w:rPr>
                <w:rFonts w:hint="eastAsia" w:ascii="宋体" w:hAnsi="宋体" w:cs="宋体"/>
                <w:color w:val="auto"/>
                <w:spacing w:val="-10"/>
                <w:sz w:val="18"/>
                <w:szCs w:val="18"/>
                <w:highlight w:val="none"/>
              </w:rPr>
              <w:t xml:space="preserve">㎡）、会议室</w:t>
            </w:r>
            <w:r>
              <w:rPr>
                <w:color w:val="auto"/>
                <w:spacing w:val="-10"/>
                <w:sz w:val="18"/>
                <w:szCs w:val="18"/>
                <w:highlight w:val="none"/>
              </w:rPr>
              <w:t xml:space="preserve">3</w:t>
            </w:r>
            <w:r>
              <w:rPr>
                <w:rFonts w:hint="eastAsia" w:ascii="宋体" w:hAnsi="宋体" w:cs="宋体"/>
                <w:color w:val="auto"/>
                <w:spacing w:val="-10"/>
                <w:sz w:val="18"/>
                <w:szCs w:val="18"/>
                <w:highlight w:val="none"/>
              </w:rPr>
              <w:t xml:space="preserve">、</w:t>
            </w:r>
            <w:r>
              <w:rPr>
                <w:color w:val="auto"/>
                <w:spacing w:val="-10"/>
                <w:sz w:val="18"/>
                <w:szCs w:val="18"/>
                <w:highlight w:val="none"/>
              </w:rPr>
              <w:t xml:space="preserve">4</w:t>
            </w:r>
            <w:r>
              <w:rPr>
                <w:rFonts w:hint="eastAsia" w:ascii="宋体" w:hAnsi="宋体" w:cs="宋体"/>
                <w:color w:val="auto"/>
                <w:spacing w:val="-10"/>
                <w:sz w:val="18"/>
                <w:szCs w:val="18"/>
                <w:highlight w:val="none"/>
              </w:rPr>
              <w:t xml:space="preserve">（</w:t>
            </w:r>
            <w:r>
              <w:rPr>
                <w:color w:val="auto"/>
                <w:spacing w:val="-10"/>
                <w:sz w:val="18"/>
                <w:szCs w:val="18"/>
                <w:highlight w:val="none"/>
              </w:rPr>
              <w:t xml:space="preserve">42</w:t>
            </w:r>
            <w:r>
              <w:rPr>
                <w:rFonts w:hint="eastAsia" w:ascii="宋体" w:hAnsi="宋体" w:cs="宋体"/>
                <w:color w:val="auto"/>
                <w:spacing w:val="-10"/>
                <w:sz w:val="18"/>
                <w:szCs w:val="18"/>
                <w:highlight w:val="none"/>
              </w:rPr>
              <w:t xml:space="preserve">㎡）</w:t>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73</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OPS</w:t>
            </w:r>
            <w:r>
              <w:rPr>
                <w:rFonts w:hint="eastAsia" w:ascii="宋体" w:hAnsi="宋体"/>
                <w:color w:val="auto"/>
                <w:spacing w:val="-10"/>
                <w:sz w:val="18"/>
                <w:szCs w:val="18"/>
                <w:highlight w:val="none"/>
              </w:rPr>
              <w:t xml:space="preserve">电脑2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4280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74</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无线投屏器2</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980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75</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全向麦克风</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台</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1340</w:t>
            </w:r>
            <w:r/>
          </w:p>
        </w:tc>
        <w:tc>
          <w:tcPr>
            <w:tcW w:w="6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　</w:t>
            </w:r>
            <w:r/>
          </w:p>
        </w:tc>
        <w:tc>
          <w:tcPr>
            <w:tcW w:w="1134" w:type="dxa"/>
            <w:vAlign w:val="center"/>
            <w:vMerge w:val="continue"/>
            <w:textDirection w:val="lrTb"/>
            <w:noWrap w:val="false"/>
          </w:tcPr>
          <w:p>
            <w:pPr>
              <w:jc w:val="left"/>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76</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32U</w:t>
            </w:r>
            <w:r>
              <w:rPr>
                <w:rFonts w:hint="eastAsia" w:ascii="宋体" w:hAnsi="宋体"/>
                <w:color w:val="auto"/>
                <w:spacing w:val="-10"/>
                <w:sz w:val="18"/>
                <w:szCs w:val="18"/>
                <w:highlight w:val="none"/>
              </w:rPr>
              <w:t xml:space="preserve">机柜</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t xml:space="preserve">5</w:t>
            </w:r>
            <w:r>
              <w:rPr>
                <w:rFonts w:hint="eastAsia" w:ascii="宋体" w:hAnsi="宋体" w:cs="宋体"/>
                <w:color w:val="auto"/>
                <w:spacing w:val="-10"/>
                <w:sz w:val="18"/>
                <w:szCs w:val="18"/>
                <w:highlight w:val="none"/>
              </w:rPr>
              <w:t xml:space="preserve">000</w:t>
            </w:r>
            <w:r/>
          </w:p>
        </w:tc>
        <w:tc>
          <w:tcPr>
            <w:tcW w:w="6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　</w:t>
            </w:r>
            <w:r/>
          </w:p>
        </w:tc>
        <w:tc>
          <w:tcPr>
            <w:tcW w:w="1134" w:type="dxa"/>
            <w:vAlign w:val="center"/>
            <w:textDirection w:val="lrTb"/>
            <w:noWrap w:val="false"/>
          </w:tcPr>
          <w:p>
            <w:pPr>
              <w:jc w:val="left"/>
              <w:spacing w:line="240" w:lineRule="exact"/>
              <w:widowControl/>
              <w:rPr>
                <w:color w:val="auto"/>
                <w:spacing w:val="-10"/>
                <w:sz w:val="18"/>
                <w:szCs w:val="18"/>
                <w:highlight w:val="none"/>
              </w:rPr>
            </w:pPr>
            <w:r>
              <w:rPr>
                <w:color w:val="auto"/>
                <w:spacing w:val="-10"/>
                <w:sz w:val="18"/>
                <w:szCs w:val="18"/>
                <w:highlight w:val="none"/>
              </w:rPr>
              <w:t xml:space="preserve">　</w:t>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77</w:t>
            </w:r>
            <w:r/>
          </w:p>
        </w:tc>
        <w:tc>
          <w:tcPr>
            <w:shd w:val="clear" w:color="000000" w:fill="ffffff"/>
            <w:tcW w:w="19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42U</w:t>
            </w:r>
            <w:r>
              <w:rPr>
                <w:rFonts w:hint="eastAsia" w:ascii="宋体" w:hAnsi="宋体"/>
                <w:color w:val="auto"/>
                <w:spacing w:val="-10"/>
                <w:sz w:val="18"/>
                <w:szCs w:val="18"/>
                <w:highlight w:val="none"/>
              </w:rPr>
              <w:t xml:space="preserve">机柜</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2</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套</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t xml:space="preserve">7</w:t>
            </w:r>
            <w:r>
              <w:rPr>
                <w:rFonts w:hint="eastAsia" w:ascii="宋体" w:hAnsi="宋体" w:cs="宋体"/>
                <w:color w:val="auto"/>
                <w:spacing w:val="-10"/>
                <w:sz w:val="18"/>
                <w:szCs w:val="18"/>
                <w:highlight w:val="none"/>
              </w:rPr>
              <w:t xml:space="preserve">000</w:t>
            </w:r>
            <w:r/>
          </w:p>
        </w:tc>
        <w:tc>
          <w:tcPr>
            <w:tcW w:w="6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　</w:t>
            </w:r>
            <w:r/>
          </w:p>
        </w:tc>
        <w:tc>
          <w:tcPr>
            <w:tcW w:w="1134" w:type="dxa"/>
            <w:vAlign w:val="center"/>
            <w:textDirection w:val="lrTb"/>
            <w:noWrap w:val="false"/>
          </w:tcPr>
          <w:p>
            <w:pPr>
              <w:jc w:val="left"/>
              <w:spacing w:line="240" w:lineRule="exact"/>
              <w:widowControl/>
              <w:rPr>
                <w:color w:val="auto"/>
                <w:spacing w:val="-10"/>
                <w:sz w:val="18"/>
                <w:szCs w:val="18"/>
                <w:highlight w:val="none"/>
              </w:rPr>
            </w:pPr>
            <w:r>
              <w:rPr>
                <w:color w:val="auto"/>
                <w:spacing w:val="-10"/>
                <w:sz w:val="18"/>
                <w:szCs w:val="18"/>
                <w:highlight w:val="none"/>
              </w:rPr>
              <w:t xml:space="preserve">　</w:t>
            </w:r>
            <w:r/>
          </w:p>
        </w:tc>
      </w:tr>
      <w:tr>
        <w:trPr>
          <w:jc w:val="center"/>
          <w:trHeight w:val="20"/>
        </w:trPr>
        <w:tc>
          <w:tcPr>
            <w:shd w:val="clear" w:color="000000" w:fill="ffffff"/>
            <w:tcW w:w="710"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78</w:t>
            </w:r>
            <w:r/>
          </w:p>
        </w:tc>
        <w:tc>
          <w:tcPr>
            <w:shd w:val="clear" w:color="000000" w:fill="ffffff"/>
            <w:tcW w:w="1945"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系统集成和辅材</w:t>
            </w:r>
            <w:r/>
          </w:p>
        </w:tc>
        <w:tc>
          <w:tcPr>
            <w:shd w:val="clear" w:color="000000" w:fill="ffffff"/>
            <w:tcW w:w="792"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1</w:t>
            </w:r>
            <w:r/>
          </w:p>
        </w:tc>
        <w:tc>
          <w:tcPr>
            <w:shd w:val="clear" w:color="000000" w:fill="ffffff"/>
            <w:tcW w:w="784"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项</w:t>
            </w:r>
            <w:r/>
          </w:p>
        </w:tc>
        <w:tc>
          <w:tcPr>
            <w:shd w:val="clear" w:color="000000" w:fill="ffffff"/>
            <w:tcW w:w="937"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ascii="宋体" w:hAnsi="宋体" w:cs="宋体"/>
                <w:color w:val="auto"/>
                <w:spacing w:val="-10"/>
                <w:sz w:val="18"/>
                <w:szCs w:val="18"/>
                <w:highlight w:val="none"/>
              </w:rPr>
              <w:t xml:space="preserve">50000</w:t>
            </w:r>
            <w:r/>
          </w:p>
        </w:tc>
        <w:tc>
          <w:tcPr>
            <w:tcW w:w="645"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　</w:t>
            </w:r>
            <w:r/>
          </w:p>
        </w:tc>
        <w:tc>
          <w:tcPr>
            <w:tcW w:w="992"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工业</w:t>
            </w:r>
            <w:r/>
          </w:p>
        </w:tc>
        <w:tc>
          <w:tcPr>
            <w:tcW w:w="709" w:type="dxa"/>
            <w:vAlign w:val="center"/>
            <w:textDirection w:val="lrTb"/>
            <w:noWrap w:val="false"/>
          </w:tcPr>
          <w:p>
            <w:pPr>
              <w:jc w:val="center"/>
              <w:spacing w:line="240" w:lineRule="exact"/>
              <w:widowControl/>
              <w:rPr>
                <w:rFonts w:ascii="宋体" w:hAnsi="宋体" w:cs="宋体"/>
                <w:color w:val="auto"/>
                <w:spacing w:val="-10"/>
                <w:sz w:val="18"/>
                <w:szCs w:val="18"/>
                <w:highlight w:val="none"/>
              </w:rPr>
            </w:pPr>
            <w:r>
              <w:rPr>
                <w:rFonts w:hint="eastAsia" w:ascii="宋体" w:hAnsi="宋体" w:cs="宋体"/>
                <w:color w:val="auto"/>
                <w:spacing w:val="-10"/>
                <w:sz w:val="18"/>
                <w:szCs w:val="18"/>
                <w:highlight w:val="none"/>
              </w:rPr>
              <w:t xml:space="preserve">货物</w:t>
            </w:r>
            <w:r/>
          </w:p>
        </w:tc>
        <w:tc>
          <w:tcPr>
            <w:tcW w:w="1134" w:type="dxa"/>
            <w:vAlign w:val="center"/>
            <w:textDirection w:val="lrTb"/>
            <w:noWrap w:val="false"/>
          </w:tcPr>
          <w:p>
            <w:pPr>
              <w:jc w:val="center"/>
              <w:spacing w:line="240" w:lineRule="exact"/>
              <w:widowControl/>
              <w:rPr>
                <w:color w:val="auto"/>
                <w:spacing w:val="-10"/>
                <w:sz w:val="18"/>
                <w:szCs w:val="18"/>
                <w:highlight w:val="none"/>
              </w:rPr>
            </w:pPr>
            <w:r>
              <w:rPr>
                <w:color w:val="auto"/>
                <w:spacing w:val="-10"/>
                <w:sz w:val="18"/>
                <w:szCs w:val="18"/>
                <w:highlight w:val="none"/>
              </w:rPr>
              <w:t xml:space="preserve">　</w:t>
            </w:r>
            <w:r/>
          </w:p>
        </w:tc>
        <w:tc>
          <w:tcPr>
            <w:tcW w:w="1134" w:type="dxa"/>
            <w:vAlign w:val="center"/>
            <w:textDirection w:val="lrTb"/>
            <w:noWrap w:val="false"/>
          </w:tcPr>
          <w:p>
            <w:pPr>
              <w:jc w:val="left"/>
              <w:spacing w:line="240" w:lineRule="exact"/>
              <w:widowControl/>
              <w:rPr>
                <w:color w:val="auto"/>
                <w:spacing w:val="-10"/>
                <w:sz w:val="18"/>
                <w:szCs w:val="18"/>
                <w:highlight w:val="none"/>
              </w:rPr>
            </w:pPr>
            <w:r>
              <w:rPr>
                <w:color w:val="auto"/>
                <w:spacing w:val="-10"/>
                <w:sz w:val="18"/>
                <w:szCs w:val="18"/>
                <w:highlight w:val="none"/>
              </w:rPr>
              <w:t xml:space="preserve">　</w:t>
            </w:r>
            <w:r/>
          </w:p>
        </w:tc>
      </w:tr>
    </w:tbl>
    <w:p>
      <w:pPr>
        <w:ind w:firstLine="480"/>
        <w:spacing w:line="264" w:lineRule="auto"/>
        <w:widowControl/>
        <w:rPr>
          <w:rFonts w:ascii="宋体" w:hAnsi="宋体" w:cs="宋体"/>
          <w:bCs/>
          <w:color w:val="auto"/>
          <w:sz w:val="24"/>
          <w:szCs w:val="24"/>
          <w:highlight w:val="none"/>
          <w:lang w:val="zh-CN"/>
        </w:rPr>
      </w:pPr>
      <w:r>
        <w:rPr>
          <w:rFonts w:ascii="宋体" w:hAnsi="宋体" w:cs="宋体"/>
          <w:bCs/>
          <w:color w:val="auto"/>
          <w:sz w:val="24"/>
          <w:szCs w:val="24"/>
          <w:highlight w:val="none"/>
          <w:lang w:val="zh-CN"/>
        </w:rPr>
      </w:r>
      <w:r/>
    </w:p>
    <w:p>
      <w:pPr>
        <w:ind w:firstLine="480"/>
        <w:spacing w:line="264" w:lineRule="auto"/>
        <w:rPr>
          <w:rFonts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spacing w:line="264" w:lineRule="auto"/>
        <w:rPr>
          <w:color w:val="auto"/>
          <w:highlight w:val="none"/>
        </w:rPr>
      </w:pPr>
      <w:r>
        <w:rPr>
          <w:rFonts w:hint="eastAsia" w:ascii="宋体" w:hAnsi="宋体" w:cs="宋体"/>
          <w:bCs/>
          <w:color w:val="auto"/>
          <w:sz w:val="24"/>
          <w:szCs w:val="24"/>
          <w:highlight w:val="none"/>
        </w:rPr>
        <w:t xml:space="preserve">（一）技术要求</w:t>
      </w:r>
      <w:r/>
    </w:p>
    <w:tbl>
      <w:tblPr>
        <w:tblStyle w:val="663"/>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59"/>
        <w:gridCol w:w="8222"/>
      </w:tblGrid>
      <w:tr>
        <w:trPr>
          <w:jc w:val="center"/>
          <w:trHeight w:val="379"/>
        </w:trPr>
        <w:tc>
          <w:tcPr>
            <w:shd w:val="clear" w:color="000000" w:fill="ffffff"/>
            <w:tcW w:w="704" w:type="dxa"/>
            <w:vAlign w:val="center"/>
            <w:textDirection w:val="lrTb"/>
            <w:noWrap w:val="false"/>
          </w:tcPr>
          <w:p>
            <w:pPr>
              <w:jc w:val="center"/>
              <w:spacing w:line="260" w:lineRule="exact"/>
              <w:widowControl/>
              <w:rPr>
                <w:rFonts w:ascii="宋体" w:hAnsi="宋体" w:cs="宋体"/>
                <w:b/>
                <w:color w:val="auto"/>
                <w:sz w:val="24"/>
                <w:szCs w:val="24"/>
                <w:highlight w:val="none"/>
              </w:rPr>
            </w:pPr>
            <w:r>
              <w:rPr>
                <w:rFonts w:ascii="宋体" w:hAnsi="宋体" w:cs="宋体"/>
                <w:b/>
                <w:color w:val="auto"/>
                <w:sz w:val="24"/>
                <w:szCs w:val="24"/>
                <w:highlight w:val="none"/>
              </w:rPr>
              <w:t xml:space="preserve">序号</w:t>
            </w:r>
            <w:r/>
          </w:p>
        </w:tc>
        <w:tc>
          <w:tcPr>
            <w:shd w:val="clear" w:color="000000" w:fill="ffffff"/>
            <w:tcW w:w="1559" w:type="dxa"/>
            <w:vAlign w:val="center"/>
            <w:textDirection w:val="lrTb"/>
            <w:noWrap w:val="false"/>
          </w:tcPr>
          <w:p>
            <w:pPr>
              <w:jc w:val="center"/>
              <w:spacing w:line="260" w:lineRule="exact"/>
              <w:widowControl/>
              <w:rPr>
                <w:rFonts w:ascii="宋体" w:hAnsi="宋体" w:cs="宋体"/>
                <w:b/>
                <w:color w:val="auto"/>
                <w:sz w:val="24"/>
                <w:szCs w:val="24"/>
                <w:highlight w:val="none"/>
              </w:rPr>
            </w:pPr>
            <w:r>
              <w:rPr>
                <w:rFonts w:ascii="宋体" w:hAnsi="宋体" w:cs="宋体"/>
                <w:b/>
                <w:color w:val="auto"/>
                <w:sz w:val="24"/>
                <w:szCs w:val="24"/>
                <w:highlight w:val="none"/>
              </w:rPr>
              <w:t xml:space="preserve">名称</w:t>
            </w:r>
            <w:r/>
          </w:p>
        </w:tc>
        <w:tc>
          <w:tcPr>
            <w:shd w:val="clear" w:color="000000" w:fill="ffffff"/>
            <w:tcW w:w="8222"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hint="eastAsia" w:ascii="宋体" w:hAnsi="宋体" w:cs="宋体"/>
                <w:b/>
                <w:color w:val="auto"/>
                <w:sz w:val="24"/>
                <w:szCs w:val="24"/>
                <w:highlight w:val="none"/>
              </w:rPr>
              <w:t xml:space="preserve">功能、性能、配置要求不低于以下要求</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55寸液晶显示器</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1、显示尺寸：≥55 inch</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2、屏幕可视区域：1209.6 mm (H) × 680.4mm (V)</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物理分辨率：3840 ×2160</w:t>
            </w:r>
            <w:r>
              <w:rPr>
                <w:rFonts w:hint="eastAsia" w:eastAsiaTheme="minorEastAsia"/>
                <w:color w:val="auto"/>
                <w:sz w:val="18"/>
                <w:szCs w:val="18"/>
                <w:highlight w:val="none"/>
              </w:rPr>
              <w:t xml:space="preserve">（签订合同时提供国家认可的第三方检测机构出具的检测报告复印件或提供产品白皮书或说明书或彩页）</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4、背光源类型：D-LED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5、亮度：≥300 cd/m²</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6、可视角：178° (H)  /  178° (V)</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7、连续使用时间：7 × 24 H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8、音视频输入接口：HDMI2.0 ≥ 3</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9、音视频输出接口：</w:t>
            </w:r>
            <w:r>
              <w:rPr>
                <w:rFonts w:hint="eastAsia" w:eastAsiaTheme="minorEastAsia"/>
                <w:color w:val="auto"/>
                <w:sz w:val="18"/>
                <w:szCs w:val="18"/>
                <w:highlight w:val="none"/>
              </w:rPr>
              <w:t xml:space="preserve">音频输出口</w:t>
            </w:r>
            <w:r>
              <w:rPr>
                <w:rFonts w:eastAsiaTheme="minorEastAsia"/>
                <w:color w:val="auto"/>
                <w:sz w:val="18"/>
                <w:szCs w:val="18"/>
                <w:highlight w:val="none"/>
              </w:rPr>
              <w:t xml:space="preserve">≥ 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10、数据传输接口：USB2.0 ≥ 1(支持U盘播放和程序在线升级)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11、控制接口：RS232-IN ≥ 1，RS232-OUT≥ 1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12、电源：220-240 V～, 50/60 Hz, 1.0 A Max</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55寸屏吊装支架</w:t>
            </w:r>
            <w:r/>
          </w:p>
        </w:tc>
        <w:tc>
          <w:tcPr>
            <w:shd w:val="clear" w:color="000000" w:fill="ffffff"/>
            <w:tcW w:w="8222" w:type="dxa"/>
            <w:vAlign w:val="center"/>
            <w:textDirection w:val="lrTb"/>
            <w:noWrap w:val="false"/>
          </w:tcPr>
          <w:p>
            <w:pPr>
              <w:jc w:val="left"/>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定制</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3</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LED显示屏</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LED像素点间距≤1.25mm;像素密度≥640000点/㎡</w:t>
            </w:r>
            <w:r>
              <w:rPr>
                <w:rFonts w:hint="eastAsia" w:eastAsiaTheme="minorEastAsia"/>
                <w:color w:val="auto"/>
                <w:sz w:val="18"/>
                <w:szCs w:val="18"/>
                <w:highlight w:val="none"/>
              </w:rPr>
              <w:t xml:space="preserve">（签订合同时提供国家认可的第三方检测机构出具的检测报告复印件或提供产品白皮书或说明书或彩页）</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2、显示屏幕峰值亮度≥600cd/㎡,峰值功耗≤450W/㎡ ，平均功耗≤150W/㎡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3、支持信源接入状态显示,可通过物理按键、客户端、遥控器、设备自带Web 浏览器进行信源切换。（</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4、▲支持通过 Web 浏览器查看 LED 整墙的概览信息和 LED 屏连线状态;支持查看行列网格展示屏幕接收卡规模,在Web 端鼠标移到网格上时,可展示该网格所属网口的所有接收卡单元并高亮展示,可展示网线连线顺序、网口号、工作状态。（</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5、支持从客户端、设备自带 Web 浏览器查看绑定的接收卡序号、接收卡型号、接收卡软件版本、网口 link 状态、接收卡电压、接收卡温度。（</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6、视网膜蓝光危害:符合 GB/T 20145-2006 标准要求,对样品发光器件(灯珠)蓝色光的波长进行测试。为保证产品屏幕光看起来柔和不刺眼,产品需要具备蓝光护眼多重过渡保护系统显示屏调到蓝光最亮状态下测试,蓝光危害加权辐亮度值(LB)应优于国标限量值≤100W·m-2·sr-1，并在2.8h内不造成对视网膜蓝光伤害(LB)，蓝光视网膜危害应属无危害类。（</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7、依据 GB/T 20145-2006标准进行光生物安全评估检测,应属无危害类;光生物安全检测无危害类限值:30000s 曝辐中不造成光化学紫外危害(ES),并在1000s内不造成近紫外危害(EUVA),并在 10s内不造成对视网膜热危害 (LR),且在 1000s 内不造成对眼睛的红外辐射危害(EIR)（</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8、依据“ SJ/T11590-2016”标准从显示屏正面分别观察高速行驶中的汽车车牌、奔跑中的运动员面容，图像清晰无拖影、能识别车牌号及运动员面部特征。（</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该测评符合评价优（5分）的检测报告）</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9、依据“ SJ/T11590-2016”标准观察显示屏正面及侧面人的肤色、蓝天、白云、红旗，绿草地各种图案无偏色。（</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该测评符合评价优（5分）的检测报告）</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10、依据“ SJ/T11590-2016”标准从正面及侧面分别观察亮度及色度，无马赛克现象、无灰尘效应。（</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该测评符合评价优（5分）的检测报告）</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11、▲LED制造商应具有较强的实验室检测能力，具备灯和灯系统的光生物安全性 GB/T 20145-2006标准的测试能力。（</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国家认可的中心实验室认证证书复印件及体现检测范围内容项）</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12、在同一局域网段/级联模式下，支持通过LED客户端发现该网络下的所有在线设备，并能展示设备ip、端口、网关、型号、序列号、软件版本号等信息、</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4</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LED控制器</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1、输入接口：≥1个HDMI2.0接口、≥1个DP1.2接口、≥1个DVI接口、≥1个USB2.0接口、≥1个DEBUG接口、≥2个控制网口、≥2个RS485接口、≥1个IR IN接口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输出接口：≥1个Audio OUT接口，≥1个HDMI 2.0(Loop) 接口，≥20个带载网口，≥1个开关按键、≥3个功能按键。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2、▲具有2个控制网口，支持TCP/IP网络协议，双网口均可用于控制设备或设备网络级联，其中一个接口用于控制设备时，另外一个网口就用于设备网络级联（</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单网口带载支持</w:t>
            </w:r>
            <w:r>
              <w:rPr>
                <w:rFonts w:hint="eastAsia" w:eastAsiaTheme="minorEastAsia"/>
                <w:color w:val="auto"/>
                <w:sz w:val="18"/>
                <w:szCs w:val="18"/>
                <w:highlight w:val="none"/>
              </w:rPr>
              <w:t xml:space="preserve">不少于</w:t>
            </w:r>
            <w:r>
              <w:rPr>
                <w:rFonts w:eastAsiaTheme="minorEastAsia"/>
                <w:color w:val="auto"/>
                <w:sz w:val="18"/>
                <w:szCs w:val="18"/>
                <w:highlight w:val="none"/>
              </w:rPr>
              <w:t xml:space="preserve">65W像素，设备总带载支持</w:t>
            </w:r>
            <w:r>
              <w:rPr>
                <w:rFonts w:hint="eastAsia" w:eastAsiaTheme="minorEastAsia"/>
                <w:color w:val="auto"/>
                <w:sz w:val="18"/>
                <w:szCs w:val="18"/>
                <w:highlight w:val="none"/>
              </w:rPr>
              <w:t xml:space="preserve">不少于</w:t>
            </w:r>
            <w:r>
              <w:rPr>
                <w:rFonts w:eastAsiaTheme="minorEastAsia"/>
                <w:color w:val="auto"/>
                <w:sz w:val="18"/>
                <w:szCs w:val="18"/>
                <w:highlight w:val="none"/>
              </w:rPr>
              <w:t xml:space="preserve">1300W像素.</w:t>
            </w:r>
            <w:r>
              <w:rPr>
                <w:rFonts w:hint="eastAsia" w:eastAsiaTheme="minorEastAsia"/>
                <w:color w:val="auto"/>
                <w:sz w:val="18"/>
                <w:szCs w:val="18"/>
                <w:highlight w:val="none"/>
              </w:rPr>
              <w:t xml:space="preserve"> （签订合同时提供国家认可的第三方检测机构出具的检测报告复印件或提供产品白皮书或说明书或彩页）</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4、支持通过设备自带Web浏览器、客户端、遥控器操作，支持对图像的亮度、色温以及图像模式进行调节设置。（</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5、支持亮度调节，可通过LED显示屏客户端、遥控器、物理按键进行亮度调节。（</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6、支持红绿蓝三色多级调节。支持通过客户端、遥控器进行调节。</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7、支持动态节能算法，开启动态节能算法后，相同显示内容屏幕功耗降低30%。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8、支持射频遥控器和红外两种遥控器。射频遥控器最远距离10m，可穿过建筑物墙壁进行遥控。（</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9、支持通过设备双千兆网络接口，通过TCP/IP协议实现多设备级联管理。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10、支持信源接入状态显示，可通过设备上的source按键、客户端、遥控器的快捷键或菜单键、设备自带Web浏览器进行信源切换。</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11、支持通过客户端和设备自带Web浏览器进行多台设备同时远程重启操作，响应正常。</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5</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集中式拼控器</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1、主控板槽位数：≥2</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2、业务板槽位数：≥11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3、配置主控板数量：≥1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4、整机拼接能力：≥40路</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5、电源槽位数：≥2</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6、配置电源数量：≥1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7、风扇：≥4个</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8、网口：≥1个，RJ45，10M/100M/1000M自适应以太网口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包含不少于4路4KHDMI输出口，4路4KHDMI输入口</w:t>
            </w:r>
            <w:r>
              <w:rPr>
                <w:rFonts w:hint="eastAsia" w:eastAsiaTheme="minorEastAsia"/>
                <w:color w:val="auto"/>
                <w:sz w:val="18"/>
                <w:szCs w:val="18"/>
                <w:highlight w:val="none"/>
              </w:rPr>
              <w:t xml:space="preserve">（签订合同时提供国家认可的第三方检测机构出具的检测报告复印件或提供产品白皮书或说明书或彩页）</w:t>
            </w:r>
            <w:r>
              <w:rPr>
                <w:rFonts w:eastAsiaTheme="minorEastAsia"/>
                <w:color w:val="auto"/>
                <w:sz w:val="18"/>
                <w:szCs w:val="18"/>
                <w:highlight w:val="none"/>
              </w:rPr>
              <w:t xml:space="preserve">                                     10、支持通过抓屏软件，将远程笔记本桌面实时解码上墙显示，实时画面帧率≥30fps；可同时抓取8个4K信号上墙显示，且上墙前后CPU占用率无明显变化；支持在电视墙进行8画面分割显示；可对远程笔记本桌面进行整屏、单窗口、自定义区域抓屏上墙（</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                                                                            </w:t>
            </w:r>
            <w:r/>
          </w:p>
          <w:p>
            <w:pPr>
              <w:jc w:val="left"/>
              <w:spacing w:line="260" w:lineRule="exact"/>
              <w:widowControl/>
              <w:rPr>
                <w:color w:val="auto"/>
                <w:sz w:val="18"/>
                <w:szCs w:val="18"/>
                <w:highlight w:val="none"/>
              </w:rPr>
            </w:pPr>
            <w:r>
              <w:rPr>
                <w:rFonts w:eastAsiaTheme="minorEastAsia"/>
                <w:color w:val="auto"/>
                <w:sz w:val="18"/>
                <w:szCs w:val="18"/>
                <w:highlight w:val="none"/>
              </w:rPr>
              <w:t xml:space="preserve">11、▲支持对16路信号源输入的视频融合拼接，支持分辨率为15360×8640的信号源同步上墙显示，同步延时≤2ms（</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公安部检测报告证明或提供封面具有CMA盖章的检测报告证明）</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12、不同输出端口可同时输出不同分辨率的视频图像，可适配不同分辨率的LED屏（</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6</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控制电脑</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1、处理器： 不低</w:t>
            </w:r>
            <w:r>
              <w:rPr>
                <w:rFonts w:hint="eastAsia" w:eastAsiaTheme="minorEastAsia"/>
                <w:color w:val="auto"/>
                <w:sz w:val="18"/>
                <w:szCs w:val="18"/>
                <w:highlight w:val="none"/>
              </w:rPr>
              <w:t xml:space="preserve">于</w:t>
            </w:r>
            <w:r>
              <w:rPr>
                <w:rFonts w:eastAsiaTheme="minorEastAsia"/>
                <w:color w:val="auto"/>
                <w:sz w:val="18"/>
                <w:szCs w:val="18"/>
                <w:highlight w:val="none"/>
              </w:rPr>
              <w:t xml:space="preserve">12核/20线程/2.1 GHz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2、内存：≥16GB，3200速率，DDR4，最大支持64GB内存；</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3、SSD硬盘：≥ 256 G  SSD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4、HDD硬盘：≥1 T HDD，硬盘转速5400转</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5、显卡：不低于RX550，显存容量4 GB，视频接口≥1个HDMI，≥1个DP</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6、电源：350 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7、键鼠：含USB有线键鼠</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8、显示器：不低于23.8英寸，分辨率1920 × 1080，刷新率Typ. 60 Hz , Max. 100 Hz，1个HDMI，1个VGA视频接口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9、USB接口≥10个，其中USB3.0接口≥4个，机箱后置USB接口≥6个；1个HDMI+1个DP接口，主板板载接口；预留DVD刻录机位置，可内嵌DVD刻录机</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10、网络接口：≥1个RJ45  千 兆以太网口（10 M/100 M/1000 M自适应），支持网络唤醒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操作系统兼容性：支持windows系统、UOS系统、麒麟系统、CentOS系统、Windows 7系统、LINUX系统安装；支持双系统、三系统、四系统安装</w:t>
            </w:r>
            <w:r>
              <w:rPr>
                <w:rFonts w:hint="eastAsia" w:eastAsiaTheme="minorEastAsia"/>
                <w:color w:val="auto"/>
                <w:sz w:val="18"/>
                <w:szCs w:val="18"/>
                <w:highlight w:val="none"/>
              </w:rPr>
              <w:t xml:space="preserve">（签订合同时提供国家认可的第三方检测机构出具的检测报告复印件或提供产品白皮书或说明书或彩页）</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12、视频功能：支持超高清4K解码实景播放;支持多显卡调度，可在相同应用里使用双显卡，双显卡同时工作。（</w:t>
            </w:r>
            <w:r>
              <w:rPr>
                <w:rFonts w:hint="eastAsia" w:eastAsiaTheme="minorEastAsia"/>
                <w:color w:val="auto"/>
                <w:sz w:val="18"/>
                <w:szCs w:val="18"/>
                <w:highlight w:val="none"/>
                <w:lang w:eastAsia="zh-CN"/>
              </w:rPr>
              <w:t xml:space="preserve">签订合同时提供国家认可的第三方检测机构出具的检测报告复印件或提供产品白皮书或说明书或彩页</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13、转码能力：系统支持对GA/T1154.2-2014中4.4.2.1规定的70种视频格式文件转码成MP4，AVI，WMV，GIF。（</w:t>
            </w:r>
            <w:r>
              <w:rPr>
                <w:rFonts w:hint="eastAsia" w:eastAsiaTheme="minorEastAsia"/>
                <w:color w:val="auto"/>
                <w:sz w:val="18"/>
                <w:szCs w:val="18"/>
                <w:highlight w:val="none"/>
                <w:lang w:eastAsia="zh-CN"/>
              </w:rPr>
              <w:t xml:space="preserve">签订合同时提供国家认可的第三方检测机构出具的检测报告复印件或提供产品白皮书或说明书或彩页</w:t>
            </w:r>
            <w:r>
              <w:rPr>
                <w:rFonts w:eastAsiaTheme="minorEastAsia"/>
                <w:color w:val="auto"/>
                <w:sz w:val="18"/>
                <w:szCs w:val="18"/>
                <w:highlight w:val="none"/>
              </w:rPr>
              <w:t xml:space="preserve">）</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7</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无线投屏套装</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1、配置安装：免配置，免安装，自动连接，自动运行</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2、接口：USB</w:t>
            </w:r>
            <w:r>
              <w:rPr>
                <w:rFonts w:hint="eastAsia" w:eastAsiaTheme="minorEastAsia"/>
                <w:color w:val="auto"/>
                <w:sz w:val="18"/>
                <w:szCs w:val="18"/>
                <w:highlight w:val="none"/>
              </w:rPr>
              <w:t xml:space="preserve">接口</w:t>
            </w:r>
            <w:r/>
          </w:p>
          <w:p>
            <w:pPr>
              <w:jc w:val="left"/>
              <w:spacing w:line="260" w:lineRule="exact"/>
              <w:widowControl/>
              <w:rPr>
                <w:rFonts w:hint="eastAsia" w:eastAsiaTheme="minorEastAsia"/>
                <w:color w:val="auto"/>
                <w:sz w:val="18"/>
                <w:szCs w:val="18"/>
                <w:highlight w:val="none"/>
                <w:lang w:eastAsia="zh-CN"/>
              </w:rPr>
            </w:pPr>
            <w:r>
              <w:rPr>
                <w:rFonts w:eastAsiaTheme="minorEastAsia"/>
                <w:color w:val="auto"/>
                <w:sz w:val="18"/>
                <w:szCs w:val="18"/>
                <w:highlight w:val="none"/>
              </w:rPr>
              <w:t xml:space="preserve">3、支持系统：</w:t>
            </w:r>
            <w:r>
              <w:rPr>
                <w:rFonts w:hint="eastAsia" w:eastAsiaTheme="minorEastAsia"/>
                <w:color w:val="auto"/>
                <w:sz w:val="18"/>
                <w:szCs w:val="18"/>
                <w:highlight w:val="none"/>
                <w:lang w:eastAsia="zh-CN"/>
              </w:rPr>
              <w:t xml:space="preserve">常规操作系统</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4、分辨率：1080P</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5、帧率：30fps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6、传输延迟：&lt; 200 ms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7、触控回传：支持10点触摸回传（Windows 、 Mac）；</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8、WIFI 类型：2.4G/5G 双频WIFI，</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9、无线速率：&gt; 400 Mbps</w:t>
            </w:r>
            <w:r/>
          </w:p>
          <w:p>
            <w:pPr>
              <w:jc w:val="left"/>
              <w:spacing w:line="260" w:lineRule="exact"/>
              <w:widowControl/>
              <w:rPr>
                <w:rFonts w:hint="eastAsia" w:eastAsiaTheme="minorEastAsia"/>
                <w:color w:val="auto"/>
                <w:sz w:val="18"/>
                <w:szCs w:val="18"/>
                <w:highlight w:val="none"/>
                <w:lang w:eastAsia="zh-CN"/>
              </w:rPr>
            </w:pPr>
            <w:r>
              <w:rPr>
                <w:rFonts w:eastAsiaTheme="minorEastAsia"/>
                <w:color w:val="auto"/>
                <w:sz w:val="18"/>
                <w:szCs w:val="18"/>
                <w:highlight w:val="none"/>
              </w:rPr>
              <w:t xml:space="preserve">10、主控：</w:t>
            </w:r>
            <w:r>
              <w:rPr>
                <w:rFonts w:hint="eastAsia" w:eastAsiaTheme="minorEastAsia"/>
                <w:color w:val="auto"/>
                <w:sz w:val="18"/>
                <w:szCs w:val="18"/>
                <w:highlight w:val="none"/>
                <w:lang w:eastAsia="zh-CN"/>
              </w:rPr>
              <w:t xml:space="preserve">≥4核 ，≥1.8 Ghz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11、DDR：≥2G DDR3 ，存储空间：≥8G</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12、操作系统：</w:t>
            </w:r>
            <w:r>
              <w:rPr>
                <w:rFonts w:hint="eastAsia" w:eastAsiaTheme="minorEastAsia"/>
                <w:color w:val="auto"/>
                <w:sz w:val="18"/>
                <w:szCs w:val="18"/>
                <w:highlight w:val="none"/>
              </w:rPr>
              <w:t xml:space="preserve">主流系统</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13、机身接口：HDMI≥1，USB≥2，耳机接口≥1，TF 扩展≥1，RJ45≥1</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8</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多屏控制软件</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系统兼容多种操作系统，可支持Windows、Android、IOS多种操作系统。</w:t>
            </w:r>
            <w:r>
              <w:rPr>
                <w:rFonts w:hint="eastAsia" w:eastAsiaTheme="minorEastAsia"/>
                <w:color w:val="auto"/>
                <w:sz w:val="18"/>
                <w:szCs w:val="18"/>
                <w:highlight w:val="none"/>
              </w:rPr>
              <w:t xml:space="preserve">（签订合同时提供国家认可的第三方检测机构出具的检测报告复印件或提供产品白皮书或说明书或彩页）</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2、支持配置系统设备接入协议，允许Onvif、ISUP等协议的接入。（</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hint="eastAsia" w:eastAsiaTheme="minorEastAsia"/>
                <w:color w:val="auto"/>
                <w:sz w:val="18"/>
                <w:szCs w:val="18"/>
                <w:highlight w:val="none"/>
                <w:lang w:eastAsia="zh-CN"/>
              </w:rPr>
            </w:pPr>
            <w:r>
              <w:rPr>
                <w:rFonts w:eastAsiaTheme="minorEastAsia"/>
                <w:color w:val="auto"/>
                <w:sz w:val="18"/>
                <w:szCs w:val="18"/>
                <w:highlight w:val="none"/>
              </w:rPr>
              <w:t xml:space="preserve">3、支持业务数据的长期存储，包括业务数据、服务日志、接收事件记录等，最长支持设置保存3年。（</w:t>
            </w:r>
            <w:r>
              <w:rPr>
                <w:rFonts w:hint="eastAsia" w:eastAsiaTheme="minorEastAsia"/>
                <w:color w:val="auto"/>
                <w:sz w:val="18"/>
                <w:szCs w:val="18"/>
                <w:highlight w:val="none"/>
                <w:lang w:eastAsia="zh-CN"/>
              </w:rPr>
              <w:t xml:space="preserve">签订合同时提供具有CMA标识的第三方检测报告复印件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4、支持设置用户登录的安全策略，包括登录失败超次锁定IP地址、设置最低密码强度、设置密码有效期、自动锁定控制客户端时长、双重认证等配置策略。（</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5、支持多用户登录，多用户操作同步实现多人协同办公，操作同步显示，最大用户3000个。</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6、支持创建多种用户角色，针对不同的用户角色可分配不同的组织权限（包括区域显示、资源访问、资源、配置及操作权限），支持按角色分组。</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7、支持多种设备类型统一接入管理，包括解码器、拼控器、综合平台、LED控制器、编码设备、流媒体服务器；可通过客户端软件，搜索局域网内在线设备。</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8、支持统一设备时区、时间手动校时，可设置与所在服务器时间同步；支持配置NTP校时，可自动探测本地NTP。（</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9、统一展示音视频通道资源，包括本地输入源、视频输出、音频输入、音频输出，支持用户自定义名称。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10、支持管理LCD/LED类型电视墙，最大支持32个电视墙的管理，单个电视墙最大规格16×20。</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9</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安装结构</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定制支架</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10</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配电柜</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1、配电柜额定功率≥30KW，具备3个单相回路。</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2、可通过RS485接口读取配电柜内部温度。</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3、检测到烟雾后可自动断电。</w:t>
            </w:r>
            <w:r>
              <w:rPr>
                <w:rFonts w:hint="eastAsia" w:eastAsiaTheme="minorEastAsia"/>
                <w:color w:val="auto"/>
                <w:sz w:val="18"/>
                <w:szCs w:val="18"/>
                <w:highlight w:val="none"/>
              </w:rPr>
              <w:t xml:space="preserve">（</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4、超过温度阈值后可自动断电。</w:t>
            </w:r>
            <w:r>
              <w:rPr>
                <w:rFonts w:hint="eastAsia" w:eastAsiaTheme="minorEastAsia"/>
                <w:color w:val="auto"/>
                <w:sz w:val="18"/>
                <w:szCs w:val="18"/>
                <w:highlight w:val="none"/>
              </w:rPr>
              <w:t xml:space="preserve">（</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5、输入输出均有断路器保护措施，在发生过流或短路后可以自动断电。</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6、支持手动一键启动、停止；支持单路启动停止；支持分时段控制；支持电脑远程控制。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7、支持记录运行状态、异常报警（高温、烟雾）等。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8、网络接口：支持MODBUS-TCP协议；串口通讯端口：支持RS485、MODBUS-RTU协议。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9、支持设备分级上电，避免瞬间电流过大。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10、电源管理系统拥有热成像人体传感检测功能，可检测站姿、坐姿、蹲姿三种人员姿态。热成像检测通道不受光线影响，满足全天 24 小时检测需求。</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11、可实现检测到人员后1秒内自动上电，检测到人员离开后自动断电功能，从而实现节约能源的效果，并且自动延迟断电的时间可配置，延迟时长由0分钟至99分钟任意配置</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11</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备品备件</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hint="eastAsia" w:eastAsiaTheme="minorEastAsia"/>
                <w:color w:val="auto"/>
                <w:sz w:val="18"/>
                <w:szCs w:val="18"/>
                <w:highlight w:val="none"/>
              </w:rPr>
              <w:t xml:space="preserve">4块与L</w:t>
            </w:r>
            <w:r>
              <w:rPr>
                <w:rFonts w:eastAsiaTheme="minorEastAsia"/>
                <w:color w:val="auto"/>
                <w:sz w:val="18"/>
                <w:szCs w:val="18"/>
                <w:highlight w:val="none"/>
              </w:rPr>
              <w:t xml:space="preserve">ED</w:t>
            </w:r>
            <w:r>
              <w:rPr>
                <w:rFonts w:hint="eastAsia" w:eastAsiaTheme="minorEastAsia"/>
                <w:color w:val="auto"/>
                <w:sz w:val="18"/>
                <w:szCs w:val="18"/>
                <w:highlight w:val="none"/>
              </w:rPr>
              <w:t xml:space="preserve">屏体一致的备品模组</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12</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线阵列音箱</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1、额定功率≥400W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2、阻抗≤4Ω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3、灵敏度≥98dB/W/M</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4、连续声压级≥124dB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5、最大声压级≥130dB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6、频响范围等同或优于85Hz~19kHz（-10dB）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7、水平覆盖角≥100°，垂直覆盖角≥10°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8、喇叭单元≥75mm音圈170mm磁高音×1、≥10寸65mm音圈156mm磁低音单元×2</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9、分频模式：内置分频</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10、结构设计箱体采用前倒相式对称型结构设计，体积小巧精致，全新的箱体声学设计，优化单元间的耦合特性，提高系统的效率和可靠性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11、精确设计的分频器可优化功率响应及人声部分中频表现力</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12、具有均匀且平滑的轴向和偏轴向响应，拥有极高的转换效率、瞬态以及解析力</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13、音箱制造商应具有专业的实验室检测，具备扬声器相关性能 GB/T 12060.5-2011 20.1标准声学检测能力（</w:t>
            </w:r>
            <w:r>
              <w:rPr>
                <w:rFonts w:hint="eastAsia" w:eastAsiaTheme="minorEastAsia"/>
                <w:color w:val="auto"/>
                <w:sz w:val="18"/>
                <w:szCs w:val="18"/>
                <w:highlight w:val="none"/>
                <w:lang w:val="en-US" w:eastAsia="zh-CN"/>
              </w:rPr>
              <w:t xml:space="preserve">签订合同时</w:t>
            </w:r>
            <w:r>
              <w:rPr>
                <w:rFonts w:eastAsiaTheme="minorEastAsia"/>
                <w:color w:val="auto"/>
                <w:sz w:val="18"/>
                <w:szCs w:val="18"/>
                <w:highlight w:val="none"/>
              </w:rPr>
              <w:t xml:space="preserve">提供国家认可的中心实验室认证证书复印件及体现检测范围内容项）</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13</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12寸低音线阵音箱</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1.双≥12寸线阵低音音箱。</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2.额定功率≥800W。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3.阻抗4Ω。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4.灵敏度≥97dB/W/M。</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5.连续声压级≥125dB。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6.最大声压级≥131dB。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7.频响范围：45Hz~200Hz（-10dB）。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8.喇叭单元：≥12寸75mm音圈钕磁低音单元×2。（</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9.采用前倒相式型结构设计，体积小巧精致，在高声压级上都具有良好的动态表现。</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14</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线阵田字支架配件</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线阵田字吊装支架，采用高强度方钢材，静电喷漆，防水耐磨，与线阵音箱配套使用</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15</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辅助音箱</w:t>
            </w:r>
            <w:r>
              <w:rPr>
                <w:rFonts w:hint="eastAsia" w:eastAsiaTheme="minorEastAsia"/>
                <w:bCs/>
                <w:color w:val="auto"/>
                <w:sz w:val="18"/>
                <w:szCs w:val="18"/>
                <w:highlight w:val="none"/>
              </w:rPr>
              <w:t xml:space="preserve">（</w:t>
            </w:r>
            <w:r>
              <w:rPr>
                <w:rFonts w:eastAsiaTheme="minorEastAsia"/>
                <w:color w:val="auto"/>
                <w:sz w:val="18"/>
                <w:szCs w:val="18"/>
                <w:highlight w:val="none"/>
              </w:rPr>
              <w:t xml:space="preserve">无源全频音箱</w:t>
            </w:r>
            <w:r>
              <w:rPr>
                <w:rFonts w:hint="eastAsia" w:eastAsiaTheme="minorEastAsia"/>
                <w:bCs/>
                <w:color w:val="auto"/>
                <w:sz w:val="18"/>
                <w:szCs w:val="18"/>
                <w:highlight w:val="none"/>
              </w:rPr>
              <w:t xml:space="preserve">）</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1.箱体漆面工艺：采用喷漆工艺经过恒温烘烤处理，箱体漆面具有强耐磨抗潮，耐高温等特性。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2.低音单元：采用了高密度M形透气布烘干盆。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3.高音单元：采用了高品质铁氧体磁铁高音头。</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4.额定功率：</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150W。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5.峰值功率：300W。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6.额定阻抗：8 </w:t>
            </w:r>
            <w:r>
              <w:rPr>
                <w:rFonts w:hint="eastAsia" w:eastAsiaTheme="minorEastAsia"/>
                <w:color w:val="auto"/>
                <w:sz w:val="18"/>
                <w:szCs w:val="18"/>
                <w:highlight w:val="none"/>
              </w:rPr>
              <w:t xml:space="preserve">欧姆</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7.低音扬声器：8英寸。</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8.高音扬声器：34mm。</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9.箱体材质：18mm厚度MDF中密板。</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10.安装方式：单角度音响杆安装孔，支持M8螺纹五金件悬挂安装模式。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11、音箱制造商应具有专业的实验室检测，具备扬声器相关性能 GB/T 12060.5-2011 20.1标准声学检测能力（</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国家认可的中心实验室认证证书复印件及体现检测范围内容项）</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16</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返听音箱</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1、扬声器单元 12寸低音×44芯驱动高音 （1W/1M）</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2、最大功率</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600W 额定功率（PHC）</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400W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3、灵敏度 （1kHz,1米） 93dB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4、最大功率：</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600W 额定功率（PHC）：</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400W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5、灵敏度 （1kHz,1米）：93dB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6、有效频率范围（-10dB） 55Hz-18kHz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7、额定阻抗：8Ω 输入接口：音箱卡侬头/接线柱 接线端 +1 -1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8、安装方式：吊挂，壁挂</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9、壳体：高密度中纤板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10、输出功率：最大功率</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600W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11、额定功率（PHC）</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400W</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17</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线阵功放</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具备“桥接模式，并接模式，立体声模式”三种工作模式可选择。（</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2.具备“580mV/820mV”两档输入灵敏度可选择。（</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3.阻尼系数：≥200@ 8 </w:t>
            </w:r>
            <w:r>
              <w:rPr>
                <w:rFonts w:hint="eastAsia" w:eastAsiaTheme="minorEastAsia"/>
                <w:color w:val="auto"/>
                <w:sz w:val="18"/>
                <w:szCs w:val="18"/>
                <w:highlight w:val="none"/>
              </w:rPr>
              <w:t xml:space="preserve">欧姆</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4.总谐波失真：&lt;1%。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5.信噪比：&gt;100dB（A记权）。</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6.频率响应：20 Hz~20 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7.额定功率：立体声道模式8Ω：≥2×500W；立体声道模式4Ω：≥2×750W；桥接声道模式8Ω：≥1×1500W。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8.转换速率：≥10V/us。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9.保护功能：防止短路、空载、开/关机噪音、无线电干扰保护电路。</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18</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线阵超低功放</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具备“桥接模式，并接模式，立体声模式”三种工作模式可选择。（</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2.具备“580mV/820mV”两档输入灵敏度可选择。（</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3.阻尼系数：≥200@ 8 </w:t>
            </w:r>
            <w:r>
              <w:rPr>
                <w:rFonts w:hint="eastAsia" w:eastAsiaTheme="minorEastAsia"/>
                <w:color w:val="auto"/>
                <w:sz w:val="18"/>
                <w:szCs w:val="18"/>
                <w:highlight w:val="none"/>
              </w:rPr>
              <w:t xml:space="preserve">欧姆</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4.总谐波失真：&lt;1%。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5.信噪比：&gt;100dB（A记权）。</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6.频率响应：20 Hz~20 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7.额定功率：立体声道模式8Ω：≥2×500W；立体声道模式4Ω：≥2×750W；桥接声道模式8Ω：≥1×1500W。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8.转换速率：≥10V/us。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9.保护功能：防止短路、空载、开/关机噪音、无线电干扰保护电路。</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19</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辅助功放</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1.具备“桥接模式，并接模式，立体声模式”三种工作模式可选择。（</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2.具备“580mV/820mV”两档输入灵敏度可选择。（</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3.阻尼系数：≥200@ 8 欧姆。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4.总谐波失真：&lt;1%。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5.信噪比：&gt;100dB（A记权）。</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6.频率响应：20 Hz~20 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7.额定功率：立体声道模式8Ω：≥2×300W；立体声道模式4Ω：≥2×420W；桥接声道模式8Ω：≥1×840W。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8.转换速率：≥10V/us。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9.保护功能：防止短路、空载、开/关机噪音、无线电干扰保护电路。</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20</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返听功放</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1.具备“桥接模式，并接模式，立体声模式”三种工作模式可选择。（</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2.具备“700mV/1V”两档输入灵敏度可选择。（</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3.阻尼系数：≥200@ 8 欧姆。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4.总谐波失真：&lt;1%。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5.信噪比：&gt;100dB（A记权）。</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6.频率响应：20 Hz~20 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7.额定功率：立体声道模式8Ω：≥2×750W；立体声道模式4Ω：≥2×1150W；桥接声道模式8Ω：≥1×2300W。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8.转换速率：≥10V/us。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9.保护功能：防止短路、空载、开/关机噪音、无线电干扰保护电路。</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21</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数字调音台</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支持≥16路模拟输入，≥8路平衡式XLR/TRS组合数字增益话放通道、≥2组（4路）立体声输入通道、≥2路高阻单声道· 输入通道、≥2路USB播放通道，低本底噪声、多功能参数可调。</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2.内置 USB 录音、播放功能，支持 APE、FLAC、MP3、WAV 等音频格式；内置 4G 存储空间，可上传音频文件进行本机播放。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 ≥8路DCA编组、≥8路静音编组，输入输出、效果器通道均可编入。（</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4.每路输入通道具有≥6段参量均衡器、压缩器、噪声门、相位、延时器。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5.每路输出通道具有≥8段参量均衡器、31段图示均衡器、高低通滤波器、压限器、延时器。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6.内置自适应陷波反馈抑制算法。</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w:t>
            </w:r>
            <w:r>
              <w:rPr>
                <w:rFonts w:hint="eastAsia" w:eastAsiaTheme="minorEastAsia"/>
                <w:bCs/>
                <w:color w:val="auto"/>
                <w:sz w:val="18"/>
                <w:szCs w:val="18"/>
                <w:highlight w:val="none"/>
              </w:rPr>
              <w:t xml:space="preserve"> ▲</w:t>
            </w:r>
            <w:r>
              <w:rPr>
                <w:rFonts w:eastAsiaTheme="minorEastAsia"/>
                <w:color w:val="auto"/>
                <w:sz w:val="18"/>
                <w:szCs w:val="18"/>
                <w:highlight w:val="none"/>
              </w:rPr>
              <w:t xml:space="preserve">≥5个效果器类型：单声道延时、立体声延时、合唱、混响、变调；≥4个效果器通道。（</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8.双机热备份通过网络数据实时同步。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w:t>
            </w:r>
            <w:r>
              <w:rPr>
                <w:rFonts w:hint="eastAsia" w:eastAsiaTheme="minorEastAsia"/>
                <w:color w:val="auto"/>
                <w:sz w:val="18"/>
                <w:szCs w:val="18"/>
                <w:highlight w:val="none"/>
              </w:rPr>
              <w:t xml:space="preserve">锁定</w:t>
            </w:r>
            <w:r>
              <w:rPr>
                <w:rFonts w:eastAsiaTheme="minorEastAsia"/>
                <w:color w:val="auto"/>
                <w:sz w:val="18"/>
                <w:szCs w:val="18"/>
                <w:highlight w:val="none"/>
              </w:rPr>
              <w:t xml:space="preserve">键，保持现场场景数据或防止误操作。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10.≥7寸1024x600分辨率高清电容触摸屏，全功能操作控制调音台。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11.支持30-255组场景预设，可导入USB存储，便于备份调用。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12.内置：正弦波、粉红噪声、白噪声信号发生器。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 连接功能，可进行相邻通道绑定设置，通道名自定义。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14.跨平台开发平台，支持 Windows、Linux、macOS、Android、iOS 主流操作系统全功能控制软件。</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22</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多媒体数字矩阵器（</w:t>
            </w:r>
            <w:r>
              <w:rPr>
                <w:rFonts w:eastAsiaTheme="minorEastAsia"/>
                <w:color w:val="auto"/>
                <w:sz w:val="18"/>
                <w:szCs w:val="18"/>
                <w:highlight w:val="none"/>
              </w:rPr>
              <w:t xml:space="preserve">16进16出音频处理器</w:t>
            </w:r>
            <w:r>
              <w:rPr>
                <w:rFonts w:eastAsiaTheme="minorEastAsia"/>
                <w:bCs/>
                <w:color w:val="auto"/>
                <w:sz w:val="18"/>
                <w:szCs w:val="18"/>
                <w:highlight w:val="none"/>
              </w:rPr>
              <w:t xml:space="preserve">）</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1.矩阵混音：全面的矩阵混音功能，内置自动混音台，提供增益共享型自动混音功能。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2.声音处理功能：具备自适应反馈消除、回声消除、噪声消除。</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3.输入每通道功能：前级放大、信号发生器、扩展器、压缩器、5段参量均衡、反相。</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4.输出每通道功能：31段图示均衡、延时器、分频器、限幅器、反相。</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5.信号测试：测试信号发生器，正弦波、粉噪、白噪，频率和电平可选。（</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6.输入控制开关：输入相位开关、静音开关、幻象供电开关。</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7.输出控制开关：每通道输出静音开关，相位开关。</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8.通道复制：通道拷贝、粘贴、联控功能。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9.用户管理：同一台主机允许10个用户管理，用户名可设置为中文。</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10.预制模式设置：可编辑预置模式，新建、删除、修改，一键初始化，预置模式可存储至电脑及一键恢复。</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 </w:t>
            </w:r>
            <w:r>
              <w:rPr>
                <w:rFonts w:hint="eastAsia" w:eastAsiaTheme="minorEastAsia"/>
                <w:bCs/>
                <w:color w:val="auto"/>
                <w:sz w:val="18"/>
                <w:szCs w:val="18"/>
                <w:highlight w:val="none"/>
              </w:rPr>
              <w:t xml:space="preserve">▲</w:t>
            </w:r>
            <w:r>
              <w:rPr>
                <w:rFonts w:eastAsiaTheme="minorEastAsia"/>
                <w:color w:val="auto"/>
                <w:sz w:val="18"/>
                <w:szCs w:val="18"/>
                <w:highlight w:val="none"/>
              </w:rPr>
              <w:t xml:space="preserve">通道颜色设置：输入输出通道可独立设置颜色，一键恢复开关。（</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12.系统锁定：系统内置锁屏功能，有效避免发生误操作。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13.接口：配置双向RS485接口、GPIO接口、标准以太网控制接口。（</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14.场景预设：支持8组场景预设功能。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15.USB接口：USB接口支持音乐播放与录制功能。</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23</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全自动数字反馈抑制器</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1.反馈抑制器，≥2寸彩色液晶显示屏，可实时查看当前通道电平和每通道当前的动态陷波器数量。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2.主机上可手动选择启动或不启动陷波器和EQ功能。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3.支持48V幻象供电，可用于连接幻象电源话筒。</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 每通道最多可设≥24个动态陷波器，≥12个PEQ。分辨精度1Hz工作频率20Hz-20KHz，支持一键清除啸叫点。（</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5.响应时间快中慢3速可设定，陷波器Q值自动选取。</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6.自动扫描啸叫点并抑制。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7.噪声门功能可抑制系统微弱噪声干扰。（</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8.每通道，增益-64dB到+6dB，并支持压缩器功能。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9.采用“陷波”+“移频”双方式进行反馈抑制，每路设有四档移频选择，配合陷波器使用。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10.设备带有面板锁功能。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11.独立的操作系统软件。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12.消除反馈时间：快，中，慢，3档。（</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13.整机接口：输入3芯XLR母插座/6.3插咀≥2;输出3芯XLR公插座/6.3插咀≥2;USB接口≥1;3芯IEC插座≥1。</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24</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一拖二无线话筒（手持）（</w:t>
            </w:r>
            <w:r>
              <w:rPr>
                <w:rFonts w:eastAsiaTheme="minorEastAsia"/>
                <w:color w:val="auto"/>
                <w:sz w:val="18"/>
                <w:szCs w:val="18"/>
                <w:highlight w:val="none"/>
              </w:rPr>
              <w:t xml:space="preserve">无线一拖二真分级手持话筒</w:t>
            </w:r>
            <w:r>
              <w:rPr>
                <w:rFonts w:eastAsiaTheme="minorEastAsia"/>
                <w:bCs/>
                <w:color w:val="auto"/>
                <w:sz w:val="18"/>
                <w:szCs w:val="18"/>
                <w:highlight w:val="none"/>
              </w:rPr>
              <w:t xml:space="preserve">）</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 监听接口：具备前置监听接口，可便捷对接收机的音频输出效果进行监听，可连接耳机。（</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2.音频输出接口：支持平衡和非平衡两种选择输出端口，适应不同的设备连接需求。</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3.锁屏功能：接收机可设置锁屏功能，防止使用误操作。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4.音频模式切换：将输出电平设为MIC麦克风或者LINE线路电平。</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5.电源线夹：可固定电源线，防止拉扯导致电源接触不良。</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6.天线安装：可将天线旋转拧紧在后面板天线接口，也可将天线拧紧在吸盘天线底座上，然后将吸盘天线底座接到后面板天线接口。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7.载波频率范围: 630-698MHz。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8.频带宽度: 200kHz。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9.信道数量: 181 （15组）。</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10.麦克风类型: 动圈麦。</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11.有效工作距离: 100m（空旷无遮挡）。</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25</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天线放大器</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1.UHF天线分配器，单机能够让四套无线麦克风接收机共用一对接收天线。</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2.支持≥4路双通道天线输出，≥1路双通道级联天线输出。</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 支持≥4路DC12V 1A直流输出。（</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4.支持 3dB/10 dB两档可调。（</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5.产品经过高温和低温试验。（</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6.射频范围：≥450~972MHz。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7.天线接头类型：BNC插座。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8.天线阻抗：50欧姆。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9.接收角度：65°（垂直角），120°（水平角）。</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10.有源对数周期天线支持多种安装方式（话筒支架、壁装、悬挂吊装)</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26</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数控电源时序器</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1、自锁式按键操作，LED指示灯显示工作状态</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2、支持面板锁定功能，防止误操作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3、保护功能超压报警功能,接入错相指示功能、空气开关过流自动断路功能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4、前面板指示功能三位数字为电压、错相接入警告、超压警告、待机、运行、全部旁通、单独通道旁通</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5、6000 W/15000 W最大承受无功功率</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6、16路独立控制的时序通道</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7、断路器零，火线控制，漏电电流保护In 30 MA/T≤ 0.1 s，过流保护,（63 A短路保护)</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8、输出电源插座采用阻燃ABS材料，最大可承受13 A电流磷铜材质</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9、设备接口：16路万用插座继电器受控与2路万用插座直通</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27</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数字会议系统主机</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1.系统本身具备有多种发言方式的讨论功能，主席优先、主席专用、先进先出、限制模式、自由模式。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2.断电智能记忆功能，可记忆程序原运行状态。若意外断电后，通电即恢复最后一次设置。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3.内置≥3路EQ设置，能清晰地展现原声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4.LCD屏液晶菜单显示工作内容。</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5.列席话筒可1-9只任意设置。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6.可同时接≥5个主席话筒，主席任意位置可摆放。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7.主机有电源过载和短路保护功能。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8.主机有四路输入接口可连接115个会议话筒单元,具四路并联输出，每路可连接30个单元,可通过中继电源进行扩展。</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9.系统采用“T字型”航空头连接，安装更加稳固、轻松、方便，可以随时快速、便捷的搭建不同形式的会议。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10.频率响应：≥60 Hz ~ 16 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11.卡侬音频输出≥1路，6.35音频输出≥1路，RCA莲花输出≥1路，手拉手话筒接口≥4路。</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28</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数字会议系统主席单元</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1.采用无声式硅胶按键，有效避免机械开关所造成的冲击声。（</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 ▲双超指向拾音咪芯同时工作，保证在有一个咪芯在坏掉的情况也也能正常工作，大大提高话筒的使用效率及使用寿命。（</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3.采用全部的DSP处理，便于扩展和控制，最大限度减少高频衰减，语音更清晰。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4.单元采用“T字型”航空头连接，安装更加稳固、轻松、方便，可以随时快速、便捷的搭建不同形式的会议，并且主席单元可随意安排串联在线路中的任何位置。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5.麦克风类型：电容式。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6.指向性：超心型。</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7.频响范围：≥60~16kHZ。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8.网络协议：IEEE802.1qVLAN，支持网络音频，SW-Ring冗余环网QOS。（</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29</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数字会议系统代表单元</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1.采用无声式硅胶按键，有效避免机械开关所造成的冲击声。（</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2.双超指向拾音咪芯同时工作，保证在有一个咪芯在坏掉的情况也也能正常工作，大大提高话筒的使用效率及使用寿命。（</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3.采用全部的DSP处理，便于扩展和控制，最大限度减少高频衰减，语音更清晰。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4.单元采用“T字型”航空头连接，安装更加稳固、轻松、方便，可以随时快速、便捷的搭建不同形式的会议，并且主席单元可随意安排串联在线路中的任何位置。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5.麦克风类型：电容式。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6.指向性：超心型。</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7.频响范围：≥60~16kHZ。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8.网络协议：IEEE802.1qVLAN，支持网络音频，SW-Ring冗余环网QOS。（</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30</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分体式视频会议终端</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1、支持G.711alaw、G.711ulaw、G.722.1、G.722.1.C、G.728、G.729、G.719、Opus、AAC-LC、AAC-LD、MP3 等音频编解码协议,支持最大 128KHz 采样率</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2、支持4 路本地视频输入图像合成 1 路视频，在本地显示或发送到远端，画面合成风格可设置</w:t>
            </w:r>
            <w:r>
              <w:rPr>
                <w:rFonts w:hint="eastAsia"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3、支持单屏双显、单屏三显、双屏双显。本地输出支持三屏三显、四屏四显，可任意切换每个屏幕的显示内容，显示内容包括本地画面、本地双流、会议画面、会议双流。（</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四屏四显输出功能证明截图以及第三方检测报告）</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4、▲在不增加第三方设备或网关的情况下，把输入源的画面作为RTSP码流发送给监控系统，会议和监控功能同时使用，实现一机两用。（</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软件UI功能截图证明及带有CMA标识的第三方检测报告）</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5、具备不少于 10 路高清视频输入接口，接口类型支持 4 路 HDMI，4 路 HDbaseT 接口,1 路 DVI-I（可转换为 HDMI，VGA，ypbpr，cvbs），1 路 3G-SDI；具备6路高清视频输出接口，视频输出接口包含4路HDMI，1路DVI-I（可转换为HDMI，VGA，ypbpr，cvbs），1路3G-SDI，其中输入输出HDMI和HDbaseT接口支持 4k分辨率</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高清背板图及带有CMA标识的第三方检测报告）</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6、具备不少于6 路音频输入接口，包含全向麦克风输入接口，卡侬口， 6.35mm，3.5mm，HDMI 接口；具备 6 路音频输出接口，包含 6.35mm，RCA，3.5mm，HDMI 接口；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7、支持内置会议功能，支持召开 6 方 1080P30 会议；支持发起会议，加入会议，会议控制功能；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8、会议终端画面支持画面合成，支持自动布局、1x1、1x2、1+2、2x2、1+4、1+5、2x3；</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9、终端内置录制模块可直接录制会议媒体到磁盘；支持 WEB 导出、预览。支持对本地输入画面、会议画面进行录像，支持多种录像画面设置。支持磁盘管理，支持循环覆盖存储模式，支持导出录像文件MP4 格式。（</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10、支持设置录像画面布局，支持设置画中画、单屏、双屏模式；支持在各种录制布局模式下调整录制本地输入、会议演示、本地演示、会议画面数据源；</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11、支持温湿度接入，画面可叠加温湿度 OSD 信息，OSD 信息位置可调</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12、具备4K（30/25/15fps）、1080P（30/25/15fps ）、720p（30/25/15fps）、 360p（30/25/15fps ) 分辨率编解码和输入输出能力</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支持 H.239和BFCP 双流协议，最大支持主流 4K@30fps 情况下，辅流支持 4K30fps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13、可通过无线网络将图像发送至终端或本地显示，图像清晰流畅，最高支持 1080p</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14、支持内置会议下成员管理，邀请/剔除/挂断成员；支持内置会议中语音激励，广播会场，语音转写；</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15、支持视频矩阵功能；支持对普通的主视频源、辅视频源的切换，支持对多流、多视的视频源的切换</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16、具备网络损伤适应性，视频抗丢包35%的丢包率情况下声音清晰、图像流畅，无马赛克和卡顿；在 80%的网络丢包情况下，声音清晰、可准确理解，不影响会议正常进行；</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31</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高清会议摄像机</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1、会议摄像机具有 PTZ控制功能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2、会议摄像机具有 変焦功能，支持12倍光学变焦，16倍数字变焦</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3、会议摄像机视频分辨率为：4096× 2160/30fps、1920× 1080/60fps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4、会议摄像机支持HDMI 接口、3G-SDI接口、USB接口、LAN接口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5、会议摄像机水平中心分辨率不小于 2000TVL(4096×2160/30fps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6、图像信噪比≥62dB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7、前后左右 1m处噪声小于20dB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8、会议摄像机支持倒装方式安装</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9、最大亮度鉴别等级不低于11级</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32</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中控主机</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具备统一控制功能，可以支持触控平台对接入外设例如屏幕、矩阵、拼控、灯光、窗帘、调音台、空调、新风、地暖、电器柜、录播主机、庭审主机、门锁等外设进行统一控制</w:t>
            </w:r>
            <w:r>
              <w:rPr>
                <w:rFonts w:hint="eastAsia" w:eastAsiaTheme="minorEastAsia"/>
                <w:color w:val="auto"/>
                <w:sz w:val="18"/>
                <w:szCs w:val="18"/>
                <w:highlight w:val="none"/>
              </w:rPr>
              <w:t xml:space="preserve">（签订合同时提供国家认可的第三方检测机构出具的检测报告复印件或提供产品白皮书或说明书或彩页）</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2、▲具备KVM功能，设备支持KVM切换功能，可以实现同一套鼠标键盘，或者触控屏切换控制前端接入矩阵的PC信号(</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3、具备合码功能，支持视频合码，可以对矩阵输入、网络摄像机输入信号进行画中画、画面分割方式合成，并且对合成视频进行录像和回放，合码分辨率不低于1080P 30帧。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4、具备传感器接入功能，支持有线 Modbus、无线Zigbee方式接入传感器，实现温度、湿度、PM等数据的接入。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5、具备无线控制功能，可以通过网关实现控制扩展，网关和控制模块之间采用无线ZigBee方式进行控制。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6、具备联控功能，可以根据传感器数据、开关量信号、时间段等方式进行联动控制，可以根据例如时间段、阈值等方式进行联动。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7、具备可编程功能，用户可以自定义控制码，实现对串口接入控制的设备进行现场自定义编程进行控制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8、具备校时功能，支持手动和自动校时，自动校时支持使用NTP方式校时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9、具备安全保护功能：支持IP地址过滤，可以配置IP访问黑名单或者白名单实现访问控制；支持防DOS攻击；支持防Ping功能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10、具备设备参数备份和恢复功能，支持设备参数导入导出，并且支持业务参数导入导出</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具备多设备管理功能，支持多场地控制，展示各个场地的物联设备状态，支持批量对物联设备进行控制，支持实景预览；支持单场地控制，展示某个场地的物联设备状态及关联的情景模式、环境量信息，支持情景模式切换，支持批量对物联设备进行控制，支持单个设备的控制，支持实景预览(</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12、设备具有≥2路音频输入，具有≥2路LINE OUT，≥2路功放输出，每路支持20W，总计40W功放输出，具有≥4路HDMI输入，支持3840×2160分辨率，支持音视频复合输入，具有≥4路HDMI输出，支持3840×2160分辨率，支持音视频复合输出，具有≥10个USB接口；其中USB矩阵接口：上行≥4个USB2.0，下行≥2个USB2.0；USB主控接口：≥4个USB2.0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13、支持MIC输入、Line In输入，HDMI输入的音频信号混音后，使用音频输出进行复合输出。（</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14、支持不低于4路的HDMI视频输入，支持不低于4路HDMI视频输出，支持不低于1路URL视频接入，支持输出HDMI预览。（</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15、用户可自定义场景配置，支持按照顺序、时间间隔、动作类型进行场景编排，可通过PAD进行一键调用，包括自动联动开启电脑、投影机、降下幕布、灯光、空调等；一键关闭：自动联动关闭投影机、升起幕布、电脑关机、灯光、空调关闭，一键上班、一键下班、一键上课、一键下课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16、支持通过Web进行中控主机IP、子网掩码、网关、端口配置修改。</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33</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中控平板</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1、显示屏：10.1英寸TFT LCD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2、控制方式：网络方式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3、电源：DC12V/POE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4、功耗：≤15W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5、网络接口：≥1个，100M/1000M自适应以太网口，WiFi：≥1个，USB接口：USB2.0≥2                                                                                  6、支持配置中控主机矩阵输入输出通道关系，并进行矩阵图像切换</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7、支持中控主机自带及外设音频设备的音频控制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8、支持通过可视化界面调用中控接口</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34</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交换机</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1、可用千兆电口数量≥24，千兆光口数量≥2</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2、交换容量≥56 Gbps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3、转发性能≥41.67 Mpps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4、支持通过管理平台和手机APP对交换机进行远程控制和状态查看</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5、支持通过管理平台和手机APP展示并管理交换机的拓扑</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6、支持通过管理平台和手机APP对交换机进行远程升级、远程重启功能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7、交换机支持不同拓扑连接方式，包括网线连接、光纤连接、无线连接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8、支持通过管理平台和手机APP在网络拓扑中展示交换机详情，包括基本信息、交换机性能使用信息、交换机面板状态、端口信息</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9、支持通过管理平台和手机APP在交换机网络断开、电源故障、端口故障等异常情况时，能实时显示交换机告警内容</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10、支持通过管理平台和手机APP对交换机的端口进行速率、流控、使能配置</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35</w:t>
            </w:r>
            <w:r/>
          </w:p>
        </w:tc>
        <w:tc>
          <w:tcPr>
            <w:shd w:val="clear" w:color="000000" w:fill="ffffff"/>
            <w:tcW w:w="1559"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bCs/>
                <w:color w:val="auto"/>
                <w:sz w:val="18"/>
                <w:szCs w:val="18"/>
                <w:highlight w:val="none"/>
              </w:rPr>
              <w:t xml:space="preserve">场控视频（</w:t>
            </w:r>
            <w:r>
              <w:rPr>
                <w:rFonts w:eastAsiaTheme="minorEastAsia"/>
                <w:color w:val="auto"/>
                <w:sz w:val="18"/>
                <w:szCs w:val="18"/>
                <w:highlight w:val="none"/>
              </w:rPr>
              <w:t xml:space="preserve">400万半球型网络摄像机</w:t>
            </w:r>
            <w:r>
              <w:rPr>
                <w:rFonts w:eastAsiaTheme="minorEastAsia"/>
                <w:bCs/>
                <w:color w:val="auto"/>
                <w:sz w:val="18"/>
                <w:szCs w:val="18"/>
                <w:highlight w:val="none"/>
              </w:rPr>
              <w:t xml:space="preserve">）</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1、传感器类型：不低于1/2.7"" Progressive Scan CMOS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2、最低照度：彩色：0.01 Lux</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3、宽动态：数字宽动态</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4、调节角度：水平：0°~355°，垂直：0°~75°，旋转：0°~355°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5、焦距&amp;视场角：2.7~8 mm：水平视场角：110°~56°，垂直视场角：58.2°~31.4°，对角视场角：132°~64.5°</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6、支持手动变焦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7、补光灯类型：红外灯，补光距离：最远可达30 m</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8、最大分辨率：</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2560 × 1440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9、网络：1个RJ45 10 M/100 M自适应以太网口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10、音频：≥1个内置麦克风，≥1路输入（Line in），最大输入幅值：3.3 Vpp，输入阻抗：4.7 kΩ，接口类型：非平衡；≥1路输出（Line out），最大输出幅值：3.3 Vpp，输出阻抗：100 Ω，接口类型：非平衡</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11、报警：≥1路输入，≥1路输出（报警输出最大支持DC12 V，30 mA）</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12、供电方式：DC：12 V ± 25%，支持防反接保护</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PoE：IEEE 802.3af，CLASS 3</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13、防护：IP66，IK10 </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36</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NVR</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1、存储接口：≥1个SATA接口，已内置1块1TB硬盘，总容量1TB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2、视频接口：≥1×HDMI，≥1×VGA</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3、网络接口：≥1×RJ45 10/100Mbps自适应以太网口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4、USB接口：≥2×USB 2.0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5、输入带宽：≥40Mbps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6、输出带宽：≥60Mbps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7、接入能力：≥4路H.264、H.265格式高清码流接入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8、解码能力：最大支持6×1080P</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9、显示能力：最大支持1080P输出 </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37</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控制电脑</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1、处理器： 不低于12核/20线程/2.1 GHz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2、内存：≥16GB，3200速率，DDR4，最大支持64GB内存；</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3、SSD硬盘：≥ 256 G  SSD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4、HDD硬盘：≥1 T HDD，硬盘转速5400转</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5、显卡：不低于RX550，显存容量4 GB，视频接口≥1个HDMI，≥1个DP</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6、电源：350 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7、键鼠：含USB有线键鼠</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8、显示器：不低于23.8英寸，分辨率1920 × 1080，刷新率Typ. 60 Hz , Max. 100 Hz，1个HDMI，1个VGA视频接口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9、USB接口≥10个，其中USB3.0接口≥4个，机箱后置USB接口≥6个；1个HDMI+1个DP接口，主板板载接口；预留DVD刻录机位置，可内嵌DVD刻录机</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10、网络接口：≥1个RJ45  千 兆以太网口（10 M/100 M/1000 M自适应），支持网络唤醒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11、操作系统兼容性：支持windows系统、UOS系统、麒麟系统、CentOS系统、Windows 7系统、LINUX系统安装；支持双系统、三系统、四系统安装</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12、视频功能：支持超高清4K解码实景播放;支持多显卡调度，可在相同应用里使用双显卡，双显卡同时工作。（</w:t>
            </w:r>
            <w:r>
              <w:rPr>
                <w:rFonts w:hint="eastAsia" w:eastAsiaTheme="minorEastAsia"/>
                <w:color w:val="auto"/>
                <w:sz w:val="18"/>
                <w:szCs w:val="18"/>
                <w:highlight w:val="none"/>
                <w:lang w:eastAsia="zh-CN"/>
              </w:rPr>
              <w:t xml:space="preserve">签订合同时提供国家认可的第三方检测机构出具的检测报告复印件或提供产品白皮书或说明书或彩页</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13、转码能力：系统支持对GA/T1154.2-2014中4.4.2.1规定的70种视频格式文件转码成MP4，AVI，WMV，GIF。（</w:t>
            </w:r>
            <w:r>
              <w:rPr>
                <w:rFonts w:hint="eastAsia" w:eastAsiaTheme="minorEastAsia"/>
                <w:color w:val="auto"/>
                <w:sz w:val="18"/>
                <w:szCs w:val="18"/>
                <w:highlight w:val="none"/>
                <w:lang w:eastAsia="zh-CN"/>
              </w:rPr>
              <w:t xml:space="preserve">签订合同时提供国家认可的第三方检测机构出具的检测报告复印件或提供产品白皮书或说明书或彩页</w:t>
            </w:r>
            <w:r>
              <w:rPr>
                <w:rFonts w:eastAsiaTheme="minorEastAsia"/>
                <w:color w:val="auto"/>
                <w:sz w:val="18"/>
                <w:szCs w:val="18"/>
                <w:highlight w:val="none"/>
              </w:rPr>
              <w:t xml:space="preserve">）</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38</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无线投屏套装</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1、配置安装：免配置，免安装，自动连接，自动运行</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2、接口：USB device</w:t>
            </w:r>
            <w:r/>
          </w:p>
          <w:p>
            <w:pPr>
              <w:jc w:val="left"/>
              <w:spacing w:line="260" w:lineRule="exact"/>
              <w:widowControl/>
              <w:rPr>
                <w:rFonts w:hint="eastAsia" w:eastAsiaTheme="minorEastAsia"/>
                <w:color w:val="auto"/>
                <w:sz w:val="18"/>
                <w:szCs w:val="18"/>
                <w:highlight w:val="none"/>
                <w:lang w:eastAsia="zh-CN"/>
              </w:rPr>
            </w:pPr>
            <w:r>
              <w:rPr>
                <w:rFonts w:eastAsiaTheme="minorEastAsia"/>
                <w:color w:val="auto"/>
                <w:sz w:val="18"/>
                <w:szCs w:val="18"/>
                <w:highlight w:val="none"/>
              </w:rPr>
              <w:t xml:space="preserve">3、支持系统：</w:t>
            </w:r>
            <w:r>
              <w:rPr>
                <w:rFonts w:hint="eastAsia" w:eastAsiaTheme="minorEastAsia"/>
                <w:color w:val="auto"/>
                <w:sz w:val="18"/>
                <w:szCs w:val="18"/>
                <w:highlight w:val="none"/>
                <w:lang w:eastAsia="zh-CN"/>
              </w:rPr>
              <w:t xml:space="preserve">常规操作系统</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4、分辨率：1080P</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5、帧率：30fps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6、传输延迟：&lt; 200 ms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7、触控回传：支持10点触摸回传（Windows 、 Mac）；</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8、WIFI 类型：2.4G/5G 双频WIFI，</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9、无线速率：&gt; 400 Mbps</w:t>
            </w:r>
            <w:r/>
          </w:p>
          <w:p>
            <w:pPr>
              <w:jc w:val="left"/>
              <w:spacing w:line="260" w:lineRule="exact"/>
              <w:widowControl/>
              <w:rPr>
                <w:rFonts w:hint="eastAsia" w:eastAsiaTheme="minorEastAsia"/>
                <w:color w:val="auto"/>
                <w:sz w:val="18"/>
                <w:szCs w:val="18"/>
                <w:highlight w:val="none"/>
                <w:lang w:eastAsia="zh-CN"/>
              </w:rPr>
            </w:pPr>
            <w:r>
              <w:rPr>
                <w:rFonts w:eastAsiaTheme="minorEastAsia"/>
                <w:color w:val="auto"/>
                <w:sz w:val="18"/>
                <w:szCs w:val="18"/>
                <w:highlight w:val="none"/>
              </w:rPr>
              <w:t xml:space="preserve">10、主控：</w:t>
            </w:r>
            <w:r>
              <w:rPr>
                <w:rFonts w:hint="eastAsia" w:eastAsiaTheme="minorEastAsia"/>
                <w:color w:val="auto"/>
                <w:sz w:val="18"/>
                <w:szCs w:val="18"/>
                <w:highlight w:val="none"/>
                <w:lang w:eastAsia="zh-CN"/>
              </w:rPr>
              <w:t xml:space="preserve">≥4核 ，≥1.8 Ghz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11、DDR：≥2G DDR3 ，存储空间：≥8G</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12、操作系统：</w:t>
            </w:r>
            <w:r>
              <w:rPr>
                <w:rFonts w:hint="eastAsia" w:eastAsiaTheme="minorEastAsia"/>
                <w:color w:val="auto"/>
                <w:sz w:val="18"/>
                <w:szCs w:val="18"/>
                <w:highlight w:val="none"/>
              </w:rPr>
              <w:t xml:space="preserve">主流系统</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13、机身接口：HDMI≥1，USB≥2，耳机接口≥1，TF 扩展≥1，RJ45≥1</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39</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线性声柱</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1.支持两档模式切换,Normal模式下人声更清晰，垂直指向性更强；Wide模式下低音更多，声音更浑厚，垂直覆盖角度更大，满足不同场景听音需求。（</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2.支持欧姆头、凤凰端子3Pin多类型音频接口接入。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3.支持两种安装方式，贴墙壁挂安装或万向支架安装，调节角度简便，满足任意环境声场覆盖要求。</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额定功率≥150W。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5.阻抗：8Ω。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6.灵敏度≥90dB/W/M。</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7.连续声压级≥111dB。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8.最大声压级≥≥117dB。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9.频响范围：100Hz~18KHz。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喇叭单元：≥12×2.25""钕磁喇叭单元。（</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11.水平覆盖角≥160°。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12.垂直覆盖角度：Normal：≥25°，Wide：≥30°。</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40</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专业吸顶音箱（</w:t>
            </w:r>
            <w:r>
              <w:rPr>
                <w:rFonts w:eastAsiaTheme="minorEastAsia"/>
                <w:color w:val="auto"/>
                <w:sz w:val="18"/>
                <w:szCs w:val="18"/>
                <w:highlight w:val="none"/>
              </w:rPr>
              <w:t xml:space="preserve">同轴吸顶音箱</w:t>
            </w:r>
            <w:r>
              <w:rPr>
                <w:rFonts w:eastAsiaTheme="minorEastAsia"/>
                <w:bCs/>
                <w:color w:val="auto"/>
                <w:sz w:val="18"/>
                <w:szCs w:val="18"/>
                <w:highlight w:val="none"/>
              </w:rPr>
              <w:t xml:space="preserve">）</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1.结构设计：自带塑胶后壳箱体，铁质网罩。</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2.材料：热塑型高分子材料。</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3.扬声器单元：中低音扬声器: 1x6.5""</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高音扬声器: 1x1""。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4.额定功率: ≥ 60W。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5.阻抗：8Ω。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6.输入接口：2-芯连接线。</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7.覆盖角度：140°*140°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8.连续/最大声压级: 104dB/110dB(Peak)</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9.安装支架：自带吸顶安装支架。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10、音箱制造商应具有专业的实验室检测，具备扬声器相关性能 GB/T 12060.5-2011 20.1标准声学检测能力</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41</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专业功放</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1.具备“桥接模式，并接模式，立体声模式”三种工作模式可选择。</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2.具备“580mV/820mV”两档输入灵敏度可选择。</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3.阻尼系数：≥200@ 8 欧姆。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4.总谐波失真：&lt;1%。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5.信噪比：≥100dB（A记权）。</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6.频率响应：20 Hz~20 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额定功率：立体声道模式8Ω：≥2×200W；立体声道模式4Ω：≥2×300W；桥接声道模式8Ω：≥1×600W。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8.转换速率：≥10V/us。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9.保护功能：防止短路、空载、开/关机噪音、无线电干扰保护电路。</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42</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编组调音台</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≥12路音频输入，≥6路Mic/ Line输入( XLR母插头和¼"" TRS组合输入接口 )，≥3路立体声线路输入，≥1路USB Media( U盘播音或蓝牙音频 )和CD立体声输入。</w:t>
            </w:r>
            <w:r>
              <w:rPr>
                <w:rFonts w:hint="eastAsia" w:eastAsiaTheme="minorEastAsia"/>
                <w:color w:val="auto"/>
                <w:sz w:val="18"/>
                <w:szCs w:val="18"/>
                <w:highlight w:val="none"/>
              </w:rPr>
              <w:t xml:space="preserve">（签订合同时提供国家认可的第三方检测机构出具的检测报告复印件或提供产品白皮书或说明书或彩页）</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2.配置共≥12路音频输出，≥1路Main L/ R立体输出、≥4路编组输出、≥5路AUX辅助输出，≥1路立体声监听输出。（均为XLR公插头接口，差分平衡输出）。</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≥3.2寸lcd液晶显示屏，实时提供DSP效果器参数和USB Media播音 信息，操作一目了。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4.配置≥1个专业DSP效果器( FX )，≥14种DSP效果类型，共≥120种的效果预设。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5.带有USB Media播音接口，支持MP3﹑AAC﹑WAV﹑AIFF﹑APE或FLAC文件格式，直接使用外部U盘录音，或外接电脑Media播音和录音。</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6.配置蓝牙功能，可以连接手机等蓝牙设备，实现无线音乐播放。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7.独立脚踏开关，控制效果器输出关闭或打开。</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8.所有Mic/Line输入通道均配置：48V幻象电源（1-2路带有独立控制48V幻象电源开关）、支持3段频率均衡调节、低切滤波器；3-6路带有压限器( Comp )、1-2/3-4编组开关、监听开关、静音开关。</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43</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多媒体数字矩阵器</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1、96KHz采样频率，32-bit 400MHz DSP处理器，24-bit A/D及D/A转换。</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2、支持USB、LAN、RS485连接电脑客户端。</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3、RS485串口支持第三方中控控制。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4、可通过面板的功能键和编码轮进行功能设置和控制，方便、直观和简洁。</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5、每路输入均有16段，输出8段多功能EQ（可选PEQ、LowShelving 2nd, High -Shelving 2nd, LowPass 2nd, HighPass 2nd, Notch, AllPass 1st, AllPass 2nd）。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可变高/低通IIR滤波器的斜率均可设置，其中巴特沃斯(Butterworth)可设置为6dB、12dB、18dB、24dB、36dB、48dB每倍频程，林克维茨-瑞莱(Linkwitz-Riley)可设置12dB、24dB、36dB、48dB每倍频程。贝塞尔(Bessel)可设置为12dB、18dB、24dB、36dB、48dB每倍频程。</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6、支持外部FIR设计工具生成的文件导入。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7、高/低通滤波器的参数可以独立调整，能够实现不对称的分频功能。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8、每路输入/输出均有延时和相位控制及静音设置，延时最长可达1000ms，延时单位可选毫秒(ms)、米(m)、英尺(ft)三种，具有x0.001、x0.01、x0.1、x1、x10 等5个步径。</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9、输入通道和输出通道之间可进行路由矩阵分配。</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10、输入通道：≥2路XLR母卡侬座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11、输出通道：≥6路XLR公卡侬座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12、信噪比（A记权）：≥114dB（THD+N&lt;1%）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13、通道隔离度：&gt;110 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14、输入阻抗：平衡式 4.7 KΩ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15、输出阻抗：平衡式100 Ω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16、整机接口：USB2.0接口≥1，RS485接口(RJ-45座)≥1，LAN≥1</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44</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全自动数字反馈抑制器</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1.反馈抑制器，≥2寸彩色液晶显示屏，可实时查看当前通道电平和每通道当前的动态陷波器数量。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2.主机上可手动选择启动或不启动陷波器和EQ功能。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3.支持48V幻象供电，可用于连接幻象电源话筒。</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 每通道最多可设≥24个动态陷波器，≥12个PEQ。分辨精度1Hz工作频率20Hz-20KHz，支持一键清除啸叫点。（</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5.响应时间快中慢3速可设定，陷波器Q值自动选取。</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6.自动扫描啸叫点并抑制。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噪声门功能可抑制系统微弱噪声干扰。（</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8.每通道，增益-64dB到+6dB，并支持压缩器功能。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9.采用“陷波”+“移频”双方式进行反馈抑制，每路设有四档移频选择，配合陷波器使用。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10.设备带有面板锁功能。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11.独立的WINDOWS操作系统软件。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消除反馈时间：快，中，慢，3档。（</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13.整机接口：输入3芯XLR母插座/6.3插咀≥2;输出3芯XLR公插座/6.3插咀≥2;USB接口≥1;3芯IEC插座≥1。</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45</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U段无线话筒（手持）（</w:t>
            </w:r>
            <w:r>
              <w:rPr>
                <w:rFonts w:eastAsiaTheme="minorEastAsia"/>
                <w:color w:val="auto"/>
                <w:sz w:val="18"/>
                <w:szCs w:val="18"/>
                <w:highlight w:val="none"/>
              </w:rPr>
              <w:t xml:space="preserve">无线一拖二真分级手持话筒</w:t>
            </w:r>
            <w:r>
              <w:rPr>
                <w:rFonts w:eastAsiaTheme="minorEastAsia"/>
                <w:bCs/>
                <w:color w:val="auto"/>
                <w:sz w:val="18"/>
                <w:szCs w:val="18"/>
                <w:highlight w:val="none"/>
              </w:rPr>
              <w:t xml:space="preserve">）</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 监听接口：具备前置监听接口，可便捷对接收机的音频输出效果进行监听，可连接耳机。（</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2.音频输出接口：支持平衡和非平衡两种选择输出端口，适应不同的设备连接需求。</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3.锁屏功能：接收机可设置锁屏功能，防止使用误操作。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4.音频模式切换：将输出电平设为MIC麦克风或者LINE线路电平。</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5.电源线夹：可固定电源线，防止拉扯导致电源接触不良。</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6.天线安装：可将天线旋转拧紧在后面板天线接口，也可将天线拧紧在吸盘天线底座上，然后将吸盘天线底座接到后面板天线接口。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7.载波频率范围: 630-698MHz。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8.频带宽度: 200kHz。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9.信道数量: 181 （15组）。</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10.麦克风类型: 动圈麦。</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11.有效工作距离: 100m（空旷无遮挡）。</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46</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数控电源时序器</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1.1U标准机身、拉丝铝面板搭配≥2寸中英文智能显示窗，可实时显示当前电压、日期时间、通道开关状态。</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标配电源EMI滤波器，可有效抑制电磁噪声，减小对设备音质的干扰。（</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3.支持面板Lock锁定功能，防止误操作。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4.内置时钟芯片，可根据日期时间定时设置自动开关机,不须人为操作，支持脱机模式，在脱离服务器时，也能保证定时任务按时执行。</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5.配置485凤凰端子串口，支持</w:t>
            </w:r>
            <w:r>
              <w:rPr>
                <w:rFonts w:hint="eastAsia" w:ascii="宋体" w:hAnsi="宋体" w:cs="宋体"/>
                <w:color w:val="auto"/>
                <w:sz w:val="18"/>
                <w:szCs w:val="18"/>
                <w:highlight w:val="none"/>
              </w:rPr>
              <w:t xml:space="preserve">≧</w:t>
            </w:r>
            <w:r>
              <w:rPr>
                <w:rFonts w:eastAsiaTheme="minorEastAsia"/>
                <w:color w:val="auto"/>
                <w:sz w:val="18"/>
                <w:szCs w:val="18"/>
                <w:highlight w:val="none"/>
              </w:rPr>
              <w:t xml:space="preserve">16台设备级联顺序控制，级联自动检测设置。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6.具有≥1个10M/100M网口，支持网络远程固件升级，多台设备通过级联后只需一路网口即可接入局域网通过软件控制。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7.具有≥1路RS232接口，支持TCP/IP、RS232协议在电脑上控制，具有开放的第三方接口协议，支持第三方设备对接控制。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 提供专业PC软件、平板APP软件，支持有线和无线软件调控，可对设备参数进行精确、有效的设置。（</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9.每台时序器自带ID设置和检测，接入网络后可实现远程云端管理。（</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10.在延时设置页面下，当开延时选项设成无穷大，即表示此通道永远不会接通，当关延时选项设成无穷大，即表示此通道永远不会关闭。</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8组设备开关场景数据保存/调用，场景管理应用简单便捷。可因应开会、培训、演讲、K歌、电影、离开等不同场景需求分别设置受控通道、开关延时等参数，保存到对应的模式，随时可以调取场景。同时，场景模式支持重命名。</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 跨平台开发平台，支持 Windows、Linux、macOS、Android、iOS 主流操作系统全功能控制软件。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13.输出通道延时:0到999秒。</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14.输出电流:单路额定输出电流13A。</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15.额定总输出:电流30A。</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47</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数字会议系统主机</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1.系统本身具备有多种发言方式的讨论功能，主席优先、主席专用、先进先出、限制模式、自由模式。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2.断电智能记忆功能，可记忆程序原运行状态。若意外断电后，通电即恢复最后一次设置。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3.内置≥3路EQ设置，能清晰地展现原声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4.LCD屏液晶菜单显示工作内容，直观明了。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5.列席话筒可1-9只任意设置。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6.可同时接≥5个主席话筒，主席任意位置可摆放。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7.主机有电源过载和短路保护功能。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8.主机有四路输入接口可连接115个会议话筒单元,具四路并联输出，每路可连接30个单元,可通过中继电源进行扩展。</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9.系统采用“T字型”航空头连接，安装更加稳固、轻松、方便，可以随时快速、便捷的搭建不同形式的会议。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10.频率响应：≥60 Hz ~ 16 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11.卡侬音频输出≥1路，6.35音频输出≥1路，RCA莲花输出≥1路，手拉手话筒接口≥4路。</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48</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数字会议系统主席单元</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采用无声式硅胶按键，有效避免机械开关所造成的冲击声。（</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w:t>
            </w:r>
            <w:r>
              <w:rPr>
                <w:rFonts w:eastAsiaTheme="minorEastAsia"/>
                <w:bCs/>
                <w:color w:val="auto"/>
                <w:sz w:val="18"/>
                <w:szCs w:val="18"/>
                <w:highlight w:val="none"/>
              </w:rPr>
              <w:t xml:space="preserve"> </w:t>
            </w:r>
            <w:r>
              <w:rPr>
                <w:rFonts w:eastAsiaTheme="minorEastAsia"/>
                <w:color w:val="auto"/>
                <w:sz w:val="18"/>
                <w:szCs w:val="18"/>
                <w:highlight w:val="none"/>
              </w:rPr>
              <w:t xml:space="preserve">双超指向拾音咪芯同时工作，保证在有一个咪芯在坏掉的情况也也能正常工作，大大提高话筒的使用效率及使用寿命。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3.采用全部的DSP处理，便于扩展和控制，最大限度减少高频衰减，语音更清晰。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4.单元采用“T字型”航空头连接，安装更加稳固、轻松、方便，可以随时快速、便捷的搭建不同形式的会议，并且主席单元可随意安排串联在线路中的任何位置。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5.麦克风类型：电容式。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6.指向性：超心型。</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7.频响范围：≥60~16kHZ。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网络协议：IEEE802.1qVLAN，支持网络音频，SW-Ring冗余环网QOS。（</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49</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数字会议系统代表单元</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采用无声式硅胶按键，有效避免机械开关所造成的冲击声。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2.双超指向拾音咪芯同时工作，保证在有一个咪芯在坏掉的情况也也能正常工作，大大提高话筒的使用效率及使用寿命。（</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3.采用全部的DSP处理，便于扩展和控制，最大限度减少高频衰减，语音更清晰。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4.单元采用“T字型”航空头连接，安装更加稳固、轻松、方便，可以随时快速、便捷的搭建不同形式的会议，并且主席单元可随意安排串联在线路中的任何位置。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5.麦克风类型：电容式。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6.指向性：超心型。</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7.频响范围：≥60~16kHZ。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网络协议：IEEE802.1qVLAN，支持网络音频，SW-Ring冗余环网QOS。</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50</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分体式视频会议终端</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1、支持G.711alaw、G.711ulaw、G.722.1、G.722.1.C、G.728、G.729、G.719、Opus、AAC-LC、AAC-LD、MP3 等音频编解码协议,支持最大 128KHz 采样率</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2、支持4 路本地视频输入图像合成 1 路视频，在本地显示或发送到远端，画面合成风格可设置</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3、支持单屏双显、单屏三显、双屏双显。本地输出支持三屏三显、四屏四显，可任意切换每个屏幕的显示内容，显示内容包括本地画面、本地双流、会议画面、会议双流。（</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四屏四显输出功能证明截图以及第三方检测报告）</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4、在不增加第三方设备或网关的情况下，把输入源的画面作为RTSP码流发送给监控系统，会议和监控功能同时使用，实现一机两用。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5、具备不少于 10 路高清视频输入接口，接口类型支持 4 路 HDMI，4 路 HDbaseT 接口,1 路 DVI-I（可转换为 HDMI，VGA，ypbpr，cvbs），1 路 3G-SDI；具备6路高清视频输出接口，视频输出接口包含4路HDMI，1路DVI-I（可转换为HDMI，VGA，ypbpr，cvbs），1路3G-SDI，其中输入输出HDMI和HDbaseT接口支持 4k分辨率</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高清背板图及带有CMA标识的第三方检测报告）</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6、具备不少于6 路音频输入接口，包含全向麦克风输入接口，卡侬口， 6.35mm，3.5mm，HDMI 接口；具备 6 路音频输出接口，包含 6.35mm，RCA，3.5mm，HDMI 接口；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7、支持内置会议功能，支持召开 6 方 1080P30 会议；支持发起会议，加入会议，会议控制功能；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8、会议终端画面支持画面合成，支持自动布局、1x1、1x2、1+2、2x2、1+4、1+5、2x3；</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9、终端内置录制模块可直接录制会议媒体到磁盘；支持 WEB 导出、预览。支持对本地输入画面、会议画面进行录像，支持多种录像画面设置。支持磁盘管理，支持循环覆盖存储模式，支持导出录像文件MP4 格式。（</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10、支持设置录像画面布局，支持设置画中画、单屏、双屏模式；支持在各种录制布局模式下调整录制本地输入、会议演示、本地演示、会议画面数据源；</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11、支持温湿度接入，画面可叠加温湿度 OSD 信息，OSD 信息位置可调</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12、具备4K（30/25/15fps）、1080P（30/25/15fps ）、720p（30/25/15fps）、 360p（30/25/15fps ) 分辨率编解码和输入输出能力</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支持 H.239和BFCP 双流协议，最大支持主流 4K@30fps 情况下，辅流支持 4K30fps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13、可通过无线网络将图像发送至终端或本地显示，图像清晰流畅，最高支持 1080p</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14、支持内置会议下成员管理，邀请/剔除/挂断成员；支持内置会议中语音激励，广播会场，语音转写；</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15、支持视频矩阵功能；支持对普通的主视频源、辅视频源的切换，支持对多流、多视的视频源的切换</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16、具备网络损伤适应性，视频抗丢包35%的丢包率情况下声音清晰、图像流畅，无马赛克和卡顿；在 80%的网络丢包情况下，声音清晰、可准确理解，不影响会议正常进行；</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51</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高清会议摄像机</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1、会议摄像机具有 PTZ控制功能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2、会议摄像机具有 変焦功能，支持12倍光学变焦，16倍数字变焦</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3、会议摄像机视频分辨率为：4096× 2160/30fps、1920× 1080/60fps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4、会议摄像机支持HDMI 接口、3G-SDI接口、USB接口、LAN接口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5、会议摄像机水平中心分辨率不小于 2000TVL(4096×2160/30fps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6、图像信噪比≥62dB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7、前后左右 1m处噪声小于20dB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8、会议摄像机支持倒装方式安装</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9、最大亮度鉴别等级不低于11级</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52</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中控主机</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1、具备统一控制功能，可以支持触控平台对接入外设例如屏幕、矩阵、拼控、灯光、窗帘、调音台、空调、新风、地暖、电器柜、录播主机、庭审主机、门锁等外设进行统一控制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2、具备KVM功能，设备支持KVM切换功能，可以实现同一套鼠标键盘，或者触控屏切换控制前端接入矩阵的PC信号</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3、具备合码功能，支持视频合码，可以对矩阵输入、网络摄像机输入信号进行画中画、画面分割方式合成，并且对合成视频进行录像和回放，合码分辨率不低于1080P 30帧。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4、具备传感器接入功能，支持有线 Modbus、无线Zigbee方式接入传感器，实现温度、湿度、PM等数据的接入。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5、具备无线控制功能，可以通过网关实现控制扩展，网关和控制模块之间采用无线ZigBee方式进行控制。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6、具备联控功能，可以根据传感器数据、开关量信号、时间段等方式进行联动控制，可以根据例如时间段、阈值等方式进行联动。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7、具备可编程功能，用户可以自定义控制码，实现对串口接入控制的设备进行现场自定义编程进行控制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8、具备校时功能，支持手动和自动校时，自动校时支持使用NTP方式校时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9、具备安全保护功能：支持IP地址过滤，可以配置IP访问黑名单或者白名单实现访问控制；支持防DOS攻击；支持防Ping功能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10、具备设备参数备份和恢复功能，支持设备参数导入导出，并且支持业务参数导入导出</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具备多设备管理功能，支持多场地控制，展示各个场地的物联设备状态，支持批量对物联设备进行控制，支持实景预览；支持单场地控制，展示某个场地的物联设备状态及关联的情景模式、环境量信息，支持情景模式切换，支持批量对物联设备进行控制，支持单个设备的控制，支持实景预览(</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12、设备具有≥2路音频输入，具有≥2路LINE OUT，≥2路功放输出，每路支持20W，总计40W功放输出，具有≥4路HDMI输入，支持3840×2160分辨率，支持音视频复合输入，具有≥4路HDMI输出，支持3840×2160分辨率，支持音视频复合输出，具有≥10个USB接口；其中USB矩阵接口：上行≥4个USB2.0，下行≥2个USB2.0；USB主控接口：≥4个USB2.0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13、支持MIC输入、Line In输入，HDMI输入的音频信号混音后，使用音频输出进行复合输出。（</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14、支持不低于4路的HDMI视频输入，支持不低于4路HDMI视频输出，支持不低于1路URL视频接入，支持输出HDMI预览。（</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15、用户可自定义场景配置，支持按照顺序、时间间隔、动作类型进行场景编排，可通过PAD进行一键调用，包括自动联动开启电脑、投影机、降下幕布、灯光、空调等；一键关闭：自动联动关闭投影机、升起幕布、电脑关机、灯光、空调关闭，一键上班、一键下班、一键上课、一键下课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16、支持通过Web进行中控主机IP、子网掩码、网关、端口配置修改。</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53</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中控平板</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1、显示屏：10.1英寸TFT LCD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2、控制方式：网络方式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3、电源：DC12V/POE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4、功耗：≤15W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5、网络接口：≥1个，100M/1000M自适应以太网口，WiFi：≥1个，USB接口：USB2.0≥2                                                                                  6、支持配置中控主机矩阵输入输出通道关系，并进行矩阵图像切换</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7、支持中控主机自带及外设音频设备的音频控制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8、支持通过可视化界面调用中控接口</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54</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86寸液晶显示器</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屏幕尺寸和显示分辨率：屏幕尺寸≥86英寸。</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屏幕分辨率</w:t>
            </w:r>
            <w:r>
              <w:rPr>
                <w:rFonts w:hint="eastAsia" w:eastAsiaTheme="minorEastAsia"/>
                <w:color w:val="auto"/>
                <w:sz w:val="18"/>
                <w:szCs w:val="18"/>
                <w:highlight w:val="none"/>
              </w:rPr>
              <w:t xml:space="preserve">不低于</w:t>
            </w:r>
            <w:r>
              <w:rPr>
                <w:rFonts w:eastAsiaTheme="minorEastAsia"/>
                <w:color w:val="auto"/>
                <w:sz w:val="18"/>
                <w:szCs w:val="18"/>
                <w:highlight w:val="none"/>
              </w:rPr>
              <w:t xml:space="preserve">3840 × 2160 @60 Hz超高清4K分辨率</w:t>
            </w:r>
            <w:r>
              <w:rPr>
                <w:rFonts w:hint="eastAsia" w:eastAsiaTheme="minorEastAsia"/>
                <w:color w:val="auto"/>
                <w:sz w:val="18"/>
                <w:szCs w:val="18"/>
                <w:highlight w:val="none"/>
              </w:rPr>
              <w:t xml:space="preserve">（签订合同时提供国家认可的第三方检测机构出具的检测报告复印件或提供产品白皮书或说明书或彩页）</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2、显示参数：屏幕占比＞ 90%，色深10bit，色域＞72%NTSC，亮度＞350cd/m²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3、屏幕特性：设备显示屏幕采用全贴合（零贴合）工艺，开启蓝光过滤器功能后，屏幕色温发生变化。</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4、触控：设备具有防遮蔽功能，模拟10点遮蔽；具有防干扰功能，在照度≥30000 LUX环境下能正常工作。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5、摄像头：分辨率：6020×4013，支持2400万像素。</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6、麦克风：设备内置全指向8阵列麦克风，支持全双工语音通信、回声消除、智能降噪和语音识别功能。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7、CPU、内存及存储：设备采用SOC芯片，CPU：Cortex-A55×4 最高主频1.9 GHz；GPU： ARM Mali-G52 MP2；NPU：2.6 TOPS AI算力，三核架构，支持int4/int8/int16/FP16/BF16/TF32；设备运行内存4GB，系统容量64GB。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操作系统：内置操作系统不低于Android 13，可外接OPS电脑（支持Windows、统信、麒麟系统），OPS模块接入后双系统可同时搭配使用，任意切换。</w:t>
            </w:r>
            <w:r>
              <w:rPr>
                <w:rFonts w:hint="eastAsia" w:eastAsiaTheme="minorEastAsia"/>
                <w:color w:val="auto"/>
                <w:sz w:val="18"/>
                <w:szCs w:val="18"/>
                <w:highlight w:val="none"/>
              </w:rPr>
              <w:t xml:space="preserve">（</w:t>
            </w:r>
            <w:r>
              <w:rPr>
                <w:rFonts w:hint="eastAsia" w:eastAsiaTheme="minorEastAsia"/>
                <w:color w:val="auto"/>
                <w:sz w:val="18"/>
                <w:szCs w:val="18"/>
                <w:highlight w:val="none"/>
                <w:lang w:eastAsia="zh-CN"/>
              </w:rPr>
              <w:t xml:space="preserve">签订合同时提供具有CMA标识的第三方检测报告复印件</w:t>
            </w:r>
            <w:r>
              <w:rPr>
                <w:rFonts w:hint="eastAsia"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9、无线通信模块：设备内置双 WiFi 模块，支持双发双收，收发均支持 2.4G（2432MHz）和5G（5180 MHz，简称5G频段）双频段，连接外网 WiFi 的同时可发热点，无线热点支持最优频段自动选择；无线通信模块可连接无线路由器或无线网络，通过参数配置后可以访问到互联网；支持所有无线模块全部物理拆除。</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default" w:eastAsiaTheme="minorEastAsia"/>
                <w:color w:val="auto"/>
                <w:sz w:val="18"/>
                <w:szCs w:val="18"/>
                <w:highlight w:val="none"/>
                <w:lang w:val="en-US"/>
              </w:rPr>
              <w:t xml:space="preserve">0</w:t>
            </w:r>
            <w:r>
              <w:rPr>
                <w:rFonts w:eastAsiaTheme="minorEastAsia"/>
                <w:color w:val="auto"/>
                <w:sz w:val="18"/>
                <w:szCs w:val="18"/>
                <w:highlight w:val="none"/>
              </w:rPr>
              <w:t xml:space="preserve">、设备接口：具有≥1个视频输入接口HDMI2.0 IN （4K@60Hz）；具备≥1路音频输入接口LINE IN，≥1 路音频输出接口LINE OUT；具备≥2个前置USB Type-A、≥1个USB Type-C接口，≥1个后置USB接口，支持双系统切换，前置接口、后置接口 、Android、OPS 上均支持3.0，可以实现 USB 设备的高速读写和控制；具有≥2路RJ45接口，≥1路RS232接口，≥1个整机TOUCH-USB接口。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default" w:eastAsiaTheme="minorEastAsia"/>
                <w:color w:val="auto"/>
                <w:sz w:val="18"/>
                <w:szCs w:val="18"/>
                <w:highlight w:val="none"/>
                <w:lang w:val="en-US"/>
              </w:rPr>
              <w:t xml:space="preserve">1</w:t>
            </w:r>
            <w:r>
              <w:rPr>
                <w:rFonts w:eastAsiaTheme="minorEastAsia"/>
                <w:color w:val="auto"/>
                <w:sz w:val="18"/>
                <w:szCs w:val="18"/>
                <w:highlight w:val="none"/>
              </w:rPr>
              <w:t xml:space="preserve">、NFC功能：设备右下角配备NFC感应模块，可与支持NFC功能的移动设备实现触碰投屏、文件快传等操作。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default" w:eastAsiaTheme="minorEastAsia"/>
                <w:color w:val="auto"/>
                <w:sz w:val="18"/>
                <w:szCs w:val="18"/>
                <w:highlight w:val="none"/>
                <w:lang w:val="en-US"/>
              </w:rPr>
              <w:t xml:space="preserve">2</w:t>
            </w:r>
            <w:r>
              <w:rPr>
                <w:rFonts w:eastAsiaTheme="minorEastAsia"/>
                <w:color w:val="auto"/>
                <w:sz w:val="18"/>
                <w:szCs w:val="18"/>
                <w:highlight w:val="none"/>
              </w:rPr>
              <w:t xml:space="preserve">、全局交互设计：设备系统采用全屏框架设计，无侧边栏中控菜单遮挡主界面，主界面屏幕底部常驻系统操作栏，进入应用后，操作栏可通过手动下滑自动收起和底部向上滑动自动展开；系统操作栏各功能图标位置支持自定义调节。</w:t>
            </w:r>
            <w:r>
              <w:rPr>
                <w:rFonts w:hint="eastAsia" w:eastAsiaTheme="minorEastAsia"/>
                <w:color w:val="auto"/>
                <w:sz w:val="18"/>
                <w:szCs w:val="18"/>
                <w:highlight w:val="none"/>
              </w:rPr>
              <w:t xml:space="preserve">（</w:t>
            </w:r>
            <w:r>
              <w:rPr>
                <w:rFonts w:hint="eastAsia" w:eastAsiaTheme="minorEastAsia"/>
                <w:color w:val="auto"/>
                <w:sz w:val="18"/>
                <w:szCs w:val="18"/>
                <w:highlight w:val="none"/>
                <w:lang w:eastAsia="zh-CN"/>
              </w:rPr>
              <w:t xml:space="preserve">签订合同时提供具有CMA标识的第三方检测报告复印件</w:t>
            </w:r>
            <w:r>
              <w:rPr>
                <w:rFonts w:hint="eastAsia"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default" w:eastAsiaTheme="minorEastAsia"/>
                <w:color w:val="auto"/>
                <w:sz w:val="18"/>
                <w:szCs w:val="18"/>
                <w:highlight w:val="none"/>
                <w:lang w:val="en-US"/>
              </w:rPr>
              <w:t xml:space="preserve">3</w:t>
            </w:r>
            <w:r>
              <w:rPr>
                <w:rFonts w:eastAsiaTheme="minorEastAsia"/>
                <w:color w:val="auto"/>
                <w:sz w:val="18"/>
                <w:szCs w:val="18"/>
                <w:highlight w:val="none"/>
              </w:rPr>
              <w:t xml:space="preserve">、浏览器搜索插入：白板软件内支持浏览器搜索功能，可长按网页种图片或截图插入至白板。</w:t>
            </w:r>
            <w:r>
              <w:rPr>
                <w:rFonts w:hint="eastAsia" w:eastAsiaTheme="minorEastAsia"/>
                <w:color w:val="auto"/>
                <w:sz w:val="18"/>
                <w:szCs w:val="18"/>
                <w:highlight w:val="none"/>
              </w:rPr>
              <w:t xml:space="preserve">（</w:t>
            </w:r>
            <w:r>
              <w:rPr>
                <w:rFonts w:hint="eastAsia" w:eastAsiaTheme="minorEastAsia"/>
                <w:color w:val="auto"/>
                <w:sz w:val="18"/>
                <w:szCs w:val="18"/>
                <w:highlight w:val="none"/>
                <w:lang w:eastAsia="zh-CN"/>
              </w:rPr>
              <w:t xml:space="preserve">签订合同时提供具有CMA标识的第三方检测报告复印件</w:t>
            </w:r>
            <w:r>
              <w:rPr>
                <w:rFonts w:hint="eastAsia"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default" w:eastAsiaTheme="minorEastAsia"/>
                <w:color w:val="auto"/>
                <w:sz w:val="18"/>
                <w:szCs w:val="18"/>
                <w:highlight w:val="none"/>
                <w:lang w:val="en-US"/>
              </w:rPr>
              <w:t xml:space="preserve">4</w:t>
            </w:r>
            <w:r>
              <w:rPr>
                <w:rFonts w:eastAsiaTheme="minorEastAsia"/>
                <w:color w:val="auto"/>
                <w:sz w:val="18"/>
                <w:szCs w:val="18"/>
                <w:highlight w:val="none"/>
              </w:rPr>
              <w:t xml:space="preserve">、投屏器支持：投屏器支持接入Type-C接口电源适配器，通过投屏器的Type-C输出接口接入电脑，可实现给电脑终端充电功能。投屏器支持接入Type-C接口电源适配器，通过投屏器的Type-C输出接口接入手机Type-C电源口，可实现给手机终端充电功能。</w:t>
            </w:r>
            <w:r>
              <w:rPr>
                <w:rFonts w:hint="eastAsia" w:eastAsiaTheme="minorEastAsia"/>
                <w:color w:val="auto"/>
                <w:sz w:val="18"/>
                <w:szCs w:val="18"/>
                <w:highlight w:val="none"/>
              </w:rPr>
              <w:t xml:space="preserve">（</w:t>
            </w:r>
            <w:r>
              <w:rPr>
                <w:rFonts w:hint="eastAsia" w:eastAsiaTheme="minorEastAsia"/>
                <w:color w:val="auto"/>
                <w:sz w:val="18"/>
                <w:szCs w:val="18"/>
                <w:highlight w:val="none"/>
                <w:lang w:eastAsia="zh-CN"/>
              </w:rPr>
              <w:t xml:space="preserve">签订合同时提供具有CMA标识的第三方检测报告复印件</w:t>
            </w:r>
            <w:r>
              <w:rPr>
                <w:rFonts w:hint="eastAsia"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default" w:eastAsiaTheme="minorEastAsia"/>
                <w:color w:val="auto"/>
                <w:sz w:val="18"/>
                <w:szCs w:val="18"/>
                <w:highlight w:val="none"/>
                <w:lang w:val="en-US"/>
              </w:rPr>
              <w:t xml:space="preserve">5</w:t>
            </w:r>
            <w:r>
              <w:rPr>
                <w:rFonts w:eastAsiaTheme="minorEastAsia"/>
                <w:color w:val="auto"/>
                <w:sz w:val="18"/>
                <w:szCs w:val="18"/>
                <w:highlight w:val="none"/>
              </w:rPr>
              <w:t xml:space="preserve">、含壁挂支架</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55</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OPS电脑</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1、CPU：</w:t>
            </w:r>
            <w:r>
              <w:rPr>
                <w:rFonts w:hint="eastAsia" w:eastAsiaTheme="minorEastAsia"/>
                <w:color w:val="auto"/>
                <w:sz w:val="18"/>
                <w:szCs w:val="18"/>
                <w:highlight w:val="none"/>
              </w:rPr>
              <w:t xml:space="preserve">不低于8核（四大核、四小核）/</w:t>
            </w:r>
            <w:r>
              <w:rPr>
                <w:rFonts w:eastAsiaTheme="minorEastAsia"/>
                <w:color w:val="auto"/>
                <w:sz w:val="18"/>
                <w:szCs w:val="18"/>
                <w:highlight w:val="none"/>
              </w:rPr>
              <w:t xml:space="preserve">12</w:t>
            </w:r>
            <w:r>
              <w:rPr>
                <w:rFonts w:hint="eastAsia" w:eastAsiaTheme="minorEastAsia"/>
                <w:color w:val="auto"/>
                <w:sz w:val="18"/>
                <w:szCs w:val="18"/>
                <w:highlight w:val="none"/>
              </w:rPr>
              <w:t xml:space="preserve">线程/</w:t>
            </w:r>
            <w:r>
              <w:rPr>
                <w:rFonts w:eastAsiaTheme="minorEastAsia"/>
                <w:color w:val="auto"/>
                <w:sz w:val="18"/>
                <w:szCs w:val="18"/>
                <w:highlight w:val="none"/>
              </w:rPr>
              <w:t xml:space="preserve">4.40 GHz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2、内存：8 GB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3、网卡：</w:t>
            </w:r>
            <w:r>
              <w:rPr>
                <w:rFonts w:hint="eastAsia" w:eastAsiaTheme="minorEastAsia"/>
                <w:color w:val="auto"/>
                <w:sz w:val="18"/>
                <w:szCs w:val="18"/>
                <w:highlight w:val="none"/>
              </w:rPr>
              <w:t xml:space="preserve">不低于千兆网卡；</w:t>
            </w:r>
            <w:r>
              <w:rPr>
                <w:rFonts w:eastAsiaTheme="minorEastAsia"/>
                <w:color w:val="auto"/>
                <w:sz w:val="18"/>
                <w:szCs w:val="18"/>
                <w:highlight w:val="none"/>
              </w:rPr>
              <w:t xml:space="preserve">WiFi支持802.11a/b/g/n/ac/ax</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4、显卡：</w:t>
            </w:r>
            <w:r>
              <w:rPr>
                <w:rFonts w:hint="eastAsia" w:eastAsiaTheme="minorEastAsia"/>
                <w:color w:val="auto"/>
                <w:sz w:val="18"/>
                <w:szCs w:val="18"/>
                <w:highlight w:val="none"/>
              </w:rPr>
              <w:t xml:space="preserve">核芯显卡，频率不低于1.3GHz。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5、硬盘：256G SSD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6、蓝牙：Bluetooth 4.2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7、网络接口：RJ45 x1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8、音频输入接口：Audio in</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9、音频输出接口：Audio out</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10、存储控制接口：USB-A 3.0 x4；USB-A 2.0 x2；Type-C x1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11、视频输出接口：HDMI(out)接口 x1, DP(out) 接口 x1</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56</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无线投屏器</w:t>
            </w:r>
            <w:r>
              <w:rPr>
                <w:rFonts w:hint="eastAsia" w:eastAsiaTheme="minorEastAsia"/>
                <w:bCs/>
                <w:color w:val="auto"/>
                <w:sz w:val="18"/>
                <w:szCs w:val="18"/>
                <w:highlight w:val="none"/>
              </w:rPr>
              <w:t xml:space="preserve">1</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1、内存：≥512 MB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2、内置存储：≥4 GB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3、网卡：内置千兆网卡，支持2.4G/5G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4、电源接口：TYPE-C，支持CC通信自动切换充电方向，实现适配器对笔记本60W快充、笔记本对手机5V充电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5、额定功率：5 V/900 mA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6、分辨率：1080P/4K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7、帧率：30fps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8、传输延迟：≤200ms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9、无线传输协议：IEEE 802.11 a/g/n/ac</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10、NFC：ISO / IEC 14443- A协议，13.56MHZ，106 Kbps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11、音频参数：48000Hz采样率，16位位深，ACC编码，双声道</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12、视频参数：10 bit色深，H.264编码格式</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57</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控制电脑</w:t>
            </w:r>
            <w:r>
              <w:rPr>
                <w:rFonts w:hint="eastAsia" w:eastAsiaTheme="minorEastAsia"/>
                <w:bCs/>
                <w:color w:val="auto"/>
                <w:sz w:val="18"/>
                <w:szCs w:val="18"/>
                <w:highlight w:val="none"/>
              </w:rPr>
              <w:t xml:space="preserve">3</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1、处理器： 不低于12核/20线程/2.1 GHz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2、内存：≥16GB，3200速率，DDR4，最大支持64GB内存；</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3、SSD硬盘：≥ 256 G  SSD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4、HDD硬盘：≥1 T HDD，硬盘转速5400转</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5、显卡：不低于RX550，显存容量4 GB，视频接口≥1个HDMI，≥1个DP</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6、电源：350 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7、键鼠：含USB有线键鼠</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8、显示器：不低于23.8英寸，分辨率1920 × 1080，刷新率Typ. 60 Hz , Max. 100 Hz，1个HDMI，1个VGA视频接口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9、USB接口≥10个，其中USB3.0接口≥4个，机箱后置USB接口≥6个；1个HDMI+1个DP接口，主板板载接口；预留DVD刻录机位置，可内嵌DVD刻录机</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10、网络接口：≥1个RJ45  千 兆以太网口（10 M/100 M/1000 M自适应），支持网络唤醒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11、操作系统兼容性：支持windows系统、UOS系统、麒麟系统、CentOS系统、Windows 7系统、LINUX系统安装；支持双系统、三系统、四系统安装</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12、视频功能：支持超高清4K解码实景播放;支持多显卡调度，可在相同应用里使用双显卡，双显卡同时工作。（</w:t>
            </w:r>
            <w:r>
              <w:rPr>
                <w:rFonts w:hint="eastAsia" w:eastAsiaTheme="minorEastAsia"/>
                <w:color w:val="auto"/>
                <w:sz w:val="18"/>
                <w:szCs w:val="18"/>
                <w:highlight w:val="none"/>
                <w:lang w:eastAsia="zh-CN"/>
              </w:rPr>
              <w:t xml:space="preserve">签订合同时提供国家认可的第三方检测机构出具的检测报告复印件或提供产品白皮书或说明书或彩页</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13、转码能力：系统支持对GA/T1154.2-2014中4.4.2.1规定的70种视频格式文件转码成MP4，AVI，WMV，GIF。（</w:t>
            </w:r>
            <w:r>
              <w:rPr>
                <w:rFonts w:hint="eastAsia" w:eastAsiaTheme="minorEastAsia"/>
                <w:color w:val="auto"/>
                <w:sz w:val="18"/>
                <w:szCs w:val="18"/>
                <w:highlight w:val="none"/>
                <w:lang w:eastAsia="zh-CN"/>
              </w:rPr>
              <w:t xml:space="preserve">签订合同时提供国家认可的第三方检测机构出具的检测报告复印件或提供产品白皮书或说明书或彩页</w:t>
            </w:r>
            <w:r>
              <w:rPr>
                <w:rFonts w:eastAsiaTheme="minorEastAsia"/>
                <w:color w:val="auto"/>
                <w:sz w:val="18"/>
                <w:szCs w:val="18"/>
                <w:highlight w:val="none"/>
              </w:rPr>
              <w:t xml:space="preserve">）</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58</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无线投屏套装</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1、配置安装：免配置，免安装，自动连接，自动运行</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2、接口：USB</w:t>
            </w:r>
            <w:r/>
          </w:p>
          <w:p>
            <w:pPr>
              <w:jc w:val="left"/>
              <w:spacing w:line="260" w:lineRule="exact"/>
              <w:widowControl/>
              <w:rPr>
                <w:rFonts w:hint="eastAsia" w:eastAsiaTheme="minorEastAsia"/>
                <w:color w:val="auto"/>
                <w:sz w:val="18"/>
                <w:szCs w:val="18"/>
                <w:highlight w:val="none"/>
                <w:lang w:eastAsia="zh-CN"/>
              </w:rPr>
            </w:pPr>
            <w:r>
              <w:rPr>
                <w:rFonts w:eastAsiaTheme="minorEastAsia"/>
                <w:color w:val="auto"/>
                <w:sz w:val="18"/>
                <w:szCs w:val="18"/>
                <w:highlight w:val="none"/>
              </w:rPr>
              <w:t xml:space="preserve">3、支持系统：</w:t>
            </w:r>
            <w:r>
              <w:rPr>
                <w:rFonts w:hint="eastAsia" w:eastAsiaTheme="minorEastAsia"/>
                <w:color w:val="auto"/>
                <w:sz w:val="18"/>
                <w:szCs w:val="18"/>
                <w:highlight w:val="none"/>
                <w:lang w:eastAsia="zh-CN"/>
              </w:rPr>
              <w:t xml:space="preserve">常规操作系统</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4、分辨率：1080P</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5、帧率：30fps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6、传输延迟：&lt; 200 ms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7、触控回传：支持10点触摸回传（Windows 、 Mac）；</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8、WIFI 类型：2.4G/5G 双频WIFI，</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9、无线速率：&gt; 400 Mbps</w:t>
            </w:r>
            <w:r/>
          </w:p>
          <w:p>
            <w:pPr>
              <w:jc w:val="left"/>
              <w:spacing w:line="260" w:lineRule="exact"/>
              <w:widowControl/>
              <w:rPr>
                <w:rFonts w:hint="eastAsia" w:eastAsiaTheme="minorEastAsia"/>
                <w:color w:val="auto"/>
                <w:sz w:val="18"/>
                <w:szCs w:val="18"/>
                <w:highlight w:val="none"/>
                <w:lang w:eastAsia="zh-CN"/>
              </w:rPr>
            </w:pPr>
            <w:r>
              <w:rPr>
                <w:rFonts w:eastAsiaTheme="minorEastAsia"/>
                <w:color w:val="auto"/>
                <w:sz w:val="18"/>
                <w:szCs w:val="18"/>
                <w:highlight w:val="none"/>
              </w:rPr>
              <w:t xml:space="preserve">10、主控：</w:t>
            </w:r>
            <w:r>
              <w:rPr>
                <w:rFonts w:hint="eastAsia" w:eastAsiaTheme="minorEastAsia"/>
                <w:color w:val="auto"/>
                <w:sz w:val="18"/>
                <w:szCs w:val="18"/>
                <w:highlight w:val="none"/>
                <w:lang w:eastAsia="zh-CN"/>
              </w:rPr>
              <w:t xml:space="preserve">≥4核 ，≥1.8 Ghz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11、DDR：≥2G DDR3 ，存储空间：≥8G</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12、操作系统：不低于Android 5.1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13、机身接口：HDMI≥1，USB≥2，耳机接口≥1，TF 扩展≥1，RJ45≥1</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59</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线性声柱</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1.支持两档模式切换,Normal模式下人声更清晰，垂直指向性更强；Wide模式下低音更多，声音更浑厚，垂直覆盖角度更大，满足不同场景听音需求。（</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2.支持欧姆头、凤凰端子3Pin多类型音频接口接入。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3.支持两种安装方式，贴墙壁挂安装或万向支架安装，调节角度简便，满足任意环境声场覆盖要求。</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4.额定功率≥150W。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5.阻抗：8Ω。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6.灵敏度≥90dB/W/M。</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7.连续声压级≥111dB。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8.最大声压级≥≥117dB。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9.频响范围：100Hz~18KHz。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10.喇叭单元：≥12×2.25""钕磁喇叭单元。（</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11.水平覆盖角≥160°。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12.垂直覆盖角度：Normal：≥25°，Wide：≥30°。</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60</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专业吸顶音箱（</w:t>
            </w:r>
            <w:r>
              <w:rPr>
                <w:rFonts w:eastAsiaTheme="minorEastAsia"/>
                <w:color w:val="auto"/>
                <w:sz w:val="18"/>
                <w:szCs w:val="18"/>
                <w:highlight w:val="none"/>
              </w:rPr>
              <w:t xml:space="preserve">同轴吸顶音箱</w:t>
            </w:r>
            <w:r>
              <w:rPr>
                <w:rFonts w:eastAsiaTheme="minorEastAsia"/>
                <w:bCs/>
                <w:color w:val="auto"/>
                <w:sz w:val="18"/>
                <w:szCs w:val="18"/>
                <w:highlight w:val="none"/>
              </w:rPr>
              <w:t xml:space="preserve">）</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1.结构设计：自带塑胶后壳箱体，铁质网罩。</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2.材料：热塑型高分子材料。</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3.扬声器单元：中低音扬声器: 1x6.5""，高音扬声器: 1x1""。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4.额定功率: ≥ 60W。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5.阻抗：8Ω。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6.输入接口：2-芯连接线。</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7.覆盖角度：140°*140°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8.连续/最大声压级: 104dB/110dB(Peak)</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9.安装支架：自带吸顶安装支架。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w:t>
            </w:r>
            <w:r>
              <w:rPr>
                <w:rFonts w:hint="eastAsia" w:eastAsiaTheme="minorEastAsia"/>
                <w:color w:val="auto"/>
                <w:sz w:val="18"/>
                <w:szCs w:val="18"/>
                <w:highlight w:val="none"/>
                <w:lang w:val="en-US" w:eastAsia="zh-CN"/>
              </w:rPr>
              <w:t xml:space="preserve">.</w:t>
            </w:r>
            <w:r>
              <w:rPr>
                <w:rFonts w:eastAsiaTheme="minorEastAsia"/>
                <w:color w:val="auto"/>
                <w:sz w:val="18"/>
                <w:szCs w:val="18"/>
                <w:highlight w:val="none"/>
              </w:rPr>
              <w:t xml:space="preserve">音箱制造商应具有专业的实验室检测，具备扬声器相关性能 GB/T 12060.5-2011 20.1标准声学检测能力（</w:t>
            </w:r>
            <w:r>
              <w:rPr>
                <w:rFonts w:hint="eastAsia" w:eastAsiaTheme="minorEastAsia"/>
                <w:color w:val="auto"/>
                <w:sz w:val="18"/>
                <w:szCs w:val="18"/>
                <w:highlight w:val="none"/>
              </w:rPr>
              <w:t xml:space="preserve">签订合同时提供</w:t>
            </w:r>
            <w:r>
              <w:rPr>
                <w:rFonts w:eastAsiaTheme="minorEastAsia"/>
                <w:color w:val="auto"/>
                <w:sz w:val="18"/>
                <w:szCs w:val="18"/>
                <w:highlight w:val="none"/>
              </w:rPr>
              <w:t xml:space="preserve">国家认可的中心实验室认证证书复印件及体现检测范围内容项）</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61</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专业功放</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1.具备“桥接模式，并接模式，立体声模式”三种工作模式可选择。</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2.具备“580mV/820mV”两档输入灵敏度可选择。</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3.阻尼系数：≥200@ 8 欧姆。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4.总谐波失真：&lt;1%。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5.信噪比：≥100dB（A记权）。</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6.频率响应：20 Hz~20 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额定功率：立体声道模式8Ω：≥2×200W；立体声道模式4Ω：≥2×300W；桥接声道模式8Ω：≥1×600W。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8.转换速率：≥10V/us。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9.保护功能：防止短路、空载、开/关机噪音、无线电干扰保护电路。</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62</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编组调音台</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 </w:t>
            </w:r>
            <w:r>
              <w:rPr>
                <w:rFonts w:eastAsiaTheme="minorEastAsia"/>
                <w:color w:val="auto"/>
                <w:sz w:val="18"/>
                <w:szCs w:val="18"/>
                <w:highlight w:val="none"/>
              </w:rPr>
              <w:t xml:space="preserve">≥12路音频输入，≥6路Mic/ Line输入( XLR母插头和¼"" TRS组合输入接口 )，≥3路立体声线路输入，≥1路USB Media( U盘播音或蓝牙音频 )和CD立体声输入。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2.配置共≥12路音频输出，≥1路Main L/ R立体输出、≥4路编组输出、≥5路AUX辅助输出，≥1路立体声监听输出。（均为XLR公插头接口，差分平衡输出）。</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3.≥3.2寸lcd液晶显示屏，实时提供DSP效果器参数和USB Media播音 信息，操作一目了。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4.配置≥1个专业DSP效果器( FX )，≥14种DSP效果类型，共≥120种的效果预设。（</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，同时要求提供检测报告的编号在全国认证认可信息公共服务平台的查询截图）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5.带有USB Media播音接口，支持MP3﹑AAC﹑WAV﹑AIFF﹑APE或FLAC文件格式，直接使用外部U盘录音，或外接电脑Media播音和录音。</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6.配置蓝牙功能，可以连接手机等蓝牙设备，实现无线音乐播放。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7.独立脚踏开关，控制效果器输出关闭或打开。</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8.所有Mic/Line输入通道均配置：48V幻象电源（1-2路带有独立控制48V幻象电源开关）、支持3段频率均衡调节、低切滤波器；3-6路带有压限器( Comp )、1-2/3-4编组开关、监听开关、静音开关。</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63</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多媒体数字矩阵器</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1、96KHz采样频率，32-bit 400MHz DSP处理器，24-bit A/D及D/A转换。</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2、支持USB、LAN、RS485连接电脑客户端。</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3、RS485串口支持第三方中控控制。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4、可通过面板的功能键和编码轮进行功能设置和控制，方便、直观和简洁。</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5、每路输入均有16段，输出8段多功能EQ（可选PEQ、LowShelving 2nd, High -Shelving 2nd, LowPass 2nd, HighPass 2nd, Notch, AllPass 1st, AllPass 2nd）。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可变高/低通IIR滤波器的斜率均可设置，其中巴特沃斯(Butterworth)可设置为6dB、12dB、18dB、24dB、36dB、48dB每倍频程，林克维茨-瑞莱(Linkwitz-Riley)可设置12dB、24dB、36dB、48dB每倍频程。贝塞尔(Bessel)可设置为12dB、18dB、24dB、36dB、48dB每倍频程。</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6、支持外部FIR设计工具生成的文件导入。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7、高/低通滤波器的参数可以独立调整，能够实现不对称的分频功能。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8、每路输入/输出均有延时和相位控制及静音设置，延时最长可达1000ms，延时单位可选毫秒(ms)、米(m)、英尺(ft)三种，具有x0.001、x0.01、x0.1、x1、x10 等5个步径。</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9、输入通道和输出通道之间可进行路由矩阵分配。</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10、输入通道：≥2路XLR母卡侬座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11、输出通道：≥6路XLR公卡侬座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12、信噪比（A记权）：≥114dB（THD+N&lt;1%）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13、通道隔离度：&gt;110 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14、输入阻抗：平衡式 4.7 KΩ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15、输出阻抗：平衡式100 Ω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16、整机接口：USB2.0接口≥1，RS485接口(RJ-45座)≥1，LAN≥1</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64</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全自动数字反馈抑制器</w:t>
            </w:r>
            <w:r>
              <w:rPr>
                <w:rFonts w:hint="eastAsia" w:eastAsiaTheme="minorEastAsia"/>
                <w:bCs/>
                <w:color w:val="auto"/>
                <w:sz w:val="18"/>
                <w:szCs w:val="18"/>
                <w:highlight w:val="none"/>
              </w:rPr>
              <w:t xml:space="preserve">3</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1.反馈抑制器，≥2寸彩色液晶显示屏，可实时查看当前通道电平和每通道当前的动态陷波器数量。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2.主机上可手动选择启动或不启动陷波器和EQ功能。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3.支持48V幻象供电，可用于连接幻象电源话筒。</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 每通道最多可设≥24个动态陷波器，≥12个PEQ。分辨精度1Hz工作频率20Hz-20KHz，支持一键清除啸叫点。（</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5.响应时间快中慢3速可设定，陷波器Q值自动选取。</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6.自动扫描啸叫点并抑制。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7.噪声门功能可抑制系统微弱噪声干扰。（</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8.每通道，增益-64dB到+6dB，并支持压缩器功能。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9.采用“陷波”+“移频”双方式进行反馈抑制，每路设有四档移频选择，配合陷波器使用。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10.设备带有面板锁功能。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11.独立的WINDOWS操作系统软件。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12.消除反馈时间：快，中，慢，3档。（</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13.整机接口：输入3芯XLR母插座/6.3插咀≥2;输出3芯XLR公插座/6.3插咀≥2;USB接口≥1;3芯IEC插座≥1。</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65</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数控电源时序器</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1.1U标准机身、拉丝铝面板搭配≥2寸中英文智能显示窗，可实时显示当前电压、日期时间、通道开关状态。</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2.标配电源EMI滤波器，可有效抑制电磁噪声，减小对设备音质的干扰。（</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3.支持面板Lock锁定功能，防止误操作。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4.内置时钟芯片，可根据日期时间定时设置自动开关机,不须人为操作，支持脱机模式，在脱离服务器时，也能保证定时任务按时执行。</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5.配置485凤凰端子串口，支持</w:t>
            </w:r>
            <w:r>
              <w:rPr>
                <w:rFonts w:hint="eastAsia" w:ascii="宋体" w:hAnsi="宋体" w:cs="宋体"/>
                <w:color w:val="auto"/>
                <w:sz w:val="18"/>
                <w:szCs w:val="18"/>
                <w:highlight w:val="none"/>
              </w:rPr>
              <w:t xml:space="preserve">≧</w:t>
            </w:r>
            <w:r>
              <w:rPr>
                <w:rFonts w:eastAsiaTheme="minorEastAsia"/>
                <w:color w:val="auto"/>
                <w:sz w:val="18"/>
                <w:szCs w:val="18"/>
                <w:highlight w:val="none"/>
              </w:rPr>
              <w:t xml:space="preserve">16台设备级联顺序控制，级联自动检测设置。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6.具有≥1个10M/100M网口，支持网络远程固件升级，多台设备通过级联后只需一路网口即可接入局域网通过软件控制。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7.具有≥1路RS232接口，支持TCP/IP、RS232协议在电脑上控制，具有开放的第三方接口协议，支持第三方设备对接控制。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 提供专业PC软件、平板APP软件，支持有线和无线软件调控，可对设备参数进行精确、有效的设置。（</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9.每台时序器自带ID设置和检测，接入网络后可实现远程云端管理。（</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10.在延时设置页面下，当开延时选项设成无穷大，即表示此通道永远不会接通，当关延时选项设成无穷大，即表示此通道永远不会关闭。</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8组设备开关场景数据保存/调用，场景管理应用简单便捷。可因应开会、培训、演讲、K歌、电影、离开等不同场景需求分别设置受控通道、开关延时等参数，保存到对应的模式，随时可以调取场景。同时，场景模式支持重命名。</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 跨平台开发平台，支持 Windows、Linux、macOS、Android、iOS 主流操作系统全功能控制软件。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default" w:eastAsiaTheme="minorEastAsia"/>
                <w:color w:val="auto"/>
                <w:sz w:val="18"/>
                <w:szCs w:val="18"/>
                <w:highlight w:val="none"/>
                <w:lang w:val="en-US"/>
              </w:rPr>
              <w:t xml:space="preserve">3</w:t>
            </w:r>
            <w:r>
              <w:rPr>
                <w:rFonts w:eastAsiaTheme="minorEastAsia"/>
                <w:color w:val="auto"/>
                <w:sz w:val="18"/>
                <w:szCs w:val="18"/>
                <w:highlight w:val="none"/>
              </w:rPr>
              <w:t xml:space="preserve">.输出通道延时:0到999秒。</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default" w:eastAsiaTheme="minorEastAsia"/>
                <w:color w:val="auto"/>
                <w:sz w:val="18"/>
                <w:szCs w:val="18"/>
                <w:highlight w:val="none"/>
                <w:lang w:val="en-US"/>
              </w:rPr>
              <w:t xml:space="preserve">4</w:t>
            </w:r>
            <w:r>
              <w:rPr>
                <w:rFonts w:eastAsiaTheme="minorEastAsia"/>
                <w:color w:val="auto"/>
                <w:sz w:val="18"/>
                <w:szCs w:val="18"/>
                <w:highlight w:val="none"/>
              </w:rPr>
              <w:t xml:space="preserve">.输出电流:单路额定输出电流13A。</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default" w:eastAsiaTheme="minorEastAsia"/>
                <w:color w:val="auto"/>
                <w:sz w:val="18"/>
                <w:szCs w:val="18"/>
                <w:highlight w:val="none"/>
                <w:lang w:val="en-US"/>
              </w:rPr>
              <w:t xml:space="preserve">5</w:t>
            </w:r>
            <w:r>
              <w:rPr>
                <w:rFonts w:eastAsiaTheme="minorEastAsia"/>
                <w:color w:val="auto"/>
                <w:sz w:val="18"/>
                <w:szCs w:val="18"/>
                <w:highlight w:val="none"/>
              </w:rPr>
              <w:t xml:space="preserve">.额定总输出:电流30A。</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66</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数字会议系统主机</w:t>
            </w:r>
            <w:r>
              <w:rPr>
                <w:rFonts w:hint="eastAsia" w:eastAsiaTheme="minorEastAsia"/>
                <w:bCs/>
                <w:color w:val="auto"/>
                <w:sz w:val="18"/>
                <w:szCs w:val="18"/>
                <w:highlight w:val="none"/>
              </w:rPr>
              <w:t xml:space="preserve">3</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1.系统本身具备有多种发言方式的讨论功能，主席优先、主席专用、先进先出、限制模式、自由模式。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2.断电智能记忆功能，可记忆程序原运行状态。若意外断电后，通电即恢复最后一次设置。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3.内置≥3路EQ设置，能清晰地展现原声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4.LCD屏液晶菜单显示工作内容，直观明了。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5.列席话筒可1-9只任意设置。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6.可同时接≥5个主席话筒，主席任意位置可摆放。</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7.主机有电源过载和短路保护功能。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8.主机有四路输入接口可连接115个会议话筒单元,具四路并联输出，每路可连接30个单元,可通过中继电源进行扩展。</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9.系统采用“T字型”航空头连接，安装更加稳固、轻松、方便，可以随时快速、便捷的搭建不同形式的会议。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10.频率响应：≥60 Hz ~ 16 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11.卡侬音频输出≥1路，6.35音频输出≥1路，RCA莲花输出≥1路，手拉手话筒接口≥4路。</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67</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数字会议系统主席单元</w:t>
            </w:r>
            <w:r>
              <w:rPr>
                <w:rFonts w:hint="eastAsia" w:eastAsiaTheme="minorEastAsia"/>
                <w:bCs/>
                <w:color w:val="auto"/>
                <w:sz w:val="18"/>
                <w:szCs w:val="18"/>
                <w:highlight w:val="none"/>
              </w:rPr>
              <w:t xml:space="preserve">3</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1.采用无声式硅胶按键，有效避免机械开关所造成的冲击声。（</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 双超指向拾音咪芯同时工作，保证在有一个咪芯在坏掉的情况也也能正常工作，大大提高话筒的使用效率及使用寿命。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3.采用全部的DSP处理，便于扩展和控制，最大限度减少高频衰减，语音更清晰。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4.单元采用“T字型”航空头连接，安装更加稳固、轻松、方便，可以随时快速、便捷的搭建不同形式的会议，并且主席单元可随意安排串联在线路中的任何位置。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5.麦克风类型：电容式。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6.指向性：超心型。</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7.频响范围：≥60~16kHZ。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8.网络协议：IEEE802.1qVLAN，支持网络音频，SW-Ring冗余环网QOS。（</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68</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数字会议系统代表单元</w:t>
            </w:r>
            <w:r>
              <w:rPr>
                <w:rFonts w:hint="eastAsia" w:eastAsiaTheme="minorEastAsia"/>
                <w:bCs/>
                <w:color w:val="auto"/>
                <w:sz w:val="18"/>
                <w:szCs w:val="18"/>
                <w:highlight w:val="none"/>
              </w:rPr>
              <w:t xml:space="preserve">3</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1.采用无声式硅胶按键，有效避免机械开关所造成的冲击声。（</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2.双超指向拾音咪芯同时工作，保证在有一个咪芯在坏掉的情况也也能正常工作，大大提高话筒的使用效率及使用寿命。（</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3.采用全部的DSP处理，便于扩展和控制，最大限度减少高频衰减，语音更清晰。</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4.单元采用“T字型”航空头连接，安装更加稳固、轻松、方便，可以随时快速、便捷的搭建不同形式的会议，并且主席单元可随意安排串联在线路中的任何位置。</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5.麦克风类型：电容式。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6.指向性：超心型。</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7.频响范围：≥60~16kHZ。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8.网络协议：IEEE802.1qVLAN，支持网络音频，SW-Ring冗余环网QOS。（</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69</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高清会议摄像机</w:t>
            </w:r>
            <w:r>
              <w:rPr>
                <w:rFonts w:hint="eastAsia" w:eastAsiaTheme="minorEastAsia"/>
                <w:bCs/>
                <w:color w:val="auto"/>
                <w:sz w:val="18"/>
                <w:szCs w:val="18"/>
                <w:highlight w:val="none"/>
              </w:rPr>
              <w:t xml:space="preserve">3</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1、会议摄像机具有 PTZ控制功能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2、会议摄像机具有 変焦功能，支持12倍光学变焦，16倍数字变焦</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3、会议摄像机视频分辨率为：4096× 2160/30fps、1920× 1080/60fps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4、会议摄像机支持HDMI 接口、3G-SDI接口、USB接口、LAN接口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5、会议摄像机水平中心分辨率不小于 2000TVL(4096×2160/30fps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6、图像信噪比≥62dB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7、前后左右 1m处噪声小于20dB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8、会议摄像机支持倒装方式安装，最大亮度鉴别等级不低于11级</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70</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中控主机</w:t>
            </w:r>
            <w:r>
              <w:rPr>
                <w:rFonts w:hint="eastAsia" w:eastAsiaTheme="minorEastAsia"/>
                <w:bCs/>
                <w:color w:val="auto"/>
                <w:sz w:val="18"/>
                <w:szCs w:val="18"/>
                <w:highlight w:val="none"/>
              </w:rPr>
              <w:t xml:space="preserve">3</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1、具备统一控制功能，可以支持触控平台对接入外设例如屏幕、矩阵、拼控、灯光、窗帘、调音台、空调、新风、地暖、电器柜、录播主机、庭审主机、门锁等外设进行统一控制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2、具备KVM功能，设备支持KVM切换功能，可以实现同一套鼠标键盘，或者触控屏切换控制前端接入矩阵的PC信号</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3、具备合码功能，支持视频合码，可以对矩阵输入、网络摄像机输入信号进行画中画、画面分割方式合成，并且对合成视频进行录像和回放，合码分辨率不低于1080P 30帧。</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4、具备传感器接入功能，支持有线 Modbus、无线Zigbee方式接入传感器，实现温度、湿度、PM等数据的接入。</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5、具备无线控制功能，可以通过网关实现控制扩展，网关和控制模块之间采用无线ZigBee方式进行控制。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6、具备联控功能，可以根据传感器数据、开关量信号、时间段等方式进行联动控制，可以根据例如时间段、阈值等方式进行联动。</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7、具备可编程功能，用户可以自定义控制码，实现对串口接入控制的设备进行现场自定义编程进行控制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8、具备校时功能，支持手动和自动校时，自动校时支持使用NTP方式校时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9、具备安全保护功能：支持IP地址过滤，可以配置IP访问黑名单或者白名单实现访问控制；支持防DOS攻击；支持防Ping功能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10、具备设备参数备份和恢复功能，支持设备参数导入导出，并且支持业务参数导入导出</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具备多设备管理功能，支持多场地控制，展示各个场地的物联设备状态，支持批量对物联设备进行控制，支持实景预览；支持单场地控制，展示某个场地的物联设备状态及关联的情景模式、环境量信息，支持情景模式切换，支持批量对物联设备进行控制，支持单个设备的控制，支持实景预览(</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复印件）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12、设备具有≥2路音频输入，具有≥2路LINE OUT，≥2路功放输出，每路支持20W，总计40W功放输出，具有≥4路HDMI输入，支持3840×2160分辨率，支持音视频复合输入，具有≥4路HDMI输出，支持3840×2160分辨率，支持音视频复合输出，具有≥10个USB接口；其中USB矩阵接口：上行≥4个USB2.0，下行≥2个USB2.0；USB主控接口：≥4个USB2.0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13、支持MIC输入、Line In输入，HDMI输入的音频信号混音后，使用音频输出进行复合输出。（</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复印件）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14、支持不低于4路的HDMI视频输入，支持不低于4路HDMI视频输出，支持不低于1路URL视频接入，支持输出HDMI预览。（</w:t>
            </w:r>
            <w:r>
              <w:rPr>
                <w:rFonts w:hint="eastAsia" w:eastAsiaTheme="minorEastAsia"/>
                <w:color w:val="auto"/>
                <w:sz w:val="18"/>
                <w:szCs w:val="18"/>
                <w:highlight w:val="none"/>
                <w:lang w:eastAsia="zh-CN"/>
              </w:rPr>
              <w:t xml:space="preserve">签订合同时提供具有CMA标识的第三方检测报告复印件</w:t>
            </w:r>
            <w:r>
              <w:rPr>
                <w:rFonts w:eastAsiaTheme="minorEastAsia"/>
                <w:color w:val="auto"/>
                <w:sz w:val="18"/>
                <w:szCs w:val="18"/>
                <w:highlight w:val="none"/>
              </w:rPr>
              <w:t xml:space="preserve">复印件）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15、用户可自定义场景配置，支持按照顺序、时间间隔、动作类型进行场景编排，可通过PAD进行一键调用，包括自动联动开启电脑、投影机、降下幕布、灯光、空调等；一键关闭：自动联动关闭投影机、升起幕布、电脑关机、灯光、空调关闭，一键上班、一键下班、一键上课、一键下课等。</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16、支持通过Web进行中控主机IP、子网掩码、网关、端口配置修改。</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71</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中控平板</w:t>
            </w:r>
            <w:r>
              <w:rPr>
                <w:rFonts w:hint="eastAsia" w:eastAsiaTheme="minorEastAsia"/>
                <w:bCs/>
                <w:color w:val="auto"/>
                <w:sz w:val="18"/>
                <w:szCs w:val="18"/>
                <w:highlight w:val="none"/>
              </w:rPr>
              <w:t xml:space="preserve">3</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1、显示屏：10.1英寸TFT LCD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2、控制方式：网络方式</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3、电源：DC12V/POE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4、功耗：≤15W</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5、网络接口：≥1个，100M/1000M自适应以太网口，WiFi：≥1个，USB接口：USB2.0≥2                                                                                  6、支持配置中控主机矩阵输入输出通道关系，并进行矩阵图像切换</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7、支持中控主机自带及外设音频设备的音频控制</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8、支持通过可视化界面调用中控接口</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72</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86寸液晶显示器</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1、屏幕尺寸和显示分辨率：屏幕尺寸≥86英寸。屏幕分辨率</w:t>
            </w:r>
            <w:r>
              <w:rPr>
                <w:rFonts w:hint="eastAsia" w:eastAsiaTheme="minorEastAsia"/>
                <w:color w:val="auto"/>
                <w:sz w:val="18"/>
                <w:szCs w:val="18"/>
                <w:highlight w:val="none"/>
              </w:rPr>
              <w:t xml:space="preserve">不低于</w:t>
            </w:r>
            <w:r>
              <w:rPr>
                <w:rFonts w:eastAsiaTheme="minorEastAsia"/>
                <w:color w:val="auto"/>
                <w:sz w:val="18"/>
                <w:szCs w:val="18"/>
                <w:highlight w:val="none"/>
              </w:rPr>
              <w:t xml:space="preserve">3840 × 2160 @60 Hz超高清4K分辨率</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2、显示参数：屏幕占比＞ 90%，色深10bit，色域＞72%NTSC，亮度＞350cd/m²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3、屏幕特性：设备显示屏幕采用全贴合（零贴合）工艺，开启蓝光过滤器功能后，屏幕色温发生变化。</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4、触控：设备具有防遮蔽功能，模拟10点遮蔽；具有防干扰功能，在照度≥30000 LUX环境下能正常工作。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5、摄像头：分辨率：6020×4013，支持2400万像素。</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6、麦克风：设备内置全指向8阵列麦克风，支持全双工语音通信、回声消除、智能降噪和语音识别功能。</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7、CPU、内存及存储：设备采用SOC芯片，CPU：Cortex-A55×4 最高主频1.9 GHz；GPU： ARM Mali-G52 MP2；NPU：2.6 TOPS AI算力，三核架构，支持int4/int8/int16/FP16/BF16/TF32；设备运行内存4GB，系统容量64GB。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8、操作系统：内置操作系统不低于Android 13，可外接OPS电脑（支持Windows、统信、麒麟系统），OPS模块接入后双系统可同时搭配使用，任意切换。</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9、无线通信模块：设备内置双 WiFi 模块，支持双发双收，收发均支持 2.4G（2432MHz）和5G（5180 MHz，简称5G频段）双频段，连接外网 WiFi 的同时可发热点，无线热点支持最优频段自动选择；无线通信模块可连接无线路由器或无线网络，通过参数配置后可以访问到互联网；支持所有无线模块全部物理拆除。</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10、设备接口：具有≥1个视频输入接口HDMI2.0 IN （4K@60Hz）；具备≥1路音频输入接口LINE IN，≥1 路音频输出接口LINE OUT；具备≥2个前置USB Type-A、≥1个USB Type-C接口，≥1个后置USB接口，支持双系统切换，前置接口、后置接口 、Android、OPS 上均支持3.0，可以实现 USB 设备的高速读写和控制；具有≥2路RJ45接口，≥1路RS232接口，≥1个整机TOUCH-USB接口。</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11、NFC功能：设备右下角配备NFC感应模块，可与支持NFC功能的移动设备实现触碰投屏、文件快传等操作。</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全局交互设计：设备系统采用全屏框架设计，无侧边栏中控菜单遮挡主界面，主界面屏幕底部常驻系统操作栏，进入应用后，操作栏可通过手动下滑自动收起和底部向上滑动自动展开；系统操作栏各功能图标位置支持自定义调节。</w:t>
            </w:r>
            <w:r>
              <w:rPr>
                <w:rFonts w:hint="eastAsia" w:eastAsiaTheme="minorEastAsia"/>
                <w:color w:val="auto"/>
                <w:sz w:val="18"/>
                <w:szCs w:val="18"/>
                <w:highlight w:val="none"/>
              </w:rPr>
              <w:t xml:space="preserve">（</w:t>
            </w:r>
            <w:r>
              <w:rPr>
                <w:rFonts w:hint="eastAsia" w:eastAsiaTheme="minorEastAsia"/>
                <w:color w:val="auto"/>
                <w:sz w:val="18"/>
                <w:szCs w:val="18"/>
                <w:highlight w:val="none"/>
                <w:lang w:eastAsia="zh-CN"/>
              </w:rPr>
              <w:t xml:space="preserve">签订合同时提供具有CMA标识的第三方检测报告复印件</w:t>
            </w:r>
            <w:r>
              <w:rPr>
                <w:rFonts w:hint="eastAsia"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13、浏览器搜索插入：白板软件内支持浏览器搜索功能，可长按网页种图片或截图插入至白板。</w:t>
            </w:r>
            <w:r>
              <w:rPr>
                <w:rFonts w:hint="eastAsia" w:eastAsiaTheme="minorEastAsia"/>
                <w:color w:val="auto"/>
                <w:sz w:val="18"/>
                <w:szCs w:val="18"/>
                <w:highlight w:val="none"/>
              </w:rPr>
              <w:t xml:space="preserve">（</w:t>
            </w:r>
            <w:r>
              <w:rPr>
                <w:rFonts w:hint="eastAsia" w:eastAsiaTheme="minorEastAsia"/>
                <w:color w:val="auto"/>
                <w:sz w:val="18"/>
                <w:szCs w:val="18"/>
                <w:highlight w:val="none"/>
                <w:lang w:eastAsia="zh-CN"/>
              </w:rPr>
              <w:t xml:space="preserve">签订合同时提供具有CMA标识的第三方检测报告复印件</w:t>
            </w:r>
            <w:r>
              <w:rPr>
                <w:rFonts w:hint="eastAsia"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14、投屏器支持：投屏器支持接入Type-C接口电源适配器，通过投屏器的Type-C输出接口接入电脑，可实现给电脑终端充电功能。投屏器支持接入Type-C接口电源适配器，通过投屏器的Type-C输出接口接入手机Type-C电源口，可实现给手机终端充电功能。</w:t>
            </w:r>
            <w:r>
              <w:rPr>
                <w:rFonts w:hint="eastAsia" w:eastAsiaTheme="minorEastAsia"/>
                <w:color w:val="auto"/>
                <w:sz w:val="18"/>
                <w:szCs w:val="18"/>
                <w:highlight w:val="none"/>
              </w:rPr>
              <w:t xml:space="preserve">（</w:t>
            </w:r>
            <w:r>
              <w:rPr>
                <w:rFonts w:hint="eastAsia" w:eastAsiaTheme="minorEastAsia"/>
                <w:color w:val="auto"/>
                <w:sz w:val="18"/>
                <w:szCs w:val="18"/>
                <w:highlight w:val="none"/>
                <w:lang w:eastAsia="zh-CN"/>
              </w:rPr>
              <w:t xml:space="preserve">签订合同时提供具有CMA标识的第三方检测报告复印件</w:t>
            </w:r>
            <w:r>
              <w:rPr>
                <w:rFonts w:hint="eastAsia" w:eastAsiaTheme="minorEastAsia"/>
                <w:color w:val="auto"/>
                <w:sz w:val="18"/>
                <w:szCs w:val="18"/>
                <w:highlight w:val="none"/>
              </w:rPr>
              <w:t xml:space="preserve">）</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15、含壁挂支架</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73</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OPS电脑</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1、CPU：</w:t>
            </w:r>
            <w:r>
              <w:rPr>
                <w:rFonts w:hint="eastAsia" w:eastAsiaTheme="minorEastAsia"/>
                <w:color w:val="auto"/>
                <w:sz w:val="18"/>
                <w:szCs w:val="18"/>
                <w:highlight w:val="none"/>
              </w:rPr>
              <w:t xml:space="preserve">不低于8核（四大核、四小核）/</w:t>
            </w:r>
            <w:r>
              <w:rPr>
                <w:rFonts w:eastAsiaTheme="minorEastAsia"/>
                <w:color w:val="auto"/>
                <w:sz w:val="18"/>
                <w:szCs w:val="18"/>
                <w:highlight w:val="none"/>
              </w:rPr>
              <w:t xml:space="preserve">12</w:t>
            </w:r>
            <w:r>
              <w:rPr>
                <w:rFonts w:hint="eastAsia" w:eastAsiaTheme="minorEastAsia"/>
                <w:color w:val="auto"/>
                <w:sz w:val="18"/>
                <w:szCs w:val="18"/>
                <w:highlight w:val="none"/>
              </w:rPr>
              <w:t xml:space="preserve">线程/</w:t>
            </w:r>
            <w:r>
              <w:rPr>
                <w:rFonts w:eastAsiaTheme="minorEastAsia"/>
                <w:color w:val="auto"/>
                <w:sz w:val="18"/>
                <w:szCs w:val="18"/>
                <w:highlight w:val="none"/>
              </w:rPr>
              <w:t xml:space="preserve">4.40 GHz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2、内存：8 GB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3、网卡：</w:t>
            </w:r>
            <w:r>
              <w:rPr>
                <w:rFonts w:hint="eastAsia" w:eastAsiaTheme="minorEastAsia"/>
                <w:color w:val="auto"/>
                <w:sz w:val="18"/>
                <w:szCs w:val="18"/>
                <w:highlight w:val="none"/>
              </w:rPr>
              <w:t xml:space="preserve">不低于千兆网卡；</w:t>
            </w:r>
            <w:r>
              <w:rPr>
                <w:rFonts w:eastAsiaTheme="minorEastAsia"/>
                <w:color w:val="auto"/>
                <w:sz w:val="18"/>
                <w:szCs w:val="18"/>
                <w:highlight w:val="none"/>
              </w:rPr>
              <w:t xml:space="preserve">WiFi支持802.11a/b/g/n/ac/ax</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4、显卡：</w:t>
            </w:r>
            <w:r>
              <w:rPr>
                <w:rFonts w:hint="eastAsia" w:eastAsiaTheme="minorEastAsia"/>
                <w:color w:val="auto"/>
                <w:sz w:val="18"/>
                <w:szCs w:val="18"/>
                <w:highlight w:val="none"/>
              </w:rPr>
              <w:t xml:space="preserve">核芯显卡，频率不低于1.3GHz。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5、硬盘：256G SSD</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6、蓝牙：Bluetooth 4.2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7、网络接口：RJ45 x1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8、音频输入接口：Audio in</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9、音频输出接口：Audio out</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10、存储控制接口：USB-A 3.0 x4；USB-A 2.0 x2；Type-C x1</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11、视频输出接口：HDMI(out)接口 x1, DP(out) 接口 x1</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74</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无线投屏器</w:t>
            </w:r>
            <w:r>
              <w:rPr>
                <w:rFonts w:hint="eastAsia" w:eastAsiaTheme="minorEastAsia"/>
                <w:bCs/>
                <w:color w:val="auto"/>
                <w:sz w:val="18"/>
                <w:szCs w:val="18"/>
                <w:highlight w:val="none"/>
              </w:rPr>
              <w:t xml:space="preserve">2</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1、内存：≥512 MB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2、内置存储：≥4 GB</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3、网卡：内置千兆网卡，支持2.4G/5G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4、电源接口：TYPE-C，支持CC通信自动切换充电方向，实现适配器对笔记本60W快充、笔记本对手机5V充电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5、额定功率：5 V/900 mA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6、分辨率：1080P/4K ，帧率：30fps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7、传输延迟：≤200ms</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8、无线传输协议：IEEE 802.11 a/g/n/ac</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9、NFC：ISO / IEC 14443- A协议，13.56MHZ，106 Kbps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10、音频参数：48000Hz采样率，16位位深，ACC编码，双声道</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11、视频参数：10 bit色深，H.264编码格式</w:t>
            </w:r>
            <w:r/>
          </w:p>
        </w:tc>
      </w:tr>
      <w:tr>
        <w:trPr>
          <w:jc w:val="center"/>
          <w:trHeight w:val="379"/>
        </w:trPr>
        <w:tc>
          <w:tcPr>
            <w:shd w:val="clear" w:color="000000" w:fill="ffffff"/>
            <w:tcW w:w="704" w:type="dxa"/>
            <w:vAlign w:val="center"/>
            <w:textDirection w:val="lrTb"/>
            <w:noWrap w:val="false"/>
          </w:tcPr>
          <w:p>
            <w:pPr>
              <w:jc w:val="center"/>
              <w:spacing w:line="260" w:lineRule="exact"/>
              <w:widowControl/>
              <w:rPr>
                <w:rFonts w:eastAsiaTheme="minorEastAsia"/>
                <w:bCs/>
                <w:color w:val="auto"/>
                <w:sz w:val="18"/>
                <w:szCs w:val="18"/>
                <w:highlight w:val="none"/>
              </w:rPr>
            </w:pPr>
            <w:r>
              <w:rPr>
                <w:bCs/>
                <w:color w:val="auto"/>
                <w:sz w:val="18"/>
                <w:szCs w:val="18"/>
                <w:highlight w:val="none"/>
              </w:rPr>
              <w:t xml:space="preserve">75</w:t>
            </w:r>
            <w:r/>
          </w:p>
        </w:tc>
        <w:tc>
          <w:tcPr>
            <w:shd w:val="clear" w:color="000000" w:fill="ffffff"/>
            <w:tcW w:w="1559" w:type="dxa"/>
            <w:vAlign w:val="center"/>
            <w:textDirection w:val="lrTb"/>
            <w:noWrap w:val="false"/>
          </w:tcPr>
          <w:p>
            <w:pPr>
              <w:jc w:val="center"/>
              <w:spacing w:line="260" w:lineRule="exact"/>
              <w:widowControl/>
              <w:rPr>
                <w:rFonts w:eastAsiaTheme="minorEastAsia"/>
                <w:bCs/>
                <w:color w:val="auto"/>
                <w:sz w:val="18"/>
                <w:szCs w:val="18"/>
                <w:highlight w:val="none"/>
              </w:rPr>
            </w:pPr>
            <w:r>
              <w:rPr>
                <w:rFonts w:eastAsiaTheme="minorEastAsia"/>
                <w:bCs/>
                <w:color w:val="auto"/>
                <w:sz w:val="18"/>
                <w:szCs w:val="18"/>
                <w:highlight w:val="none"/>
              </w:rPr>
              <w:t xml:space="preserve">全向麦克风</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w:t>
            </w:r>
            <w:r>
              <w:rPr>
                <w:rFonts w:hint="eastAsia" w:eastAsiaTheme="minorEastAsia"/>
                <w:color w:val="auto"/>
                <w:sz w:val="18"/>
                <w:szCs w:val="18"/>
                <w:highlight w:val="none"/>
              </w:rPr>
              <w:t xml:space="preserve">★</w:t>
            </w:r>
            <w:r>
              <w:rPr>
                <w:rFonts w:eastAsiaTheme="minorEastAsia"/>
                <w:color w:val="auto"/>
                <w:sz w:val="18"/>
                <w:szCs w:val="18"/>
                <w:highlight w:val="none"/>
              </w:rPr>
              <w:t xml:space="preserve">拾音范围：≥半径5 m</w:t>
            </w:r>
            <w:r>
              <w:rPr>
                <w:rFonts w:hint="eastAsia" w:eastAsiaTheme="minorEastAsia"/>
                <w:color w:val="auto"/>
                <w:sz w:val="18"/>
                <w:szCs w:val="18"/>
                <w:highlight w:val="none"/>
              </w:rPr>
              <w:t xml:space="preserve">（签订合同时提供国家认可的第三方检测机构出具的检测报告复印件或提供产品白皮书或说明书或彩页）</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2、信噪比：65dBA（MEMS单体）</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3、灵敏度：-26dBFS（MEMS单体）</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4、频响范围：拾音：100Hz ~16kHz（32kHz高采样率）</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5、扩音：120Hz~18kHz</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6、阻抗：4</w:t>
            </w:r>
            <w:r>
              <w:rPr>
                <w:rFonts w:hint="eastAsia" w:eastAsiaTheme="minorEastAsia"/>
                <w:color w:val="auto"/>
                <w:sz w:val="18"/>
                <w:szCs w:val="18"/>
                <w:highlight w:val="none"/>
              </w:rPr>
              <w:t xml:space="preserve">欧姆</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7、输入电流：2.4A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8、信噪比：</w:t>
            </w:r>
            <w:r>
              <w:rPr>
                <w:rFonts w:hint="eastAsia" w:ascii="宋体" w:hAnsi="宋体" w:cs="宋体"/>
                <w:color w:val="auto"/>
                <w:sz w:val="18"/>
                <w:szCs w:val="18"/>
                <w:highlight w:val="none"/>
              </w:rPr>
              <w:t xml:space="preserve">≧</w:t>
            </w:r>
            <w:r>
              <w:rPr>
                <w:rFonts w:eastAsiaTheme="minorEastAsia"/>
                <w:color w:val="auto"/>
                <w:sz w:val="18"/>
                <w:szCs w:val="18"/>
                <w:highlight w:val="none"/>
              </w:rPr>
              <w:t xml:space="preserve">75dB 电路</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9、额定功率：1×5W Max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10、声道：1.0</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11、最大声压级（1 m）：82dBSPL@1m，PN，最大功率 </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12、蓝牙：蓝牙数量 1个</w:t>
            </w:r>
            <w:r/>
          </w:p>
          <w:p>
            <w:pPr>
              <w:jc w:val="left"/>
              <w:spacing w:line="260" w:lineRule="exact"/>
              <w:widowControl/>
              <w:rPr>
                <w:rFonts w:eastAsiaTheme="minorEastAsia"/>
                <w:color w:val="auto"/>
                <w:sz w:val="18"/>
                <w:szCs w:val="18"/>
                <w:highlight w:val="none"/>
              </w:rPr>
            </w:pPr>
            <w:r>
              <w:rPr>
                <w:rFonts w:eastAsiaTheme="minorEastAsia"/>
                <w:color w:val="auto"/>
                <w:sz w:val="18"/>
                <w:szCs w:val="18"/>
                <w:highlight w:val="none"/>
              </w:rPr>
              <w:t xml:space="preserve">13、麦克风类型：8阵列全向</w:t>
            </w:r>
            <w:r/>
          </w:p>
        </w:tc>
      </w:tr>
      <w:tr>
        <w:trPr>
          <w:jc w:val="center"/>
          <w:trHeight w:val="379"/>
        </w:trPr>
        <w:tc>
          <w:tcPr>
            <w:shd w:val="clear" w:color="000000" w:fill="ffffff"/>
            <w:tcW w:w="704" w:type="dxa"/>
            <w:vAlign w:val="center"/>
            <w:textDirection w:val="lrTb"/>
            <w:noWrap w:val="false"/>
          </w:tcPr>
          <w:p>
            <w:pPr>
              <w:jc w:val="center"/>
              <w:spacing w:line="280" w:lineRule="exact"/>
              <w:widowControl/>
              <w:rPr>
                <w:bCs/>
                <w:color w:val="auto"/>
                <w:sz w:val="18"/>
                <w:szCs w:val="18"/>
                <w:highlight w:val="none"/>
              </w:rPr>
            </w:pPr>
            <w:r>
              <w:rPr>
                <w:rFonts w:hint="eastAsia" w:eastAsiaTheme="minorEastAsia"/>
                <w:color w:val="auto"/>
                <w:sz w:val="20"/>
                <w:szCs w:val="20"/>
                <w:highlight w:val="none"/>
              </w:rPr>
              <w:t xml:space="preserve">76</w:t>
            </w:r>
            <w:r/>
          </w:p>
        </w:tc>
        <w:tc>
          <w:tcPr>
            <w:shd w:val="clear" w:color="000000" w:fill="ffffff"/>
            <w:tcW w:w="1559" w:type="dxa"/>
            <w:vAlign w:val="center"/>
            <w:textDirection w:val="lrTb"/>
            <w:noWrap w:val="false"/>
          </w:tcPr>
          <w:p>
            <w:pPr>
              <w:jc w:val="center"/>
              <w:spacing w:line="280" w:lineRule="exact"/>
              <w:widowControl/>
              <w:rPr>
                <w:rFonts w:eastAsiaTheme="minorEastAsia"/>
                <w:bCs/>
                <w:color w:val="auto"/>
                <w:sz w:val="18"/>
                <w:szCs w:val="18"/>
                <w:highlight w:val="none"/>
              </w:rPr>
            </w:pPr>
            <w:r>
              <w:rPr>
                <w:rFonts w:hint="eastAsia" w:eastAsiaTheme="minorEastAsia"/>
                <w:color w:val="auto"/>
                <w:sz w:val="20"/>
                <w:szCs w:val="20"/>
                <w:highlight w:val="none"/>
              </w:rPr>
              <w:t xml:space="preserve">32U机柜</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hint="eastAsia" w:eastAsiaTheme="minorEastAsia"/>
                <w:color w:val="auto"/>
                <w:sz w:val="18"/>
                <w:szCs w:val="18"/>
                <w:highlight w:val="none"/>
              </w:rPr>
              <w:t xml:space="preserve">600*600*32U机柜含配件</w:t>
            </w:r>
            <w:r/>
          </w:p>
        </w:tc>
      </w:tr>
      <w:tr>
        <w:trPr>
          <w:jc w:val="center"/>
          <w:trHeight w:val="379"/>
        </w:trPr>
        <w:tc>
          <w:tcPr>
            <w:shd w:val="clear" w:color="000000" w:fill="ffffff"/>
            <w:tcW w:w="704" w:type="dxa"/>
            <w:vAlign w:val="center"/>
            <w:textDirection w:val="lrTb"/>
            <w:noWrap w:val="false"/>
          </w:tcPr>
          <w:p>
            <w:pPr>
              <w:jc w:val="center"/>
              <w:spacing w:line="280" w:lineRule="exact"/>
              <w:widowControl/>
              <w:rPr>
                <w:bCs/>
                <w:color w:val="auto"/>
                <w:sz w:val="18"/>
                <w:szCs w:val="18"/>
                <w:highlight w:val="none"/>
              </w:rPr>
            </w:pPr>
            <w:r>
              <w:rPr>
                <w:rFonts w:hint="eastAsia" w:eastAsiaTheme="minorEastAsia"/>
                <w:color w:val="auto"/>
                <w:sz w:val="20"/>
                <w:szCs w:val="20"/>
                <w:highlight w:val="none"/>
              </w:rPr>
              <w:t xml:space="preserve">77</w:t>
            </w:r>
            <w:r/>
          </w:p>
        </w:tc>
        <w:tc>
          <w:tcPr>
            <w:shd w:val="clear" w:color="000000" w:fill="ffffff"/>
            <w:tcW w:w="1559" w:type="dxa"/>
            <w:vAlign w:val="center"/>
            <w:textDirection w:val="lrTb"/>
            <w:noWrap w:val="false"/>
          </w:tcPr>
          <w:p>
            <w:pPr>
              <w:jc w:val="center"/>
              <w:spacing w:line="280" w:lineRule="exact"/>
              <w:widowControl/>
              <w:rPr>
                <w:rFonts w:eastAsiaTheme="minorEastAsia"/>
                <w:bCs/>
                <w:color w:val="auto"/>
                <w:sz w:val="18"/>
                <w:szCs w:val="18"/>
                <w:highlight w:val="none"/>
              </w:rPr>
            </w:pPr>
            <w:r>
              <w:rPr>
                <w:rFonts w:hint="eastAsia" w:eastAsiaTheme="minorEastAsia"/>
                <w:color w:val="auto"/>
                <w:sz w:val="20"/>
                <w:szCs w:val="20"/>
                <w:highlight w:val="none"/>
              </w:rPr>
              <w:t xml:space="preserve">42U机柜</w:t>
            </w:r>
            <w:r/>
          </w:p>
        </w:tc>
        <w:tc>
          <w:tcPr>
            <w:shd w:val="clear" w:color="000000" w:fill="ffffff"/>
            <w:tcW w:w="8222" w:type="dxa"/>
            <w:vAlign w:val="center"/>
            <w:textDirection w:val="lrTb"/>
            <w:noWrap w:val="false"/>
          </w:tcPr>
          <w:p>
            <w:pPr>
              <w:jc w:val="left"/>
              <w:spacing w:line="260" w:lineRule="exact"/>
              <w:widowControl/>
              <w:rPr>
                <w:rFonts w:eastAsiaTheme="minorEastAsia"/>
                <w:color w:val="auto"/>
                <w:sz w:val="18"/>
                <w:szCs w:val="18"/>
                <w:highlight w:val="none"/>
              </w:rPr>
            </w:pPr>
            <w:r>
              <w:rPr>
                <w:rFonts w:hint="eastAsia" w:eastAsiaTheme="minorEastAsia"/>
                <w:color w:val="auto"/>
                <w:sz w:val="18"/>
                <w:szCs w:val="18"/>
                <w:highlight w:val="none"/>
              </w:rPr>
              <w:t xml:space="preserve">600*600*42U机柜含配件</w:t>
            </w:r>
            <w:r/>
          </w:p>
        </w:tc>
      </w:tr>
      <w:tr>
        <w:trPr>
          <w:jc w:val="center"/>
          <w:trHeight w:val="379"/>
        </w:trPr>
        <w:tc>
          <w:tcPr>
            <w:shd w:val="clear" w:color="000000" w:fill="ffffff"/>
            <w:tcW w:w="704" w:type="dxa"/>
            <w:vAlign w:val="center"/>
            <w:textDirection w:val="lrTb"/>
            <w:noWrap w:val="false"/>
          </w:tcPr>
          <w:p>
            <w:pPr>
              <w:jc w:val="center"/>
              <w:spacing w:line="280" w:lineRule="exact"/>
              <w:widowControl/>
              <w:rPr>
                <w:bCs/>
                <w:color w:val="auto"/>
                <w:sz w:val="18"/>
                <w:szCs w:val="18"/>
                <w:highlight w:val="none"/>
              </w:rPr>
            </w:pPr>
            <w:r>
              <w:rPr>
                <w:rFonts w:hint="eastAsia" w:eastAsiaTheme="minorEastAsia"/>
                <w:color w:val="auto"/>
                <w:sz w:val="20"/>
                <w:szCs w:val="20"/>
                <w:highlight w:val="none"/>
              </w:rPr>
              <w:t xml:space="preserve">78</w:t>
            </w:r>
            <w:r/>
          </w:p>
        </w:tc>
        <w:tc>
          <w:tcPr>
            <w:shd w:val="clear" w:color="000000" w:fill="ffffff"/>
            <w:tcW w:w="1559" w:type="dxa"/>
            <w:vAlign w:val="center"/>
            <w:textDirection w:val="lrTb"/>
            <w:noWrap w:val="false"/>
          </w:tcPr>
          <w:p>
            <w:pPr>
              <w:jc w:val="center"/>
              <w:spacing w:line="280" w:lineRule="exact"/>
              <w:widowControl/>
              <w:rPr>
                <w:rFonts w:eastAsiaTheme="minorEastAsia"/>
                <w:bCs/>
                <w:color w:val="auto"/>
                <w:sz w:val="18"/>
                <w:szCs w:val="18"/>
                <w:highlight w:val="none"/>
              </w:rPr>
            </w:pPr>
            <w:r>
              <w:rPr>
                <w:rFonts w:hint="eastAsia" w:eastAsiaTheme="minorEastAsia"/>
                <w:color w:val="auto"/>
                <w:sz w:val="20"/>
                <w:szCs w:val="20"/>
                <w:highlight w:val="none"/>
              </w:rPr>
              <w:t xml:space="preserve">系统集成和辅材</w:t>
            </w:r>
            <w:r/>
          </w:p>
        </w:tc>
        <w:tc>
          <w:tcPr>
            <w:shd w:val="clear" w:color="000000" w:fill="ffffff"/>
            <w:tcW w:w="8222" w:type="dxa"/>
            <w:vAlign w:val="center"/>
            <w:textDirection w:val="lrTb"/>
            <w:noWrap w:val="false"/>
          </w:tcPr>
          <w:p>
            <w:pPr>
              <w:jc w:val="left"/>
              <w:spacing w:line="260" w:lineRule="exact"/>
              <w:widowControl/>
              <w:rPr>
                <w:rFonts w:hint="eastAsia" w:eastAsiaTheme="minorEastAsia"/>
                <w:color w:val="auto"/>
                <w:sz w:val="18"/>
                <w:szCs w:val="18"/>
                <w:highlight w:val="none"/>
                <w:lang w:eastAsia="zh-CN"/>
              </w:rPr>
            </w:pPr>
            <w:r>
              <w:rPr>
                <w:rFonts w:hint="eastAsia" w:eastAsiaTheme="minorEastAsia"/>
                <w:color w:val="auto"/>
                <w:sz w:val="18"/>
                <w:szCs w:val="18"/>
                <w:highlight w:val="none"/>
                <w:lang w:val="en-US" w:eastAsia="zh-CN"/>
              </w:rPr>
              <w:t xml:space="preserve">1、</w:t>
            </w:r>
            <w:r>
              <w:rPr>
                <w:rFonts w:hint="eastAsia" w:eastAsiaTheme="minorEastAsia"/>
                <w:color w:val="auto"/>
                <w:sz w:val="18"/>
                <w:szCs w:val="18"/>
                <w:highlight w:val="none"/>
              </w:rPr>
              <w:t xml:space="preserve">系统安装、调试</w:t>
            </w:r>
            <w:r>
              <w:rPr>
                <w:rFonts w:hint="eastAsia" w:eastAsiaTheme="minorEastAsia"/>
                <w:color w:val="auto"/>
                <w:sz w:val="18"/>
                <w:szCs w:val="18"/>
                <w:highlight w:val="none"/>
                <w:lang w:eastAsia="zh-CN"/>
              </w:rPr>
              <w:t xml:space="preserve">。</w:t>
            </w:r>
            <w:r/>
          </w:p>
          <w:p>
            <w:pPr>
              <w:jc w:val="left"/>
              <w:spacing w:line="260" w:lineRule="exact"/>
              <w:widowControl/>
              <w:rPr>
                <w:rFonts w:hint="eastAsia" w:eastAsiaTheme="minorEastAsia"/>
                <w:color w:val="auto"/>
                <w:sz w:val="18"/>
                <w:szCs w:val="18"/>
                <w:highlight w:val="none"/>
                <w:lang w:eastAsia="zh-CN"/>
              </w:rPr>
            </w:pPr>
            <w:r>
              <w:rPr>
                <w:rFonts w:hint="eastAsia" w:eastAsiaTheme="minorEastAsia"/>
                <w:color w:val="auto"/>
                <w:sz w:val="18"/>
                <w:szCs w:val="18"/>
                <w:highlight w:val="none"/>
                <w:lang w:val="en-US" w:eastAsia="zh-CN"/>
              </w:rPr>
              <w:t xml:space="preserve">2、</w:t>
            </w:r>
            <w:r>
              <w:rPr>
                <w:rFonts w:hint="eastAsia" w:eastAsiaTheme="minorEastAsia"/>
                <w:color w:val="auto"/>
                <w:sz w:val="18"/>
                <w:szCs w:val="18"/>
                <w:highlight w:val="none"/>
              </w:rPr>
              <w:t xml:space="preserve">辅材包含且不限于多媒体地插14套</w:t>
            </w:r>
            <w:r>
              <w:rPr>
                <w:rFonts w:hint="eastAsia" w:eastAsiaTheme="minorEastAsia"/>
                <w:color w:val="auto"/>
                <w:sz w:val="18"/>
                <w:szCs w:val="18"/>
                <w:highlight w:val="none"/>
                <w:lang w:eastAsia="zh-CN"/>
              </w:rPr>
              <w:t xml:space="preserve">。</w:t>
            </w:r>
            <w:r/>
          </w:p>
          <w:p>
            <w:pPr>
              <w:jc w:val="left"/>
              <w:spacing w:line="260" w:lineRule="exact"/>
              <w:widowControl/>
              <w:rPr>
                <w:rFonts w:hint="eastAsia" w:eastAsiaTheme="minorEastAsia"/>
                <w:color w:val="auto"/>
                <w:sz w:val="18"/>
                <w:szCs w:val="18"/>
                <w:highlight w:val="none"/>
                <w:lang w:eastAsia="zh-CN"/>
              </w:rPr>
            </w:pPr>
            <w:r>
              <w:rPr>
                <w:rFonts w:hint="eastAsia" w:eastAsiaTheme="minorEastAsia"/>
                <w:color w:val="auto"/>
                <w:sz w:val="18"/>
                <w:szCs w:val="18"/>
                <w:highlight w:val="none"/>
                <w:lang w:val="en-US" w:eastAsia="zh-CN"/>
              </w:rPr>
              <w:t xml:space="preserve">3、</w:t>
            </w:r>
            <w:r>
              <w:rPr>
                <w:rFonts w:hint="eastAsia" w:eastAsiaTheme="minorEastAsia"/>
                <w:color w:val="auto"/>
                <w:sz w:val="18"/>
                <w:szCs w:val="18"/>
                <w:highlight w:val="none"/>
              </w:rPr>
              <w:t xml:space="preserve">HDMI网传器15对</w:t>
            </w:r>
            <w:r>
              <w:rPr>
                <w:rFonts w:hint="eastAsia" w:eastAsiaTheme="minorEastAsia"/>
                <w:color w:val="auto"/>
                <w:sz w:val="18"/>
                <w:szCs w:val="18"/>
                <w:highlight w:val="none"/>
                <w:lang w:eastAsia="zh-CN"/>
              </w:rPr>
              <w:t xml:space="preserve">。</w:t>
            </w:r>
            <w:r/>
          </w:p>
          <w:p>
            <w:pPr>
              <w:jc w:val="left"/>
              <w:spacing w:line="260" w:lineRule="exact"/>
              <w:widowControl/>
              <w:rPr>
                <w:rFonts w:eastAsiaTheme="minorEastAsia"/>
                <w:color w:val="auto"/>
                <w:sz w:val="18"/>
                <w:szCs w:val="18"/>
                <w:highlight w:val="none"/>
              </w:rPr>
            </w:pPr>
            <w:r>
              <w:rPr>
                <w:rFonts w:hint="eastAsia" w:eastAsiaTheme="minorEastAsia"/>
                <w:color w:val="auto"/>
                <w:sz w:val="18"/>
                <w:szCs w:val="18"/>
                <w:highlight w:val="none"/>
                <w:lang w:val="en-US" w:eastAsia="zh-CN"/>
              </w:rPr>
              <w:t xml:space="preserve">4、</w:t>
            </w:r>
            <w:r>
              <w:rPr>
                <w:rFonts w:hint="eastAsia" w:eastAsiaTheme="minorEastAsia"/>
                <w:color w:val="auto"/>
                <w:sz w:val="18"/>
                <w:szCs w:val="18"/>
                <w:highlight w:val="none"/>
              </w:rPr>
              <w:t xml:space="preserve">音频隔离器6个及系统配套插头、连接线等。</w:t>
            </w:r>
            <w:r/>
          </w:p>
        </w:tc>
      </w:tr>
    </w:tbl>
    <w:p>
      <w:pPr>
        <w:pStyle w:val="664"/>
        <w:rPr>
          <w:color w:val="auto"/>
          <w:highlight w:val="none"/>
        </w:rPr>
      </w:pPr>
      <w:r>
        <w:rPr>
          <w:color w:val="auto"/>
          <w:highlight w:val="none"/>
        </w:rPr>
      </w:r>
      <w:r/>
    </w:p>
    <w:p>
      <w:pPr>
        <w:ind w:firstLine="480"/>
        <w:spacing w:line="264" w:lineRule="auto"/>
        <w:rPr>
          <w:rFonts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2.实施要求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（1）总体要求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本次采购的产品要求不影响现有的业务系统，供应商要负责平台的部署。本项目投标总报价包括本次采购、安装调试、数据和售后服务等所有费用。</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（2）质保（维保）及售后要求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质保期/维护期：供应商应确保本次采购所有项目的安全稳定的运行，并提供不低于3年原厂维护/质保服务（自验收报告签字确认日起，开始进入质保期/维护期，相关费用包含在本次报价中）。质保期内，每年维护保养不低于1次，维护保养及更换损坏件的费用包含在投标总价中。（中标后合同签订时针对本项目的网络及网络安全系统产品、视频监控系统产品、机房工程产品系统、门禁系统产品、科研管理系统产品提供原厂售后质保函）</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③质保期内维修（人为因素除外）费用包含在投标总价中，质保期外提供不高于各自合同金额5%的终身维护。签订合同时提供质保期外配件价格明细表。</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（3）人员要求：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本项目团队要求：项目经理1人、技术负责人1人、实施负责人1人、其他项目组成员（除项目经理、技术负责人、实施负责人外）不少于3人。</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（4）安装调试要求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在提供所投设备的同时必须提供对于本次招标软硬件的系统集成服务。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负责软硬件安装调试。实施前提供详细的实施方案并提交采购人认可，实施过程应严格执行相关规范并保证安全。安装调试期间，采购人有权派技术人员参加，</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有义务对其提出问题进行解答。</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须承担本项目实施过程涉及的全部费用（包括设备、辅材、测试和验收等）。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③在系统设备试运行期间，根据需要</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有责任派技术人员到现场指导维护工作。</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必须向采购人提供投标文件中产品安装调试、售后服务、培训 的全部资料内容。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④供应商报价除包含采购文件中列明的项目外还应包括保障服务正常运行应当具有的物资和服务，对服务正常运行应当具有的物资和服务理解不一致的以采购人理解为准。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（5）知识产权要求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①本项目中各方各自独立开发的专利以及其他知识产权归属各自所有。</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本项目中由各方共同开发的专利归各方共同拥有，以及将来进一步共同开发所形成的其他知识产权（包括但不限于专利、资料、文档等）同样归属各方共同所有，各方均有权各自使用并自行享有由此产生的收益，但前提是，未经其他方事先书面同意，任何一方不得就该等共有知识产权进行转让或作出排他性授权。</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③采购人基于本项目软件开展科研所产生的论文和其它研究著作，双方将根据供应商对具体论文、著作的实际贡献，讨论和确定署名或致谢供应商贡献事宜（视实际情况）。</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（6）保密要求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及工作人员应对本项目提供的有关专业数据、医院运作方式采取保密措施，不得向其他第三方披露、复制，对本项目提供的所有文档资料保密，不得对外进行扩散。如有违反保密规定的，应承担相应法律责任。</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验收要求：项目实施完成后，将项目软硬件安装调试完毕、系统集成完毕后交付使用，并对采购人进行全面培训与实施维护培训后方可申请验收。供应商应按医院项目验收管理要求提供系统的相关验收文档，包括但不限于用户使用手册、安装文档等相关资料，并且实现数据标准化接入平台。验收合格后，采购人在验收单上签字，并加盖单位公章。</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付款条件</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（1）交付时间：合同签订后</w:t>
      </w:r>
      <w:r>
        <w:rPr>
          <w:rFonts w:ascii="宋体" w:hAnsi="宋体" w:cs="宋体"/>
          <w:bCs/>
          <w:color w:val="auto"/>
          <w:sz w:val="24"/>
          <w:szCs w:val="24"/>
          <w:highlight w:val="none"/>
        </w:rPr>
        <w:t xml:space="preserve">30</w:t>
      </w:r>
      <w:r>
        <w:rPr>
          <w:rFonts w:ascii="宋体" w:hAnsi="宋体" w:cs="宋体"/>
          <w:color w:val="auto"/>
          <w:sz w:val="24"/>
          <w:szCs w:val="24"/>
          <w:highlight w:val="none"/>
        </w:rPr>
        <w:t xml:space="preserve">天内交付并完成安装调试及验收等相关工作</w:t>
      </w:r>
      <w:r>
        <w:rPr>
          <w:rFonts w:hint="eastAsia" w:ascii="宋体" w:hAnsi="宋体" w:cs="宋体"/>
          <w:color w:val="auto"/>
          <w:sz w:val="24"/>
          <w:szCs w:val="24"/>
          <w:highlight w:val="none"/>
        </w:rPr>
        <w:t xml:space="preserve">。</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5.履约保证金</w:t>
      </w:r>
      <w:r/>
    </w:p>
    <w:p>
      <w:pPr>
        <w:ind w:firstLine="480"/>
        <w:spacing w:line="264" w:lineRule="auto"/>
        <w:rPr>
          <w:color w:val="auto"/>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rPr>
          <w:rFonts w:ascii="宋体" w:hAnsi="宋体" w:cs="宋体"/>
          <w:color w:val="auto"/>
          <w:sz w:val="24"/>
          <w:szCs w:val="24"/>
          <w:highlight w:val="none"/>
        </w:rPr>
      </w:pPr>
      <w:r>
        <w:rPr>
          <w:rFonts w:ascii="宋体" w:hAnsi="宋体" w:cs="宋体"/>
          <w:color w:val="auto"/>
          <w:sz w:val="24"/>
          <w:szCs w:val="24"/>
          <w:highlight w:val="none"/>
        </w:rPr>
      </w:r>
      <w:r/>
    </w:p>
    <w:p>
      <w:pPr>
        <w:ind w:right="840"/>
        <w:jc w:val="center"/>
        <w:rPr>
          <w:rFonts w:ascii="方正小标宋简体" w:hAnsi="方正小标宋简体" w:eastAsia="方正小标宋简体" w:cs="方正小标宋简体"/>
          <w:color w:val="auto"/>
          <w:sz w:val="36"/>
          <w:szCs w:val="36"/>
          <w:highlight w:val="none"/>
        </w:rPr>
        <w:outlineLvl w:val="0"/>
      </w:pPr>
      <w:r/>
      <w:bookmarkStart w:id="195" w:name="_Toc120614281"/>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spacing w:line="264" w:lineRule="auto"/>
        <w:rPr>
          <w:rFonts w:ascii="黑体" w:hAnsi="黑体" w:eastAsia="黑体" w:cs="黑体"/>
          <w:color w:val="auto"/>
          <w:sz w:val="24"/>
          <w:szCs w:val="24"/>
          <w:highlight w:val="none"/>
        </w:rPr>
      </w:pPr>
      <w:r>
        <w:rPr>
          <w:rFonts w:ascii="黑体" w:hAnsi="黑体" w:eastAsia="黑体" w:cs="黑体"/>
          <w:color w:val="auto"/>
          <w:sz w:val="24"/>
          <w:szCs w:val="24"/>
          <w:highlight w:val="none"/>
        </w:rPr>
      </w:r>
      <w:r/>
    </w:p>
    <w:p>
      <w:pPr>
        <w:ind w:firstLine="480"/>
        <w:spacing w:line="264"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1.采用综合评分法，评标结果按评审后得分由高到低顺序排列。得分相同的，按投标报价由低到高顺序排列。得分且投标报价相同的，按“三、评标标准中</w:t>
      </w:r>
      <w:r>
        <w:rPr>
          <w:rFonts w:ascii="宋体" w:hAnsi="宋体"/>
          <w:color w:val="auto"/>
          <w:sz w:val="24"/>
          <w:szCs w:val="24"/>
          <w:highlight w:val="none"/>
        </w:rPr>
        <w:t xml:space="preserve">2.1-2.3</w:t>
      </w:r>
      <w:r>
        <w:rPr>
          <w:rFonts w:hint="eastAsia" w:ascii="宋体" w:hAnsi="宋体"/>
          <w:color w:val="auto"/>
          <w:sz w:val="24"/>
          <w:szCs w:val="24"/>
          <w:highlight w:val="none"/>
        </w:rPr>
        <w:t xml:space="preserve">项</w:t>
      </w:r>
      <w:r>
        <w:rPr>
          <w:rFonts w:hint="eastAsia" w:ascii="宋体" w:hAnsi="宋体" w:cs="宋体"/>
          <w:color w:val="auto"/>
          <w:sz w:val="24"/>
          <w:szCs w:val="24"/>
          <w:highlight w:val="none"/>
        </w:rPr>
        <w:t xml:space="preserve">”得分由高到低顺序排列。在投标文件满足招标文件全部实质性要求的供应商中，按照评审得分由高到低推荐</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中标候选人。</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二、小微企业价格扣除</w:t>
      </w:r>
      <w:r/>
    </w:p>
    <w:p>
      <w:pPr>
        <w:ind w:firstLine="480"/>
        <w:spacing w:line="264" w:lineRule="auto"/>
        <w:rPr>
          <w:rFonts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本项目全部货物制造商为小微企业的，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lang w:val="zh-CN"/>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color w:val="auto"/>
          <w:highlight w:val="none"/>
        </w:rPr>
      </w:pPr>
      <w:r>
        <w:rPr>
          <w:rFonts w:hint="eastAsia" w:ascii="黑体" w:hAnsi="黑体" w:eastAsia="黑体" w:cs="黑体"/>
          <w:color w:val="auto"/>
          <w:sz w:val="24"/>
          <w:szCs w:val="24"/>
          <w:highlight w:val="none"/>
        </w:rPr>
        <w:t xml:space="preserve">三、评标标准</w:t>
      </w:r>
      <w:r/>
    </w:p>
    <w:tbl>
      <w:tblPr>
        <w:tblStyle w:val="76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b/>
                <w:bCs/>
                <w:color w:val="auto"/>
                <w:spacing w:val="-3"/>
                <w:highlight w:val="none"/>
              </w:rPr>
            </w:pPr>
            <w:r>
              <w:rPr>
                <w:rFonts w:hint="eastAsia" w:ascii="宋体" w:hAnsi="宋体" w:cs="宋体"/>
                <w:b/>
                <w:bCs/>
                <w:color w:val="auto"/>
                <w:spacing w:val="-3"/>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ascii="宋体" w:hAnsi="宋体" w:cs="宋体"/>
                <w:b/>
                <w:bCs/>
                <w:color w:val="auto"/>
                <w:spacing w:val="-3"/>
                <w:highlight w:val="none"/>
              </w:rPr>
            </w:pPr>
            <w:r>
              <w:rPr>
                <w:rFonts w:hint="eastAsia" w:ascii="宋体" w:hAnsi="宋体" w:cs="宋体"/>
                <w:b/>
                <w:bCs/>
                <w:color w:val="auto"/>
                <w:spacing w:val="-3"/>
                <w:highlight w:val="none"/>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68" w:line="264" w:lineRule="auto"/>
              <w:rPr>
                <w:rFonts w:ascii="宋体" w:hAnsi="宋体" w:cs="宋体"/>
                <w:b/>
                <w:bCs/>
                <w:color w:val="auto"/>
                <w:spacing w:val="-3"/>
                <w:highlight w:val="none"/>
              </w:rPr>
            </w:pPr>
            <w:r>
              <w:rPr>
                <w:rFonts w:hint="eastAsia" w:ascii="宋体" w:hAnsi="宋体" w:cs="宋体"/>
                <w:b/>
                <w:bCs/>
                <w:color w:val="auto"/>
                <w:spacing w:val="-3"/>
                <w:highlight w:val="none"/>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b/>
                <w:bCs/>
                <w:color w:val="auto"/>
                <w:spacing w:val="-3"/>
                <w:highlight w:val="none"/>
              </w:rPr>
            </w:pPr>
            <w:r>
              <w:rPr>
                <w:rFonts w:hint="eastAsia" w:ascii="宋体" w:hAnsi="宋体" w:cs="宋体"/>
                <w:b/>
                <w:bCs/>
                <w:color w:val="auto"/>
                <w:spacing w:val="-3"/>
                <w:highlight w:val="none"/>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b/>
                <w:bCs/>
                <w:color w:val="auto"/>
                <w:spacing w:val="-3"/>
                <w:highlight w:val="none"/>
              </w:rPr>
            </w:pPr>
            <w:r>
              <w:rPr>
                <w:rFonts w:hint="eastAsia" w:ascii="宋体" w:hAnsi="宋体" w:cs="宋体"/>
                <w:b/>
                <w:bCs/>
                <w:color w:val="auto"/>
                <w:spacing w:val="-3"/>
                <w:highlight w:val="none"/>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color w:val="auto"/>
                <w:highlight w:val="none"/>
              </w:rPr>
            </w:pPr>
            <w:r>
              <w:rPr>
                <w:rFonts w:hint="eastAsia" w:ascii="宋体" w:hAnsi="宋体" w:cs="宋体"/>
                <w:b/>
                <w:bCs/>
                <w:color w:val="auto"/>
                <w:spacing w:val="-3"/>
                <w:highlight w:val="none"/>
              </w:rPr>
              <w:t xml:space="preserve">1.价</w:t>
            </w:r>
            <w:r>
              <w:rPr>
                <w:rFonts w:hint="eastAsia" w:ascii="宋体" w:hAnsi="宋体" w:cs="宋体"/>
                <w:b/>
                <w:bCs/>
                <w:color w:val="auto"/>
                <w:spacing w:val="-2"/>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1</w:t>
            </w:r>
            <w:r>
              <w:rPr>
                <w:rFonts w:hint="eastAsia" w:ascii="宋体" w:hAnsi="宋体" w:cs="宋体"/>
                <w:color w:val="auto"/>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highlight w:val="none"/>
              </w:rPr>
            </w:pPr>
            <w:r>
              <w:rPr>
                <w:rFonts w:hint="eastAsia" w:ascii="宋体" w:hAnsi="宋体" w:cs="宋体"/>
                <w:color w:val="auto"/>
                <w:spacing w:val="-2"/>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highlight w:val="none"/>
              </w:rPr>
            </w:pPr>
            <w:r>
              <w:rPr>
                <w:rFonts w:hint="eastAsia" w:ascii="宋体" w:hAnsi="宋体" w:cs="宋体"/>
                <w:color w:val="auto"/>
                <w:spacing w:val="1"/>
                <w:highlight w:val="none"/>
              </w:rPr>
              <w:t xml:space="preserve">采用低价优先</w:t>
            </w:r>
            <w:r>
              <w:rPr>
                <w:rFonts w:hint="eastAsia" w:ascii="宋体" w:hAnsi="宋体" w:cs="宋体"/>
                <w:color w:val="auto"/>
                <w:highlight w:val="none"/>
              </w:rPr>
              <w:t xml:space="preserve">法计算，即满足招标文件要求且投标价格最低的投标</w:t>
            </w:r>
            <w:r>
              <w:rPr>
                <w:rFonts w:hint="eastAsia" w:ascii="宋体" w:hAnsi="宋体" w:cs="宋体"/>
                <w:color w:val="auto"/>
                <w:spacing w:val="1"/>
                <w:highlight w:val="none"/>
              </w:rPr>
              <w:t xml:space="preserve">报价为评标基准</w:t>
            </w:r>
            <w:r>
              <w:rPr>
                <w:rFonts w:hint="eastAsia" w:ascii="宋体" w:hAnsi="宋体" w:cs="宋体"/>
                <w:color w:val="auto"/>
                <w:highlight w:val="none"/>
              </w:rPr>
              <w:t xml:space="preserve">价，其价格分为满分。其他投标人的价格分统一按</w:t>
            </w:r>
            <w:r>
              <w:rPr>
                <w:rFonts w:hint="eastAsia" w:ascii="宋体" w:hAnsi="宋体" w:cs="宋体"/>
                <w:color w:val="auto"/>
                <w:spacing w:val="-1"/>
                <w:highlight w:val="none"/>
              </w:rPr>
              <w:t xml:space="preserve">照下列公</w:t>
            </w:r>
            <w:r>
              <w:rPr>
                <w:rFonts w:hint="eastAsia" w:ascii="宋体" w:hAnsi="宋体" w:cs="宋体"/>
                <w:color w:val="auto"/>
                <w:highlight w:val="none"/>
              </w:rPr>
              <w:t xml:space="preserve">式计算：投标报价得分=(评标基准价/投标报价)×3</w:t>
            </w:r>
            <w:r>
              <w:rPr>
                <w:rFonts w:ascii="宋体" w:hAnsi="宋体" w:cs="宋体"/>
                <w:color w:val="auto"/>
                <w:highlight w:val="none"/>
              </w:rPr>
              <w:t xml:space="preserve">0</w:t>
            </w:r>
            <w:r>
              <w:rPr>
                <w:rFonts w:hint="eastAsia" w:ascii="宋体" w:hAnsi="宋体" w:cs="宋体"/>
                <w:color w:val="auto"/>
                <w:highlight w:val="none"/>
              </w:rPr>
              <w:t xml:space="preserve">（小数点保留两位）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color w:val="auto"/>
                <w:highlight w:val="none"/>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pacing w:val="1"/>
                <w:highlight w:val="none"/>
              </w:rPr>
            </w:pPr>
            <w:r>
              <w:rPr>
                <w:rFonts w:hint="eastAsia" w:ascii="宋体" w:hAnsi="宋体" w:cs="宋体"/>
                <w:color w:val="auto"/>
                <w:highlight w:val="none"/>
              </w:rPr>
              <w:t xml:space="preserve">产品技术参数全部满足招标要求的得满分，打★指标为必须满足项，如有负偏离将作为无效投标，打▲指标为重要指标，有1项负偏离扣</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分，其余指标有1项负偏离扣0.02分，扣完为止。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highlight w:val="none"/>
              </w:rPr>
            </w:pPr>
            <w:r>
              <w:rPr>
                <w:rFonts w:hint="eastAsia" w:ascii="宋体" w:hAnsi="宋体" w:cs="宋体"/>
                <w:color w:val="auto"/>
                <w:highlight w:val="none"/>
              </w:rPr>
              <w:t xml:space="preserve">需求理解</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评委根据投标人提供的需求理解综合评分（每项内容逐条阐述）：</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包括：1.重点难点分析；2.建设目标；3.建设需求。</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（1）上述每项需求理解完整深刻、针对性强、紧贴采购需求的，得2分； </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（2）上述每项需求理解较为完整深刻、针对性较强、能够满足采购需求的，得 1分； </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（3）上述每项需求理解基本完整、具有一定针对性、基本符合采购需求的，得 0.5分； </w:t>
            </w:r>
            <w:r/>
          </w:p>
          <w:p>
            <w:pPr>
              <w:pStyle w:val="770"/>
              <w:spacing w:line="264" w:lineRule="auto"/>
              <w:rPr>
                <w:color w:val="auto"/>
                <w:sz w:val="21"/>
                <w:highlight w:val="none"/>
                <w:lang w:bidi="ar-SA"/>
              </w:rPr>
            </w:pPr>
            <w:r>
              <w:rPr>
                <w:rFonts w:hint="eastAsia"/>
                <w:color w:val="auto"/>
                <w:highlight w:val="none"/>
              </w:rPr>
              <w:t xml:space="preserve">（4）上述每项需求理解不符合采购需求或未提供需求理解材料的，不得分。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color w:val="auto"/>
                <w:highlight w:val="none"/>
              </w:rPr>
            </w:pPr>
            <w:r>
              <w:rPr>
                <w:rFonts w:hint="eastAsia" w:ascii="宋体" w:hAnsi="宋体" w:cs="宋体"/>
                <w:b/>
                <w:bCs/>
                <w:color w:val="auto"/>
                <w:spacing w:val="-3"/>
                <w:highlight w:val="none"/>
              </w:rPr>
              <w:t xml:space="preserve">3.服务</w:t>
            </w:r>
            <w:r/>
          </w:p>
        </w:tc>
      </w:tr>
      <w:tr>
        <w:trPr>
          <w:jc w:val="center"/>
          <w:trHeight w:val="20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highlight w:val="none"/>
              </w:rPr>
            </w:pPr>
            <w:r>
              <w:rPr>
                <w:rFonts w:hint="eastAsia" w:ascii="宋体" w:hAnsi="宋体" w:cs="宋体"/>
                <w:color w:val="auto"/>
                <w:highlight w:val="none"/>
              </w:rPr>
              <w:t xml:space="preserve">实施方案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评委根据投标人提供的组织实施方案综合评分（每项内容逐条阐述）：</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包括：1. 供货进度保证措施；2.协调配合</w:t>
            </w:r>
            <w:r>
              <w:rPr>
                <w:rFonts w:hint="eastAsia" w:ascii="宋体" w:hAnsi="宋体" w:cs="宋体"/>
                <w:color w:val="auto"/>
                <w:highlight w:val="none"/>
              </w:rPr>
              <w:t xml:space="preserve">措施</w:t>
            </w:r>
            <w:r>
              <w:rPr>
                <w:rFonts w:hint="eastAsia" w:ascii="宋体" w:hAnsi="宋体" w:cs="宋体"/>
                <w:color w:val="auto"/>
                <w:highlight w:val="none"/>
                <w:lang w:val="zh-CN"/>
              </w:rPr>
              <w:t xml:space="preserve">；3、质量保证和应急措施。</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（1）上述每项内容全面合理、针对性及操作性强的，得</w:t>
            </w:r>
            <w:r>
              <w:rPr>
                <w:rFonts w:ascii="宋体" w:hAnsi="宋体" w:cs="宋体"/>
                <w:color w:val="auto"/>
                <w:highlight w:val="none"/>
                <w:lang w:val="zh-CN"/>
              </w:rPr>
              <w:t xml:space="preserve">2</w:t>
            </w:r>
            <w:r>
              <w:rPr>
                <w:rFonts w:hint="eastAsia" w:ascii="宋体" w:hAnsi="宋体" w:cs="宋体"/>
                <w:color w:val="auto"/>
                <w:highlight w:val="none"/>
                <w:lang w:val="zh-CN"/>
              </w:rPr>
              <w:t xml:space="preserve">分；</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（2）上述每项内容较合理、针对性及操作性较强的，得</w:t>
            </w:r>
            <w:r>
              <w:rPr>
                <w:rFonts w:ascii="宋体" w:hAnsi="宋体" w:cs="宋体"/>
                <w:color w:val="auto"/>
                <w:highlight w:val="none"/>
                <w:lang w:val="zh-CN"/>
              </w:rPr>
              <w:t xml:space="preserve">1</w:t>
            </w:r>
            <w:r>
              <w:rPr>
                <w:rFonts w:hint="eastAsia" w:ascii="宋体" w:hAnsi="宋体" w:cs="宋体"/>
                <w:color w:val="auto"/>
                <w:highlight w:val="none"/>
                <w:lang w:val="zh-CN"/>
              </w:rPr>
              <w:t xml:space="preserve">分；</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（3）上述每项内容基本合理、具备一定的针对性及操作性，得</w:t>
            </w:r>
            <w:r>
              <w:rPr>
                <w:rFonts w:ascii="宋体" w:hAnsi="宋体" w:cs="宋体"/>
                <w:color w:val="auto"/>
                <w:highlight w:val="none"/>
                <w:lang w:val="zh-CN"/>
              </w:rPr>
              <w:t xml:space="preserve">0.5</w:t>
            </w:r>
            <w:r>
              <w:rPr>
                <w:rFonts w:hint="eastAsia" w:ascii="宋体" w:hAnsi="宋体" w:cs="宋体"/>
                <w:color w:val="auto"/>
                <w:highlight w:val="none"/>
                <w:lang w:val="zh-CN"/>
              </w:rPr>
              <w:t xml:space="preserve">分；</w:t>
            </w:r>
            <w:r/>
          </w:p>
          <w:p>
            <w:pPr>
              <w:pStyle w:val="770"/>
              <w:spacing w:line="264" w:lineRule="auto"/>
              <w:rPr>
                <w:color w:val="auto"/>
                <w:sz w:val="21"/>
                <w:highlight w:val="none"/>
                <w:lang w:bidi="ar-SA"/>
              </w:rPr>
            </w:pPr>
            <w:r>
              <w:rPr>
                <w:rFonts w:hint="eastAsia"/>
                <w:color w:val="auto"/>
                <w:highlight w:val="none"/>
              </w:rPr>
              <w:t xml:space="preserve">（4）上述每项内容不合理、缺乏针对性及操作性或未提供方案的不得分。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3</w:t>
            </w:r>
            <w:r>
              <w:rPr>
                <w:rFonts w:ascii="宋体" w:hAnsi="宋体" w:cs="宋体"/>
                <w:color w:val="auto"/>
                <w:spacing w:val="-2"/>
                <w:highlight w:val="none"/>
              </w:rPr>
              <w:t xml:space="preserve">.2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highlight w:val="none"/>
              </w:rPr>
            </w:pPr>
            <w:r>
              <w:rPr>
                <w:rFonts w:hint="eastAsia" w:ascii="宋体" w:hAnsi="宋体" w:cs="宋体"/>
                <w:color w:val="auto"/>
                <w:highlight w:val="none"/>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评委根据投标人提供的培训方案综合评分（每项内容逐条阐述）：</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包括：1.培训内容；2.培训方式。</w:t>
            </w:r>
            <w:r/>
          </w:p>
          <w:p>
            <w:pPr>
              <w:rPr>
                <w:rFonts w:ascii="宋体" w:hAnsi="宋体" w:cs="宋体"/>
                <w:color w:val="auto"/>
                <w:highlight w:val="none"/>
                <w:lang w:val="zh-CN"/>
              </w:rPr>
            </w:pPr>
            <w:r>
              <w:rPr>
                <w:rFonts w:hint="eastAsia" w:ascii="宋体" w:hAnsi="宋体" w:cs="宋体"/>
                <w:color w:val="auto"/>
                <w:highlight w:val="none"/>
                <w:lang w:val="zh-CN"/>
              </w:rPr>
              <w:t xml:space="preserve">（1）上述每项内容全面合理、针对性及操作性强的，得2分；</w:t>
            </w:r>
            <w:r/>
          </w:p>
          <w:p>
            <w:pPr>
              <w:rPr>
                <w:rFonts w:ascii="宋体" w:hAnsi="宋体" w:cs="宋体"/>
                <w:color w:val="auto"/>
                <w:highlight w:val="none"/>
                <w:lang w:val="zh-CN"/>
              </w:rPr>
            </w:pPr>
            <w:r>
              <w:rPr>
                <w:rFonts w:hint="eastAsia" w:ascii="宋体" w:hAnsi="宋体" w:cs="宋体"/>
                <w:color w:val="auto"/>
                <w:highlight w:val="none"/>
                <w:lang w:val="zh-CN"/>
              </w:rPr>
              <w:t xml:space="preserve">（2）上述每项内容较合理、针对性及操作性较强的，得1分；</w:t>
            </w:r>
            <w:r/>
          </w:p>
          <w:p>
            <w:pPr>
              <w:rPr>
                <w:rFonts w:ascii="宋体" w:hAnsi="宋体" w:cs="宋体"/>
                <w:color w:val="auto"/>
                <w:highlight w:val="none"/>
                <w:lang w:val="zh-CN"/>
              </w:rPr>
            </w:pPr>
            <w:r>
              <w:rPr>
                <w:rFonts w:hint="eastAsia" w:ascii="宋体" w:hAnsi="宋体" w:cs="宋体"/>
                <w:color w:val="auto"/>
                <w:highlight w:val="none"/>
                <w:lang w:val="zh-CN"/>
              </w:rPr>
              <w:t xml:space="preserve">（3）上述每项内容基本合理、具备一定的针对性及操作性，得0.5分；</w:t>
            </w:r>
            <w:r/>
          </w:p>
          <w:p>
            <w:pPr>
              <w:pStyle w:val="770"/>
              <w:spacing w:line="264" w:lineRule="auto"/>
              <w:rPr>
                <w:color w:val="auto"/>
                <w:sz w:val="21"/>
                <w:highlight w:val="none"/>
                <w:lang w:val="en-US" w:bidi="ar-SA"/>
              </w:rPr>
            </w:pPr>
            <w:r>
              <w:rPr>
                <w:rFonts w:hint="eastAsia"/>
                <w:color w:val="auto"/>
                <w:highlight w:val="none"/>
              </w:rPr>
              <w:t xml:space="preserve">（4）上述每项内容不合理、缺乏针对性及操作性或未提供方案的不得分。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highlight w:val="none"/>
              </w:rPr>
            </w:pPr>
            <w:r>
              <w:rPr>
                <w:rFonts w:hint="eastAsia" w:ascii="宋体" w:hAnsi="宋体" w:cs="宋体"/>
                <w:color w:val="auto"/>
                <w:highlight w:val="none"/>
              </w:rPr>
              <w:t xml:space="preserve">售后服务方案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评委根据投标人提供的运维服务方案综合评分（每项内容逐条阐述）：</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包括：1.技术支持；2.保障措施；3.维护响应时间。</w:t>
            </w:r>
            <w:r/>
          </w:p>
          <w:p>
            <w:pPr>
              <w:rPr>
                <w:rFonts w:ascii="宋体" w:hAnsi="宋体" w:cs="宋体"/>
                <w:color w:val="auto"/>
                <w:highlight w:val="none"/>
                <w:lang w:val="zh-CN"/>
              </w:rPr>
            </w:pPr>
            <w:r>
              <w:rPr>
                <w:rFonts w:hint="eastAsia" w:ascii="宋体" w:hAnsi="宋体" w:cs="宋体"/>
                <w:color w:val="auto"/>
                <w:highlight w:val="none"/>
                <w:lang w:val="zh-CN"/>
              </w:rPr>
              <w:t xml:space="preserve">（1）上述每项内容全面合理、针对性及操作性强的，得2分；</w:t>
            </w:r>
            <w:r/>
          </w:p>
          <w:p>
            <w:pPr>
              <w:rPr>
                <w:rFonts w:ascii="宋体" w:hAnsi="宋体" w:cs="宋体"/>
                <w:color w:val="auto"/>
                <w:highlight w:val="none"/>
                <w:lang w:val="zh-CN"/>
              </w:rPr>
            </w:pPr>
            <w:r>
              <w:rPr>
                <w:rFonts w:hint="eastAsia" w:ascii="宋体" w:hAnsi="宋体" w:cs="宋体"/>
                <w:color w:val="auto"/>
                <w:highlight w:val="none"/>
                <w:lang w:val="zh-CN"/>
              </w:rPr>
              <w:t xml:space="preserve">（2）上述每项内容较合理、针对性及操作性较强的，得1分；</w:t>
            </w:r>
            <w:r/>
          </w:p>
          <w:p>
            <w:pPr>
              <w:rPr>
                <w:rFonts w:ascii="宋体" w:hAnsi="宋体" w:cs="宋体"/>
                <w:color w:val="auto"/>
                <w:highlight w:val="none"/>
                <w:lang w:val="zh-CN"/>
              </w:rPr>
            </w:pPr>
            <w:r>
              <w:rPr>
                <w:rFonts w:hint="eastAsia" w:ascii="宋体" w:hAnsi="宋体" w:cs="宋体"/>
                <w:color w:val="auto"/>
                <w:highlight w:val="none"/>
                <w:lang w:val="zh-CN"/>
              </w:rPr>
              <w:t xml:space="preserve">（3）上述每项内容基本合理、具备一定的针对性及操作性，得0.5分；</w:t>
            </w:r>
            <w:r/>
          </w:p>
          <w:p>
            <w:pPr>
              <w:pStyle w:val="770"/>
              <w:spacing w:line="264" w:lineRule="auto"/>
              <w:rPr>
                <w:color w:val="auto"/>
                <w:sz w:val="21"/>
                <w:highlight w:val="none"/>
                <w:lang w:val="en-US" w:bidi="ar-SA"/>
              </w:rPr>
            </w:pPr>
            <w:r>
              <w:rPr>
                <w:rFonts w:hint="eastAsia"/>
                <w:color w:val="auto"/>
                <w:highlight w:val="none"/>
              </w:rPr>
              <w:t xml:space="preserve">（4）上述每项内容不合理、缺乏针对性及操作性或未提供方案的不得分。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color w:val="auto"/>
                <w:highlight w:val="none"/>
              </w:rPr>
            </w:pPr>
            <w:r>
              <w:rPr>
                <w:rFonts w:hint="eastAsia" w:ascii="宋体" w:hAnsi="宋体" w:cs="宋体"/>
                <w:b/>
                <w:bCs/>
                <w:color w:val="auto"/>
                <w:spacing w:val="-3"/>
                <w:highlight w:val="none"/>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2"/>
                <w:highlight w:val="none"/>
              </w:rPr>
            </w:pPr>
            <w:r>
              <w:rPr>
                <w:rFonts w:hint="eastAsia" w:ascii="宋体" w:hAnsi="宋体" w:cs="宋体"/>
                <w:spacing w:val="-1"/>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投标人提供</w:t>
            </w:r>
            <w:r>
              <w:rPr>
                <w:rFonts w:hint="eastAsia" w:ascii="宋体" w:hAnsi="宋体" w:cs="宋体"/>
                <w:color w:val="auto"/>
              </w:rPr>
              <w:t xml:space="preserve">20</w:t>
            </w:r>
            <w:r>
              <w:rPr>
                <w:rFonts w:ascii="宋体" w:hAnsi="宋体" w:cs="宋体"/>
                <w:color w:val="auto"/>
              </w:rPr>
              <w:t xml:space="preserve">22</w:t>
            </w:r>
            <w:r>
              <w:rPr>
                <w:rFonts w:hint="eastAsia" w:ascii="宋体" w:hAnsi="宋体" w:cs="宋体"/>
                <w:color w:val="auto"/>
              </w:rPr>
              <w:t xml:space="preserve">年</w:t>
            </w:r>
            <w:r>
              <w:rPr>
                <w:rFonts w:ascii="宋体" w:hAnsi="宋体" w:cs="宋体"/>
                <w:color w:val="auto"/>
              </w:rPr>
              <w:t xml:space="preserve">1</w:t>
            </w:r>
            <w:r>
              <w:rPr>
                <w:rFonts w:hint="eastAsia" w:ascii="宋体" w:hAnsi="宋体" w:cs="宋体"/>
                <w:color w:val="auto"/>
              </w:rPr>
              <w:t xml:space="preserve">月</w:t>
            </w:r>
            <w:r>
              <w:rPr>
                <w:rFonts w:ascii="宋体" w:hAnsi="宋体" w:cs="宋体"/>
                <w:color w:val="auto"/>
              </w:rPr>
              <w:t xml:space="preserve">1</w:t>
            </w:r>
            <w:r>
              <w:rPr>
                <w:rFonts w:hint="eastAsia" w:ascii="宋体" w:hAnsi="宋体" w:cs="宋体"/>
                <w:color w:val="auto"/>
              </w:rPr>
              <w:t xml:space="preserve">日（</w:t>
            </w:r>
            <w:r>
              <w:rPr>
                <w:rFonts w:hint="eastAsia" w:ascii="宋体" w:hAnsi="宋体" w:cs="宋体"/>
              </w:rPr>
              <w:t xml:space="preserve">含）以来类似项目业绩</w:t>
            </w:r>
            <w:bookmarkStart w:id="205" w:name="_GoBack"/>
            <w:r/>
            <w:bookmarkEnd w:id="205"/>
            <w:r>
              <w:rPr>
                <w:rFonts w:hint="eastAsia" w:ascii="宋体" w:hAnsi="宋体" w:cs="宋体"/>
              </w:rPr>
              <w:t xml:space="preserve">，每提供1个得</w:t>
            </w:r>
            <w:r>
              <w:rPr>
                <w:rFonts w:hint="eastAsia" w:ascii="宋体" w:hAnsi="宋体" w:cs="宋体"/>
                <w:lang w:val="en-US" w:eastAsia="zh-CN"/>
              </w:rPr>
              <w:t xml:space="preserve">0.5</w:t>
            </w:r>
            <w:r>
              <w:rPr>
                <w:rFonts w:hint="eastAsia" w:ascii="宋体" w:hAnsi="宋体" w:cs="宋体"/>
              </w:rPr>
              <w:t xml:space="preserve">分，最多得</w:t>
            </w:r>
            <w:r>
              <w:rPr>
                <w:rFonts w:hint="eastAsia" w:ascii="宋体" w:hAnsi="宋体" w:cs="宋体"/>
                <w:lang w:val="en-US" w:eastAsia="zh-CN"/>
              </w:rPr>
              <w:t xml:space="preserve">1</w:t>
            </w:r>
            <w:r>
              <w:rPr>
                <w:rFonts w:hint="eastAsia" w:ascii="宋体" w:hAnsi="宋体" w:cs="宋体"/>
              </w:rPr>
              <w:t xml:space="preserve">分。</w:t>
            </w:r>
            <w:r/>
          </w:p>
          <w:p>
            <w:pPr>
              <w:spacing w:line="264" w:lineRule="auto"/>
              <w:rPr>
                <w:rFonts w:ascii="宋体" w:hAnsi="宋体" w:cs="宋体"/>
                <w:color w:val="auto"/>
                <w:szCs w:val="21"/>
                <w:highlight w:val="none"/>
                <w:lang w:bidi="zh-CN"/>
              </w:rPr>
            </w:pPr>
            <w:r>
              <w:rPr>
                <w:rFonts w:hint="eastAsia" w:ascii="宋体" w:hAnsi="宋体" w:cs="宋体"/>
              </w:rPr>
              <w:t xml:space="preserve">（时间以合同签订时间为准，提供有效合同，合同页须清晰可见相应内容）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eastAsia="宋体" w:cs="宋体"/>
                <w:color w:val="auto"/>
                <w:szCs w:val="21"/>
                <w:highlight w:val="none"/>
                <w:lang w:eastAsia="zh-CN"/>
              </w:rPr>
            </w:pPr>
            <w:r>
              <w:rPr>
                <w:rFonts w:hint="eastAsia" w:ascii="宋体" w:hAnsi="宋体" w:cs="宋体"/>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spacing w:before="123" w:line="264" w:lineRule="auto"/>
              <w:rPr>
                <w:rFonts w:ascii="宋体" w:hAnsi="宋体" w:cs="宋体"/>
                <w:color w:val="auto"/>
                <w:highlight w:val="none"/>
              </w:rPr>
            </w:pPr>
            <w:r>
              <w:rPr>
                <w:rFonts w:hint="eastAsia" w:ascii="宋体" w:hAnsi="宋体" w:cs="宋体"/>
                <w:b/>
                <w:bCs/>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spacing w:val="-2"/>
              </w:rPr>
              <w:t xml:space="preserve">5.1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1"/>
                <w:highlight w:val="none"/>
              </w:rPr>
            </w:pPr>
            <w:r>
              <w:rPr>
                <w:rFonts w:hint="eastAsia" w:ascii="宋体" w:hAnsi="宋体" w:cs="宋体"/>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1、投标人拟投入本项目的项目经理具有有效期内信息系统项目管理师证书、一级建造师（机电工程）证书、IT服务工程师（ITSS）、电子信息工程师高级</w:t>
            </w:r>
            <w:r>
              <w:rPr>
                <w:rFonts w:hint="eastAsia" w:ascii="宋体" w:hAnsi="宋体" w:cs="宋体"/>
                <w:lang w:val="en-US" w:eastAsia="zh-CN"/>
              </w:rPr>
              <w:t xml:space="preserve">及以上</w:t>
            </w:r>
            <w:r>
              <w:rPr>
                <w:rFonts w:hint="eastAsia" w:ascii="宋体" w:hAnsi="宋体" w:cs="宋体"/>
              </w:rPr>
              <w:t xml:space="preserve">证书，每提供1个得1分，最多得4分。</w:t>
            </w:r>
            <w:r/>
          </w:p>
          <w:p>
            <w:pPr>
              <w:spacing w:line="264" w:lineRule="auto"/>
              <w:rPr>
                <w:rFonts w:ascii="宋体" w:hAnsi="宋体" w:cs="宋体"/>
              </w:rPr>
            </w:pPr>
            <w:r>
              <w:rPr>
                <w:rFonts w:hint="eastAsia" w:ascii="宋体" w:hAnsi="宋体" w:cs="宋体"/>
              </w:rPr>
              <w:t xml:space="preserve">2、投标人拟投入本项目的技术负责人具有有效期内信息与通信专业中级工程师</w:t>
            </w:r>
            <w:r>
              <w:rPr>
                <w:rFonts w:hint="eastAsia" w:ascii="宋体" w:hAnsi="宋体" w:cs="宋体"/>
                <w:lang w:val="en-US" w:eastAsia="zh-CN"/>
              </w:rPr>
              <w:t xml:space="preserve">及以上</w:t>
            </w:r>
            <w:r>
              <w:rPr>
                <w:rFonts w:hint="eastAsia" w:ascii="宋体" w:hAnsi="宋体" w:cs="宋体"/>
              </w:rPr>
              <w:t xml:space="preserve">证书、系统架构设计师证书，每提供1个证书得2分，最多得4分。</w:t>
            </w:r>
            <w:r/>
          </w:p>
          <w:p>
            <w:pPr>
              <w:spacing w:line="264" w:lineRule="auto"/>
              <w:rPr>
                <w:rFonts w:ascii="宋体" w:hAnsi="宋体" w:cs="宋体"/>
                <w:color w:val="auto"/>
                <w:highlight w:val="none"/>
              </w:rPr>
            </w:pP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，投标人</w:t>
            </w:r>
            <w:r>
              <w:rPr>
                <w:rFonts w:ascii="宋体" w:hAnsi="宋体" w:cs="宋体"/>
                <w:lang w:val="zh-CN"/>
              </w:rPr>
              <w:t xml:space="preserve">为其缴纳的</w:t>
            </w:r>
            <w:r>
              <w:rPr>
                <w:rFonts w:ascii="宋体" w:hAnsi="宋体" w:cs="宋体"/>
              </w:rPr>
              <w:t xml:space="preserve">20</w:t>
            </w:r>
            <w:r>
              <w:rPr>
                <w:rFonts w:hint="eastAsia" w:ascii="宋体" w:hAnsi="宋体" w:cs="宋体"/>
              </w:rPr>
              <w:t xml:space="preserve">25</w:t>
            </w:r>
            <w:r>
              <w:rPr>
                <w:rFonts w:ascii="宋体" w:hAnsi="宋体" w:cs="宋体"/>
                <w:lang w:val="zh-CN"/>
              </w:rPr>
              <w:t xml:space="preserve">年</w:t>
            </w:r>
            <w:r>
              <w:rPr>
                <w:rFonts w:hint="eastAsia" w:ascii="宋体" w:hAnsi="宋体" w:cs="宋体"/>
              </w:rPr>
              <w:t xml:space="preserve">5</w:t>
            </w:r>
            <w:r>
              <w:rPr>
                <w:rFonts w:ascii="宋体" w:hAnsi="宋体" w:cs="宋体"/>
                <w:lang w:val="zh-CN"/>
              </w:rPr>
              <w:t xml:space="preserve">月以来任意一个月的社保证明</w:t>
            </w:r>
            <w:r>
              <w:rPr>
                <w:rFonts w:hint="eastAsia" w:ascii="宋体" w:hAnsi="宋体" w:cs="宋体"/>
                <w:lang w:val="zh-CN"/>
              </w:rPr>
              <w:t xml:space="preserve">材料</w:t>
            </w:r>
            <w:r>
              <w:rPr>
                <w:rFonts w:ascii="宋体" w:hAnsi="宋体" w:cs="宋体"/>
                <w:lang w:val="zh-CN"/>
              </w:rPr>
              <w:t xml:space="preserve">，缺一不可）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1"/>
                <w:highlight w:val="none"/>
              </w:rPr>
            </w:pPr>
            <w:r>
              <w:rPr>
                <w:rFonts w:hint="eastAsia" w:ascii="宋体" w:hAnsi="宋体" w:cs="宋体"/>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投标人拟投入本项目的项目成员（除项目经理、技术负责人外）具有有效期内系统分析师、信息系统项目管理师、网络规划设计师，每提供1个证书得1分，最多得3分。</w:t>
            </w:r>
            <w:r/>
          </w:p>
          <w:p>
            <w:pPr>
              <w:spacing w:line="264" w:lineRule="auto"/>
              <w:rPr>
                <w:rFonts w:ascii="宋体" w:hAnsi="宋体" w:cs="宋体"/>
                <w:color w:val="auto"/>
                <w:highlight w:val="none"/>
              </w:rPr>
            </w:pPr>
            <w:r>
              <w:rPr>
                <w:rFonts w:ascii="宋体" w:hAnsi="宋体" w:cs="宋体"/>
                <w:lang w:val="zh-CN"/>
              </w:rPr>
              <w:t xml:space="preserve">（</w:t>
            </w:r>
            <w:r>
              <w:rPr>
                <w:rFonts w:hint="eastAsia" w:ascii="宋体" w:hAnsi="宋体" w:cs="宋体"/>
                <w:lang w:val="zh-CN"/>
              </w:rPr>
              <w:t xml:space="preserve">一人多证或一证多人不重复得分，</w:t>
            </w:r>
            <w:r>
              <w:rPr>
                <w:rFonts w:ascii="宋体" w:hAnsi="宋体" w:cs="宋体"/>
                <w:lang w:val="zh-CN"/>
              </w:rPr>
              <w:t xml:space="preserve">提供上述</w:t>
            </w:r>
            <w:r>
              <w:rPr>
                <w:rFonts w:hint="eastAsia" w:ascii="宋体" w:hAnsi="宋体" w:cs="宋体"/>
                <w:lang w:val="zh-CN"/>
              </w:rPr>
              <w:t xml:space="preserve">人员清单及</w:t>
            </w:r>
            <w:r>
              <w:rPr>
                <w:rFonts w:ascii="宋体" w:hAnsi="宋体" w:cs="宋体"/>
                <w:lang w:val="zh-CN"/>
              </w:rPr>
              <w:t xml:space="preserve">证书</w:t>
            </w:r>
            <w:r>
              <w:rPr>
                <w:rFonts w:hint="eastAsia" w:ascii="宋体" w:hAnsi="宋体" w:cs="宋体"/>
                <w:lang w:val="zh-CN"/>
              </w:rPr>
              <w:t xml:space="preserve">，投标人</w:t>
            </w:r>
            <w:r>
              <w:rPr>
                <w:rFonts w:ascii="宋体" w:hAnsi="宋体" w:cs="宋体"/>
                <w:lang w:val="zh-CN"/>
              </w:rPr>
              <w:t xml:space="preserve">为其缴纳的</w:t>
            </w:r>
            <w:r>
              <w:rPr>
                <w:rFonts w:ascii="宋体" w:hAnsi="宋体" w:cs="宋体"/>
              </w:rPr>
              <w:t xml:space="preserve">20</w:t>
            </w:r>
            <w:r>
              <w:rPr>
                <w:rFonts w:hint="eastAsia" w:ascii="宋体" w:hAnsi="宋体" w:cs="宋体"/>
              </w:rPr>
              <w:t xml:space="preserve">25</w:t>
            </w:r>
            <w:r>
              <w:rPr>
                <w:rFonts w:ascii="宋体" w:hAnsi="宋体" w:cs="宋体"/>
                <w:lang w:val="zh-CN"/>
              </w:rPr>
              <w:t xml:space="preserve">年</w:t>
            </w:r>
            <w:r>
              <w:rPr>
                <w:rFonts w:hint="eastAsia" w:ascii="宋体" w:hAnsi="宋体" w:cs="宋体"/>
              </w:rPr>
              <w:t xml:space="preserve">5</w:t>
            </w:r>
            <w:r>
              <w:rPr>
                <w:rFonts w:ascii="宋体" w:hAnsi="宋体" w:cs="宋体"/>
                <w:lang w:val="zh-CN"/>
              </w:rPr>
              <w:t xml:space="preserve">月以来任意一个月的社保证明</w:t>
            </w:r>
            <w:r>
              <w:rPr>
                <w:rFonts w:hint="eastAsia" w:ascii="宋体" w:hAnsi="宋体" w:cs="宋体"/>
                <w:lang w:val="zh-CN"/>
              </w:rPr>
              <w:t xml:space="preserve">材料</w:t>
            </w:r>
            <w:r>
              <w:rPr>
                <w:rFonts w:ascii="宋体" w:hAnsi="宋体" w:cs="宋体"/>
                <w:lang w:val="zh-CN"/>
              </w:rPr>
              <w:t xml:space="preserve">，缺一不可）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spacing w:val="-2"/>
              </w:rPr>
              <w:t xml:space="preserve">5.3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1"/>
                <w:highlight w:val="none"/>
              </w:rPr>
            </w:pPr>
            <w:r>
              <w:rPr>
                <w:rFonts w:hint="eastAsia" w:ascii="宋体" w:hAnsi="宋体" w:cs="宋体"/>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lang w:val="zh-CN"/>
              </w:rPr>
              <w:t xml:space="preserve">供应商具有</w:t>
            </w:r>
            <w:r>
              <w:rPr>
                <w:rFonts w:hint="eastAsia" w:ascii="宋体" w:hAnsi="宋体" w:cs="宋体"/>
              </w:rPr>
              <w:t xml:space="preserve">会议管理类、视频安全类、统一调度类等相关软件著作权证书，每提供1类证书得1分（类型</w:t>
            </w:r>
            <w:r>
              <w:rPr>
                <w:rFonts w:hint="eastAsia" w:ascii="宋体" w:hAnsi="宋体" w:cs="宋体"/>
                <w:lang w:val="en-US" w:eastAsia="zh-CN"/>
              </w:rPr>
              <w:t xml:space="preserve">重复不得分</w:t>
            </w:r>
            <w:r>
              <w:rPr>
                <w:rFonts w:hint="eastAsia" w:ascii="宋体" w:hAnsi="宋体" w:cs="宋体"/>
              </w:rPr>
              <w:t xml:space="preserve">），最高得3分。</w:t>
            </w:r>
            <w:r/>
          </w:p>
          <w:p>
            <w:pPr>
              <w:spacing w:line="264" w:lineRule="auto"/>
              <w:rPr>
                <w:rFonts w:ascii="宋体" w:hAnsi="宋体" w:cs="宋体"/>
                <w:color w:val="auto"/>
                <w:highlight w:val="none"/>
              </w:rPr>
            </w:pPr>
            <w:r>
              <w:rPr>
                <w:rFonts w:hint="eastAsia" w:ascii="宋体" w:hAnsi="宋体" w:cs="宋体"/>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hint="eastAsia" w:ascii="宋体" w:hAnsi="宋体" w:cs="宋体"/>
                <w:spacing w:val="-6"/>
              </w:rPr>
              <w:t xml:space="preserve">客观分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color w:val="auto"/>
                <w:spacing w:val="-6"/>
                <w:highlight w:val="none"/>
              </w:rPr>
            </w:pPr>
            <w:r>
              <w:rPr>
                <w:rFonts w:hint="eastAsia" w:ascii="宋体" w:hAnsi="宋体" w:cs="宋体"/>
                <w:b/>
                <w:bCs/>
                <w:spacing w:val="-3"/>
              </w:rPr>
              <w:t xml:space="preserve">6.节能环保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spacing w:val="-2"/>
              </w:rPr>
              <w:t xml:space="preserve">6.1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1"/>
                <w:highlight w:val="none"/>
              </w:rPr>
            </w:pPr>
            <w:r>
              <w:rPr>
                <w:rFonts w:hint="eastAsia" w:ascii="宋体" w:hAnsi="宋体" w:cs="宋体"/>
                <w:spacing w:val="-1"/>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1.投标产品属于财政部、国家发改委公布的“节能产品品目清单”范围内的，投标人提供国家确定的认证机构出具的、处于有效期之内的该节能产品认证证书的，有1个得0.5分，最多得1分。</w:t>
            </w:r>
            <w:r/>
          </w:p>
          <w:p>
            <w:pPr>
              <w:spacing w:line="264" w:lineRule="auto"/>
              <w:rPr>
                <w:rFonts w:ascii="宋体" w:hAnsi="宋体" w:cs="宋体"/>
                <w:color w:val="auto"/>
                <w:highlight w:val="none"/>
              </w:rPr>
            </w:pPr>
            <w:r>
              <w:rPr>
                <w:rFonts w:hint="eastAsia" w:ascii="宋体" w:hAnsi="宋体" w:cs="宋体"/>
              </w:rPr>
              <w:t xml:space="preserve">2.投标产品属于财政部、生态环境部公布的“环境标志产品品目清单”范围内的，投标人提供国家确定的认证机构出具的、处于有效期内的该环保产品认证证书的，有1个得0.5分，最多得1分。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hint="eastAsia" w:ascii="宋体" w:hAnsi="宋体" w:cs="宋体"/>
                <w:spacing w:val="-6"/>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color w:val="auto"/>
                <w:spacing w:val="-3"/>
                <w:highlight w:val="none"/>
              </w:rPr>
              <w:t xml:space="preserve">合</w:t>
            </w:r>
            <w:r>
              <w:rPr>
                <w:rFonts w:hint="eastAsia" w:ascii="宋体" w:hAnsi="宋体" w:cs="宋体"/>
                <w:color w:val="auto"/>
                <w:spacing w:val="-2"/>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auto"/>
                <w:spacing w:val="-2"/>
                <w:highlight w:val="none"/>
              </w:rPr>
            </w:pPr>
            <w:r>
              <w:rPr>
                <w:rFonts w:ascii="宋体" w:hAnsi="宋体" w:cs="宋体"/>
                <w:color w:val="auto"/>
                <w:spacing w:val="-2"/>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color w:val="auto"/>
                <w:spacing w:val="-11"/>
                <w:highlight w:val="none"/>
              </w:rPr>
              <w:t xml:space="preserve">100分</w:t>
            </w:r>
            <w:r/>
          </w:p>
        </w:tc>
      </w:tr>
    </w:tbl>
    <w:p>
      <w:pPr>
        <w:spacing w:line="264"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spacing w:line="264"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spacing w:line="264"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480" w:lineRule="exact"/>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pStyle w:val="664"/>
        <w:ind w:firstLine="720"/>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jc w:val="left"/>
        <w:widowControl/>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br w:type="page" w:clear="all"/>
      </w:r>
      <w:bookmarkEnd w:id="190"/>
      <w:bookmarkEnd w:id="191"/>
      <w:bookmarkEnd w:id="193"/>
      <w:bookmarkEnd w:id="194"/>
      <w:bookmarkEnd w:id="195"/>
      <w:r/>
    </w:p>
    <w:p>
      <w:pPr>
        <w:ind w:right="840"/>
        <w:jc w:val="center"/>
        <w:rPr>
          <w:rFonts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第六章  投标文件格式 </w:t>
      </w:r>
      <w:r/>
    </w:p>
    <w:p>
      <w:pPr>
        <w:jc w:val="center"/>
        <w:rPr>
          <w:rFonts w:ascii="宋体" w:hAnsi="宋体"/>
          <w:b/>
          <w:color w:val="auto"/>
          <w:sz w:val="72"/>
          <w:szCs w:val="21"/>
          <w:highlight w:val="none"/>
        </w:rPr>
      </w:pPr>
      <w:r/>
      <w:bookmarkStart w:id="196" w:name="_Hlt26671244"/>
      <w:r/>
      <w:bookmarkEnd w:id="196"/>
      <w:r/>
      <w:bookmarkStart w:id="197" w:name="_Hlt26955039"/>
      <w:r/>
      <w:bookmarkEnd w:id="197"/>
      <w:r/>
      <w:bookmarkStart w:id="198" w:name="_Toc49090576"/>
      <w:r/>
      <w:bookmarkStart w:id="199" w:name="_Toc26554094"/>
      <w:r/>
      <w:bookmarkStart w:id="200" w:name="_Toc120614282"/>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ascii="方正黑体_GBK" w:hAnsi="方正黑体_GBK" w:eastAsia="方正黑体_GBK" w:cs="方正黑体_GBK"/>
          <w:color w:val="auto"/>
          <w:sz w:val="32"/>
          <w:szCs w:val="32"/>
          <w:highlight w:val="none"/>
        </w:rPr>
      </w:pPr>
      <w:r>
        <w:rPr>
          <w:rFonts w:ascii="宋体" w:hAnsi="宋体"/>
          <w:b/>
          <w:color w:val="auto"/>
          <w:sz w:val="36"/>
          <w:szCs w:val="21"/>
          <w:highlight w:val="none"/>
          <w:u w:val="single"/>
        </w:rPr>
        <w:br w:type="page" w:clear="all"/>
      </w:r>
      <w:bookmarkEnd w:id="198"/>
      <w:r/>
      <w:bookmarkEnd w:id="199"/>
      <w:r/>
      <w:bookmarkEnd w:id="200"/>
      <w:r>
        <w:rPr>
          <w:rFonts w:hint="eastAsia" w:ascii="方正黑体_GBK" w:hAnsi="方正黑体_GBK" w:eastAsia="方正黑体_GBK" w:cs="方正黑体_GBK"/>
          <w:color w:val="auto"/>
          <w:sz w:val="32"/>
          <w:szCs w:val="32"/>
          <w:highlight w:val="none"/>
        </w:rPr>
        <w:t xml:space="preserve">投标文件目录</w:t>
      </w:r>
      <w:r/>
    </w:p>
    <w:p>
      <w:pPr>
        <w:ind w:firstLine="560"/>
        <w:spacing w:line="600" w:lineRule="exact"/>
        <w:rPr>
          <w:rFonts w:ascii="宋体" w:hAnsi="宋体" w:cs="宋体"/>
          <w:color w:val="auto"/>
          <w:sz w:val="28"/>
          <w:szCs w:val="28"/>
          <w:highlight w:val="none"/>
        </w:rPr>
      </w:pPr>
      <w:r/>
      <w:bookmarkStart w:id="201" w:name="_Toc120614284"/>
      <w:r>
        <w:rPr>
          <w:rFonts w:hint="eastAsia" w:ascii="宋体" w:hAnsi="宋体" w:cs="宋体"/>
          <w:color w:val="auto"/>
          <w:sz w:val="28"/>
          <w:szCs w:val="28"/>
          <w:highlight w:val="none"/>
        </w:rPr>
        <w:t xml:space="preserve">一、供应商信用承诺函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六、核心产品品牌一览表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七、投标分项报价表（如有）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九、商务要求响应及偏离表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十、中小企业声明函（如有）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十一、残疾人福利性单位声明函（如有）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十二、联合体协议（如有）</w:t>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767"/>
        <w:rPr>
          <w:color w:val="auto"/>
          <w:sz w:val="24"/>
          <w:highlight w:val="none"/>
        </w:rPr>
      </w:pPr>
      <w:r>
        <w:rPr>
          <w:color w:val="auto"/>
          <w:sz w:val="24"/>
          <w:highlight w:val="none"/>
        </w:rPr>
      </w:r>
      <w:r/>
    </w:p>
    <w:p>
      <w:pPr>
        <w:pStyle w:val="767"/>
        <w:rPr>
          <w:color w:val="auto"/>
          <w:sz w:val="24"/>
          <w:highlight w:val="none"/>
        </w:rPr>
      </w:pPr>
      <w:r>
        <w:rPr>
          <w:color w:val="auto"/>
          <w:sz w:val="24"/>
          <w:highlight w:val="none"/>
        </w:rPr>
      </w:r>
      <w:r/>
    </w:p>
    <w:p>
      <w:pPr>
        <w:pStyle w:val="767"/>
        <w:rPr>
          <w:color w:val="auto"/>
          <w:sz w:val="24"/>
          <w:highlight w:val="none"/>
        </w:rPr>
      </w:pPr>
      <w:r>
        <w:rPr>
          <w:color w:val="auto"/>
          <w:sz w:val="24"/>
          <w:highlight w:val="none"/>
        </w:rPr>
      </w:r>
      <w:r/>
    </w:p>
    <w:p>
      <w:pPr>
        <w:pStyle w:val="767"/>
        <w:rPr>
          <w:color w:val="auto"/>
          <w:sz w:val="24"/>
          <w:highlight w:val="none"/>
        </w:rPr>
      </w:pPr>
      <w:r>
        <w:rPr>
          <w:color w:val="auto"/>
          <w:sz w:val="24"/>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南京市公共资源交易中心：</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768"/>
        <w:rPr>
          <w:color w:val="auto"/>
          <w:sz w:val="24"/>
          <w:szCs w:val="24"/>
          <w:highlight w:val="none"/>
        </w:rPr>
      </w:pPr>
      <w:r>
        <w:rPr>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738"/>
        <w:ind w:firstLine="480"/>
        <w:rPr>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769"/>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法人授权书</w:t>
      </w:r>
      <w:r/>
    </w:p>
    <w:p>
      <w:pPr>
        <w:pStyle w:val="738"/>
        <w:ind w:firstLine="480"/>
        <w:spacing w:line="420" w:lineRule="exact"/>
        <w:rPr>
          <w:color w:val="auto"/>
          <w:sz w:val="24"/>
          <w:szCs w:val="24"/>
          <w:highlight w:val="none"/>
        </w:rPr>
      </w:pPr>
      <w:r>
        <w:rPr>
          <w:color w:val="auto"/>
          <w:sz w:val="24"/>
          <w:szCs w:val="24"/>
          <w:highlight w:val="none"/>
        </w:rPr>
      </w:r>
      <w:r/>
    </w:p>
    <w:p>
      <w:pPr>
        <w:pStyle w:val="738"/>
        <w:ind w:firstLine="480"/>
        <w:spacing w:line="480" w:lineRule="exact"/>
        <w:rPr>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738"/>
        <w:ind w:firstLine="480"/>
        <w:spacing w:line="480" w:lineRule="exac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738"/>
        <w:ind w:firstLine="480"/>
        <w:spacing w:line="480" w:lineRule="exact"/>
        <w:rPr>
          <w:color w:val="auto"/>
          <w:sz w:val="24"/>
          <w:szCs w:val="24"/>
          <w:highlight w:val="none"/>
        </w:rPr>
      </w:pPr>
      <w:r>
        <w:rPr>
          <w:rFonts w:hint="eastAsia"/>
          <w:color w:val="auto"/>
          <w:sz w:val="24"/>
          <w:szCs w:val="24"/>
          <w:highlight w:val="none"/>
        </w:rPr>
        <w:t xml:space="preserve">被授权人身份证号码：</w:t>
      </w:r>
      <w:r/>
    </w:p>
    <w:p>
      <w:pPr>
        <w:pStyle w:val="738"/>
        <w:ind w:firstLine="480"/>
        <w:spacing w:line="480" w:lineRule="exact"/>
        <w:rPr>
          <w:color w:val="auto"/>
          <w:sz w:val="24"/>
          <w:szCs w:val="24"/>
          <w:highlight w:val="none"/>
          <w:u w:val="single"/>
        </w:rPr>
      </w:pPr>
      <w:r>
        <w:rPr>
          <w:rFonts w:hint="eastAsia"/>
          <w:color w:val="auto"/>
          <w:sz w:val="24"/>
          <w:szCs w:val="24"/>
          <w:highlight w:val="none"/>
        </w:rPr>
        <w:t xml:space="preserve">被授权人联系电话：（手机）</w:t>
      </w:r>
      <w:r/>
    </w:p>
    <w:p>
      <w:pPr>
        <w:pStyle w:val="738"/>
        <w:ind w:firstLine="480"/>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738"/>
        <w:ind w:firstLine="480"/>
        <w:spacing w:line="480" w:lineRule="exact"/>
        <w:rPr>
          <w:color w:val="auto"/>
          <w:sz w:val="24"/>
          <w:szCs w:val="24"/>
          <w:highlight w:val="none"/>
          <w:u w:val="single"/>
        </w:rPr>
      </w:pPr>
      <w:r>
        <w:rPr>
          <w:rFonts w:hint="eastAsia"/>
          <w:color w:val="auto"/>
          <w:sz w:val="24"/>
          <w:szCs w:val="24"/>
          <w:highlight w:val="none"/>
        </w:rPr>
        <w:t xml:space="preserve">单位地址：</w:t>
      </w:r>
      <w:r/>
    </w:p>
    <w:p>
      <w:pPr>
        <w:pStyle w:val="738"/>
        <w:ind w:firstLine="480"/>
        <w:spacing w:line="480" w:lineRule="exact"/>
        <w:rPr>
          <w:color w:val="auto"/>
          <w:sz w:val="24"/>
          <w:szCs w:val="24"/>
          <w:highlight w:val="none"/>
        </w:rPr>
      </w:pPr>
      <w:r>
        <w:rPr>
          <w:rFonts w:hint="eastAsia"/>
          <w:color w:val="auto"/>
          <w:sz w:val="24"/>
          <w:szCs w:val="24"/>
          <w:highlight w:val="none"/>
        </w:rPr>
        <w:t xml:space="preserve">日    期：</w:t>
      </w:r>
      <w:bookmarkStart w:id="202" w:name="_Hlt26955070"/>
      <w:r/>
      <w:bookmarkEnd w:id="202"/>
      <w:r/>
      <w:bookmarkStart w:id="203" w:name="_Hlt26671380"/>
      <w:r/>
      <w:bookmarkEnd w:id="203"/>
      <w:r/>
      <w:bookmarkStart w:id="204" w:name="_格式3__银行出具的资信证明"/>
      <w:r/>
      <w:bookmarkEnd w:id="204"/>
      <w:r/>
      <w:r/>
    </w:p>
    <w:p>
      <w:pPr>
        <w:pStyle w:val="667"/>
        <w:rPr>
          <w:i/>
          <w:color w:val="auto"/>
          <w:sz w:val="24"/>
          <w:szCs w:val="24"/>
          <w:highlight w:val="none"/>
          <w:u w:val="single"/>
        </w:rPr>
      </w:pPr>
      <w:r>
        <w:rPr>
          <w:i/>
          <w:color w:val="auto"/>
          <w:sz w:val="24"/>
          <w:szCs w:val="24"/>
          <w:highlight w:val="none"/>
          <w:u w:val="single"/>
        </w:rPr>
      </w:r>
      <w:r/>
    </w:p>
    <w:p>
      <w:pPr>
        <w:pStyle w:val="667"/>
        <w:ind w:firstLine="0"/>
        <w:rPr>
          <w:color w:val="auto"/>
          <w:highlight w:val="none"/>
        </w:rPr>
      </w:pPr>
      <w:r>
        <w:rPr>
          <w:color w:val="auto"/>
          <w:highlight w:val="none"/>
        </w:rPr>
      </w:r>
      <w:r/>
    </w:p>
    <w:p>
      <w:pPr>
        <w:spacing w:line="460" w:lineRule="exact"/>
        <w:rPr>
          <w:rFonts w:ascii="楷体" w:hAnsi="楷体" w:eastAsia="楷体"/>
          <w:bCs/>
          <w:color w:val="auto"/>
          <w:sz w:val="24"/>
          <w:szCs w:val="24"/>
          <w:highlight w:val="none"/>
        </w:rPr>
      </w:pPr>
      <w:r>
        <w:rPr>
          <w:rFonts w:ascii="楷体" w:hAnsi="楷体" w:eastAsia="楷体"/>
          <w:bCs/>
          <w:color w:val="auto"/>
          <w:sz w:val="24"/>
          <w:szCs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767"/>
        <w:rPr>
          <w:bCs/>
          <w:color w:val="auto"/>
          <w:sz w:val="24"/>
          <w:highlight w:val="none"/>
        </w:rPr>
      </w:pPr>
      <w:r>
        <w:rPr>
          <w:bCs/>
          <w:color w:val="auto"/>
          <w:sz w:val="24"/>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投标函</w:t>
      </w:r>
      <w:r/>
    </w:p>
    <w:p>
      <w:pPr>
        <w:pStyle w:val="74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致：南京市公共资源交易中心</w:t>
      </w:r>
      <w:r/>
    </w:p>
    <w:p>
      <w:pPr>
        <w:pStyle w:val="74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w:t>
      </w:r>
      <w:r>
        <w:rPr>
          <w:rFonts w:hint="eastAsia" w:ascii="宋体" w:hAnsi="宋体"/>
          <w:color w:val="auto"/>
          <w:szCs w:val="21"/>
          <w:highlight w:val="none"/>
        </w:rPr>
        <w:t xml:space="preserve">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740"/>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pStyle w:val="740"/>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740"/>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740"/>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740"/>
        <w:spacing w:before="0" w:after="0"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740"/>
        <w:spacing w:before="0" w:after="0"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740"/>
        <w:spacing w:before="0" w:after="0" w:line="420" w:lineRule="exact"/>
        <w:rPr>
          <w:rFonts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74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74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74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电  话：</w:t>
      </w:r>
      <w:r/>
    </w:p>
    <w:p>
      <w:pPr>
        <w:pStyle w:val="74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传  真：</w:t>
      </w:r>
      <w:r/>
    </w:p>
    <w:p>
      <w:pPr>
        <w:pStyle w:val="74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开户行：</w:t>
      </w:r>
      <w:r/>
    </w:p>
    <w:p>
      <w:pPr>
        <w:pStyle w:val="74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74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开标一览表</w:t>
      </w:r>
      <w:r/>
    </w:p>
    <w:p>
      <w:pPr>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66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740"/>
              <w:ind w:firstLine="0"/>
              <w:spacing w:before="0" w:after="0" w:line="500" w:lineRule="exact"/>
              <w:rPr>
                <w:rFonts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2"/>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备注：投标人报价低于采购项目预算50%，或者低于采购项目最高限价45%，或者</w:t>
      </w:r>
      <w:r>
        <w:rPr>
          <w:rFonts w:hint="eastAsia" w:ascii="宋体" w:hAnsi="宋体"/>
          <w:b/>
          <w:bCs/>
          <w:color w:val="auto"/>
          <w:sz w:val="24"/>
          <w:szCs w:val="24"/>
          <w:highlight w:val="none"/>
          <w:lang w:val="zh-CN"/>
        </w:rPr>
        <w:t xml:space="preserve">报价</w:t>
      </w:r>
      <w:r>
        <w:rPr>
          <w:rFonts w:hint="eastAsia" w:ascii="宋体" w:hAnsi="宋体"/>
          <w:b/>
          <w:bCs/>
          <w:color w:val="auto"/>
          <w:sz w:val="24"/>
          <w:szCs w:val="24"/>
          <w:highlight w:val="none"/>
        </w:rPr>
        <w:t xml:space="preserve">过低</w:t>
      </w:r>
      <w:r>
        <w:rPr>
          <w:rFonts w:hint="eastAsia" w:ascii="宋体" w:hAnsi="宋体"/>
          <w:b/>
          <w:bCs/>
          <w:color w:val="auto"/>
          <w:sz w:val="24"/>
          <w:szCs w:val="24"/>
          <w:highlight w:val="none"/>
          <w:lang w:val="zh-CN"/>
        </w:rPr>
        <w:t xml:space="preserve">，有可能影响</w:t>
      </w:r>
      <w:r>
        <w:rPr>
          <w:rFonts w:hint="eastAsia" w:ascii="宋体" w:hAnsi="宋体"/>
          <w:b/>
          <w:bCs/>
          <w:color w:val="auto"/>
          <w:sz w:val="24"/>
          <w:szCs w:val="24"/>
          <w:highlight w:val="none"/>
        </w:rPr>
        <w:t xml:space="preserve">产品或服务</w:t>
      </w:r>
      <w:r>
        <w:rPr>
          <w:rFonts w:hint="eastAsia" w:ascii="宋体" w:hAnsi="宋体"/>
          <w:b/>
          <w:bCs/>
          <w:color w:val="auto"/>
          <w:sz w:val="24"/>
          <w:szCs w:val="24"/>
          <w:highlight w:val="none"/>
          <w:lang w:val="zh-CN"/>
        </w:rPr>
        <w:t xml:space="preserve">质量或不能诚信履约的，</w:t>
      </w:r>
      <w:r>
        <w:rPr>
          <w:rFonts w:hint="eastAsia" w:ascii="宋体" w:hAnsi="宋体"/>
          <w:b/>
          <w:bCs/>
          <w:color w:val="auto"/>
          <w:sz w:val="24"/>
          <w:szCs w:val="24"/>
          <w:highlight w:val="none"/>
        </w:rPr>
        <w:t xml:space="preserve">评委会将启动异常低价投标审查机制，投标人应</w:t>
      </w:r>
      <w:r>
        <w:rPr>
          <w:rFonts w:hint="eastAsia" w:ascii="宋体" w:hAnsi="宋体"/>
          <w:b/>
          <w:bCs/>
          <w:color w:val="auto"/>
          <w:sz w:val="24"/>
          <w:szCs w:val="24"/>
          <w:highlight w:val="none"/>
          <w:lang w:val="zh-CN"/>
        </w:rPr>
        <w:t xml:space="preserve">在</w:t>
      </w:r>
      <w:r>
        <w:rPr>
          <w:rFonts w:hint="eastAsia" w:ascii="宋体" w:hAnsi="宋体"/>
          <w:b/>
          <w:bCs/>
          <w:color w:val="auto"/>
          <w:sz w:val="24"/>
          <w:szCs w:val="24"/>
          <w:highlight w:val="none"/>
        </w:rPr>
        <w:t xml:space="preserve">评委会规定的合理</w:t>
      </w:r>
      <w:r>
        <w:rPr>
          <w:rFonts w:hint="eastAsia" w:ascii="宋体" w:hAnsi="宋体"/>
          <w:b/>
          <w:bCs/>
          <w:color w:val="auto"/>
          <w:sz w:val="24"/>
          <w:szCs w:val="24"/>
          <w:highlight w:val="none"/>
          <w:lang w:val="zh-CN"/>
        </w:rPr>
        <w:t xml:space="preserve">时间内</w:t>
      </w:r>
      <w:r>
        <w:rPr>
          <w:rFonts w:hint="eastAsia" w:ascii="宋体" w:hAnsi="宋体"/>
          <w:b/>
          <w:bCs/>
          <w:color w:val="auto"/>
          <w:sz w:val="24"/>
          <w:szCs w:val="24"/>
          <w:highlight w:val="none"/>
        </w:rPr>
        <w:t xml:space="preserve">通过苏采云系统</w:t>
      </w:r>
      <w:r>
        <w:rPr>
          <w:rFonts w:hint="eastAsia" w:ascii="宋体" w:hAnsi="宋体"/>
          <w:b/>
          <w:bCs/>
          <w:color w:val="auto"/>
          <w:sz w:val="24"/>
          <w:szCs w:val="24"/>
          <w:highlight w:val="none"/>
          <w:lang w:val="zh-CN"/>
        </w:rPr>
        <w:t xml:space="preserve">提供</w:t>
      </w:r>
      <w:r>
        <w:rPr>
          <w:rFonts w:hint="eastAsia" w:ascii="宋体" w:hAnsi="宋体"/>
          <w:b/>
          <w:bCs/>
          <w:color w:val="auto"/>
          <w:sz w:val="24"/>
          <w:szCs w:val="24"/>
          <w:highlight w:val="none"/>
        </w:rPr>
        <w:t xml:space="preserve">项目具体成本测算等与报价合理性相关的书面</w:t>
      </w:r>
      <w:r>
        <w:rPr>
          <w:rFonts w:hint="eastAsia" w:ascii="宋体" w:hAnsi="宋体"/>
          <w:b/>
          <w:bCs/>
          <w:color w:val="auto"/>
          <w:sz w:val="24"/>
          <w:szCs w:val="24"/>
          <w:highlight w:val="none"/>
          <w:lang w:val="zh-CN"/>
        </w:rPr>
        <w:t xml:space="preserve">说明</w:t>
      </w:r>
      <w:r>
        <w:rPr>
          <w:rFonts w:hint="eastAsia" w:ascii="宋体" w:hAnsi="宋体"/>
          <w:b/>
          <w:bCs/>
          <w:color w:val="auto"/>
          <w:sz w:val="24"/>
          <w:szCs w:val="24"/>
          <w:highlight w:val="none"/>
        </w:rPr>
        <w:t xml:space="preserve">及相关证明材料</w:t>
      </w:r>
      <w:r>
        <w:rPr>
          <w:rFonts w:hint="eastAsia" w:ascii="宋体" w:hAnsi="宋体"/>
          <w:b/>
          <w:bCs/>
          <w:color w:val="auto"/>
          <w:sz w:val="24"/>
          <w:szCs w:val="24"/>
          <w:highlight w:val="none"/>
          <w:lang w:val="zh-CN"/>
        </w:rPr>
        <w:t xml:space="preserve">。投标人</w:t>
      </w:r>
      <w:r>
        <w:rPr>
          <w:rFonts w:hint="eastAsia" w:ascii="宋体" w:hAnsi="宋体"/>
          <w:b/>
          <w:bCs/>
          <w:color w:val="auto"/>
          <w:sz w:val="24"/>
          <w:szCs w:val="24"/>
          <w:highlight w:val="none"/>
        </w:rPr>
        <w:t xml:space="preserve">不提供书面说明及证明材料，或者书面说明、证明材料</w:t>
      </w:r>
      <w:r>
        <w:rPr>
          <w:rFonts w:hint="eastAsia" w:ascii="宋体" w:hAnsi="宋体"/>
          <w:b/>
          <w:bCs/>
          <w:color w:val="auto"/>
          <w:sz w:val="24"/>
          <w:szCs w:val="24"/>
          <w:highlight w:val="none"/>
          <w:lang w:val="zh-CN"/>
        </w:rPr>
        <w:t xml:space="preserve">不能证明其报价合理性的，将作为无效投标处理。</w:t>
      </w:r>
      <w:r/>
    </w:p>
    <w:p>
      <w:pPr>
        <w:jc w:val="center"/>
        <w:spacing w:line="360" w:lineRule="auto"/>
        <w:rPr>
          <w:rFonts w:ascii="黑体" w:eastAsia="黑体"/>
          <w:color w:val="auto"/>
          <w:sz w:val="32"/>
          <w:szCs w:val="32"/>
          <w:highlight w:val="none"/>
        </w:rPr>
      </w:pPr>
      <w:r>
        <w:rPr>
          <w:rFonts w:ascii="黑体" w:eastAsia="黑体"/>
          <w:color w:val="auto"/>
          <w:sz w:val="32"/>
          <w:szCs w:val="32"/>
          <w:highlight w:val="none"/>
        </w:rPr>
      </w:r>
      <w:r/>
    </w:p>
    <w:p>
      <w:pPr>
        <w:jc w:val="center"/>
        <w:spacing w:line="360" w:lineRule="auto"/>
        <w:rPr>
          <w:rFonts w:ascii="黑体" w:eastAsia="黑体"/>
          <w:color w:val="auto"/>
          <w:sz w:val="32"/>
          <w:szCs w:val="32"/>
          <w:highlight w:val="none"/>
        </w:rPr>
      </w:pPr>
      <w:r>
        <w:rPr>
          <w:rFonts w:asci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核心产品品牌一览表</w:t>
      </w:r>
      <w:r/>
    </w:p>
    <w:tbl>
      <w:tblPr>
        <w:tblStyle w:val="663"/>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color w:val="auto"/>
                <w:sz w:val="24"/>
                <w:szCs w:val="24"/>
                <w:highlight w:val="none"/>
              </w:rPr>
            </w:pPr>
            <w:r>
              <w:rPr>
                <w:rFonts w:hint="eastAsia" w:ascii="宋体" w:hAnsi="宋体"/>
                <w:color w:val="auto"/>
                <w:sz w:val="24"/>
                <w:szCs w:val="24"/>
                <w:highlight w:val="none"/>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color w:val="auto"/>
                <w:sz w:val="24"/>
                <w:szCs w:val="24"/>
                <w:highlight w:val="none"/>
              </w:rPr>
            </w:pPr>
            <w:r>
              <w:rPr>
                <w:rFonts w:hint="eastAsia" w:ascii="宋体" w:hAnsi="宋体"/>
                <w:color w:val="auto"/>
                <w:sz w:val="24"/>
                <w:szCs w:val="24"/>
                <w:highlight w:val="none"/>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color w:val="auto"/>
                <w:sz w:val="24"/>
                <w:szCs w:val="24"/>
                <w:highlight w:val="none"/>
              </w:rPr>
            </w:pPr>
            <w:r>
              <w:rPr>
                <w:rFonts w:hint="eastAsia" w:ascii="宋体" w:hAnsi="宋体"/>
                <w:color w:val="auto"/>
                <w:sz w:val="24"/>
                <w:szCs w:val="24"/>
                <w:highlight w:val="none"/>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color w:val="auto"/>
                <w:sz w:val="24"/>
                <w:szCs w:val="24"/>
                <w:highlight w:val="none"/>
                <w:lang w:val="zh-CN"/>
              </w:rPr>
            </w:pPr>
            <w:r>
              <w:rPr>
                <w:rFonts w:ascii="宋体" w:hAnsi="宋体" w:cs="宋体"/>
                <w:color w:val="auto"/>
                <w:szCs w:val="21"/>
                <w:highlight w:val="none"/>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color w:val="auto"/>
                <w:sz w:val="24"/>
                <w:szCs w:val="24"/>
                <w:highlight w:val="none"/>
                <w:lang w:val="zh-CN"/>
              </w:rPr>
            </w:pPr>
            <w:r>
              <w:rPr>
                <w:rFonts w:ascii="宋体" w:hAnsi="宋体"/>
                <w:color w:val="auto"/>
                <w:sz w:val="24"/>
                <w:szCs w:val="24"/>
                <w:highlight w:val="none"/>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color w:val="auto"/>
                <w:sz w:val="24"/>
                <w:szCs w:val="24"/>
                <w:highlight w:val="none"/>
                <w:lang w:val="zh-CN"/>
              </w:rPr>
            </w:pPr>
            <w:r>
              <w:rPr>
                <w:rFonts w:ascii="宋体" w:hAnsi="宋体"/>
                <w:color w:val="auto"/>
                <w:sz w:val="24"/>
                <w:szCs w:val="24"/>
                <w:highlight w:val="none"/>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color w:val="auto"/>
                <w:sz w:val="24"/>
                <w:szCs w:val="24"/>
                <w:highlight w:val="none"/>
                <w:lang w:val="zh-CN"/>
              </w:rPr>
            </w:pPr>
            <w:r>
              <w:rPr>
                <w:rFonts w:ascii="宋体" w:hAnsi="宋体"/>
                <w:color w:val="auto"/>
                <w:sz w:val="24"/>
                <w:szCs w:val="24"/>
                <w:highlight w:val="none"/>
                <w:lang w:val="zh-CN"/>
              </w:rPr>
            </w:r>
            <w:r/>
          </w:p>
        </w:tc>
      </w:tr>
    </w:tbl>
    <w:p>
      <w:p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lang w:val="zh-CN"/>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zh-CN"/>
        </w:rPr>
        <w:t xml:space="preserve">名称：（</w:t>
      </w:r>
      <w:r>
        <w:rPr>
          <w:rFonts w:hint="eastAsia" w:ascii="宋体" w:hAnsi="宋体"/>
          <w:color w:val="auto"/>
          <w:sz w:val="24"/>
          <w:szCs w:val="24"/>
          <w:highlight w:val="none"/>
        </w:rPr>
        <w:t xml:space="preserve">加盖电子公章</w:t>
      </w:r>
      <w:r>
        <w:rPr>
          <w:rFonts w:hint="eastAsia" w:ascii="宋体" w:hAnsi="宋体"/>
          <w:color w:val="auto"/>
          <w:sz w:val="24"/>
          <w:szCs w:val="24"/>
          <w:highlight w:val="none"/>
          <w:lang w:val="zh-CN"/>
        </w:rPr>
        <w:t xml:space="preserve">）</w:t>
      </w:r>
      <w:r/>
    </w:p>
    <w:p>
      <w:pPr>
        <w:ind w:firstLine="482"/>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七、投标分项报价表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投标分项报价表</w:t>
      </w:r>
      <w:r/>
    </w:p>
    <w:tbl>
      <w:tblPr>
        <w:tblStyle w:val="663"/>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21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21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1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1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1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gridSpan w:val="8"/>
            <w:tcW w:w="9290" w:type="dxa"/>
            <w:vAlign w:val="center"/>
            <w:textDirection w:val="lrTb"/>
            <w:noWrap w:val="false"/>
          </w:tcPr>
          <w:p>
            <w:pP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ascii="宋体" w:hAnsi="宋体"/>
          <w:color w:val="auto"/>
          <w:sz w:val="24"/>
          <w:szCs w:val="24"/>
          <w:highlight w:val="none"/>
        </w:rPr>
      </w:pPr>
      <w:r>
        <w:rPr>
          <w:rFonts w:ascii="宋体" w:hAnsi="宋体"/>
          <w:color w:val="auto"/>
          <w:sz w:val="24"/>
          <w:szCs w:val="24"/>
          <w:highlight w:val="none"/>
        </w:rPr>
      </w:r>
      <w:r/>
    </w:p>
    <w:p>
      <w:pPr>
        <w:pStyle w:val="693"/>
        <w:ind w:firstLine="480"/>
        <w:jc w:val="both"/>
        <w:spacing w:before="0" w:beforeAutospacing="0" w:after="0" w:afterAutospacing="0" w:line="360" w:lineRule="auto"/>
        <w:rPr>
          <w:color w:val="auto"/>
          <w:highlight w:val="none"/>
        </w:rPr>
      </w:pPr>
      <w:r>
        <w:rPr>
          <w:color w:val="auto"/>
          <w:highlight w:val="none"/>
        </w:rPr>
        <w:t xml:space="preserve">备注： </w:t>
      </w:r>
      <w:r/>
    </w:p>
    <w:p>
      <w:pPr>
        <w:pStyle w:val="693"/>
        <w:ind w:firstLine="480"/>
        <w:jc w:val="both"/>
        <w:spacing w:before="0" w:beforeAutospacing="0" w:after="0" w:afterAutospacing="0" w:line="360" w:lineRule="auto"/>
        <w:rPr>
          <w:color w:val="auto"/>
          <w:highlight w:val="none"/>
        </w:rPr>
      </w:pPr>
      <w:r>
        <w:rPr>
          <w:rFonts w:hint="eastAsia"/>
          <w:color w:val="auto"/>
          <w:highlight w:val="none"/>
        </w:rPr>
        <w:t xml:space="preserve">1.“投标总报价”应包括为完成整个项目所产生的所有费用，招标文件另有规定的除外。</w:t>
      </w:r>
      <w:r/>
    </w:p>
    <w:p>
      <w:pPr>
        <w:pStyle w:val="693"/>
        <w:ind w:firstLine="480"/>
        <w:jc w:val="both"/>
        <w:spacing w:before="0" w:beforeAutospacing="0" w:after="0" w:afterAutospacing="0" w:line="360" w:lineRule="auto"/>
        <w:rPr>
          <w:color w:val="auto"/>
          <w:highlight w:val="none"/>
        </w:rPr>
      </w:pPr>
      <w:r>
        <w:rPr>
          <w:rFonts w:hint="eastAsia"/>
          <w:color w:val="auto"/>
          <w:highlight w:val="none"/>
        </w:rPr>
        <w:t xml:space="preserve">2.《投标分项报价表》中“投标总价”应当与《开标一览表》中“投标总报价”一致。</w:t>
      </w:r>
      <w:r/>
    </w:p>
    <w:p>
      <w:pPr>
        <w:pStyle w:val="693"/>
        <w:ind w:firstLine="480"/>
        <w:jc w:val="both"/>
        <w:spacing w:before="0" w:beforeAutospacing="0" w:after="0" w:afterAutospacing="0" w:line="360" w:lineRule="auto"/>
        <w:rPr>
          <w:color w:val="auto"/>
          <w:highlight w:val="none"/>
        </w:rPr>
      </w:pPr>
      <w:r>
        <w:rPr>
          <w:rFonts w:hint="eastAsia"/>
          <w:color w:val="auto"/>
          <w:highlight w:val="none"/>
        </w:rPr>
        <w:t xml:space="preserve">3.供应商所投产品须与“第四章-项目清单”中的产品一一对应，如有缺项、漏项或者超出单价上限，视为无效投标。“项目清单”中分项仅为一项的，此表无需提供。</w:t>
      </w:r>
      <w:r/>
    </w:p>
    <w:p>
      <w:pPr>
        <w:pStyle w:val="693"/>
        <w:ind w:firstLine="480"/>
        <w:jc w:val="both"/>
        <w:spacing w:before="0" w:beforeAutospacing="0" w:after="0" w:afterAutospacing="0" w:line="360" w:lineRule="auto"/>
        <w:rPr>
          <w:color w:val="auto"/>
          <w:highlight w:val="none"/>
        </w:rPr>
      </w:pPr>
      <w:r>
        <w:rPr>
          <w:rFonts w:hint="eastAsia"/>
          <w:color w:val="auto"/>
          <w:highlight w:val="none"/>
        </w:rPr>
        <w:t xml:space="preserve">4.行数不够，可自行添加。</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八、技术要求响应及偏离表</w:t>
      </w:r>
      <w:r/>
    </w:p>
    <w:p>
      <w:pPr>
        <w:jc w:val="center"/>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6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right="180"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693"/>
        <w:ind w:firstLine="480"/>
        <w:jc w:val="both"/>
        <w:spacing w:before="0" w:beforeAutospacing="0" w:after="0" w:afterAutospacing="0"/>
        <w:rPr>
          <w:color w:val="auto"/>
          <w:highlight w:val="none"/>
        </w:rPr>
      </w:pPr>
      <w:r>
        <w:rPr>
          <w:color w:val="auto"/>
          <w:highlight w:val="none"/>
        </w:rPr>
      </w:r>
      <w:r/>
    </w:p>
    <w:p>
      <w:pPr>
        <w:pStyle w:val="693"/>
        <w:ind w:firstLine="480"/>
        <w:jc w:val="both"/>
        <w:spacing w:before="0" w:beforeAutospacing="0" w:after="0" w:afterAutospacing="0" w:line="360" w:lineRule="auto"/>
        <w:rPr>
          <w:color w:val="auto"/>
          <w:highlight w:val="none"/>
        </w:rPr>
      </w:pPr>
      <w:r>
        <w:rPr>
          <w:color w:val="auto"/>
          <w:highlight w:val="none"/>
        </w:rPr>
        <w:t xml:space="preserve">备注： </w:t>
      </w:r>
      <w:r/>
    </w:p>
    <w:p>
      <w:pPr>
        <w:pStyle w:val="693"/>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693"/>
        <w:ind w:firstLine="480"/>
        <w:jc w:val="both"/>
        <w:spacing w:before="0" w:beforeAutospacing="0" w:after="0" w:afterAutospacing="0" w:line="360" w:lineRule="auto"/>
        <w:rPr>
          <w:color w:val="auto"/>
          <w:highlight w:val="none"/>
        </w:rPr>
      </w:pPr>
      <w:r>
        <w:rPr>
          <w:rFonts w:hint="eastAsia"/>
          <w:color w:val="auto"/>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93"/>
        <w:ind w:firstLine="480"/>
        <w:jc w:val="both"/>
        <w:spacing w:before="0" w:beforeAutospacing="0" w:after="0" w:afterAutospacing="0" w:line="360" w:lineRule="auto"/>
        <w:rPr>
          <w:color w:val="auto"/>
          <w:highlight w:val="none"/>
        </w:rPr>
      </w:pPr>
      <w:r>
        <w:rPr>
          <w:rFonts w:hint="eastAsia"/>
          <w:color w:val="auto"/>
          <w:highlight w:val="none"/>
        </w:rPr>
        <w:t xml:space="preserve">3.行数不够，可自行添加。</w:t>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rPr>
          <w:color w:val="auto"/>
          <w:highlight w:val="none"/>
        </w:rPr>
      </w:pPr>
      <w:r>
        <w:rPr>
          <w:color w:val="auto"/>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九、商务要求响应及偏离表</w:t>
      </w:r>
      <w:r/>
    </w:p>
    <w:p>
      <w:pPr>
        <w:jc w:val="center"/>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6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spacing w:line="480" w:lineRule="exact"/>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right="180"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ascii="宋体" w:hAnsi="宋体"/>
          <w:color w:val="auto"/>
          <w:sz w:val="24"/>
          <w:szCs w:val="24"/>
          <w:highlight w:val="none"/>
        </w:rPr>
      </w:pPr>
      <w:r>
        <w:rPr>
          <w:rFonts w:ascii="宋体" w:hAnsi="宋体"/>
          <w:color w:val="auto"/>
          <w:sz w:val="24"/>
          <w:szCs w:val="24"/>
          <w:highlight w:val="none"/>
        </w:rPr>
      </w:r>
      <w:r/>
    </w:p>
    <w:p>
      <w:pPr>
        <w:pStyle w:val="693"/>
        <w:ind w:firstLine="480"/>
        <w:jc w:val="both"/>
        <w:spacing w:before="0" w:beforeAutospacing="0" w:after="0" w:afterAutospacing="0" w:line="360" w:lineRule="auto"/>
        <w:rPr>
          <w:color w:val="auto"/>
          <w:highlight w:val="none"/>
        </w:rPr>
      </w:pPr>
      <w:r>
        <w:rPr>
          <w:rFonts w:hint="eastAsia"/>
          <w:color w:val="auto"/>
          <w:highlight w:val="none"/>
        </w:rPr>
        <w:t xml:space="preserve">备注： </w:t>
      </w:r>
      <w:r/>
    </w:p>
    <w:p>
      <w:pPr>
        <w:pStyle w:val="693"/>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p>
    <w:p>
      <w:pPr>
        <w:pStyle w:val="693"/>
        <w:ind w:firstLine="480"/>
        <w:jc w:val="both"/>
        <w:spacing w:before="0" w:beforeAutospacing="0" w:after="0" w:afterAutospacing="0" w:line="360" w:lineRule="auto"/>
        <w:rPr>
          <w:color w:val="auto"/>
          <w:highlight w:val="none"/>
        </w:rPr>
      </w:pPr>
      <w:r>
        <w:rPr>
          <w:rFonts w:hint="eastAsia"/>
          <w:color w:val="auto"/>
          <w:highlight w:val="none"/>
        </w:rPr>
        <w:t xml:space="preserve">2.行数不够，可自行添加。</w:t>
      </w:r>
      <w:r/>
    </w:p>
    <w:p>
      <w:pPr>
        <w:spacing w:line="480" w:lineRule="auto"/>
        <w:rPr>
          <w:rFonts w:ascii="宋体" w:hAnsi="宋体"/>
          <w:color w:val="auto"/>
          <w:sz w:val="24"/>
          <w:szCs w:val="21"/>
          <w:highlight w:val="none"/>
        </w:rPr>
      </w:pPr>
      <w:r>
        <w:rPr>
          <w:rFonts w:ascii="宋体" w:hAnsi="宋体"/>
          <w:color w:val="auto"/>
          <w:sz w:val="24"/>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729"/>
        <w:rPr>
          <w:rFonts w:ascii="黑体" w:hAnsi="黑体" w:eastAsia="黑体" w:cs="Times New Roman"/>
          <w:color w:val="auto"/>
          <w:sz w:val="32"/>
          <w:szCs w:val="32"/>
          <w:highlight w:val="none"/>
          <w:lang w:val="en-US"/>
        </w:rPr>
      </w:pPr>
      <w:r>
        <w:rPr>
          <w:rFonts w:ascii="黑体" w:hAnsi="黑体" w:eastAsia="黑体" w:cs="Times New Roman"/>
          <w:color w:val="auto"/>
          <w:sz w:val="32"/>
          <w:szCs w:val="32"/>
          <w:highlight w:val="none"/>
          <w:lang w:val="en-US"/>
        </w:rPr>
      </w:r>
      <w:r/>
    </w:p>
    <w:p>
      <w:pPr>
        <w:rPr>
          <w:color w:val="auto"/>
          <w:highlight w:val="none"/>
        </w:rPr>
      </w:pPr>
      <w:r>
        <w:rPr>
          <w:color w:val="auto"/>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中小企业声明函（货物）</w:t>
      </w:r>
      <w:r/>
    </w:p>
    <w:p>
      <w:pPr>
        <w:ind w:firstLine="36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300号)的规定，相关企业（含联合体中的小微企业、签订分包意向协议的小微企业）的具体情况如下：</w:t>
      </w:r>
      <w:r/>
    </w:p>
    <w:p>
      <w:pPr>
        <w:ind w:firstLine="360"/>
        <w:spacing w:line="336" w:lineRule="auto"/>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36" w:lineRule="auto"/>
        <w:rPr>
          <w:rFonts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729"/>
        <w:spacing w:line="336" w:lineRule="auto"/>
        <w:rPr>
          <w:rFonts w:ascii="宋体" w:hAnsi="宋体"/>
          <w:color w:val="auto"/>
          <w:sz w:val="24"/>
          <w:szCs w:val="24"/>
          <w:highlight w:val="none"/>
        </w:rPr>
      </w:pPr>
      <w:r>
        <w:rPr>
          <w:rFonts w:ascii="宋体" w:hAnsi="宋体"/>
          <w:color w:val="auto"/>
          <w:sz w:val="24"/>
          <w:szCs w:val="24"/>
          <w:highlight w:val="none"/>
        </w:rPr>
      </w:r>
      <w:r/>
    </w:p>
    <w:p>
      <w:pPr>
        <w:spacing w:line="336" w:lineRule="auto"/>
        <w:rPr>
          <w:color w:val="auto"/>
          <w:highlight w:val="none"/>
        </w:rPr>
      </w:pPr>
      <w:r>
        <w:rPr>
          <w:color w:val="auto"/>
          <w:highlight w:val="none"/>
        </w:rPr>
      </w:r>
      <w:r/>
    </w:p>
    <w:p>
      <w:pPr>
        <w:ind w:right="180" w:firstLine="360"/>
        <w:jc w:val="center"/>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36"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36"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auto"/>
          <w:sz w:val="24"/>
          <w:szCs w:val="24"/>
          <w:highlight w:val="none"/>
        </w:rPr>
        <w:t xml:space="preserve">（货物由中小企业制造，即货物由中小企业生产且使用该中小企业商号或者注册商标）</w:t>
      </w:r>
      <w:r>
        <w:rPr>
          <w:rFonts w:hint="eastAsia" w:ascii="宋体" w:hAnsi="宋体"/>
          <w:color w:val="auto"/>
          <w:sz w:val="24"/>
          <w:szCs w:val="24"/>
          <w:highlight w:val="none"/>
        </w:rPr>
        <w:t xml:space="preserve">，不对其中涉及的服务的承接商、工程的承建商作出要求。</w:t>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729"/>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767"/>
        <w:rPr>
          <w:color w:val="auto"/>
          <w:highlight w:val="none"/>
        </w:rPr>
      </w:pPr>
      <w:r>
        <w:rPr>
          <w:color w:val="auto"/>
          <w:highlight w:val="none"/>
        </w:rPr>
      </w:r>
      <w:r/>
    </w:p>
    <w:p>
      <w:pPr>
        <w:ind w:firstLine="57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                                         </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十二、联合体协议</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pStyle w:val="664"/>
        <w:ind w:firstLine="480"/>
        <w:rPr>
          <w:color w:val="auto"/>
          <w:sz w:val="24"/>
          <w:highlight w:val="none"/>
        </w:rPr>
      </w:pPr>
      <w:r>
        <w:rPr>
          <w:color w:val="auto"/>
          <w:sz w:val="24"/>
          <w:highlight w:val="none"/>
        </w:rPr>
      </w:r>
      <w:r/>
    </w:p>
    <w:p>
      <w:pPr>
        <w:rPr>
          <w:color w:val="auto"/>
          <w:highlight w:val="none"/>
        </w:rPr>
      </w:pPr>
      <w:r>
        <w:rPr>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bookmarkEnd w:id="201"/>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2.由授权代表负责质疑事宜的，《质疑函》附件中应提交由质疑供应商法定代表人签署的《授权委托书》。</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spacing w:line="480" w:lineRule="exact"/>
        <w:rPr>
          <w:rFonts w:ascii="宋体" w:hAnsi="宋体" w:cs="仿宋"/>
          <w:color w:val="auto"/>
          <w:sz w:val="24"/>
          <w:szCs w:val="24"/>
          <w:highlight w:val="none"/>
        </w:rPr>
      </w:pPr>
      <w:r>
        <w:rPr>
          <w:rFonts w:ascii="宋体" w:hAnsi="宋体" w:cs="仿宋"/>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699"/>
        <w:rFonts w:ascii="宋体" w:hAnsi="宋体"/>
      </w:rPr>
      <w:framePr w:wrap="around" w:vAnchor="text" w:hAnchor="margin" w:xAlign="center" w:y="1"/>
    </w:pPr>
    <w:r>
      <w:rPr>
        <w:rFonts w:ascii="宋体" w:hAnsi="宋体"/>
      </w:rPr>
      <w:fldChar w:fldCharType="begin"/>
    </w:r>
    <w:r>
      <w:rPr>
        <w:rStyle w:val="699"/>
        <w:rFonts w:ascii="宋体" w:hAnsi="宋体"/>
      </w:rPr>
      <w:instrText xml:space="preserve">PAGE  </w:instrText>
    </w:r>
    <w:r>
      <w:rPr>
        <w:rFonts w:ascii="宋体" w:hAnsi="宋体"/>
      </w:rPr>
      <w:fldChar w:fldCharType="separate"/>
    </w:r>
    <w:r>
      <w:rPr>
        <w:rStyle w:val="699"/>
        <w:rFonts w:ascii="宋体" w:hAnsi="宋体"/>
      </w:rPr>
      <w:t xml:space="preserve">４１</w:t>
    </w:r>
    <w:r>
      <w:rPr>
        <w:rFonts w:ascii="宋体" w:hAnsi="宋体"/>
      </w:rPr>
      <w:fldChar w:fldCharType="end"/>
    </w:r>
    <w:r/>
  </w:p>
  <w:p>
    <w:pPr>
      <w:pStyle w:val="68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699"/>
      </w:rPr>
      <w:framePr w:wrap="around" w:vAnchor="text" w:hAnchor="margin" w:xAlign="center" w:y="1"/>
    </w:pPr>
    <w:r>
      <w:fldChar w:fldCharType="begin"/>
    </w:r>
    <w:r>
      <w:rPr>
        <w:rStyle w:val="699"/>
      </w:rPr>
      <w:instrText xml:space="preserve">PAGE  </w:instrText>
    </w:r>
    <w:r>
      <w:fldChar w:fldCharType="separate"/>
    </w:r>
    <w:r>
      <w:rPr>
        <w:rStyle w:val="699"/>
      </w:rPr>
      <w:t xml:space="preserve">1</w:t>
    </w:r>
    <w:r>
      <w:fldChar w:fldCharType="end"/>
    </w:r>
    <w:r/>
  </w:p>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58"/>
      <w:isLgl w:val="false"/>
      <w:suff w:val="nothing"/>
      <w:lvlText w:val=""/>
      <w:lvlJc w:val="left"/>
      <w:pPr>
        <w:ind w:left="0" w:firstLine="0"/>
      </w:pPr>
      <w:rPr>
        <w:rFonts w:hint="eastAsia"/>
      </w:rPr>
    </w:lvl>
    <w:lvl w:ilvl="6">
      <w:start w:val="1"/>
      <w:numFmt w:val="none"/>
      <w:pStyle w:val="659"/>
      <w:isLgl w:val="false"/>
      <w:suff w:val="nothing"/>
      <w:lvlText w:val=""/>
      <w:lvlJc w:val="left"/>
      <w:pPr>
        <w:ind w:left="0" w:firstLine="0"/>
      </w:pPr>
      <w:rPr>
        <w:rFonts w:hint="eastAsia"/>
      </w:rPr>
    </w:lvl>
    <w:lvl w:ilvl="7">
      <w:start w:val="1"/>
      <w:numFmt w:val="none"/>
      <w:pStyle w:val="660"/>
      <w:isLgl w:val="false"/>
      <w:suff w:val="nothing"/>
      <w:lvlText w:val=""/>
      <w:lvlJc w:val="left"/>
      <w:pPr>
        <w:ind w:left="0" w:firstLine="0"/>
      </w:pPr>
      <w:rPr>
        <w:rFonts w:hint="eastAsia"/>
      </w:rPr>
    </w:lvl>
    <w:lvl w:ilvl="8">
      <w:start w:val="1"/>
      <w:numFmt w:val="none"/>
      <w:pStyle w:val="661"/>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2"/>
    <w:link w:val="653"/>
    <w:uiPriority w:val="9"/>
    <w:rPr>
      <w:rFonts w:ascii="Arial" w:hAnsi="Arial" w:eastAsia="Arial" w:cs="Arial"/>
      <w:sz w:val="40"/>
      <w:szCs w:val="40"/>
    </w:rPr>
  </w:style>
  <w:style w:type="character" w:styleId="15">
    <w:name w:val="Heading 2 Char"/>
    <w:basedOn w:val="662"/>
    <w:link w:val="654"/>
    <w:uiPriority w:val="9"/>
    <w:rPr>
      <w:rFonts w:ascii="Arial" w:hAnsi="Arial" w:eastAsia="Arial" w:cs="Arial"/>
      <w:sz w:val="34"/>
    </w:rPr>
  </w:style>
  <w:style w:type="character" w:styleId="17">
    <w:name w:val="Heading 3 Char"/>
    <w:basedOn w:val="662"/>
    <w:link w:val="655"/>
    <w:uiPriority w:val="9"/>
    <w:rPr>
      <w:rFonts w:ascii="Arial" w:hAnsi="Arial" w:eastAsia="Arial" w:cs="Arial"/>
      <w:sz w:val="30"/>
      <w:szCs w:val="30"/>
    </w:rPr>
  </w:style>
  <w:style w:type="character" w:styleId="19">
    <w:name w:val="Heading 4 Char"/>
    <w:basedOn w:val="662"/>
    <w:link w:val="656"/>
    <w:uiPriority w:val="9"/>
    <w:rPr>
      <w:rFonts w:ascii="Arial" w:hAnsi="Arial" w:eastAsia="Arial" w:cs="Arial"/>
      <w:b/>
      <w:bCs/>
      <w:sz w:val="26"/>
      <w:szCs w:val="26"/>
    </w:rPr>
  </w:style>
  <w:style w:type="character" w:styleId="21">
    <w:name w:val="Heading 5 Char"/>
    <w:basedOn w:val="662"/>
    <w:link w:val="657"/>
    <w:uiPriority w:val="9"/>
    <w:rPr>
      <w:rFonts w:ascii="Arial" w:hAnsi="Arial" w:eastAsia="Arial" w:cs="Arial"/>
      <w:b/>
      <w:bCs/>
      <w:sz w:val="24"/>
      <w:szCs w:val="24"/>
    </w:rPr>
  </w:style>
  <w:style w:type="character" w:styleId="23">
    <w:name w:val="Heading 6 Char"/>
    <w:basedOn w:val="662"/>
    <w:link w:val="658"/>
    <w:uiPriority w:val="9"/>
    <w:rPr>
      <w:rFonts w:ascii="Arial" w:hAnsi="Arial" w:eastAsia="Arial" w:cs="Arial"/>
      <w:b/>
      <w:bCs/>
      <w:sz w:val="22"/>
      <w:szCs w:val="22"/>
    </w:rPr>
  </w:style>
  <w:style w:type="character" w:styleId="25">
    <w:name w:val="Heading 7 Char"/>
    <w:basedOn w:val="662"/>
    <w:link w:val="659"/>
    <w:uiPriority w:val="9"/>
    <w:rPr>
      <w:rFonts w:ascii="Arial" w:hAnsi="Arial" w:eastAsia="Arial" w:cs="Arial"/>
      <w:b/>
      <w:bCs/>
      <w:i/>
      <w:iCs/>
      <w:sz w:val="22"/>
      <w:szCs w:val="22"/>
    </w:rPr>
  </w:style>
  <w:style w:type="character" w:styleId="27">
    <w:name w:val="Heading 8 Char"/>
    <w:basedOn w:val="662"/>
    <w:link w:val="660"/>
    <w:uiPriority w:val="9"/>
    <w:rPr>
      <w:rFonts w:ascii="Arial" w:hAnsi="Arial" w:eastAsia="Arial" w:cs="Arial"/>
      <w:i/>
      <w:iCs/>
      <w:sz w:val="22"/>
      <w:szCs w:val="22"/>
    </w:rPr>
  </w:style>
  <w:style w:type="character" w:styleId="29">
    <w:name w:val="Heading 9 Char"/>
    <w:basedOn w:val="662"/>
    <w:link w:val="661"/>
    <w:uiPriority w:val="9"/>
    <w:rPr>
      <w:rFonts w:ascii="Arial" w:hAnsi="Arial" w:eastAsia="Arial" w:cs="Arial"/>
      <w:i/>
      <w:iCs/>
      <w:sz w:val="21"/>
      <w:szCs w:val="21"/>
    </w:r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662"/>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662"/>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2"/>
    <w:link w:val="683"/>
    <w:uiPriority w:val="99"/>
  </w:style>
  <w:style w:type="character" w:styleId="44">
    <w:name w:val="Footer Char"/>
    <w:basedOn w:val="662"/>
    <w:link w:val="682"/>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82"/>
    <w:uiPriority w:val="99"/>
  </w:style>
  <w:style w:type="table" w:styleId="48">
    <w:name w:val="Table Grid Light"/>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2"/>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2"/>
    <w:uiPriority w:val="99"/>
    <w:semiHidden/>
    <w:unhideWhenUsed/>
    <w:rPr>
      <w:vertAlign w:val="superscript"/>
    </w:rPr>
  </w:style>
  <w:style w:type="paragraph" w:styleId="189">
    <w:name w:val="TOC Heading"/>
    <w:uiPriority w:val="39"/>
    <w:unhideWhenUsed/>
  </w:style>
  <w:style w:type="paragraph" w:styleId="652" w:default="1">
    <w:name w:val="Normal"/>
    <w:next w:val="664"/>
    <w:uiPriority w:val="0"/>
    <w:qFormat/>
    <w:pPr>
      <w:jc w:val="both"/>
      <w:widowControl w:val="off"/>
    </w:pPr>
    <w:rPr>
      <w:rFonts w:ascii="Times New Roman" w:hAnsi="Times New Roman" w:eastAsia="宋体" w:cs="Times New Roman"/>
      <w:sz w:val="21"/>
      <w:szCs w:val="22"/>
      <w:lang w:val="en-US" w:eastAsia="zh-CN" w:bidi="ar-SA"/>
    </w:rPr>
  </w:style>
  <w:style w:type="paragraph" w:styleId="653">
    <w:name w:val="Heading 1"/>
    <w:basedOn w:val="652"/>
    <w:next w:val="652"/>
    <w:link w:val="705"/>
    <w:uiPriority w:val="0"/>
    <w:qFormat/>
    <w:pPr>
      <w:jc w:val="center"/>
      <w:keepNext/>
      <w:outlineLvl w:val="0"/>
    </w:pPr>
    <w:rPr>
      <w:rFonts w:ascii="楷体_GB2312" w:eastAsia="楷体_GB2312"/>
      <w:sz w:val="28"/>
      <w:szCs w:val="28"/>
    </w:rPr>
  </w:style>
  <w:style w:type="paragraph" w:styleId="654">
    <w:name w:val="Heading 2"/>
    <w:basedOn w:val="652"/>
    <w:next w:val="667"/>
    <w:link w:val="7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5">
    <w:name w:val="Heading 3"/>
    <w:basedOn w:val="652"/>
    <w:next w:val="667"/>
    <w:link w:val="708"/>
    <w:uiPriority w:val="0"/>
    <w:qFormat/>
    <w:pPr>
      <w:keepLines/>
      <w:keepNext/>
      <w:spacing w:before="260" w:after="260" w:line="416" w:lineRule="auto"/>
      <w:outlineLvl w:val="2"/>
    </w:pPr>
    <w:rPr>
      <w:b/>
      <w:bCs/>
      <w:sz w:val="32"/>
      <w:szCs w:val="32"/>
    </w:rPr>
  </w:style>
  <w:style w:type="paragraph" w:styleId="656">
    <w:name w:val="Heading 4"/>
    <w:basedOn w:val="652"/>
    <w:next w:val="667"/>
    <w:link w:val="709"/>
    <w:uiPriority w:val="0"/>
    <w:qFormat/>
    <w:pPr>
      <w:keepLines/>
      <w:keepNext/>
      <w:spacing w:before="280" w:after="290" w:line="376" w:lineRule="auto"/>
      <w:outlineLvl w:val="3"/>
    </w:pPr>
    <w:rPr>
      <w:rFonts w:ascii="Arial" w:hAnsi="Arial" w:eastAsia="黑体" w:cs="Arial"/>
      <w:b/>
      <w:bCs/>
      <w:sz w:val="28"/>
      <w:szCs w:val="28"/>
    </w:rPr>
  </w:style>
  <w:style w:type="paragraph" w:styleId="657">
    <w:name w:val="Heading 5"/>
    <w:basedOn w:val="652"/>
    <w:next w:val="667"/>
    <w:link w:val="710"/>
    <w:uiPriority w:val="0"/>
    <w:qFormat/>
    <w:pPr>
      <w:keepNext/>
      <w:outlineLvl w:val="4"/>
    </w:pPr>
    <w:rPr>
      <w:rFonts w:ascii="宋体"/>
      <w:color w:val="000000"/>
      <w:sz w:val="28"/>
      <w:szCs w:val="28"/>
    </w:rPr>
  </w:style>
  <w:style w:type="paragraph" w:styleId="658">
    <w:name w:val="Heading 6"/>
    <w:basedOn w:val="652"/>
    <w:next w:val="652"/>
    <w:link w:val="71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59">
    <w:name w:val="Heading 7"/>
    <w:basedOn w:val="652"/>
    <w:next w:val="652"/>
    <w:link w:val="712"/>
    <w:uiPriority w:val="0"/>
    <w:qFormat/>
    <w:pPr>
      <w:numPr>
        <w:ilvl w:val="6"/>
        <w:numId w:val="1"/>
      </w:numPr>
      <w:keepLines/>
      <w:keepNext/>
      <w:spacing w:before="240" w:after="64" w:line="320" w:lineRule="auto"/>
      <w:outlineLvl w:val="6"/>
    </w:pPr>
    <w:rPr>
      <w:b/>
      <w:bCs/>
      <w:sz w:val="24"/>
      <w:szCs w:val="24"/>
    </w:rPr>
  </w:style>
  <w:style w:type="paragraph" w:styleId="660">
    <w:name w:val="Heading 8"/>
    <w:basedOn w:val="652"/>
    <w:next w:val="652"/>
    <w:link w:val="71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1">
    <w:name w:val="Heading 9"/>
    <w:basedOn w:val="652"/>
    <w:next w:val="652"/>
    <w:link w:val="714"/>
    <w:uiPriority w:val="0"/>
    <w:qFormat/>
    <w:pPr>
      <w:numPr>
        <w:ilvl w:val="8"/>
        <w:numId w:val="1"/>
      </w:numPr>
      <w:keepLines/>
      <w:keepNext/>
      <w:spacing w:before="240" w:after="64" w:line="320" w:lineRule="auto"/>
      <w:outlineLvl w:val="8"/>
    </w:pPr>
    <w:rPr>
      <w:rFonts w:ascii="Arial" w:hAnsi="Arial" w:eastAsia="黑体"/>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Body Text First Indent 2"/>
    <w:basedOn w:val="665"/>
    <w:next w:val="652"/>
    <w:link w:val="704"/>
    <w:uiPriority w:val="99"/>
    <w:qFormat/>
    <w:pPr>
      <w:ind w:left="0" w:firstLine="420"/>
      <w:spacing w:after="0" w:line="360" w:lineRule="auto"/>
    </w:pPr>
    <w:rPr>
      <w:rFonts w:ascii="宋体" w:hAnsi="宋体"/>
      <w:szCs w:val="20"/>
    </w:rPr>
  </w:style>
  <w:style w:type="paragraph" w:styleId="665">
    <w:name w:val="Body Text Indent"/>
    <w:basedOn w:val="652"/>
    <w:next w:val="666"/>
    <w:link w:val="703"/>
    <w:uiPriority w:val="99"/>
    <w:unhideWhenUsed/>
    <w:qFormat/>
    <w:pPr>
      <w:ind w:left="420"/>
      <w:spacing w:after="120"/>
    </w:pPr>
  </w:style>
  <w:style w:type="paragraph" w:styleId="666">
    <w:name w:val="envelope return"/>
    <w:basedOn w:val="652"/>
    <w:uiPriority w:val="0"/>
    <w:qFormat/>
    <w:rPr>
      <w:rFonts w:ascii="Arial" w:hAnsi="Arial" w:cs="宋体"/>
    </w:rPr>
  </w:style>
  <w:style w:type="paragraph" w:styleId="667">
    <w:name w:val="Normal Indent"/>
    <w:basedOn w:val="652"/>
    <w:link w:val="706"/>
    <w:uiPriority w:val="0"/>
    <w:qFormat/>
    <w:pPr>
      <w:ind w:firstLine="420"/>
    </w:pPr>
    <w:rPr>
      <w:szCs w:val="21"/>
    </w:rPr>
  </w:style>
  <w:style w:type="paragraph" w:styleId="668">
    <w:name w:val="List 3"/>
    <w:basedOn w:val="652"/>
    <w:uiPriority w:val="0"/>
    <w:qFormat/>
    <w:pPr>
      <w:ind w:left="100" w:hanging="200"/>
    </w:pPr>
    <w:rPr>
      <w:szCs w:val="21"/>
    </w:rPr>
  </w:style>
  <w:style w:type="paragraph" w:styleId="669">
    <w:name w:val="toc 7"/>
    <w:basedOn w:val="652"/>
    <w:next w:val="652"/>
    <w:uiPriority w:val="0"/>
    <w:semiHidden/>
    <w:qFormat/>
    <w:pPr>
      <w:ind w:left="1260"/>
      <w:jc w:val="left"/>
    </w:pPr>
    <w:rPr>
      <w:szCs w:val="21"/>
    </w:rPr>
  </w:style>
  <w:style w:type="paragraph" w:styleId="670">
    <w:name w:val="Document Map"/>
    <w:basedOn w:val="652"/>
    <w:link w:val="715"/>
    <w:uiPriority w:val="0"/>
    <w:semiHidden/>
    <w:qFormat/>
    <w:pPr>
      <w:shd w:val="clear" w:color="auto" w:fill="000080"/>
    </w:pPr>
    <w:rPr>
      <w:szCs w:val="21"/>
    </w:rPr>
  </w:style>
  <w:style w:type="paragraph" w:styleId="671">
    <w:name w:val="annotation text"/>
    <w:basedOn w:val="652"/>
    <w:link w:val="716"/>
    <w:uiPriority w:val="0"/>
    <w:unhideWhenUsed/>
    <w:qFormat/>
    <w:pPr>
      <w:jc w:val="left"/>
    </w:pPr>
  </w:style>
  <w:style w:type="paragraph" w:styleId="672">
    <w:name w:val="Body Text 3"/>
    <w:basedOn w:val="652"/>
    <w:link w:val="717"/>
    <w:uiPriority w:val="0"/>
    <w:qFormat/>
    <w:rPr>
      <w:rFonts w:ascii="仿宋_GB2312" w:hAnsi="Arial" w:eastAsia="仿宋_GB2312"/>
      <w:sz w:val="32"/>
      <w:szCs w:val="32"/>
    </w:rPr>
  </w:style>
  <w:style w:type="paragraph" w:styleId="673">
    <w:name w:val="Body Text"/>
    <w:basedOn w:val="652"/>
    <w:link w:val="718"/>
    <w:uiPriority w:val="0"/>
    <w:qFormat/>
    <w:rPr>
      <w:rFonts w:ascii="楷体_GB2312" w:hAnsi="Arial" w:eastAsia="楷体_GB2312"/>
      <w:sz w:val="28"/>
      <w:szCs w:val="28"/>
    </w:rPr>
  </w:style>
  <w:style w:type="paragraph" w:styleId="674">
    <w:name w:val="List 2"/>
    <w:basedOn w:val="652"/>
    <w:uiPriority w:val="0"/>
    <w:qFormat/>
    <w:pPr>
      <w:ind w:left="100" w:hanging="200"/>
    </w:pPr>
    <w:rPr>
      <w:szCs w:val="21"/>
    </w:rPr>
  </w:style>
  <w:style w:type="paragraph" w:styleId="675">
    <w:name w:val="toc 5"/>
    <w:basedOn w:val="652"/>
    <w:next w:val="652"/>
    <w:uiPriority w:val="0"/>
    <w:semiHidden/>
    <w:qFormat/>
    <w:pPr>
      <w:ind w:left="840"/>
      <w:jc w:val="left"/>
    </w:pPr>
    <w:rPr>
      <w:szCs w:val="21"/>
    </w:rPr>
  </w:style>
  <w:style w:type="paragraph" w:styleId="676">
    <w:name w:val="toc 3"/>
    <w:basedOn w:val="652"/>
    <w:next w:val="652"/>
    <w:uiPriority w:val="0"/>
    <w:semiHidden/>
    <w:qFormat/>
    <w:pPr>
      <w:ind w:left="420"/>
      <w:jc w:val="left"/>
    </w:pPr>
    <w:rPr>
      <w:i/>
      <w:iCs/>
      <w:szCs w:val="24"/>
    </w:rPr>
  </w:style>
  <w:style w:type="paragraph" w:styleId="677">
    <w:name w:val="Plain Text"/>
    <w:basedOn w:val="652"/>
    <w:link w:val="719"/>
    <w:uiPriority w:val="0"/>
    <w:qFormat/>
    <w:rPr>
      <w:rFonts w:ascii="宋体" w:hAnsi="Courier New" w:cs="Courier New"/>
      <w:szCs w:val="21"/>
    </w:rPr>
  </w:style>
  <w:style w:type="paragraph" w:styleId="678">
    <w:name w:val="toc 8"/>
    <w:basedOn w:val="652"/>
    <w:next w:val="652"/>
    <w:uiPriority w:val="0"/>
    <w:semiHidden/>
    <w:qFormat/>
    <w:pPr>
      <w:ind w:left="1470"/>
      <w:jc w:val="left"/>
    </w:pPr>
    <w:rPr>
      <w:szCs w:val="21"/>
    </w:rPr>
  </w:style>
  <w:style w:type="paragraph" w:styleId="679">
    <w:name w:val="Date"/>
    <w:basedOn w:val="652"/>
    <w:next w:val="652"/>
    <w:link w:val="720"/>
    <w:uiPriority w:val="0"/>
    <w:qFormat/>
    <w:rPr>
      <w:sz w:val="24"/>
      <w:szCs w:val="24"/>
    </w:rPr>
  </w:style>
  <w:style w:type="paragraph" w:styleId="680">
    <w:name w:val="Body Text Indent 2"/>
    <w:basedOn w:val="652"/>
    <w:link w:val="721"/>
    <w:uiPriority w:val="0"/>
    <w:qFormat/>
    <w:pPr>
      <w:ind w:left="630" w:firstLine="645"/>
    </w:pPr>
    <w:rPr>
      <w:rFonts w:ascii="Arial" w:hAnsi="Arial" w:eastAsia="仿宋_GB2312" w:cs="Arial"/>
      <w:sz w:val="32"/>
      <w:szCs w:val="32"/>
    </w:rPr>
  </w:style>
  <w:style w:type="paragraph" w:styleId="681">
    <w:name w:val="Balloon Text"/>
    <w:basedOn w:val="652"/>
    <w:link w:val="722"/>
    <w:uiPriority w:val="0"/>
    <w:semiHidden/>
    <w:qFormat/>
    <w:rPr>
      <w:sz w:val="18"/>
      <w:szCs w:val="18"/>
    </w:rPr>
  </w:style>
  <w:style w:type="paragraph" w:styleId="682">
    <w:name w:val="Footer"/>
    <w:basedOn w:val="652"/>
    <w:link w:val="723"/>
    <w:uiPriority w:val="99"/>
    <w:qFormat/>
    <w:pPr>
      <w:jc w:val="left"/>
      <w:tabs>
        <w:tab w:val="center" w:pos="4153" w:leader="none"/>
        <w:tab w:val="right" w:pos="8306" w:leader="none"/>
      </w:tabs>
    </w:pPr>
    <w:rPr>
      <w:sz w:val="18"/>
      <w:szCs w:val="18"/>
    </w:rPr>
  </w:style>
  <w:style w:type="paragraph" w:styleId="683">
    <w:name w:val="Header"/>
    <w:basedOn w:val="652"/>
    <w:link w:val="724"/>
    <w:uiPriority w:val="99"/>
    <w:qFormat/>
    <w:pPr>
      <w:jc w:val="center"/>
      <w:tabs>
        <w:tab w:val="center" w:pos="4153" w:leader="none"/>
        <w:tab w:val="right" w:pos="8306" w:leader="none"/>
      </w:tabs>
      <w:pBdr>
        <w:bottom w:val="single" w:color="auto" w:sz="6" w:space="1"/>
      </w:pBdr>
    </w:pPr>
    <w:rPr>
      <w:sz w:val="18"/>
      <w:szCs w:val="18"/>
    </w:rPr>
  </w:style>
  <w:style w:type="paragraph" w:styleId="684">
    <w:name w:val="toc 1"/>
    <w:basedOn w:val="652"/>
    <w:next w:val="652"/>
    <w:uiPriority w:val="0"/>
    <w:semiHidden/>
    <w:qFormat/>
    <w:pPr>
      <w:jc w:val="left"/>
      <w:spacing w:before="120" w:after="120" w:line="400" w:lineRule="exact"/>
      <w:tabs>
        <w:tab w:val="right" w:pos="8720" w:leader="dot"/>
      </w:tabs>
    </w:pPr>
    <w:rPr>
      <w:rFonts w:ascii="宋体" w:hAnsi="宋体"/>
      <w:caps/>
      <w:sz w:val="24"/>
      <w:szCs w:val="24"/>
    </w:rPr>
  </w:style>
  <w:style w:type="paragraph" w:styleId="685">
    <w:name w:val="toc 4"/>
    <w:basedOn w:val="652"/>
    <w:next w:val="652"/>
    <w:uiPriority w:val="0"/>
    <w:semiHidden/>
    <w:qFormat/>
    <w:pPr>
      <w:ind w:left="630"/>
      <w:jc w:val="left"/>
    </w:pPr>
    <w:rPr>
      <w:szCs w:val="21"/>
    </w:rPr>
  </w:style>
  <w:style w:type="paragraph" w:styleId="686">
    <w:name w:val="List"/>
    <w:basedOn w:val="652"/>
    <w:uiPriority w:val="0"/>
    <w:qFormat/>
    <w:pPr>
      <w:ind w:left="200" w:hanging="200"/>
    </w:pPr>
    <w:rPr>
      <w:szCs w:val="21"/>
    </w:rPr>
  </w:style>
  <w:style w:type="paragraph" w:styleId="687">
    <w:name w:val="toc 6"/>
    <w:basedOn w:val="652"/>
    <w:next w:val="652"/>
    <w:uiPriority w:val="0"/>
    <w:semiHidden/>
    <w:qFormat/>
    <w:pPr>
      <w:ind w:left="1050"/>
      <w:jc w:val="left"/>
    </w:pPr>
    <w:rPr>
      <w:szCs w:val="21"/>
    </w:rPr>
  </w:style>
  <w:style w:type="paragraph" w:styleId="688">
    <w:name w:val="Body Text Indent 3"/>
    <w:basedOn w:val="652"/>
    <w:link w:val="725"/>
    <w:uiPriority w:val="0"/>
    <w:qFormat/>
    <w:pPr>
      <w:ind w:left="645" w:firstLine="645"/>
    </w:pPr>
    <w:rPr>
      <w:rFonts w:ascii="Arial" w:hAnsi="Arial" w:eastAsia="仿宋_GB2312" w:cs="Arial"/>
      <w:color w:val="ffff00"/>
      <w:sz w:val="32"/>
      <w:szCs w:val="32"/>
    </w:rPr>
  </w:style>
  <w:style w:type="paragraph" w:styleId="689">
    <w:name w:val="table of figures"/>
    <w:basedOn w:val="652"/>
    <w:next w:val="652"/>
    <w:uiPriority w:val="0"/>
    <w:semiHidden/>
    <w:qFormat/>
    <w:pPr>
      <w:ind w:left="840" w:hanging="420"/>
    </w:pPr>
    <w:rPr>
      <w:szCs w:val="21"/>
    </w:rPr>
  </w:style>
  <w:style w:type="paragraph" w:styleId="690">
    <w:name w:val="toc 2"/>
    <w:basedOn w:val="652"/>
    <w:next w:val="652"/>
    <w:uiPriority w:val="0"/>
    <w:semiHidden/>
    <w:qFormat/>
    <w:pPr>
      <w:ind w:left="210"/>
      <w:jc w:val="left"/>
    </w:pPr>
    <w:rPr>
      <w:smallCaps/>
      <w:szCs w:val="24"/>
    </w:rPr>
  </w:style>
  <w:style w:type="paragraph" w:styleId="691">
    <w:name w:val="toc 9"/>
    <w:basedOn w:val="652"/>
    <w:next w:val="652"/>
    <w:uiPriority w:val="0"/>
    <w:semiHidden/>
    <w:qFormat/>
    <w:pPr>
      <w:ind w:left="1680"/>
      <w:jc w:val="left"/>
    </w:pPr>
    <w:rPr>
      <w:szCs w:val="21"/>
    </w:rPr>
  </w:style>
  <w:style w:type="paragraph" w:styleId="692">
    <w:name w:val="Body Text 2"/>
    <w:basedOn w:val="652"/>
    <w:link w:val="726"/>
    <w:uiPriority w:val="0"/>
    <w:qFormat/>
    <w:pPr>
      <w:jc w:val="center"/>
      <w:widowControl/>
    </w:pPr>
    <w:rPr>
      <w:rFonts w:ascii="楷体_GB2312" w:eastAsia="楷体_GB2312"/>
      <w:sz w:val="28"/>
      <w:szCs w:val="28"/>
    </w:rPr>
  </w:style>
  <w:style w:type="paragraph" w:styleId="693">
    <w:name w:val="Normal (Web)"/>
    <w:basedOn w:val="652"/>
    <w:uiPriority w:val="99"/>
    <w:qFormat/>
    <w:pPr>
      <w:jc w:val="left"/>
      <w:spacing w:before="100" w:beforeAutospacing="1" w:after="100" w:afterAutospacing="1"/>
      <w:widowControl/>
    </w:pPr>
    <w:rPr>
      <w:rFonts w:ascii="宋体" w:hAnsi="宋体" w:cs="宋体"/>
      <w:sz w:val="24"/>
      <w:szCs w:val="24"/>
    </w:rPr>
  </w:style>
  <w:style w:type="paragraph" w:styleId="694">
    <w:name w:val="index 1"/>
    <w:basedOn w:val="652"/>
    <w:next w:val="652"/>
    <w:uiPriority w:val="0"/>
    <w:semiHidden/>
    <w:qFormat/>
    <w:pPr>
      <w:spacing w:line="240" w:lineRule="atLeast"/>
    </w:pPr>
    <w:rPr>
      <w:b/>
      <w:bCs/>
      <w:szCs w:val="21"/>
    </w:rPr>
  </w:style>
  <w:style w:type="paragraph" w:styleId="695">
    <w:name w:val="annotation subject"/>
    <w:basedOn w:val="671"/>
    <w:next w:val="671"/>
    <w:link w:val="727"/>
    <w:uiPriority w:val="0"/>
    <w:semiHidden/>
    <w:qFormat/>
    <w:rPr>
      <w:b/>
      <w:bCs/>
      <w:szCs w:val="21"/>
    </w:rPr>
  </w:style>
  <w:style w:type="paragraph" w:styleId="696">
    <w:name w:val="Body Text First Indent"/>
    <w:basedOn w:val="652"/>
    <w:link w:val="728"/>
    <w:uiPriority w:val="0"/>
    <w:qFormat/>
    <w:pPr>
      <w:ind w:firstLine="200"/>
      <w:spacing w:line="360" w:lineRule="auto"/>
    </w:pPr>
    <w:rPr>
      <w:rFonts w:ascii="仿宋_GB2312" w:eastAsia="仿宋_GB2312"/>
      <w:sz w:val="30"/>
      <w:szCs w:val="30"/>
    </w:rPr>
  </w:style>
  <w:style w:type="table" w:styleId="697">
    <w:name w:val="Table Grid"/>
    <w:basedOn w:val="6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Strong"/>
    <w:uiPriority w:val="0"/>
    <w:qFormat/>
    <w:rPr>
      <w:b/>
      <w:bCs/>
    </w:rPr>
  </w:style>
  <w:style w:type="character" w:styleId="699">
    <w:name w:val="page number"/>
    <w:uiPriority w:val="0"/>
    <w:qFormat/>
  </w:style>
  <w:style w:type="character" w:styleId="700">
    <w:name w:val="FollowedHyperlink"/>
    <w:uiPriority w:val="99"/>
    <w:qFormat/>
    <w:rPr>
      <w:color w:val="800080"/>
      <w:u w:val="single"/>
    </w:rPr>
  </w:style>
  <w:style w:type="character" w:styleId="701">
    <w:name w:val="Hyperlink"/>
    <w:uiPriority w:val="99"/>
    <w:qFormat/>
    <w:rPr>
      <w:color w:val="0000ff"/>
      <w:u w:val="single"/>
    </w:rPr>
  </w:style>
  <w:style w:type="character" w:styleId="702">
    <w:name w:val="annotation reference"/>
    <w:uiPriority w:val="0"/>
    <w:semiHidden/>
    <w:qFormat/>
    <w:rPr>
      <w:sz w:val="21"/>
      <w:szCs w:val="21"/>
    </w:rPr>
  </w:style>
  <w:style w:type="character" w:styleId="703" w:customStyle="1">
    <w:name w:val="正文文本缩进 字符"/>
    <w:basedOn w:val="662"/>
    <w:link w:val="665"/>
    <w:uiPriority w:val="99"/>
    <w:semiHidden/>
    <w:qFormat/>
  </w:style>
  <w:style w:type="character" w:styleId="704" w:customStyle="1">
    <w:name w:val="正文首行缩进 2 字符"/>
    <w:link w:val="664"/>
    <w:uiPriority w:val="99"/>
    <w:qFormat/>
    <w:rPr>
      <w:rFonts w:ascii="宋体" w:hAnsi="宋体" w:eastAsia="宋体" w:cs="Times New Roman"/>
      <w:szCs w:val="20"/>
    </w:rPr>
  </w:style>
  <w:style w:type="character" w:styleId="705" w:customStyle="1">
    <w:name w:val="标题 1 字符"/>
    <w:link w:val="653"/>
    <w:uiPriority w:val="0"/>
    <w:qFormat/>
    <w:rPr>
      <w:rFonts w:ascii="楷体_GB2312" w:hAnsi="Times New Roman" w:eastAsia="楷体_GB2312" w:cs="Times New Roman"/>
      <w:sz w:val="28"/>
      <w:szCs w:val="28"/>
    </w:rPr>
  </w:style>
  <w:style w:type="character" w:styleId="706" w:customStyle="1">
    <w:name w:val="正文缩进 字符"/>
    <w:link w:val="667"/>
    <w:uiPriority w:val="0"/>
    <w:qFormat/>
    <w:rPr>
      <w:szCs w:val="21"/>
    </w:rPr>
  </w:style>
  <w:style w:type="character" w:styleId="707" w:customStyle="1">
    <w:name w:val="标题 2 字符"/>
    <w:link w:val="654"/>
    <w:uiPriority w:val="0"/>
    <w:qFormat/>
    <w:rPr>
      <w:rFonts w:ascii="Arial" w:hAnsi="Arial" w:eastAsia="幼圆" w:cs="Arial"/>
      <w:b/>
      <w:bCs/>
      <w:sz w:val="44"/>
      <w:szCs w:val="44"/>
    </w:rPr>
  </w:style>
  <w:style w:type="character" w:styleId="708" w:customStyle="1">
    <w:name w:val="标题 3 字符"/>
    <w:link w:val="655"/>
    <w:uiPriority w:val="0"/>
    <w:qFormat/>
    <w:rPr>
      <w:rFonts w:ascii="Times New Roman" w:hAnsi="Times New Roman" w:eastAsia="宋体" w:cs="Times New Roman"/>
      <w:b/>
      <w:bCs/>
      <w:sz w:val="32"/>
      <w:szCs w:val="32"/>
    </w:rPr>
  </w:style>
  <w:style w:type="character" w:styleId="709" w:customStyle="1">
    <w:name w:val="标题 4 字符"/>
    <w:link w:val="656"/>
    <w:uiPriority w:val="0"/>
    <w:qFormat/>
    <w:rPr>
      <w:rFonts w:ascii="Arial" w:hAnsi="Arial" w:eastAsia="黑体" w:cs="Arial"/>
      <w:b/>
      <w:bCs/>
      <w:sz w:val="28"/>
      <w:szCs w:val="28"/>
    </w:rPr>
  </w:style>
  <w:style w:type="character" w:styleId="710" w:customStyle="1">
    <w:name w:val="标题 5 字符"/>
    <w:link w:val="657"/>
    <w:uiPriority w:val="0"/>
    <w:qFormat/>
    <w:rPr>
      <w:rFonts w:ascii="宋体" w:hAnsi="Times New Roman" w:eastAsia="宋体" w:cs="Times New Roman"/>
      <w:color w:val="000000"/>
      <w:sz w:val="28"/>
      <w:szCs w:val="28"/>
    </w:rPr>
  </w:style>
  <w:style w:type="character" w:styleId="711" w:customStyle="1">
    <w:name w:val="标题 6 字符"/>
    <w:link w:val="658"/>
    <w:uiPriority w:val="0"/>
    <w:qFormat/>
    <w:rPr>
      <w:rFonts w:ascii="Arial" w:hAnsi="Arial" w:eastAsia="黑体" w:cs="Times New Roman"/>
      <w:b/>
      <w:bCs/>
      <w:sz w:val="24"/>
      <w:szCs w:val="24"/>
    </w:rPr>
  </w:style>
  <w:style w:type="character" w:styleId="712" w:customStyle="1">
    <w:name w:val="标题 7 字符"/>
    <w:link w:val="659"/>
    <w:uiPriority w:val="0"/>
    <w:qFormat/>
    <w:rPr>
      <w:rFonts w:ascii="Times New Roman" w:hAnsi="Times New Roman" w:eastAsia="宋体" w:cs="Times New Roman"/>
      <w:b/>
      <w:bCs/>
      <w:sz w:val="24"/>
      <w:szCs w:val="24"/>
    </w:rPr>
  </w:style>
  <w:style w:type="character" w:styleId="713" w:customStyle="1">
    <w:name w:val="标题 8 字符"/>
    <w:link w:val="660"/>
    <w:uiPriority w:val="0"/>
    <w:qFormat/>
    <w:rPr>
      <w:rFonts w:ascii="Arial" w:hAnsi="Arial" w:eastAsia="黑体" w:cs="Times New Roman"/>
      <w:sz w:val="24"/>
      <w:szCs w:val="24"/>
    </w:rPr>
  </w:style>
  <w:style w:type="character" w:styleId="714" w:customStyle="1">
    <w:name w:val="标题 9 字符"/>
    <w:link w:val="661"/>
    <w:uiPriority w:val="0"/>
    <w:qFormat/>
    <w:rPr>
      <w:rFonts w:ascii="Arial" w:hAnsi="Arial" w:eastAsia="黑体" w:cs="Times New Roman"/>
      <w:szCs w:val="21"/>
    </w:rPr>
  </w:style>
  <w:style w:type="character" w:styleId="715" w:customStyle="1">
    <w:name w:val="文档结构图 字符"/>
    <w:link w:val="670"/>
    <w:uiPriority w:val="0"/>
    <w:semiHidden/>
    <w:qFormat/>
    <w:rPr>
      <w:rFonts w:ascii="Times New Roman" w:hAnsi="Times New Roman" w:eastAsia="宋体" w:cs="Times New Roman"/>
      <w:szCs w:val="21"/>
      <w:shd w:val="clear" w:color="auto" w:fill="000080"/>
    </w:rPr>
  </w:style>
  <w:style w:type="character" w:styleId="716" w:customStyle="1">
    <w:name w:val="批注文字 字符"/>
    <w:basedOn w:val="662"/>
    <w:link w:val="671"/>
    <w:uiPriority w:val="99"/>
    <w:semiHidden/>
    <w:qFormat/>
  </w:style>
  <w:style w:type="character" w:styleId="717" w:customStyle="1">
    <w:name w:val="正文文本 3 字符"/>
    <w:link w:val="672"/>
    <w:uiPriority w:val="0"/>
    <w:qFormat/>
    <w:rPr>
      <w:rFonts w:ascii="仿宋_GB2312" w:hAnsi="Arial" w:eastAsia="仿宋_GB2312" w:cs="Times New Roman"/>
      <w:sz w:val="32"/>
      <w:szCs w:val="32"/>
    </w:rPr>
  </w:style>
  <w:style w:type="character" w:styleId="718" w:customStyle="1">
    <w:name w:val="正文文本 字符"/>
    <w:link w:val="673"/>
    <w:uiPriority w:val="0"/>
    <w:qFormat/>
    <w:rPr>
      <w:rFonts w:ascii="楷体_GB2312" w:hAnsi="Arial" w:eastAsia="楷体_GB2312" w:cs="Times New Roman"/>
      <w:sz w:val="28"/>
      <w:szCs w:val="28"/>
    </w:rPr>
  </w:style>
  <w:style w:type="character" w:styleId="719" w:customStyle="1">
    <w:name w:val="纯文本 字符"/>
    <w:link w:val="677"/>
    <w:uiPriority w:val="0"/>
    <w:qFormat/>
    <w:rPr>
      <w:rFonts w:ascii="宋体" w:hAnsi="Courier New" w:eastAsia="宋体" w:cs="Courier New"/>
      <w:szCs w:val="21"/>
    </w:rPr>
  </w:style>
  <w:style w:type="character" w:styleId="720" w:customStyle="1">
    <w:name w:val="日期 字符"/>
    <w:link w:val="679"/>
    <w:uiPriority w:val="0"/>
    <w:qFormat/>
    <w:rPr>
      <w:rFonts w:ascii="Times New Roman" w:hAnsi="Times New Roman" w:eastAsia="宋体" w:cs="Times New Roman"/>
      <w:sz w:val="24"/>
      <w:szCs w:val="24"/>
    </w:rPr>
  </w:style>
  <w:style w:type="character" w:styleId="721" w:customStyle="1">
    <w:name w:val="正文文本缩进 2 字符"/>
    <w:link w:val="680"/>
    <w:uiPriority w:val="0"/>
    <w:qFormat/>
    <w:rPr>
      <w:rFonts w:ascii="Arial" w:hAnsi="Arial" w:eastAsia="仿宋_GB2312" w:cs="Arial"/>
      <w:sz w:val="32"/>
      <w:szCs w:val="32"/>
    </w:rPr>
  </w:style>
  <w:style w:type="character" w:styleId="722" w:customStyle="1">
    <w:name w:val="批注框文本 字符"/>
    <w:link w:val="681"/>
    <w:uiPriority w:val="0"/>
    <w:semiHidden/>
    <w:qFormat/>
    <w:rPr>
      <w:rFonts w:ascii="Times New Roman" w:hAnsi="Times New Roman" w:eastAsia="宋体" w:cs="Times New Roman"/>
      <w:sz w:val="18"/>
      <w:szCs w:val="18"/>
    </w:rPr>
  </w:style>
  <w:style w:type="character" w:styleId="723" w:customStyle="1">
    <w:name w:val="页脚 字符"/>
    <w:link w:val="682"/>
    <w:uiPriority w:val="99"/>
    <w:qFormat/>
    <w:rPr>
      <w:rFonts w:ascii="Times New Roman" w:hAnsi="Times New Roman" w:eastAsia="宋体" w:cs="Times New Roman"/>
      <w:sz w:val="18"/>
      <w:szCs w:val="18"/>
    </w:rPr>
  </w:style>
  <w:style w:type="character" w:styleId="724" w:customStyle="1">
    <w:name w:val="页眉 字符"/>
    <w:link w:val="683"/>
    <w:uiPriority w:val="99"/>
    <w:qFormat/>
    <w:rPr>
      <w:rFonts w:ascii="Times New Roman" w:hAnsi="Times New Roman" w:eastAsia="宋体" w:cs="Times New Roman"/>
      <w:sz w:val="18"/>
      <w:szCs w:val="18"/>
    </w:rPr>
  </w:style>
  <w:style w:type="character" w:styleId="725" w:customStyle="1">
    <w:name w:val="正文文本缩进 3 字符"/>
    <w:link w:val="688"/>
    <w:uiPriority w:val="0"/>
    <w:qFormat/>
    <w:rPr>
      <w:rFonts w:ascii="Arial" w:hAnsi="Arial" w:eastAsia="仿宋_GB2312" w:cs="Arial"/>
      <w:color w:val="ffff00"/>
      <w:sz w:val="32"/>
      <w:szCs w:val="32"/>
    </w:rPr>
  </w:style>
  <w:style w:type="character" w:styleId="726" w:customStyle="1">
    <w:name w:val="正文文本 2 字符"/>
    <w:link w:val="692"/>
    <w:uiPriority w:val="0"/>
    <w:qFormat/>
    <w:rPr>
      <w:rFonts w:ascii="楷体_GB2312" w:hAnsi="Times New Roman" w:eastAsia="楷体_GB2312" w:cs="Times New Roman"/>
      <w:sz w:val="28"/>
      <w:szCs w:val="28"/>
    </w:rPr>
  </w:style>
  <w:style w:type="character" w:styleId="727" w:customStyle="1">
    <w:name w:val="批注主题 字符"/>
    <w:link w:val="695"/>
    <w:uiPriority w:val="0"/>
    <w:semiHidden/>
    <w:qFormat/>
    <w:rPr>
      <w:rFonts w:ascii="Times New Roman" w:hAnsi="Times New Roman" w:eastAsia="宋体" w:cs="Times New Roman"/>
      <w:b/>
      <w:bCs/>
      <w:szCs w:val="21"/>
    </w:rPr>
  </w:style>
  <w:style w:type="character" w:styleId="728" w:customStyle="1">
    <w:name w:val="正文首行缩进 字符"/>
    <w:link w:val="696"/>
    <w:uiPriority w:val="0"/>
    <w:qFormat/>
    <w:rPr>
      <w:rFonts w:ascii="仿宋_GB2312" w:hAnsi="Times New Roman" w:eastAsia="仿宋_GB2312" w:cs="Times New Roman"/>
      <w:sz w:val="30"/>
      <w:szCs w:val="30"/>
    </w:rPr>
  </w:style>
  <w:style w:type="paragraph" w:styleId="729" w:customStyle="1">
    <w:name w:val="索引 41"/>
    <w:basedOn w:val="652"/>
    <w:next w:val="652"/>
    <w:uiPriority w:val="0"/>
    <w:semiHidden/>
    <w:qFormat/>
    <w:pPr>
      <w:ind w:left="1260"/>
    </w:pPr>
    <w:rPr>
      <w:rFonts w:ascii="Calibri" w:hAnsi="Calibri" w:eastAsia="Calibri" w:cs="宋体"/>
      <w:sz w:val="20"/>
      <w:lang w:val="zh-CN"/>
    </w:rPr>
  </w:style>
  <w:style w:type="character" w:styleId="730" w:customStyle="1">
    <w:name w:val="font5 Char"/>
    <w:uiPriority w:val="0"/>
    <w:qFormat/>
    <w:rPr>
      <w:rFonts w:ascii="宋体" w:hAnsi="宋体" w:eastAsia="宋体"/>
      <w:sz w:val="28"/>
      <w:szCs w:val="28"/>
      <w:lang w:val="en-US" w:eastAsia="zh-CN" w:bidi="ar-SA"/>
    </w:rPr>
  </w:style>
  <w:style w:type="character" w:styleId="731" w:customStyle="1">
    <w:name w:val="二级目录 Char"/>
    <w:link w:val="732"/>
    <w:uiPriority w:val="0"/>
    <w:qFormat/>
    <w:rPr>
      <w:b/>
      <w:sz w:val="30"/>
      <w:szCs w:val="28"/>
    </w:rPr>
  </w:style>
  <w:style w:type="paragraph" w:styleId="732" w:customStyle="1">
    <w:name w:val="二级目录"/>
    <w:next w:val="652"/>
    <w:link w:val="73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33" w:customStyle="1">
    <w:name w:val="列出段落 Char"/>
    <w:link w:val="734"/>
    <w:uiPriority w:val="0"/>
    <w:qFormat/>
    <w:rPr>
      <w:rFonts w:ascii="Calibri" w:hAnsi="Calibri"/>
      <w:sz w:val="24"/>
      <w:szCs w:val="24"/>
      <w:lang w:eastAsia="en-US" w:bidi="en-US"/>
    </w:rPr>
  </w:style>
  <w:style w:type="paragraph" w:styleId="734" w:customStyle="1">
    <w:name w:val="列出段落1"/>
    <w:basedOn w:val="652"/>
    <w:link w:val="733"/>
    <w:uiPriority w:val="0"/>
    <w:qFormat/>
    <w:pPr>
      <w:contextualSpacing/>
      <w:ind w:left="720"/>
      <w:jc w:val="left"/>
      <w:widowControl/>
    </w:pPr>
    <w:rPr>
      <w:rFonts w:ascii="Calibri" w:hAnsi="Calibri"/>
      <w:sz w:val="24"/>
      <w:szCs w:val="24"/>
      <w:lang w:eastAsia="en-US" w:bidi="en-US"/>
    </w:rPr>
  </w:style>
  <w:style w:type="paragraph" w:styleId="735" w:customStyle="1">
    <w:name w:val="Body Text(ch)"/>
    <w:basedOn w:val="652"/>
    <w:next w:val="673"/>
    <w:uiPriority w:val="0"/>
    <w:qFormat/>
    <w:pPr>
      <w:spacing w:after="120"/>
    </w:pPr>
    <w:rPr>
      <w:rFonts w:ascii="宋体" w:hAnsi="Arial"/>
      <w:bCs/>
      <w:iCs/>
      <w:szCs w:val="24"/>
    </w:rPr>
  </w:style>
  <w:style w:type="paragraph" w:styleId="736" w:customStyle="1">
    <w:name w:val="xl27"/>
    <w:basedOn w:val="6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37" w:customStyle="1">
    <w:name w:val="xl26"/>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38" w:customStyle="1">
    <w:name w:val="Char"/>
    <w:basedOn w:val="652"/>
    <w:uiPriority w:val="0"/>
    <w:qFormat/>
    <w:pPr>
      <w:ind w:firstLine="200"/>
      <w:tabs>
        <w:tab w:val="left" w:pos="360" w:leader="none"/>
      </w:tabs>
    </w:pPr>
    <w:rPr>
      <w:sz w:val="28"/>
      <w:szCs w:val="30"/>
    </w:rPr>
  </w:style>
  <w:style w:type="paragraph" w:styleId="739" w:customStyle="1">
    <w:name w:val="Char1"/>
    <w:basedOn w:val="670"/>
    <w:uiPriority w:val="0"/>
    <w:qFormat/>
    <w:rPr>
      <w:rFonts w:ascii="Tahoma" w:hAnsi="Tahoma"/>
      <w:sz w:val="24"/>
      <w:szCs w:val="24"/>
    </w:rPr>
  </w:style>
  <w:style w:type="paragraph" w:styleId="740" w:customStyle="1">
    <w:name w:val="普通正文"/>
    <w:basedOn w:val="652"/>
    <w:uiPriority w:val="0"/>
    <w:qFormat/>
    <w:pPr>
      <w:ind w:firstLine="480"/>
      <w:jc w:val="left"/>
      <w:spacing w:before="120" w:after="120" w:line="360" w:lineRule="auto"/>
    </w:pPr>
    <w:rPr>
      <w:rFonts w:ascii="Arial" w:hAnsi="Arial"/>
      <w:sz w:val="24"/>
      <w:szCs w:val="24"/>
    </w:rPr>
  </w:style>
  <w:style w:type="paragraph" w:styleId="741" w:customStyle="1">
    <w:name w:val="table_lines"/>
    <w:basedOn w:val="652"/>
    <w:uiPriority w:val="0"/>
    <w:qFormat/>
    <w:pPr>
      <w:jc w:val="left"/>
      <w:widowControl/>
    </w:pPr>
    <w:rPr>
      <w:sz w:val="20"/>
      <w:szCs w:val="20"/>
      <w:lang w:val="de-DE" w:eastAsia="de-DE"/>
    </w:rPr>
  </w:style>
  <w:style w:type="paragraph" w:styleId="74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743" w:customStyle="1">
    <w:name w:val="font7"/>
    <w:basedOn w:val="652"/>
    <w:uiPriority w:val="0"/>
    <w:qFormat/>
    <w:pPr>
      <w:jc w:val="left"/>
      <w:spacing w:before="100" w:beforeAutospacing="1" w:after="100" w:afterAutospacing="1"/>
      <w:widowControl/>
    </w:pPr>
    <w:rPr>
      <w:rFonts w:hint="eastAsia" w:ascii="宋体" w:hAnsi="宋体"/>
      <w:sz w:val="18"/>
      <w:szCs w:val="18"/>
    </w:rPr>
  </w:style>
  <w:style w:type="paragraph" w:styleId="744" w:customStyle="1">
    <w:name w:val="Char Char Char Char"/>
    <w:basedOn w:val="670"/>
    <w:uiPriority w:val="0"/>
    <w:qFormat/>
    <w:pPr>
      <w:spacing w:line="360" w:lineRule="auto"/>
    </w:pPr>
    <w:rPr>
      <w:rFonts w:ascii="Tahoma" w:hAnsi="Tahoma"/>
      <w:sz w:val="24"/>
      <w:szCs w:val="24"/>
    </w:rPr>
  </w:style>
  <w:style w:type="paragraph" w:styleId="745">
    <w:name w:val="List Paragraph"/>
    <w:basedOn w:val="652"/>
    <w:uiPriority w:val="0"/>
    <w:qFormat/>
    <w:pPr>
      <w:contextualSpacing/>
      <w:ind w:left="720"/>
      <w:jc w:val="left"/>
      <w:widowControl/>
    </w:pPr>
    <w:rPr>
      <w:rFonts w:ascii="Calibri" w:hAnsi="Calibri"/>
      <w:sz w:val="24"/>
      <w:szCs w:val="24"/>
      <w:lang w:eastAsia="en-US" w:bidi="en-US"/>
    </w:rPr>
  </w:style>
  <w:style w:type="paragraph" w:styleId="746" w:customStyle="1">
    <w:name w:val="4"/>
    <w:basedOn w:val="652"/>
    <w:next w:val="688"/>
    <w:uiPriority w:val="0"/>
    <w:qFormat/>
    <w:pPr>
      <w:ind w:firstLine="420"/>
      <w:spacing w:line="360" w:lineRule="auto"/>
    </w:pPr>
    <w:rPr>
      <w:color w:val="ff0000"/>
      <w:sz w:val="24"/>
      <w:szCs w:val="24"/>
    </w:rPr>
  </w:style>
  <w:style w:type="paragraph" w:styleId="747" w:customStyle="1">
    <w:name w:val="普通 (Web)"/>
    <w:basedOn w:val="652"/>
    <w:uiPriority w:val="0"/>
    <w:qFormat/>
    <w:pPr>
      <w:jc w:val="left"/>
      <w:spacing w:before="100" w:beforeAutospacing="1" w:after="100" w:afterAutospacing="1"/>
      <w:widowControl/>
    </w:pPr>
    <w:rPr>
      <w:rFonts w:ascii="宋体" w:hAnsi="宋体"/>
      <w:sz w:val="24"/>
      <w:szCs w:val="24"/>
    </w:rPr>
  </w:style>
  <w:style w:type="paragraph" w:styleId="748" w:customStyle="1">
    <w:name w:val="Char Char Char Char Char Char Char Char Char Char"/>
    <w:basedOn w:val="652"/>
    <w:uiPriority w:val="0"/>
    <w:qFormat/>
    <w:pPr>
      <w:spacing w:line="360" w:lineRule="auto"/>
    </w:pPr>
    <w:rPr>
      <w:sz w:val="24"/>
      <w:szCs w:val="20"/>
    </w:rPr>
  </w:style>
  <w:style w:type="paragraph" w:styleId="749" w:customStyle="1">
    <w:name w:val="样式1"/>
    <w:basedOn w:val="652"/>
    <w:uiPriority w:val="0"/>
    <w:qFormat/>
    <w:pPr>
      <w:numPr>
        <w:ilvl w:val="0"/>
        <w:numId w:val="3"/>
      </w:numPr>
    </w:pPr>
    <w:rPr>
      <w:rFonts w:ascii="宋体" w:hAnsi="宋体"/>
      <w:szCs w:val="21"/>
    </w:rPr>
  </w:style>
  <w:style w:type="paragraph" w:styleId="750" w:customStyle="1">
    <w:name w:val="font6"/>
    <w:basedOn w:val="652"/>
    <w:uiPriority w:val="0"/>
    <w:qFormat/>
    <w:pPr>
      <w:jc w:val="left"/>
      <w:spacing w:before="100" w:beforeAutospacing="1" w:after="100" w:afterAutospacing="1"/>
      <w:widowControl/>
    </w:pPr>
    <w:rPr>
      <w:rFonts w:hint="eastAsia" w:ascii="宋体" w:hAnsi="宋体"/>
      <w:sz w:val="28"/>
      <w:szCs w:val="28"/>
      <w:u w:val="single"/>
    </w:rPr>
  </w:style>
  <w:style w:type="paragraph" w:styleId="751" w:customStyle="1">
    <w:name w:val="xl25"/>
    <w:basedOn w:val="6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2" w:customStyle="1">
    <w:name w:val="图标"/>
    <w:basedOn w:val="652"/>
    <w:next w:val="6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53" w:customStyle="1">
    <w:name w:val="标题3"/>
    <w:basedOn w:val="652"/>
    <w:next w:val="652"/>
    <w:uiPriority w:val="0"/>
    <w:qFormat/>
    <w:pPr>
      <w:ind w:firstLine="624"/>
      <w:spacing w:line="590" w:lineRule="atLeast"/>
    </w:pPr>
    <w:rPr>
      <w:rFonts w:ascii="方正黑体_GBK" w:eastAsia="方正黑体_GBK"/>
      <w:sz w:val="32"/>
      <w:szCs w:val="32"/>
    </w:rPr>
  </w:style>
  <w:style w:type="paragraph" w:styleId="754" w:customStyle="1">
    <w:name w:val="xl24"/>
    <w:basedOn w:val="6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5" w:customStyle="1">
    <w:name w:val="xl29"/>
    <w:basedOn w:val="65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56" w:customStyle="1">
    <w:name w:val="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757" w:customStyle="1">
    <w:name w:val="xl28"/>
    <w:basedOn w:val="65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58" w:customStyle="1">
    <w:name w:val="Char Char Char Char Char Char Char Char1"/>
    <w:basedOn w:val="652"/>
    <w:uiPriority w:val="0"/>
    <w:qFormat/>
    <w:pPr>
      <w:jc w:val="left"/>
      <w:spacing w:after="160" w:line="240" w:lineRule="exact"/>
      <w:widowControl/>
    </w:pPr>
    <w:rPr>
      <w:rFonts w:ascii="Verdana" w:hAnsi="Verdana"/>
      <w:sz w:val="20"/>
      <w:szCs w:val="20"/>
      <w:lang w:eastAsia="en-US"/>
    </w:rPr>
  </w:style>
  <w:style w:type="paragraph" w:styleId="759" w:customStyle="1">
    <w:name w:val="xl30"/>
    <w:basedOn w:val="652"/>
    <w:uiPriority w:val="0"/>
    <w:qFormat/>
    <w:pPr>
      <w:jc w:val="center"/>
      <w:spacing w:before="100" w:beforeAutospacing="1" w:after="100" w:afterAutospacing="1"/>
      <w:widowControl/>
    </w:pPr>
    <w:rPr>
      <w:rFonts w:ascii="宋体" w:hAnsi="宋体"/>
      <w:b/>
      <w:bCs/>
      <w:sz w:val="36"/>
      <w:szCs w:val="36"/>
    </w:rPr>
  </w:style>
  <w:style w:type="paragraph" w:styleId="760" w:customStyle="1">
    <w:name w:val="Char Char Char Char1"/>
    <w:basedOn w:val="670"/>
    <w:uiPriority w:val="0"/>
    <w:qFormat/>
    <w:pPr>
      <w:spacing w:line="360" w:lineRule="auto"/>
    </w:pPr>
    <w:rPr>
      <w:rFonts w:ascii="Tahoma" w:hAnsi="Tahoma"/>
      <w:sz w:val="24"/>
      <w:szCs w:val="24"/>
    </w:rPr>
  </w:style>
  <w:style w:type="paragraph" w:styleId="761" w:customStyle="1">
    <w:name w:val="table_1stline"/>
    <w:basedOn w:val="652"/>
    <w:uiPriority w:val="0"/>
    <w:qFormat/>
    <w:pPr>
      <w:jc w:val="left"/>
      <w:spacing w:before="120"/>
      <w:widowControl/>
    </w:pPr>
    <w:rPr>
      <w:bCs/>
      <w:sz w:val="20"/>
      <w:szCs w:val="20"/>
      <w:lang w:val="de-DE" w:eastAsia="de-DE"/>
    </w:rPr>
  </w:style>
  <w:style w:type="paragraph" w:styleId="762" w:customStyle="1">
    <w:name w:val="font5"/>
    <w:basedOn w:val="652"/>
    <w:uiPriority w:val="0"/>
    <w:qFormat/>
    <w:pPr>
      <w:jc w:val="left"/>
      <w:spacing w:before="100" w:beforeAutospacing="1" w:after="100" w:afterAutospacing="1"/>
      <w:widowControl/>
    </w:pPr>
    <w:rPr>
      <w:rFonts w:hint="eastAsia" w:ascii="宋体" w:hAnsi="宋体"/>
      <w:sz w:val="28"/>
      <w:szCs w:val="28"/>
    </w:rPr>
  </w:style>
  <w:style w:type="paragraph" w:styleId="763"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64" w:customStyle="1">
    <w:name w:val="修订1"/>
    <w:uiPriority w:val="99"/>
    <w:semiHidden/>
    <w:qFormat/>
    <w:rPr>
      <w:rFonts w:ascii="Times New Roman" w:hAnsi="Times New Roman" w:eastAsia="宋体" w:cs="Times New Roman"/>
      <w:sz w:val="21"/>
      <w:szCs w:val="21"/>
      <w:lang w:val="en-US" w:eastAsia="zh-CN" w:bidi="ar-SA"/>
    </w:rPr>
  </w:style>
  <w:style w:type="paragraph" w:styleId="765">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766" w:customStyle="1">
    <w:name w:val="Table Normal"/>
    <w:uiPriority w:val="0"/>
    <w:qFormat/>
    <w:tblPr>
      <w:tblCellMar>
        <w:left w:w="0" w:type="dxa"/>
        <w:top w:w="0" w:type="dxa"/>
        <w:right w:w="0" w:type="dxa"/>
        <w:bottom w:w="0" w:type="dxa"/>
      </w:tblCellMar>
    </w:tblPr>
  </w:style>
  <w:style w:type="paragraph" w:styleId="767" w:customStyle="1">
    <w:name w:val="正文文本12"/>
    <w:basedOn w:val="652"/>
    <w:uiPriority w:val="1"/>
    <w:qFormat/>
    <w:pPr>
      <w:ind w:left="120"/>
    </w:pPr>
    <w:rPr>
      <w:rFonts w:ascii="宋体" w:hAnsi="宋体" w:cs="宋体"/>
      <w:szCs w:val="21"/>
      <w:lang w:val="zh-CN" w:bidi="zh-CN"/>
    </w:rPr>
  </w:style>
  <w:style w:type="paragraph" w:styleId="768" w:customStyle="1">
    <w:name w:val="正文文本 211"/>
    <w:basedOn w:val="652"/>
    <w:uiPriority w:val="99"/>
    <w:qFormat/>
    <w:pPr>
      <w:jc w:val="center"/>
    </w:pPr>
    <w:rPr>
      <w:b/>
      <w:bCs/>
      <w:sz w:val="20"/>
      <w:szCs w:val="20"/>
    </w:rPr>
  </w:style>
  <w:style w:type="paragraph" w:styleId="769" w:customStyle="1">
    <w:name w:val="正文文本1"/>
    <w:basedOn w:val="652"/>
    <w:next w:val="652"/>
    <w:uiPriority w:val="0"/>
    <w:semiHidden/>
    <w:qFormat/>
    <w:rPr>
      <w:rFonts w:ascii="Arial" w:hAnsi="Arial" w:eastAsia="Arial" w:cs="Arial"/>
      <w:szCs w:val="21"/>
      <w:lang w:eastAsia="en-US"/>
    </w:rPr>
  </w:style>
  <w:style w:type="paragraph" w:styleId="770" w:customStyle="1">
    <w:name w:val="Table Paragraph"/>
    <w:basedOn w:val="652"/>
    <w:uiPriority w:val="1"/>
    <w:qFormat/>
    <w:pPr>
      <w:jc w:val="left"/>
    </w:pPr>
    <w:rPr>
      <w:rFonts w:ascii="宋体" w:hAnsi="宋体" w:cs="宋体"/>
      <w:sz w:val="22"/>
      <w:lang w:val="zh-CN" w:bidi="zh-CN"/>
    </w:rPr>
  </w:style>
  <w:style w:type="table" w:styleId="771" w:customStyle="1">
    <w:name w:val="网格型1"/>
    <w:basedOn w:val="772"/>
    <w:uiPriority w:val="0"/>
    <w:qFormat/>
    <w:pPr>
      <w:jc w:val="both"/>
      <w:widowControl w:val="off"/>
    </w:pPr>
    <w:tblPr/>
  </w:style>
  <w:style w:type="table" w:styleId="772" w:customStyle="1">
    <w:name w:val="普通表格1"/>
    <w:uiPriority w:val="99"/>
    <w:unhideWhenUsed/>
    <w:qFormat/>
    <w:tblPr>
      <w:tblCellMar>
        <w:left w:w="0" w:type="dxa"/>
        <w:top w:w="0" w:type="dxa"/>
        <w:right w:w="0" w:type="dxa"/>
        <w:bottom w:w="0" w:type="dxa"/>
      </w:tblCellMar>
    </w:tblPr>
  </w:style>
  <w:style w:type="paragraph" w:styleId="773" w:customStyle="1">
    <w:name w:val="正文文本缩进1"/>
    <w:basedOn w:val="652"/>
    <w:next w:val="774"/>
    <w:uiPriority w:val="0"/>
    <w:unhideWhenUsed/>
    <w:qFormat/>
    <w:pPr>
      <w:ind w:left="420"/>
      <w:spacing w:after="120"/>
    </w:pPr>
  </w:style>
  <w:style w:type="paragraph" w:styleId="774" w:customStyle="1">
    <w:name w:val="正文文本首行缩进 21"/>
    <w:basedOn w:val="773"/>
    <w:uiPriority w:val="0"/>
    <w:qFormat/>
    <w:pPr>
      <w:ind w:left="0" w:firstLine="420"/>
      <w:spacing w:after="0" w:line="360" w:lineRule="auto"/>
    </w:pPr>
    <w:rPr>
      <w:rFonts w:ascii="宋体" w:hAnsi="宋体"/>
      <w:sz w:val="20"/>
      <w:szCs w:val="20"/>
      <w:lang w:eastAsia="en-US"/>
    </w:rPr>
  </w:style>
  <w:style w:type="table" w:styleId="775" w:customStyle="1">
    <w:name w:val="List Table 5 Dark - Accent 2"/>
    <w:basedOn w:val="6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776" w:customStyle="1">
    <w:name w:val="修订2"/>
    <w:hidden/>
    <w:uiPriority w:val="99"/>
    <w:semiHidden/>
    <w:qFormat/>
    <w:rPr>
      <w:rFonts w:ascii="Times New Roman" w:hAnsi="Times New Roman" w:eastAsia="宋体" w:cs="Times New Roman"/>
      <w:sz w:val="21"/>
      <w:szCs w:val="22"/>
      <w:lang w:val="en-US" w:eastAsia="zh-CN" w:bidi="ar-SA"/>
    </w:rPr>
  </w:style>
  <w:style w:type="numbering" w:styleId="21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郭一江</cp:lastModifiedBy>
  <cp:revision>2</cp:revision>
  <dcterms:created xsi:type="dcterms:W3CDTF">2025-11-10T10:31:00Z</dcterms:created>
  <dcterms:modified xsi:type="dcterms:W3CDTF">2025-12-03T08:07:17Z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eyJoZGlkIjoiMzEwNTM5NzYwMDRjMzkwZTVkZjY2ODkwMGIxNGU0OTUiLCJ1c2VySWQiOiI0MDQyNTAyOTQifQ==</vt:lpwstr>
  </property>
  <property fmtid="{D5CDD505-2E9C-101B-9397-08002B2CF9AE}" pid="3" name="KSOProductBuildVer">
    <vt:lpwstr>2052-12.1.0.23542</vt:lpwstr>
  </property>
  <property fmtid="{D5CDD505-2E9C-101B-9397-08002B2CF9AE}" pid="4" name="ICV">
    <vt:lpwstr>33C39A13B6284A34A3DD270BF4ADDBA8_13</vt:lpwstr>
  </property>
</Properties>
</file>