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bookmarkStart w:id="0" w:name="_Toc456454871"/>
      <w:r>
        <w:rPr>
          <w:rFonts w:hint="eastAsia" w:ascii="仿宋" w:hAnsi="仿宋" w:eastAsia="仿宋" w:cs="仿宋"/>
          <w:b/>
          <w:sz w:val="72"/>
          <w:lang w:eastAsia="zh-CN"/>
        </w:rPr>
        <w:t xml:space="preserve">太仓市政府采购</w:t>
      </w:r>
      <w:r/>
    </w:p>
    <w:p>
      <w:pPr>
        <w:jc w:val="center"/>
        <w:spacing w:after="0" w:line="85" w:lineRule="atLeast"/>
        <w:rPr>
          <w:rFonts w:ascii="仿宋" w:hAnsi="仿宋" w:eastAsia="仿宋" w:cs="仿宋"/>
          <w:b/>
          <w:sz w:val="72"/>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72"/>
          <w:lang w:eastAsia="zh-CN"/>
        </w:rPr>
      </w:r>
      <w:r/>
    </w:p>
    <w:p>
      <w:pPr>
        <w:jc w:val="center"/>
        <w:spacing w:after="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72"/>
          <w:lang w:eastAsia="zh-CN"/>
        </w:rPr>
        <w:t xml:space="preserve">招 标 文 件</w:t>
      </w:r>
      <w:r/>
    </w:p>
    <w:p>
      <w:pPr>
        <w:jc w:val="center"/>
        <w:spacing w:after="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lang w:eastAsia="zh-CN"/>
        </w:rPr>
        <w:t xml:space="preserve"> </w:t>
      </w:r>
      <w:r/>
    </w:p>
    <w:p>
      <w:pPr>
        <w:ind w:firstLine="630"/>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lang w:eastAsia="zh-CN"/>
        </w:rPr>
        <w:t xml:space="preserve"> </w:t>
      </w:r>
      <w:r/>
    </w:p>
    <w:p>
      <w:pPr>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lang w:eastAsia="zh-CN"/>
        </w:rPr>
        <w:t xml:space="preserve"> </w:t>
      </w:r>
      <w:r>
        <w:rPr>
          <w:rFonts w:hint="eastAsia" w:ascii="仿宋" w:hAnsi="仿宋" w:eastAsia="仿宋" w:cs="仿宋"/>
          <w:sz w:val="32"/>
          <w:lang w:eastAsia="zh-CN"/>
        </w:rPr>
        <w:t xml:space="preserve"> </w:t>
      </w:r>
      <w:r/>
    </w:p>
    <w:p>
      <w:pPr>
        <w:ind w:firstLine="1084"/>
        <w:jc w:val="both"/>
        <w:spacing w:after="0" w:line="480" w:lineRule="auto"/>
        <w:rPr>
          <w:rFonts w:ascii="仿宋" w:hAnsi="仿宋" w:eastAsia="仿宋" w:cs="仿宋"/>
          <w:b/>
          <w:sz w:val="36"/>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lang w:eastAsia="zh-CN"/>
        </w:rPr>
        <w:t xml:space="preserve">项目编号：JSZC-320585-JZCG-G2024-0111</w:t>
      </w:r>
      <w:r/>
    </w:p>
    <w:p>
      <w:pPr>
        <w:ind w:firstLine="1084"/>
        <w:jc w:val="both"/>
        <w:spacing w:after="0" w:line="480" w:lineRule="auto"/>
        <w:rPr>
          <w:rFonts w:hint="eastAsia" w:ascii="仿宋" w:hAnsi="仿宋" w:eastAsia="仿宋" w:cs="仿宋"/>
          <w:b/>
          <w:sz w:val="36"/>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lang w:eastAsia="zh-CN"/>
        </w:rPr>
        <w:t xml:space="preserve">项目名称：太仓市智慧城市新型基础设施软硬件</w:t>
      </w:r>
      <w:r/>
    </w:p>
    <w:p>
      <w:pPr>
        <w:ind w:firstLine="2530"/>
        <w:jc w:val="both"/>
        <w:spacing w:after="0" w:line="480" w:lineRule="auto"/>
        <w:rPr>
          <w:rFonts w:ascii="仿宋" w:hAnsi="仿宋" w:eastAsia="仿宋" w:cs="仿宋"/>
          <w:b/>
          <w:sz w:val="36"/>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lang w:eastAsia="zh-CN"/>
        </w:rPr>
        <w:t xml:space="preserve">  配套项目</w:t>
      </w:r>
      <w:r/>
    </w:p>
    <w:p>
      <w:pPr>
        <w:ind w:firstLine="1084"/>
        <w:jc w:val="both"/>
        <w:spacing w:after="0" w:line="480" w:lineRule="auto"/>
        <w:rPr>
          <w:rFonts w:ascii="仿宋" w:hAnsi="仿宋" w:eastAsia="仿宋" w:cs="仿宋"/>
          <w:b/>
          <w:sz w:val="36"/>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lang w:eastAsia="zh-CN"/>
        </w:rPr>
        <w:t xml:space="preserve">采购单位：太仓市公安局</w:t>
      </w:r>
      <w:r/>
    </w:p>
    <w:p>
      <w:pPr>
        <w:ind w:firstLine="1084"/>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lang w:eastAsia="zh-CN"/>
        </w:rPr>
        <w:t xml:space="preserve">采购项目类别：</w:t>
      </w:r>
      <w:r>
        <w:rPr>
          <w:rFonts w:hint="eastAsia" w:ascii="仿宋" w:hAnsi="仿宋" w:eastAsia="仿宋" w:cs="仿宋"/>
          <w:b/>
          <w:sz w:val="36"/>
          <w:lang w:val="en-US" w:eastAsia="zh-CN"/>
        </w:rPr>
        <w:t xml:space="preserve">货物</w:t>
      </w:r>
      <w:r>
        <w:rPr>
          <w:rFonts w:hint="eastAsia" w:ascii="仿宋" w:hAnsi="仿宋" w:eastAsia="仿宋" w:cs="仿宋"/>
          <w:b/>
          <w:sz w:val="36"/>
          <w:lang w:eastAsia="zh-CN"/>
        </w:rPr>
        <w:t xml:space="preserve">类</w:t>
      </w:r>
      <w:r/>
    </w:p>
    <w:p>
      <w:pPr>
        <w:ind w:firstLine="1084"/>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lang w:eastAsia="zh-CN"/>
        </w:rPr>
        <w:t xml:space="preserve">标的所属行业：</w:t>
      </w:r>
      <w:r>
        <w:rPr>
          <w:rFonts w:hint="eastAsia" w:ascii="仿宋" w:hAnsi="仿宋" w:eastAsia="仿宋" w:cs="仿宋"/>
          <w:b/>
          <w:sz w:val="36"/>
          <w:szCs w:val="36"/>
          <w:lang w:val="en-US" w:eastAsia="zh-CN"/>
        </w:rPr>
        <w:t xml:space="preserve">工业</w:t>
      </w:r>
      <w:r/>
    </w:p>
    <w:p>
      <w:pPr>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lang w:eastAsia="zh-CN"/>
        </w:rPr>
        <w:t xml:space="preserve"> </w:t>
      </w:r>
      <w:r/>
    </w:p>
    <w:p>
      <w:pPr>
        <w:jc w:val="center"/>
        <w:spacing w:after="0" w:line="85" w:lineRule="atLeast"/>
        <w:rPr>
          <w:rFonts w:ascii="仿宋" w:hAnsi="仿宋" w:eastAsia="仿宋" w:cs="仿宋"/>
          <w:sz w:val="4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44"/>
          <w:lang w:eastAsia="zh-CN"/>
        </w:rPr>
      </w:r>
      <w:r/>
    </w:p>
    <w:p>
      <w:pPr>
        <w:jc w:val="center"/>
        <w:spacing w:after="0" w:line="85" w:lineRule="atLeast"/>
        <w:rPr>
          <w:rFonts w:ascii="仿宋" w:hAnsi="仿宋" w:eastAsia="仿宋" w:cs="仿宋"/>
          <w:sz w:val="4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44"/>
          <w:lang w:eastAsia="zh-CN"/>
        </w:rPr>
      </w:r>
      <w:r/>
    </w:p>
    <w:p>
      <w:pPr>
        <w:jc w:val="center"/>
        <w:spacing w:after="0" w:line="85" w:lineRule="atLeast"/>
        <w:rPr>
          <w:rFonts w:ascii="仿宋" w:hAnsi="仿宋" w:eastAsia="仿宋" w:cs="仿宋"/>
          <w:sz w:val="4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44"/>
          <w:lang w:eastAsia="zh-CN"/>
        </w:rPr>
      </w:r>
      <w:r/>
    </w:p>
    <w:p>
      <w:pPr>
        <w:jc w:val="center"/>
        <w:spacing w:after="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44"/>
          <w:lang w:eastAsia="zh-CN"/>
        </w:rPr>
        <w:t xml:space="preserve">苏州市公共资源交易中心太仓分中心</w:t>
      </w:r>
      <w:r/>
    </w:p>
    <w:p>
      <w:pPr>
        <w:jc w:val="center"/>
        <w:spacing w:after="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44"/>
          <w:lang w:eastAsia="zh-CN"/>
        </w:rPr>
        <w:t xml:space="preserve">2024年</w:t>
      </w:r>
      <w:r>
        <w:rPr>
          <w:rFonts w:hint="eastAsia" w:ascii="仿宋" w:hAnsi="仿宋" w:eastAsia="仿宋" w:cs="仿宋"/>
          <w:sz w:val="44"/>
          <w:lang w:val="en-US" w:eastAsia="zh-CN"/>
        </w:rPr>
        <w:t xml:space="preserve">10</w:t>
      </w:r>
      <w:r>
        <w:rPr>
          <w:rFonts w:hint="eastAsia" w:ascii="仿宋" w:hAnsi="仿宋" w:eastAsia="仿宋" w:cs="仿宋"/>
          <w:sz w:val="44"/>
          <w:lang w:eastAsia="zh-CN"/>
        </w:rPr>
        <w:t xml:space="preserve">月</w:t>
      </w:r>
      <w:r>
        <w:rPr>
          <w:rFonts w:hint="eastAsia" w:ascii="仿宋" w:hAnsi="仿宋" w:eastAsia="仿宋" w:cs="仿宋"/>
          <w:sz w:val="44"/>
          <w:lang w:eastAsia="zh-CN"/>
        </w:rPr>
        <w:br w:type="page" w:clear="all"/>
      </w:r>
      <w:r/>
    </w:p>
    <w:p>
      <w:pPr>
        <w:jc w:val="center"/>
        <w:spacing w:after="0" w:line="85" w:lineRule="atLeast"/>
        <w:rPr>
          <w:rFonts w:ascii="仿宋" w:hAnsi="仿宋" w:eastAsia="仿宋" w:cs="仿宋"/>
          <w:b/>
          <w:sz w:val="36"/>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6"/>
          <w:lang w:eastAsia="zh-CN"/>
        </w:rPr>
      </w:r>
      <w:r/>
    </w:p>
    <w:p>
      <w:pPr>
        <w:jc w:val="center"/>
        <w:spacing w:after="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lang w:eastAsia="zh-CN"/>
        </w:rPr>
        <w:t xml:space="preserve">目录</w:t>
      </w:r>
      <w:r/>
    </w:p>
    <w:p>
      <w:pPr>
        <w:jc w:val="both"/>
        <w:spacing w:after="0" w:line="480" w:lineRule="auto"/>
        <w:rPr>
          <w:rFonts w:ascii="仿宋" w:hAnsi="仿宋" w:eastAsia="仿宋" w:cs="仿宋"/>
          <w:sz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30"/>
          <w:lang w:eastAsia="zh-CN"/>
        </w:rPr>
      </w:r>
      <w:r/>
    </w:p>
    <w:p>
      <w:pPr>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lang w:eastAsia="zh-CN"/>
        </w:rPr>
        <w:t xml:space="preserve">第一部分：招标公告</w:t>
      </w:r>
      <w:r/>
    </w:p>
    <w:p>
      <w:pPr>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lang w:eastAsia="zh-CN"/>
        </w:rPr>
        <w:t xml:space="preserve">第二部分：投标人须知</w:t>
      </w:r>
      <w:r/>
    </w:p>
    <w:p>
      <w:pPr>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lang w:eastAsia="zh-CN"/>
        </w:rPr>
        <w:t xml:space="preserve">第三部分：项目需求</w:t>
      </w:r>
      <w:r/>
    </w:p>
    <w:p>
      <w:pPr>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lang w:eastAsia="zh-CN"/>
        </w:rPr>
        <w:t xml:space="preserve">第四部分：投标文件格式</w:t>
      </w:r>
      <w:r/>
    </w:p>
    <w:p>
      <w:pPr>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lang w:eastAsia="zh-CN"/>
        </w:rPr>
        <w:t xml:space="preserve">第五部分：评标方法与评标标准</w:t>
      </w:r>
      <w:r/>
    </w:p>
    <w:p>
      <w:pPr>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lang w:eastAsia="zh-CN"/>
        </w:rPr>
        <w:t xml:space="preserve">第六部分：合同格式</w:t>
      </w:r>
      <w:r/>
    </w:p>
    <w:p>
      <w:pPr>
        <w:spacing w:before="240" w:after="24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spacing w:before="240" w:after="24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spacing w:before="240" w:after="24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spacing w:before="240" w:after="24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spacing w:before="240" w:after="24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spacing w:before="240" w:after="24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jc w:val="center"/>
        <w:spacing w:before="240" w:after="24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lang w:eastAsia="zh-CN"/>
        </w:rPr>
        <w:br w:type="page" w:clear="all"/>
      </w:r>
      <w:r/>
    </w:p>
    <w:p>
      <w:pPr>
        <w:jc w:val="center"/>
        <w:spacing w:before="240" w:after="240"/>
        <w:rPr>
          <w:rFonts w:ascii="仿宋" w:hAnsi="仿宋" w:eastAsia="仿宋" w:cs="仿宋"/>
          <w:b/>
          <w:sz w:val="4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lang w:eastAsia="zh-CN"/>
        </w:rPr>
        <w:t xml:space="preserve">第一部分  招标公告</w:t>
      </w:r>
      <w:r/>
    </w:p>
    <w:p>
      <w:pPr>
        <w:pStyle w:val="1001"/>
        <w:ind w:firstLine="0"/>
        <w:rPr>
          <w:rFonts w:ascii="仿宋" w:hAnsi="仿宋" w:eastAsia="仿宋" w:cs="仿宋"/>
        </w:rPr>
      </w:pPr>
      <w:r>
        <w:rPr>
          <w:rFonts w:ascii="仿宋" w:hAnsi="仿宋" w:eastAsia="仿宋" w:cs="仿宋"/>
        </w:rPr>
      </w:r>
      <w:r/>
    </w:p>
    <w:tbl>
      <w:tblPr>
        <w:tblStyle w:val="976"/>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733"/>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1047"/>
              <w:spacing w:after="0" w:line="15" w:lineRule="atLeast"/>
              <w:rPr>
                <w:rFonts w:ascii="仿宋" w:hAnsi="仿宋" w:eastAsia="仿宋" w:cs="仿宋"/>
                <w:szCs w:val="24"/>
              </w:rPr>
            </w:pPr>
            <w:r>
              <w:rPr>
                <w:rFonts w:hint="eastAsia" w:ascii="仿宋" w:hAnsi="仿宋" w:eastAsia="仿宋" w:cs="仿宋"/>
                <w:szCs w:val="24"/>
              </w:rPr>
              <w:t xml:space="preserve">项目概况</w:t>
            </w:r>
            <w:r/>
          </w:p>
          <w:p>
            <w:pPr>
              <w:pStyle w:val="1047"/>
              <w:spacing w:after="0" w:line="15" w:lineRule="atLeast"/>
              <w:rPr>
                <w:rFonts w:ascii="仿宋" w:hAnsi="仿宋" w:eastAsia="仿宋" w:cs="仿宋"/>
                <w:szCs w:val="24"/>
              </w:rPr>
            </w:pPr>
            <w:r>
              <w:rPr>
                <w:rFonts w:hint="eastAsia" w:ascii="仿宋" w:hAnsi="仿宋" w:eastAsia="仿宋" w:cs="仿宋"/>
                <w:szCs w:val="24"/>
                <w:lang w:eastAsia="zh-CN"/>
              </w:rPr>
              <w:t xml:space="preserve">太仓市智慧城市新型基础设施软硬件配套项目</w:t>
            </w:r>
            <w:r>
              <w:rPr>
                <w:rFonts w:hint="eastAsia" w:ascii="仿宋" w:hAnsi="仿宋" w:eastAsia="仿宋" w:cs="仿宋"/>
                <w:szCs w:val="24"/>
              </w:rPr>
              <w:t xml:space="preserve">采购 </w:t>
            </w:r>
            <w:r>
              <w:rPr>
                <w:rFonts w:hint="eastAsia" w:ascii="仿宋" w:hAnsi="仿宋" w:eastAsia="仿宋" w:cs="仿宋"/>
                <w:szCs w:val="24"/>
                <w:lang w:eastAsia="zh-CN"/>
              </w:rPr>
              <w:t xml:space="preserve">JSZC-320585-JZCG-G2024-0111</w:t>
            </w:r>
            <w:r>
              <w:rPr>
                <w:rFonts w:hint="eastAsia" w:ascii="仿宋" w:hAnsi="仿宋" w:eastAsia="仿宋" w:cs="仿宋"/>
                <w:szCs w:val="24"/>
              </w:rPr>
              <w:t xml:space="preserve">招标项目的潜在投标人应在“苏采云”系统（网址：http://jszfcg.jsczt.cn/）自行下载获取招标文件，并于2024-</w:t>
            </w:r>
            <w:r>
              <w:rPr>
                <w:rFonts w:hint="eastAsia" w:ascii="仿宋" w:hAnsi="仿宋" w:eastAsia="仿宋" w:cs="仿宋"/>
                <w:szCs w:val="24"/>
                <w:lang w:val="en-US" w:eastAsia="zh-CN"/>
              </w:rPr>
              <w:t xml:space="preserve">11</w:t>
            </w:r>
            <w:r>
              <w:rPr>
                <w:rFonts w:hint="eastAsia" w:ascii="仿宋" w:hAnsi="仿宋" w:eastAsia="仿宋" w:cs="仿宋"/>
                <w:szCs w:val="24"/>
              </w:rPr>
              <w:t xml:space="preserve">月-</w:t>
            </w:r>
            <w:r>
              <w:rPr>
                <w:rFonts w:hint="eastAsia" w:ascii="仿宋" w:hAnsi="仿宋" w:eastAsia="仿宋" w:cs="仿宋"/>
                <w:szCs w:val="24"/>
                <w:lang w:val="en-US" w:eastAsia="zh-CN"/>
              </w:rPr>
              <w:t xml:space="preserve">20</w:t>
            </w:r>
            <w:r>
              <w:rPr>
                <w:rFonts w:hint="eastAsia" w:ascii="仿宋" w:hAnsi="仿宋" w:eastAsia="仿宋" w:cs="仿宋"/>
                <w:szCs w:val="24"/>
              </w:rPr>
              <w:t xml:space="preserve">日 09:30 （北京时间）前递交投标文件。</w:t>
            </w:r>
            <w:r/>
          </w:p>
        </w:tc>
      </w:tr>
    </w:tbl>
    <w:p>
      <w:pPr>
        <w:pStyle w:val="967"/>
        <w:numPr>
          <w:ilvl w:val="1"/>
          <w:numId w:val="0"/>
        </w:numPr>
        <w:keepLines w:val="0"/>
        <w:keepNext w:val="0"/>
        <w:pageBreakBefore w:val="0"/>
        <w:spacing w:before="0" w:after="0" w:line="560" w:lineRule="exact"/>
        <w:shd w:val="clear" w:color="auto" w:fill="ffffff"/>
        <w:rPr>
          <w:rFonts w:ascii="仿宋" w:hAnsi="仿宋" w:eastAsia="仿宋" w:cs="仿宋"/>
          <w:lang w:eastAsia="zh-CN"/>
        </w:rPr>
      </w:pPr>
      <w:r>
        <w:rPr>
          <w:rStyle w:val="1055"/>
          <w:rFonts w:hint="eastAsia" w:ascii="仿宋" w:hAnsi="仿宋" w:eastAsia="仿宋" w:cs="仿宋"/>
          <w:b w:val="0"/>
          <w:bCs w:val="0"/>
          <w:sz w:val="28"/>
          <w:szCs w:val="28"/>
          <w:shd w:val="clear" w:color="auto" w:fill="ffffff"/>
          <w:lang w:eastAsia="zh-CN"/>
        </w:rPr>
        <w:t xml:space="preserve">一、项目基本情况</w:t>
      </w:r>
      <w:r/>
    </w:p>
    <w:p>
      <w:pPr>
        <w:pStyle w:val="1047"/>
        <w:keepLines w:val="0"/>
        <w:keepNext w:val="0"/>
        <w:pageBreakBefore w:val="0"/>
        <w:spacing w:after="0" w:line="560" w:lineRule="exact"/>
        <w:shd w:val="clear" w:color="auto" w:fill="ffffff"/>
        <w:rPr>
          <w:rFonts w:hint="eastAsia" w:ascii="仿宋" w:hAnsi="仿宋" w:eastAsia="仿宋" w:cs="仿宋"/>
          <w:szCs w:val="24"/>
          <w:lang w:eastAsia="zh-CN"/>
        </w:rPr>
      </w:pPr>
      <w:r>
        <w:rPr>
          <w:rFonts w:hint="eastAsia" w:ascii="仿宋" w:hAnsi="仿宋" w:eastAsia="仿宋" w:cs="仿宋"/>
          <w:szCs w:val="24"/>
          <w:shd w:val="clear" w:color="auto" w:fill="ffffff"/>
        </w:rPr>
        <w:t xml:space="preserve">项目编号：</w:t>
      </w:r>
      <w:r>
        <w:rPr>
          <w:rFonts w:hint="eastAsia" w:ascii="仿宋" w:hAnsi="仿宋" w:eastAsia="仿宋" w:cs="仿宋"/>
          <w:szCs w:val="24"/>
          <w:shd w:val="clear" w:color="auto" w:fill="ffffff"/>
          <w:lang w:eastAsia="zh-CN"/>
        </w:rPr>
        <w:t xml:space="preserve">JSZC-320585-JZCG-G2024-0111</w:t>
      </w:r>
      <w:r/>
    </w:p>
    <w:p>
      <w:pPr>
        <w:pStyle w:val="1047"/>
        <w:keepLines w:val="0"/>
        <w:keepNext w:val="0"/>
        <w:pageBreakBefore w:val="0"/>
        <w:spacing w:after="0" w:line="560" w:lineRule="exact"/>
        <w:shd w:val="clear" w:color="auto" w:fill="ffffff"/>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项目名称：</w:t>
      </w:r>
      <w:r>
        <w:rPr>
          <w:rFonts w:hint="eastAsia" w:ascii="仿宋" w:hAnsi="仿宋" w:eastAsia="仿宋" w:cs="仿宋"/>
          <w:szCs w:val="24"/>
          <w:shd w:val="clear" w:color="auto" w:fill="ffffff"/>
          <w:lang w:eastAsia="zh-CN"/>
        </w:rPr>
        <w:t xml:space="preserve">太仓市智慧城市新型基础设施软硬件配套项目</w:t>
      </w:r>
      <w:r>
        <w:rPr>
          <w:rFonts w:hint="eastAsia" w:ascii="仿宋" w:hAnsi="仿宋" w:eastAsia="仿宋" w:cs="仿宋"/>
          <w:szCs w:val="24"/>
          <w:shd w:val="clear" w:color="auto" w:fill="ffffff"/>
        </w:rPr>
        <w:t xml:space="preserve"> </w:t>
      </w:r>
      <w:r/>
    </w:p>
    <w:p>
      <w:pPr>
        <w:pStyle w:val="1047"/>
        <w:keepLines w:val="0"/>
        <w:keepNext w:val="0"/>
        <w:pageBreakBefore w:val="0"/>
        <w:spacing w:after="0" w:line="560" w:lineRule="exact"/>
        <w:shd w:val="clear" w:color="auto" w:fill="ffffff"/>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预算金额：</w:t>
      </w:r>
      <w:r>
        <w:rPr>
          <w:rFonts w:hint="eastAsia" w:ascii="仿宋" w:hAnsi="仿宋" w:eastAsia="仿宋" w:cs="仿宋"/>
          <w:szCs w:val="24"/>
          <w:shd w:val="clear" w:color="auto" w:fill="ffffff"/>
          <w:lang w:eastAsia="zh-CN"/>
        </w:rPr>
        <w:t xml:space="preserve">17,923.02</w:t>
      </w:r>
      <w:r>
        <w:rPr>
          <w:rFonts w:hint="eastAsia" w:ascii="仿宋" w:hAnsi="仿宋" w:eastAsia="仿宋" w:cs="仿宋"/>
          <w:szCs w:val="24"/>
          <w:shd w:val="clear" w:color="auto" w:fill="ffffff"/>
        </w:rPr>
        <w:t xml:space="preserve">万元 </w:t>
      </w:r>
      <w:r/>
    </w:p>
    <w:p>
      <w:pPr>
        <w:pStyle w:val="1047"/>
        <w:keepLines w:val="0"/>
        <w:keepNext w:val="0"/>
        <w:pageBreakBefore w:val="0"/>
        <w:spacing w:after="0" w:line="560" w:lineRule="exact"/>
        <w:shd w:val="clear" w:color="auto" w:fill="ffffff"/>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最高限价（如有）：</w:t>
      </w:r>
      <w:r>
        <w:rPr>
          <w:rFonts w:hint="eastAsia" w:ascii="仿宋" w:hAnsi="仿宋" w:eastAsia="仿宋" w:cs="仿宋"/>
          <w:szCs w:val="24"/>
          <w:shd w:val="clear" w:color="auto" w:fill="ffffff"/>
          <w:lang w:eastAsia="zh-CN"/>
        </w:rPr>
        <w:t xml:space="preserve">17,923.02</w:t>
      </w:r>
      <w:r>
        <w:rPr>
          <w:rFonts w:hint="eastAsia" w:ascii="仿宋" w:hAnsi="仿宋" w:eastAsia="仿宋" w:cs="仿宋"/>
          <w:szCs w:val="24"/>
          <w:shd w:val="clear" w:color="auto" w:fill="ffffff"/>
        </w:rPr>
        <w:t xml:space="preserve">万元</w:t>
      </w:r>
      <w:r/>
    </w:p>
    <w:p>
      <w:pPr>
        <w:pStyle w:val="1047"/>
        <w:keepLines w:val="0"/>
        <w:keepNext w:val="0"/>
        <w:pageBreakBefore w:val="0"/>
        <w:spacing w:after="0" w:line="560" w:lineRule="exact"/>
        <w:shd w:val="clear" w:color="auto" w:fill="ffffff"/>
        <w:rPr>
          <w:rFonts w:ascii="仿宋" w:hAnsi="仿宋" w:eastAsia="仿宋" w:cs="仿宋"/>
          <w:szCs w:val="24"/>
        </w:rPr>
      </w:pPr>
      <w:r>
        <w:rPr>
          <w:rFonts w:hint="eastAsia" w:ascii="仿宋" w:hAnsi="仿宋" w:eastAsia="仿宋" w:cs="仿宋"/>
          <w:szCs w:val="24"/>
          <w:shd w:val="clear" w:color="auto" w:fill="ffffff"/>
        </w:rPr>
        <w:t xml:space="preserve">采购方式：公开招标 </w:t>
      </w:r>
      <w:r/>
    </w:p>
    <w:p>
      <w:pPr>
        <w:pStyle w:val="1047"/>
        <w:keepLines w:val="0"/>
        <w:keepNext w:val="0"/>
        <w:pageBreakBefore w:val="0"/>
        <w:spacing w:after="0" w:line="560" w:lineRule="exact"/>
        <w:shd w:val="clear" w:color="auto" w:fill="ffffff"/>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采购需求：</w:t>
      </w:r>
      <w:r/>
    </w:p>
    <w:p>
      <w:pPr>
        <w:pStyle w:val="1047"/>
        <w:ind w:firstLine="480"/>
        <w:keepLines w:val="0"/>
        <w:keepNext w:val="0"/>
        <w:pageBreakBefore w:val="0"/>
        <w:spacing w:after="0" w:line="560" w:lineRule="exact"/>
        <w:shd w:val="clear" w:color="auto" w:fill="ffffff"/>
        <w:widowControl/>
        <w:rPr>
          <w:rFonts w:hint="eastAsia" w:ascii="仿宋" w:hAnsi="仿宋" w:eastAsia="仿宋" w:cs="仿宋"/>
          <w:szCs w:val="24"/>
          <w:shd w:val="clear" w:color="auto" w:fill="ffffff"/>
          <w:lang w:val="en-US" w:eastAsia="zh-CN"/>
        </w:rPr>
      </w:pPr>
      <w:r>
        <w:rPr>
          <w:rFonts w:hint="eastAsia" w:ascii="仿宋" w:hAnsi="仿宋" w:eastAsia="仿宋" w:cs="仿宋"/>
          <w:szCs w:val="24"/>
          <w:shd w:val="clear" w:color="auto" w:fill="ffffff"/>
        </w:rPr>
        <w:t xml:space="preserve">随着太仓智慧交通一期建设的完成，除了一期建设发现的问题和不足将在本项目的建设中进行补足和优化，亟需从智慧交通到智慧城市推进。全面构建以新发展为理念，以技术创新为驱动，以信息网络为基础的太仓市智慧城市新型基础设施建设，面向高质量发展需要，提供数字转型、智能升级、融合创新等的基础设施体系。主要包括感知体系建设、数字基座扩能、业务应用拓展等方面。</w:t>
      </w:r>
      <w:r>
        <w:rPr>
          <w:rFonts w:hint="eastAsia" w:ascii="仿宋" w:hAnsi="仿宋" w:eastAsia="仿宋" w:cs="仿宋"/>
          <w:szCs w:val="24"/>
          <w:shd w:val="clear" w:color="auto" w:fill="ffffff"/>
          <w:lang w:eastAsia="zh-CN"/>
        </w:rPr>
        <w:t xml:space="preserve">（</w:t>
      </w:r>
      <w:r>
        <w:rPr>
          <w:rFonts w:hint="eastAsia" w:ascii="仿宋" w:hAnsi="仿宋" w:eastAsia="仿宋" w:cs="仿宋"/>
          <w:szCs w:val="24"/>
          <w:shd w:val="clear" w:color="auto" w:fill="ffffff"/>
          <w:lang w:val="en-US" w:eastAsia="zh-CN"/>
        </w:rPr>
        <w:t xml:space="preserve">具体采购产品、规格、数量以采购文件项目需求部分为准</w:t>
      </w:r>
      <w:r>
        <w:rPr>
          <w:rFonts w:hint="eastAsia" w:ascii="仿宋" w:hAnsi="仿宋" w:eastAsia="仿宋" w:cs="仿宋"/>
          <w:szCs w:val="24"/>
          <w:shd w:val="clear" w:color="auto" w:fill="ffffff"/>
          <w:lang w:eastAsia="zh-CN"/>
        </w:rPr>
        <w:t xml:space="preserve">）</w:t>
      </w:r>
      <w:r/>
    </w:p>
    <w:tbl>
      <w:tblPr>
        <w:tblStyle w:val="976"/>
        <w:tblW w:w="4982" w:type="pct"/>
        <w:tblInd w:w="0" w:type="dxa"/>
        <w:tblLayout w:type="fixed"/>
        <w:tblCellMar>
          <w:left w:w="108" w:type="dxa"/>
          <w:top w:w="0" w:type="dxa"/>
          <w:right w:w="108" w:type="dxa"/>
          <w:bottom w:w="0" w:type="dxa"/>
        </w:tblCellMar>
        <w:tblLook w:val="04A0" w:firstRow="1" w:lastRow="0" w:firstColumn="1" w:lastColumn="0" w:noHBand="0" w:noVBand="1"/>
      </w:tblPr>
      <w:tblGrid>
        <w:gridCol w:w="770"/>
        <w:gridCol w:w="1986"/>
        <w:gridCol w:w="5104"/>
        <w:gridCol w:w="761"/>
        <w:gridCol w:w="916"/>
      </w:tblGrid>
      <w:tr>
        <w:trPr>
          <w:trHeight w:val="300"/>
          <w:tblHeader/>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ind w:firstLine="0"/>
              <w:jc w:val="center"/>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系统／设备名称</w:t>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ind w:firstLine="0"/>
              <w:jc w:val="center"/>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规格及配置</w:t>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ind w:firstLine="0"/>
              <w:jc w:val="center"/>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数量</w:t>
            </w:r>
            <w:r/>
          </w:p>
        </w:tc>
      </w:tr>
      <w:tr>
        <w:trPr>
          <w:trHeight w:val="333"/>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交通信号控制机</w:t>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257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灯驱板</w:t>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1515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hint="eastAsia" w:ascii="宋体" w:hAnsi="宋体" w:eastAsia="宋体" w:cs="宋体"/>
                <w:color w:val="000000"/>
                <w:sz w:val="15"/>
                <w:szCs w:val="15"/>
                <w:lang w:bidi="ar"/>
              </w:rPr>
            </w:pPr>
            <w:r>
              <w:rPr>
                <w:rFonts w:hint="eastAsia" w:ascii="宋体" w:hAnsi="宋体" w:eastAsia="宋体" w:cs="宋体"/>
                <w:color w:val="000000"/>
                <w:sz w:val="15"/>
                <w:szCs w:val="15"/>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ind w:firstLine="0"/>
              <w:jc w:val="left"/>
              <w:spacing w:line="240" w:lineRule="auto"/>
              <w:widowControl/>
              <w:rPr>
                <w:rFonts w:hint="default" w:ascii="宋体" w:hAnsi="宋体" w:eastAsia="宋体" w:cs="宋体"/>
                <w:color w:val="000000"/>
                <w:sz w:val="15"/>
                <w:szCs w:val="15"/>
                <w:lang w:val="en-US" w:eastAsia="zh-CN" w:bidi="ar"/>
              </w:rPr>
            </w:pPr>
            <w:r>
              <w:rPr>
                <w:rFonts w:hint="eastAsia" w:ascii="宋体" w:hAnsi="宋体" w:eastAsia="宋体" w:cs="宋体"/>
                <w:color w:val="000000"/>
                <w:sz w:val="15"/>
                <w:szCs w:val="15"/>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ind w:firstLine="0"/>
              <w:jc w:val="left"/>
              <w:spacing w:line="240" w:lineRule="auto"/>
              <w:widowControl/>
              <w:rPr>
                <w:rFonts w:hint="eastAsia" w:ascii="宋体" w:hAnsi="宋体" w:eastAsia="宋体" w:cs="宋体"/>
                <w:color w:val="000000"/>
                <w:sz w:val="15"/>
                <w:szCs w:val="15"/>
                <w:lang w:bidi="ar"/>
              </w:rPr>
            </w:pPr>
            <w:r>
              <w:rPr>
                <w:rFonts w:hint="eastAsia" w:ascii="宋体" w:hAnsi="宋体" w:eastAsia="宋体" w:cs="宋体"/>
                <w:color w:val="000000"/>
                <w:sz w:val="15"/>
                <w:szCs w:val="15"/>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ind w:firstLine="0"/>
              <w:jc w:val="center"/>
              <w:spacing w:line="240" w:lineRule="auto"/>
              <w:widowControl/>
              <w:rPr>
                <w:rFonts w:hint="eastAsia" w:ascii="宋体" w:hAnsi="宋体" w:eastAsia="宋体" w:cs="宋体"/>
                <w:color w:val="000000"/>
                <w:sz w:val="15"/>
                <w:szCs w:val="15"/>
                <w:lang w:bidi="ar"/>
              </w:rPr>
            </w:pPr>
            <w:r>
              <w:rPr>
                <w:rFonts w:hint="eastAsia" w:ascii="宋体" w:hAnsi="宋体" w:eastAsia="宋体" w:cs="宋体"/>
                <w:color w:val="000000"/>
                <w:sz w:val="15"/>
                <w:szCs w:val="15"/>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hint="eastAsia" w:ascii="宋体" w:hAnsi="宋体" w:eastAsia="宋体" w:cs="宋体"/>
                <w:color w:val="000000"/>
                <w:sz w:val="15"/>
                <w:szCs w:val="15"/>
                <w:lang w:bidi="ar"/>
              </w:rPr>
            </w:pPr>
            <w:r>
              <w:rPr>
                <w:rFonts w:hint="eastAsia" w:ascii="宋体" w:hAnsi="宋体" w:eastAsia="宋体" w:cs="宋体"/>
                <w:color w:val="000000"/>
                <w:sz w:val="15"/>
                <w:szCs w:val="15"/>
                <w:lang w:bidi="ar"/>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高清摄像机</w:t>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hint="eastAsia" w:ascii="宋体" w:hAnsi="宋体" w:eastAsia="宋体" w:cs="宋体"/>
                <w:color w:val="000000"/>
                <w:sz w:val="15"/>
                <w:szCs w:val="15"/>
                <w:lang w:bidi="ar"/>
              </w:rPr>
            </w:pPr>
            <w:r>
              <w:rPr>
                <w:rFonts w:hint="eastAsia" w:ascii="宋体" w:hAnsi="宋体" w:eastAsia="宋体" w:cs="宋体"/>
                <w:color w:val="000000"/>
                <w:sz w:val="15"/>
                <w:szCs w:val="15"/>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ind w:firstLine="0"/>
              <w:jc w:val="left"/>
              <w:spacing w:line="240" w:lineRule="auto"/>
              <w:widowControl/>
              <w:rPr>
                <w:rFonts w:hint="default" w:ascii="宋体" w:hAnsi="宋体" w:eastAsia="宋体" w:cs="宋体"/>
                <w:color w:val="000000"/>
                <w:sz w:val="15"/>
                <w:szCs w:val="15"/>
                <w:lang w:val="en-US" w:eastAsia="zh-CN" w:bidi="ar"/>
              </w:rPr>
            </w:pPr>
            <w:r>
              <w:rPr>
                <w:rFonts w:hint="eastAsia" w:ascii="宋体" w:hAnsi="宋体" w:eastAsia="宋体" w:cs="宋体"/>
                <w:color w:val="000000"/>
                <w:sz w:val="15"/>
                <w:szCs w:val="15"/>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ind w:firstLine="0"/>
              <w:jc w:val="left"/>
              <w:spacing w:line="240" w:lineRule="auto"/>
              <w:widowControl/>
              <w:rPr>
                <w:rFonts w:hint="eastAsia" w:ascii="宋体" w:hAnsi="宋体" w:eastAsia="宋体" w:cs="宋体"/>
                <w:color w:val="000000"/>
                <w:sz w:val="15"/>
                <w:szCs w:val="15"/>
                <w:lang w:bidi="ar"/>
              </w:rPr>
            </w:pPr>
            <w:r>
              <w:rPr>
                <w:rFonts w:hint="eastAsia" w:ascii="宋体" w:hAnsi="宋体" w:eastAsia="宋体" w:cs="宋体"/>
                <w:color w:val="000000"/>
                <w:sz w:val="15"/>
                <w:szCs w:val="15"/>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ind w:firstLine="0"/>
              <w:jc w:val="center"/>
              <w:spacing w:line="240" w:lineRule="auto"/>
              <w:widowControl/>
              <w:rPr>
                <w:rFonts w:hint="eastAsia" w:ascii="宋体" w:hAnsi="宋体" w:eastAsia="宋体" w:cs="宋体"/>
                <w:color w:val="000000"/>
                <w:sz w:val="15"/>
                <w:szCs w:val="15"/>
                <w:lang w:bidi="ar"/>
              </w:rPr>
            </w:pPr>
            <w:r>
              <w:rPr>
                <w:rFonts w:hint="eastAsia" w:ascii="宋体" w:hAnsi="宋体" w:eastAsia="宋体" w:cs="宋体"/>
                <w:color w:val="000000"/>
                <w:sz w:val="15"/>
                <w:szCs w:val="15"/>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hint="eastAsia" w:ascii="宋体" w:hAnsi="宋体" w:eastAsia="宋体" w:cs="宋体"/>
                <w:color w:val="000000"/>
                <w:sz w:val="15"/>
                <w:szCs w:val="15"/>
                <w:lang w:bidi="ar"/>
              </w:rPr>
            </w:pPr>
            <w:r>
              <w:rPr>
                <w:rFonts w:hint="eastAsia" w:ascii="宋体" w:hAnsi="宋体" w:eastAsia="宋体" w:cs="宋体"/>
                <w:color w:val="000000"/>
                <w:sz w:val="15"/>
                <w:szCs w:val="15"/>
                <w:lang w:bidi="ar"/>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铁骑移动采集设备</w:t>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65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hint="eastAsia" w:ascii="宋体" w:hAnsi="宋体" w:eastAsia="宋体" w:cs="宋体"/>
                <w:color w:val="000000"/>
                <w:sz w:val="15"/>
                <w:szCs w:val="15"/>
                <w:lang w:bidi="ar"/>
              </w:rPr>
            </w:pPr>
            <w:r>
              <w:rPr>
                <w:rFonts w:hint="eastAsia" w:ascii="宋体" w:hAnsi="宋体" w:eastAsia="宋体" w:cs="宋体"/>
                <w:color w:val="000000"/>
                <w:sz w:val="15"/>
                <w:szCs w:val="15"/>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ind w:firstLine="0"/>
              <w:jc w:val="left"/>
              <w:spacing w:line="240" w:lineRule="auto"/>
              <w:widowControl/>
              <w:rPr>
                <w:rFonts w:hint="default" w:ascii="宋体" w:hAnsi="宋体" w:eastAsia="宋体" w:cs="宋体"/>
                <w:color w:val="000000"/>
                <w:sz w:val="15"/>
                <w:szCs w:val="15"/>
                <w:lang w:val="en-US" w:eastAsia="zh-CN" w:bidi="ar"/>
              </w:rPr>
            </w:pPr>
            <w:r>
              <w:rPr>
                <w:rFonts w:hint="eastAsia" w:ascii="宋体" w:hAnsi="宋体" w:eastAsia="宋体" w:cs="宋体"/>
                <w:color w:val="000000"/>
                <w:sz w:val="15"/>
                <w:szCs w:val="15"/>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ind w:firstLine="0"/>
              <w:jc w:val="left"/>
              <w:spacing w:line="240" w:lineRule="auto"/>
              <w:widowControl/>
              <w:rPr>
                <w:rFonts w:hint="eastAsia" w:ascii="宋体" w:hAnsi="宋体" w:eastAsia="宋体" w:cs="宋体"/>
                <w:color w:val="000000"/>
                <w:sz w:val="15"/>
                <w:szCs w:val="15"/>
                <w:lang w:bidi="ar"/>
              </w:rPr>
            </w:pPr>
            <w:r>
              <w:rPr>
                <w:rFonts w:hint="eastAsia" w:ascii="宋体" w:hAnsi="宋体" w:eastAsia="宋体" w:cs="宋体"/>
                <w:color w:val="000000"/>
                <w:sz w:val="15"/>
                <w:szCs w:val="15"/>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ind w:firstLine="0"/>
              <w:jc w:val="center"/>
              <w:spacing w:line="240" w:lineRule="auto"/>
              <w:widowControl/>
              <w:rPr>
                <w:rFonts w:hint="eastAsia" w:ascii="宋体" w:hAnsi="宋体" w:eastAsia="宋体" w:cs="宋体"/>
                <w:color w:val="000000"/>
                <w:sz w:val="15"/>
                <w:szCs w:val="15"/>
                <w:lang w:bidi="ar"/>
              </w:rPr>
            </w:pPr>
            <w:r>
              <w:rPr>
                <w:rFonts w:hint="eastAsia" w:ascii="宋体" w:hAnsi="宋体" w:eastAsia="宋体" w:cs="宋体"/>
                <w:color w:val="000000"/>
                <w:sz w:val="15"/>
                <w:szCs w:val="15"/>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hint="eastAsia" w:ascii="宋体" w:hAnsi="宋体" w:eastAsia="宋体" w:cs="宋体"/>
                <w:color w:val="000000"/>
                <w:sz w:val="15"/>
                <w:szCs w:val="15"/>
                <w:lang w:bidi="ar"/>
              </w:rPr>
            </w:pPr>
            <w:r>
              <w:rPr>
                <w:rFonts w:hint="eastAsia" w:ascii="宋体" w:hAnsi="宋体" w:eastAsia="宋体" w:cs="宋体"/>
                <w:color w:val="000000"/>
                <w:sz w:val="15"/>
                <w:szCs w:val="15"/>
                <w:lang w:bidi="ar"/>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一体化高清抓拍单元（尾牌）</w:t>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107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hint="eastAsia" w:ascii="宋体" w:hAnsi="宋体" w:eastAsia="宋体" w:cs="宋体"/>
                <w:color w:val="000000"/>
                <w:sz w:val="15"/>
                <w:szCs w:val="15"/>
                <w:lang w:bidi="ar"/>
              </w:rPr>
            </w:pPr>
            <w:r>
              <w:rPr>
                <w:rFonts w:hint="eastAsia" w:ascii="宋体" w:hAnsi="宋体" w:eastAsia="宋体" w:cs="宋体"/>
                <w:color w:val="000000"/>
                <w:sz w:val="15"/>
                <w:szCs w:val="15"/>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ind w:firstLine="0"/>
              <w:jc w:val="left"/>
              <w:spacing w:line="240" w:lineRule="auto"/>
              <w:widowControl/>
              <w:rPr>
                <w:rFonts w:hint="eastAsia" w:ascii="宋体" w:hAnsi="宋体" w:eastAsia="宋体" w:cs="宋体"/>
                <w:b/>
                <w:color w:val="000000"/>
                <w:sz w:val="15"/>
                <w:szCs w:val="15"/>
                <w:lang w:val="en-US" w:eastAsia="zh-CN" w:bidi="ar-SA"/>
              </w:rPr>
            </w:pPr>
            <w:r>
              <w:rPr>
                <w:rFonts w:hint="eastAsia" w:ascii="宋体" w:hAnsi="宋体" w:eastAsia="宋体" w:cs="宋体"/>
                <w:b/>
                <w:color w:val="000000"/>
                <w:sz w:val="15"/>
                <w:szCs w:val="15"/>
                <w:lang w:bidi="ar"/>
              </w:rPr>
              <w:t xml:space="preserve">训练服务器（核心产品）</w:t>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ind w:firstLine="0"/>
              <w:jc w:val="left"/>
              <w:spacing w:line="240" w:lineRule="auto"/>
              <w:widowControl/>
              <w:rPr>
                <w:rFonts w:hint="eastAsia" w:ascii="宋体" w:hAnsi="宋体" w:eastAsia="宋体" w:cs="宋体"/>
                <w:color w:val="000000"/>
                <w:sz w:val="15"/>
                <w:szCs w:val="15"/>
                <w:lang w:val="en-US" w:eastAsia="zh-CN" w:bidi="ar-SA"/>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ind w:firstLine="0"/>
              <w:jc w:val="center"/>
              <w:spacing w:line="240" w:lineRule="auto"/>
              <w:widowControl/>
              <w:rPr>
                <w:rFonts w:hint="eastAsia" w:ascii="宋体" w:hAnsi="宋体" w:eastAsia="宋体" w:cs="宋体"/>
                <w:color w:val="000000"/>
                <w:sz w:val="15"/>
                <w:szCs w:val="15"/>
                <w:lang w:val="en-US" w:eastAsia="zh-CN" w:bidi="ar-SA"/>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hint="eastAsia" w:ascii="宋体" w:hAnsi="宋体" w:eastAsia="宋体" w:cs="宋体"/>
                <w:color w:val="000000"/>
                <w:sz w:val="15"/>
                <w:szCs w:val="15"/>
                <w:lang w:val="en-US" w:eastAsia="zh-CN" w:bidi="ar-SA"/>
              </w:rPr>
            </w:pPr>
            <w:r>
              <w:rPr>
                <w:rFonts w:hint="eastAsia" w:ascii="宋体" w:hAnsi="宋体" w:eastAsia="宋体" w:cs="宋体"/>
                <w:color w:val="000000"/>
                <w:sz w:val="15"/>
                <w:szCs w:val="15"/>
                <w:lang w:bidi="ar"/>
              </w:rPr>
              <w:t xml:space="preserve">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hint="eastAsia" w:ascii="宋体" w:hAnsi="宋体" w:eastAsia="宋体" w:cs="宋体"/>
                <w:color w:val="000000"/>
                <w:sz w:val="15"/>
                <w:szCs w:val="15"/>
                <w:lang w:bidi="ar"/>
              </w:rPr>
            </w:pPr>
            <w:r>
              <w:rPr>
                <w:rFonts w:hint="eastAsia" w:ascii="宋体" w:hAnsi="宋体" w:eastAsia="宋体" w:cs="宋体"/>
                <w:color w:val="000000"/>
                <w:sz w:val="15"/>
                <w:szCs w:val="15"/>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ind w:firstLine="0"/>
              <w:jc w:val="left"/>
              <w:spacing w:line="240" w:lineRule="auto"/>
              <w:widowControl/>
              <w:rPr>
                <w:rFonts w:hint="default" w:ascii="宋体" w:hAnsi="宋体" w:eastAsia="宋体" w:cs="宋体"/>
                <w:b/>
                <w:color w:val="000000"/>
                <w:sz w:val="15"/>
                <w:szCs w:val="15"/>
                <w:lang w:val="en-US" w:eastAsia="zh-CN" w:bidi="ar"/>
              </w:rPr>
            </w:pPr>
            <w:r>
              <w:rPr>
                <w:rFonts w:hint="eastAsia" w:ascii="宋体" w:hAnsi="宋体" w:eastAsia="宋体" w:cs="宋体"/>
                <w:b/>
                <w:color w:val="000000"/>
                <w:sz w:val="15"/>
                <w:szCs w:val="15"/>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ind w:firstLine="0"/>
              <w:jc w:val="left"/>
              <w:spacing w:line="240" w:lineRule="auto"/>
              <w:widowControl/>
              <w:rPr>
                <w:rFonts w:hint="eastAsia" w:ascii="宋体" w:hAnsi="宋体" w:eastAsia="宋体" w:cs="宋体"/>
                <w:color w:val="000000"/>
                <w:sz w:val="15"/>
                <w:szCs w:val="15"/>
                <w:lang w:bidi="ar"/>
              </w:rPr>
            </w:pPr>
            <w:r>
              <w:rPr>
                <w:rFonts w:hint="eastAsia" w:ascii="宋体" w:hAnsi="宋体" w:eastAsia="宋体" w:cs="宋体"/>
                <w:color w:val="000000"/>
                <w:sz w:val="15"/>
                <w:szCs w:val="15"/>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ind w:firstLine="0"/>
              <w:jc w:val="center"/>
              <w:spacing w:line="240" w:lineRule="auto"/>
              <w:widowControl/>
              <w:rPr>
                <w:rFonts w:hint="eastAsia" w:ascii="宋体" w:hAnsi="宋体" w:eastAsia="宋体" w:cs="宋体"/>
                <w:color w:val="000000"/>
                <w:sz w:val="15"/>
                <w:szCs w:val="15"/>
                <w:lang w:bidi="ar"/>
              </w:rPr>
            </w:pPr>
            <w:r>
              <w:rPr>
                <w:rFonts w:hint="eastAsia" w:ascii="宋体" w:hAnsi="宋体" w:eastAsia="宋体" w:cs="宋体"/>
                <w:color w:val="000000"/>
                <w:sz w:val="15"/>
                <w:szCs w:val="15"/>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hint="eastAsia" w:ascii="宋体" w:hAnsi="宋体" w:eastAsia="宋体" w:cs="宋体"/>
                <w:color w:val="000000"/>
                <w:sz w:val="15"/>
                <w:szCs w:val="15"/>
                <w:lang w:bidi="ar"/>
              </w:rPr>
            </w:pPr>
            <w:r>
              <w:rPr>
                <w:rFonts w:hint="eastAsia" w:ascii="宋体" w:hAnsi="宋体" w:eastAsia="宋体" w:cs="宋体"/>
                <w:color w:val="000000"/>
                <w:sz w:val="15"/>
                <w:szCs w:val="15"/>
                <w:lang w:bidi="ar"/>
              </w:rPr>
            </w:r>
            <w:r/>
          </w:p>
        </w:tc>
      </w:tr>
    </w:tbl>
    <w:p>
      <w:pPr>
        <w:pStyle w:val="1047"/>
        <w:keepLines w:val="0"/>
        <w:keepNext w:val="0"/>
        <w:pageBreakBefore w:val="0"/>
        <w:spacing w:after="0" w:line="560" w:lineRule="exact"/>
        <w:shd w:val="clear" w:color="auto" w:fill="ffffff"/>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 xml:space="preserve">合同履行期限：合同签订后</w:t>
      </w:r>
      <w:r>
        <w:rPr>
          <w:rFonts w:hint="eastAsia" w:ascii="仿宋" w:hAnsi="仿宋" w:eastAsia="仿宋" w:cs="仿宋"/>
          <w:szCs w:val="24"/>
          <w:shd w:val="clear" w:color="auto" w:fill="ffffff"/>
          <w:lang w:val="en-US" w:eastAsia="zh-CN"/>
        </w:rPr>
        <w:t xml:space="preserve">12个月</w:t>
      </w:r>
      <w:r>
        <w:rPr>
          <w:rFonts w:hint="eastAsia" w:ascii="仿宋" w:hAnsi="仿宋" w:eastAsia="仿宋" w:cs="仿宋"/>
          <w:szCs w:val="24"/>
          <w:shd w:val="clear" w:color="auto" w:fill="ffffff"/>
        </w:rPr>
        <w:t xml:space="preserve">内交货并安装调试</w:t>
      </w:r>
      <w:r>
        <w:rPr>
          <w:rFonts w:hint="eastAsia" w:ascii="仿宋" w:hAnsi="仿宋" w:eastAsia="仿宋" w:cs="仿宋"/>
          <w:szCs w:val="24"/>
          <w:shd w:val="clear" w:color="auto" w:fill="ffffff"/>
          <w:lang w:val="en-US" w:eastAsia="zh-CN"/>
        </w:rPr>
        <w:t xml:space="preserve">建设</w:t>
      </w:r>
      <w:r>
        <w:rPr>
          <w:rFonts w:hint="eastAsia" w:ascii="仿宋" w:hAnsi="仿宋" w:eastAsia="仿宋" w:cs="仿宋"/>
          <w:szCs w:val="24"/>
          <w:shd w:val="clear" w:color="auto" w:fill="ffffff"/>
        </w:rPr>
        <w:t xml:space="preserve">完成</w:t>
      </w:r>
      <w:r>
        <w:rPr>
          <w:rFonts w:hint="eastAsia" w:ascii="仿宋" w:hAnsi="仿宋" w:eastAsia="仿宋" w:cs="仿宋"/>
          <w:szCs w:val="24"/>
          <w:shd w:val="clear" w:color="auto" w:fill="ffffff"/>
          <w:lang w:eastAsia="zh-CN"/>
        </w:rPr>
        <w:t xml:space="preserve">，</w:t>
      </w:r>
      <w:r>
        <w:rPr>
          <w:rFonts w:hint="eastAsia" w:ascii="仿宋" w:hAnsi="仿宋" w:eastAsia="仿宋" w:cs="仿宋"/>
          <w:szCs w:val="24"/>
          <w:shd w:val="clear" w:color="auto" w:fill="ffffff"/>
        </w:rPr>
        <w:t xml:space="preserve">交货地点为采购人指定地点。</w:t>
      </w:r>
      <w:r/>
    </w:p>
    <w:p>
      <w:pPr>
        <w:pStyle w:val="1047"/>
        <w:keepLines w:val="0"/>
        <w:keepNext w:val="0"/>
        <w:pageBreakBefore w:val="0"/>
        <w:spacing w:after="0" w:line="560" w:lineRule="exact"/>
        <w:shd w:val="clear" w:color="auto" w:fill="ffffff"/>
        <w:rPr>
          <w:rFonts w:ascii="仿宋" w:hAnsi="仿宋" w:eastAsia="仿宋" w:cs="仿宋"/>
          <w:szCs w:val="24"/>
        </w:rPr>
      </w:pPr>
      <w:r>
        <w:rPr>
          <w:rFonts w:hint="eastAsia" w:ascii="仿宋" w:hAnsi="仿宋" w:eastAsia="仿宋" w:cs="仿宋"/>
          <w:szCs w:val="24"/>
          <w:shd w:val="clear" w:color="auto" w:fill="ffffff"/>
        </w:rPr>
        <w:t xml:space="preserve">本项目（是</w:t>
      </w:r>
      <w:r>
        <w:rPr>
          <w:rFonts w:ascii="仿宋" w:hAnsi="仿宋" w:eastAsia="仿宋" w:cs="仿宋"/>
          <w:szCs w:val="24"/>
          <w:shd w:val="clear" w:color="auto" w:fill="ffffff"/>
        </w:rPr>
        <w:t xml:space="preserve">/否）接受联合体投标：不接受联合体</w:t>
      </w:r>
      <w:r/>
    </w:p>
    <w:p>
      <w:pPr>
        <w:pStyle w:val="967"/>
        <w:numPr>
          <w:ilvl w:val="1"/>
          <w:numId w:val="0"/>
        </w:numPr>
        <w:keepLines w:val="0"/>
        <w:keepNext w:val="0"/>
        <w:pageBreakBefore w:val="0"/>
        <w:spacing w:before="0" w:after="0" w:line="560" w:lineRule="exact"/>
        <w:rPr>
          <w:rFonts w:ascii="仿宋" w:hAnsi="仿宋" w:eastAsia="仿宋" w:cs="仿宋"/>
          <w:lang w:eastAsia="zh-CN"/>
        </w:rPr>
      </w:pPr>
      <w:r>
        <w:rPr>
          <w:rStyle w:val="1055"/>
          <w:rFonts w:hint="eastAsia" w:ascii="仿宋" w:hAnsi="仿宋" w:eastAsia="仿宋" w:cs="仿宋"/>
          <w:b w:val="0"/>
          <w:bCs w:val="0"/>
          <w:sz w:val="28"/>
          <w:szCs w:val="28"/>
          <w:shd w:val="clear" w:color="auto" w:fill="ffffff"/>
          <w:lang w:eastAsia="zh-CN"/>
        </w:rPr>
        <w:t xml:space="preserve">二、申请人的资格要求</w:t>
      </w:r>
      <w:r/>
    </w:p>
    <w:p>
      <w:pPr>
        <w:pStyle w:val="1047"/>
        <w:keepLines w:val="0"/>
        <w:keepNext w:val="0"/>
        <w:pageBreakBefore w:val="0"/>
        <w:spacing w:after="0" w:line="560" w:lineRule="exact"/>
        <w:rPr>
          <w:rFonts w:ascii="仿宋" w:hAnsi="仿宋" w:eastAsia="仿宋" w:cs="仿宋"/>
          <w:szCs w:val="24"/>
        </w:rPr>
      </w:pPr>
      <w:r>
        <w:rPr>
          <w:rFonts w:hint="eastAsia" w:ascii="仿宋" w:hAnsi="仿宋" w:eastAsia="仿宋" w:cs="仿宋"/>
          <w:szCs w:val="24"/>
          <w:shd w:val="clear" w:color="auto" w:fill="ffffff"/>
        </w:rPr>
        <w:t xml:space="preserve">（一）满足《中华人民共和国政府采购法》第二十二条规定；</w:t>
      </w:r>
      <w:r/>
    </w:p>
    <w:p>
      <w:pPr>
        <w:pStyle w:val="1047"/>
        <w:keepLines w:val="0"/>
        <w:keepNext w:val="0"/>
        <w:pageBreakBefore w:val="0"/>
        <w:spacing w:after="0" w:line="560" w:lineRule="exact"/>
        <w:rPr>
          <w:rFonts w:ascii="仿宋" w:hAnsi="仿宋" w:eastAsia="仿宋" w:cs="仿宋"/>
          <w:szCs w:val="24"/>
        </w:rPr>
      </w:pPr>
      <w:r>
        <w:rPr>
          <w:rFonts w:ascii="仿宋" w:hAnsi="仿宋" w:eastAsia="仿宋" w:cs="仿宋"/>
          <w:szCs w:val="24"/>
          <w:shd w:val="clear" w:color="auto" w:fill="ffffff"/>
        </w:rPr>
        <w:t xml:space="preserve">1.具有独立承担民事责任的能力证明。包括法人或者其他组织的营业执照等证明文件，自然人的身份证明；</w:t>
      </w:r>
      <w:r/>
    </w:p>
    <w:p>
      <w:pPr>
        <w:pStyle w:val="1047"/>
        <w:keepLines w:val="0"/>
        <w:keepNext w:val="0"/>
        <w:pageBreakBefore w:val="0"/>
        <w:spacing w:after="0" w:line="560" w:lineRule="exact"/>
        <w:rPr>
          <w:rFonts w:ascii="仿宋" w:hAnsi="仿宋" w:eastAsia="仿宋" w:cs="仿宋"/>
          <w:szCs w:val="24"/>
        </w:rPr>
      </w:pPr>
      <w:r>
        <w:rPr>
          <w:rFonts w:ascii="仿宋" w:hAnsi="仿宋" w:eastAsia="仿宋" w:cs="仿宋"/>
          <w:szCs w:val="24"/>
          <w:shd w:val="clear" w:color="auto" w:fill="ffffff"/>
        </w:rPr>
        <w:t xml:space="preserve">2.具有良好的商业信誉和健全的财务会计制度证明。</w:t>
      </w:r>
      <w:r/>
    </w:p>
    <w:p>
      <w:pPr>
        <w:pStyle w:val="1047"/>
        <w:keepLines w:val="0"/>
        <w:keepNext w:val="0"/>
        <w:pageBreakBefore w:val="0"/>
        <w:spacing w:after="0" w:line="560" w:lineRule="exact"/>
        <w:rPr>
          <w:rFonts w:ascii="仿宋" w:hAnsi="仿宋" w:eastAsia="仿宋" w:cs="仿宋"/>
          <w:szCs w:val="24"/>
        </w:rPr>
      </w:pPr>
      <w:r>
        <w:rPr>
          <w:rFonts w:ascii="仿宋" w:hAnsi="仿宋" w:eastAsia="仿宋" w:cs="仿宋"/>
          <w:szCs w:val="24"/>
          <w:shd w:val="clear" w:color="auto" w:fill="ffffff"/>
        </w:rPr>
        <w:t xml:space="preserve">3.具备履行合同所必需的设备和专业技术能力的证明材料或承诺；</w:t>
      </w:r>
      <w:r/>
    </w:p>
    <w:p>
      <w:pPr>
        <w:pStyle w:val="1047"/>
        <w:keepLines w:val="0"/>
        <w:keepNext w:val="0"/>
        <w:pageBreakBefore w:val="0"/>
        <w:spacing w:after="0" w:line="560" w:lineRule="exact"/>
        <w:rPr>
          <w:rFonts w:ascii="仿宋" w:hAnsi="仿宋" w:eastAsia="仿宋" w:cs="仿宋"/>
          <w:szCs w:val="24"/>
        </w:rPr>
      </w:pPr>
      <w:r>
        <w:rPr>
          <w:rFonts w:ascii="仿宋" w:hAnsi="仿宋" w:eastAsia="仿宋" w:cs="仿宋"/>
          <w:szCs w:val="24"/>
          <w:shd w:val="clear" w:color="auto" w:fill="ffffff"/>
        </w:rPr>
        <w:t xml:space="preserve">4.依法缴纳税收和社会保障资金的相关资料；</w:t>
      </w:r>
      <w:r/>
    </w:p>
    <w:p>
      <w:pPr>
        <w:pStyle w:val="1047"/>
        <w:keepLines w:val="0"/>
        <w:keepNext w:val="0"/>
        <w:pageBreakBefore w:val="0"/>
        <w:spacing w:after="0" w:line="560" w:lineRule="exact"/>
        <w:rPr>
          <w:rFonts w:ascii="仿宋" w:hAnsi="仿宋" w:eastAsia="仿宋" w:cs="仿宋"/>
          <w:szCs w:val="24"/>
        </w:rPr>
      </w:pPr>
      <w:r>
        <w:rPr>
          <w:rFonts w:ascii="仿宋" w:hAnsi="仿宋" w:eastAsia="仿宋" w:cs="仿宋"/>
          <w:szCs w:val="24"/>
          <w:shd w:val="clear" w:color="auto" w:fill="ffffff"/>
        </w:rPr>
        <w:t xml:space="preserve">5.参加政府采购活动前三年内在经营活动中没有重大违法记录的书面声明函；</w:t>
      </w:r>
      <w:r/>
    </w:p>
    <w:p>
      <w:pPr>
        <w:pStyle w:val="1047"/>
        <w:keepLines w:val="0"/>
        <w:keepNext w:val="0"/>
        <w:pageBreakBefore w:val="0"/>
        <w:spacing w:after="0" w:line="560" w:lineRule="exact"/>
        <w:rPr>
          <w:rFonts w:ascii="仿宋" w:hAnsi="仿宋" w:eastAsia="仿宋" w:cs="仿宋"/>
          <w:szCs w:val="24"/>
          <w:shd w:val="clear" w:color="auto" w:fill="ffffff"/>
        </w:rPr>
      </w:pPr>
      <w:r>
        <w:rPr>
          <w:rFonts w:ascii="仿宋" w:hAnsi="仿宋" w:eastAsia="仿宋" w:cs="仿宋"/>
          <w:szCs w:val="24"/>
          <w:shd w:val="clear" w:color="auto" w:fill="ffffff"/>
        </w:rPr>
        <w:t xml:space="preserve">6.法律、行政法规规定的其他条件</w:t>
      </w:r>
      <w:r/>
    </w:p>
    <w:p>
      <w:pPr>
        <w:pStyle w:val="1047"/>
        <w:keepLines w:val="0"/>
        <w:keepNext w:val="0"/>
        <w:pageBreakBefore w:val="0"/>
        <w:spacing w:after="0" w:line="560" w:lineRule="exac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（二）落实政府采购政策需满足的资格要求：无</w:t>
      </w:r>
      <w:r/>
    </w:p>
    <w:p>
      <w:pPr>
        <w:pStyle w:val="1047"/>
        <w:keepLines w:val="0"/>
        <w:keepNext w:val="0"/>
        <w:pageBreakBefore w:val="0"/>
        <w:spacing w:after="0" w:line="560" w:lineRule="exac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（三）本项目的特定资格要求：无 </w:t>
      </w:r>
      <w:r/>
    </w:p>
    <w:p>
      <w:pPr>
        <w:pStyle w:val="1047"/>
        <w:keepLines w:val="0"/>
        <w:keepNext w:val="0"/>
        <w:pageBreakBefore w:val="0"/>
        <w:spacing w:after="0" w:line="560" w:lineRule="exac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（四）拒绝下述供应商参加本次采购活动：</w:t>
      </w:r>
      <w:r/>
    </w:p>
    <w:p>
      <w:pPr>
        <w:pStyle w:val="1047"/>
        <w:keepLines w:val="0"/>
        <w:keepNext w:val="0"/>
        <w:pageBreakBefore w:val="0"/>
        <w:spacing w:after="0" w:line="560" w:lineRule="exact"/>
        <w:rPr>
          <w:rFonts w:ascii="仿宋" w:hAnsi="仿宋" w:eastAsia="仿宋" w:cs="仿宋"/>
          <w:szCs w:val="24"/>
          <w:shd w:val="clear" w:color="auto" w:fill="ffffff"/>
        </w:rPr>
      </w:pPr>
      <w:r>
        <w:rPr>
          <w:rFonts w:ascii="仿宋" w:hAnsi="仿宋" w:eastAsia="仿宋" w:cs="仿宋"/>
          <w:szCs w:val="24"/>
          <w:shd w:val="clear" w:color="auto" w:fill="ffffff"/>
        </w:rPr>
        <w:t xml:space="preserve">1、供应商单位负责人为同一人或者存在直接控股、管理关系的不同供应商，不得参加同一合同项下的政府采购活动。</w:t>
      </w:r>
      <w:r/>
    </w:p>
    <w:p>
      <w:pPr>
        <w:pStyle w:val="1047"/>
        <w:keepLines w:val="0"/>
        <w:keepNext w:val="0"/>
        <w:pageBreakBefore w:val="0"/>
        <w:spacing w:after="0" w:line="560" w:lineRule="exact"/>
        <w:rPr>
          <w:rFonts w:ascii="仿宋" w:hAnsi="仿宋" w:eastAsia="仿宋" w:cs="仿宋"/>
          <w:szCs w:val="24"/>
          <w:shd w:val="clear" w:color="auto" w:fill="ffffff"/>
        </w:rPr>
      </w:pPr>
      <w:r>
        <w:rPr>
          <w:rFonts w:ascii="仿宋" w:hAnsi="仿宋" w:eastAsia="仿宋" w:cs="仿宋"/>
          <w:szCs w:val="24"/>
          <w:shd w:val="clear" w:color="auto" w:fill="ffffff"/>
        </w:rPr>
        <w:t xml:space="preserve">2、凡为采购项目提供整体设计、规范编制或者项目管理、监理、检测等服务的供应商，不得再参加本项目的采购活动。</w:t>
      </w:r>
      <w:r/>
    </w:p>
    <w:p>
      <w:pPr>
        <w:pStyle w:val="1047"/>
        <w:keepLines w:val="0"/>
        <w:keepNext w:val="0"/>
        <w:pageBreakBefore w:val="0"/>
        <w:spacing w:after="0" w:line="560" w:lineRule="exact"/>
        <w:rPr>
          <w:rFonts w:ascii="仿宋" w:hAnsi="仿宋" w:eastAsia="仿宋" w:cs="仿宋"/>
          <w:szCs w:val="24"/>
          <w:shd w:val="clear" w:color="auto" w:fill="ffffff"/>
        </w:rPr>
      </w:pPr>
      <w:r>
        <w:rPr>
          <w:rFonts w:ascii="仿宋" w:hAnsi="仿宋" w:eastAsia="仿宋" w:cs="仿宋"/>
          <w:szCs w:val="24"/>
          <w:shd w:val="clear" w:color="auto" w:fill="ffffff"/>
        </w:rPr>
        <w:t xml:space="preserve">3、法人的分支机构不得参加投标（除银行、保险、石油石化、电力、电信等行业特殊情况外）</w:t>
      </w:r>
      <w:r/>
    </w:p>
    <w:p>
      <w:pPr>
        <w:pStyle w:val="1047"/>
        <w:keepLines w:val="0"/>
        <w:keepNext w:val="0"/>
        <w:pageBreakBefore w:val="0"/>
        <w:spacing w:after="0" w:line="560" w:lineRule="exact"/>
        <w:rPr>
          <w:rFonts w:ascii="仿宋" w:hAnsi="仿宋" w:eastAsia="仿宋" w:cs="仿宋"/>
          <w:szCs w:val="24"/>
          <w:shd w:val="clear" w:color="auto" w:fill="ffffff"/>
        </w:rPr>
      </w:pPr>
      <w:r>
        <w:rPr>
          <w:rFonts w:ascii="仿宋" w:hAnsi="仿宋" w:eastAsia="仿宋" w:cs="仿宋"/>
          <w:szCs w:val="24"/>
          <w:shd w:val="clear" w:color="auto" w:fill="ffffff"/>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967"/>
        <w:numPr>
          <w:ilvl w:val="1"/>
          <w:numId w:val="0"/>
        </w:numPr>
        <w:keepLines w:val="0"/>
        <w:keepNext w:val="0"/>
        <w:pageBreakBefore w:val="0"/>
        <w:spacing w:before="0" w:after="0" w:line="560" w:lineRule="exact"/>
        <w:rPr>
          <w:rFonts w:ascii="仿宋" w:hAnsi="仿宋" w:eastAsia="仿宋" w:cs="仿宋"/>
          <w:lang w:eastAsia="zh-CN"/>
        </w:rPr>
      </w:pPr>
      <w:r>
        <w:rPr>
          <w:rStyle w:val="1055"/>
          <w:rFonts w:hint="eastAsia" w:ascii="仿宋" w:hAnsi="仿宋" w:eastAsia="仿宋" w:cs="仿宋"/>
          <w:b w:val="0"/>
          <w:bCs w:val="0"/>
          <w:sz w:val="28"/>
          <w:szCs w:val="28"/>
          <w:shd w:val="clear" w:color="auto" w:fill="ffffff"/>
          <w:lang w:eastAsia="zh-CN"/>
        </w:rPr>
        <w:t xml:space="preserve">三、获取招标文件</w:t>
      </w:r>
      <w:r/>
    </w:p>
    <w:p>
      <w:pPr>
        <w:pStyle w:val="1047"/>
        <w:keepLines w:val="0"/>
        <w:keepNext w:val="0"/>
        <w:pageBreakBefore w:val="0"/>
        <w:spacing w:after="0" w:line="560" w:lineRule="exact"/>
        <w:rPr>
          <w:rFonts w:ascii="仿宋" w:hAnsi="仿宋" w:eastAsia="仿宋" w:cs="仿宋"/>
        </w:rPr>
      </w:pPr>
      <w:r>
        <w:rPr>
          <w:rFonts w:ascii="仿宋" w:hAnsi="仿宋" w:eastAsia="仿宋" w:cs="仿宋"/>
          <w:szCs w:val="24"/>
          <w:highlight w:val="none"/>
          <w:shd w:val="clear" w:color="auto" w:fill="ffffff"/>
        </w:rPr>
      </w:r>
      <w:r>
        <w:rPr>
          <w:rFonts w:ascii="仿宋" w:hAnsi="仿宋" w:eastAsia="仿宋" w:cs="仿宋"/>
          <w:szCs w:val="24"/>
          <w:highlight w:val="none"/>
          <w:shd w:val="clear" w:color="auto" w:fill="ffffff"/>
        </w:rPr>
      </w:r>
      <w:r>
        <w:rPr>
          <w:rFonts w:ascii="FangSong" w:hAnsi="FangSong" w:eastAsia="FangSong" w:cs="FangSong"/>
          <w:color w:val="000000"/>
          <w:sz w:val="28"/>
        </w:rPr>
        <w:t xml:space="preserve">时间：自招标文件公告发布之日起5个工作日 </w:t>
      </w:r>
      <w:r>
        <w:rPr>
          <w:rFonts w:ascii="仿宋" w:hAnsi="仿宋" w:eastAsia="仿宋" w:cs="仿宋"/>
          <w:szCs w:val="24"/>
          <w:highlight w:val="none"/>
          <w:shd w:val="clear" w:color="auto" w:fill="ffffff"/>
        </w:rPr>
      </w:r>
      <w:r>
        <w:rPr>
          <w:rFonts w:ascii="仿宋" w:hAnsi="仿宋" w:eastAsia="仿宋" w:cs="仿宋"/>
          <w:szCs w:val="24"/>
          <w:highlight w:val="none"/>
          <w:shd w:val="clear" w:color="auto" w:fill="ffffff"/>
        </w:rPr>
      </w:r>
    </w:p>
    <w:p>
      <w:pPr>
        <w:pStyle w:val="1047"/>
        <w:keepLines w:val="0"/>
        <w:keepNext w:val="0"/>
        <w:pageBreakBefore w:val="0"/>
        <w:spacing w:after="0" w:line="560" w:lineRule="exact"/>
        <w:rPr>
          <w:rFonts w:ascii="仿宋" w:hAnsi="仿宋" w:eastAsia="仿宋" w:cs="仿宋"/>
          <w:highlight w:val="none"/>
        </w:rPr>
      </w:pPr>
      <w:r>
        <w:rPr>
          <w:rFonts w:hint="eastAsia" w:ascii="仿宋" w:hAnsi="仿宋" w:eastAsia="仿宋" w:cs="仿宋"/>
          <w:szCs w:val="24"/>
          <w:shd w:val="clear" w:color="auto" w:fill="ffffff"/>
        </w:rPr>
        <w:t xml:space="preserve">地点：“苏采云”系统（网址：</w:t>
      </w:r>
      <w:r>
        <w:rPr>
          <w:rFonts w:ascii="仿宋" w:hAnsi="仿宋" w:eastAsia="仿宋" w:cs="仿宋"/>
          <w:szCs w:val="24"/>
          <w:shd w:val="clear" w:color="auto" w:fill="ffffff"/>
        </w:rPr>
        <w:t xml:space="preserve">http://jszfcg.jsczt.cn/）自行下载 </w:t>
      </w:r>
      <w:r/>
    </w:p>
    <w:p>
      <w:pPr>
        <w:pStyle w:val="1047"/>
        <w:keepLines w:val="0"/>
        <w:keepNext w:val="0"/>
        <w:pageBreakBefore w:val="0"/>
        <w:spacing w:after="0" w:line="560" w:lineRule="exact"/>
        <w:rPr>
          <w:rFonts w:ascii="仿宋" w:hAnsi="仿宋" w:eastAsia="仿宋" w:cs="仿宋"/>
          <w:szCs w:val="24"/>
        </w:rPr>
      </w:pPr>
      <w:r>
        <w:rPr>
          <w:rFonts w:hint="eastAsia" w:ascii="仿宋" w:hAnsi="仿宋" w:eastAsia="仿宋" w:cs="仿宋"/>
          <w:szCs w:val="24"/>
          <w:shd w:val="clear" w:color="auto" w:fill="ffffff"/>
        </w:rPr>
        <w:t xml:space="preserve">方式：自行下载 </w:t>
      </w:r>
      <w:r/>
    </w:p>
    <w:p>
      <w:pPr>
        <w:pStyle w:val="1047"/>
        <w:keepLines w:val="0"/>
        <w:keepNext w:val="0"/>
        <w:pageBreakBefore w:val="0"/>
        <w:spacing w:after="0" w:line="560" w:lineRule="exact"/>
        <w:rPr>
          <w:rFonts w:ascii="仿宋" w:hAnsi="仿宋" w:eastAsia="仿宋" w:cs="仿宋"/>
          <w:szCs w:val="24"/>
        </w:rPr>
      </w:pPr>
      <w:r>
        <w:rPr>
          <w:rFonts w:hint="eastAsia" w:ascii="仿宋" w:hAnsi="仿宋" w:eastAsia="仿宋" w:cs="仿宋"/>
          <w:szCs w:val="24"/>
          <w:shd w:val="clear" w:color="auto" w:fill="ffffff"/>
        </w:rPr>
        <w:t xml:space="preserve">售价：</w:t>
      </w:r>
      <w:r>
        <w:rPr>
          <w:rFonts w:ascii="仿宋" w:hAnsi="仿宋" w:eastAsia="仿宋" w:cs="仿宋"/>
          <w:szCs w:val="24"/>
          <w:shd w:val="clear" w:color="auto" w:fill="ffffff"/>
        </w:rPr>
        <w:t xml:space="preserve">0.00元 </w:t>
      </w:r>
      <w:r/>
    </w:p>
    <w:p>
      <w:pPr>
        <w:pStyle w:val="967"/>
        <w:numPr>
          <w:ilvl w:val="1"/>
          <w:numId w:val="0"/>
        </w:numPr>
        <w:keepLines w:val="0"/>
        <w:keepNext w:val="0"/>
        <w:pageBreakBefore w:val="0"/>
        <w:spacing w:before="0" w:after="0" w:line="560" w:lineRule="exact"/>
        <w:rPr>
          <w:rFonts w:ascii="仿宋" w:hAnsi="仿宋" w:eastAsia="仿宋" w:cs="仿宋"/>
          <w:lang w:eastAsia="zh-CN"/>
        </w:rPr>
      </w:pPr>
      <w:r>
        <w:rPr>
          <w:rStyle w:val="1055"/>
          <w:rFonts w:hint="eastAsia" w:ascii="仿宋" w:hAnsi="仿宋" w:eastAsia="仿宋" w:cs="仿宋"/>
          <w:b w:val="0"/>
          <w:bCs w:val="0"/>
          <w:sz w:val="28"/>
          <w:szCs w:val="28"/>
          <w:shd w:val="clear" w:color="auto" w:fill="ffffff"/>
          <w:lang w:eastAsia="zh-CN"/>
        </w:rPr>
        <w:t xml:space="preserve">四、提交投标文件截止时间、开标时间和地点</w:t>
      </w:r>
      <w:r/>
    </w:p>
    <w:p>
      <w:pPr>
        <w:pStyle w:val="1047"/>
        <w:keepLines w:val="0"/>
        <w:keepNext w:val="0"/>
        <w:pageBreakBefore w:val="0"/>
        <w:spacing w:after="0" w:line="560" w:lineRule="exact"/>
        <w:rPr>
          <w:rFonts w:ascii="仿宋" w:hAnsi="仿宋" w:eastAsia="仿宋" w:cs="仿宋"/>
          <w:szCs w:val="24"/>
        </w:rPr>
      </w:pPr>
      <w:r>
        <w:rPr>
          <w:rFonts w:ascii="仿宋" w:hAnsi="仿宋" w:eastAsia="仿宋" w:cs="仿宋"/>
          <w:szCs w:val="24"/>
          <w:shd w:val="clear" w:color="auto" w:fill="ffffff"/>
        </w:rPr>
        <w:t xml:space="preserve">2024-</w:t>
      </w:r>
      <w:r>
        <w:rPr>
          <w:rFonts w:hint="eastAsia" w:ascii="仿宋" w:hAnsi="仿宋" w:eastAsia="仿宋" w:cs="仿宋"/>
          <w:szCs w:val="24"/>
          <w:shd w:val="clear" w:color="auto" w:fill="ffffff"/>
          <w:lang w:val="en-US" w:eastAsia="zh-CN"/>
        </w:rPr>
        <w:t xml:space="preserve">11</w:t>
      </w:r>
      <w:r>
        <w:rPr>
          <w:rFonts w:ascii="仿宋" w:hAnsi="仿宋" w:eastAsia="仿宋" w:cs="仿宋"/>
          <w:szCs w:val="24"/>
          <w:shd w:val="clear" w:color="auto" w:fill="ffffff"/>
        </w:rPr>
        <w:t xml:space="preserve">月-</w:t>
      </w:r>
      <w:r>
        <w:rPr>
          <w:rFonts w:hint="eastAsia" w:ascii="仿宋" w:hAnsi="仿宋" w:eastAsia="仿宋" w:cs="仿宋"/>
          <w:szCs w:val="24"/>
          <w:shd w:val="clear" w:color="auto" w:fill="ffffff"/>
          <w:lang w:val="en-US" w:eastAsia="zh-CN"/>
        </w:rPr>
        <w:t xml:space="preserve">20</w:t>
      </w:r>
      <w:r>
        <w:rPr>
          <w:rFonts w:ascii="仿宋" w:hAnsi="仿宋" w:eastAsia="仿宋" w:cs="仿宋"/>
          <w:szCs w:val="24"/>
          <w:shd w:val="clear" w:color="auto" w:fill="ffffff"/>
        </w:rPr>
        <w:t xml:space="preserve">日 09:30 （北京时间）</w:t>
      </w:r>
      <w:r/>
    </w:p>
    <w:p>
      <w:pPr>
        <w:pStyle w:val="1047"/>
        <w:keepLines w:val="0"/>
        <w:keepNext w:val="0"/>
        <w:pageBreakBefore w:val="0"/>
        <w:spacing w:after="0" w:line="560" w:lineRule="exact"/>
        <w:rPr>
          <w:rFonts w:ascii="仿宋" w:hAnsi="仿宋" w:eastAsia="仿宋" w:cs="仿宋"/>
          <w:szCs w:val="24"/>
        </w:rPr>
      </w:pPr>
      <w:r>
        <w:rPr>
          <w:rFonts w:hint="eastAsia" w:ascii="仿宋" w:hAnsi="仿宋" w:eastAsia="仿宋" w:cs="仿宋"/>
          <w:szCs w:val="24"/>
          <w:shd w:val="clear" w:color="auto" w:fill="ffffff"/>
        </w:rPr>
        <w:t xml:space="preserve">地点：苏采云系统 </w:t>
      </w:r>
      <w:r/>
    </w:p>
    <w:p>
      <w:pPr>
        <w:pStyle w:val="967"/>
        <w:numPr>
          <w:ilvl w:val="1"/>
          <w:numId w:val="0"/>
        </w:numPr>
        <w:keepLines w:val="0"/>
        <w:keepNext w:val="0"/>
        <w:pageBreakBefore w:val="0"/>
        <w:spacing w:before="0" w:after="0" w:line="560" w:lineRule="exact"/>
        <w:shd w:val="clear" w:color="auto" w:fill="ffffff"/>
        <w:rPr>
          <w:rFonts w:ascii="仿宋" w:hAnsi="仿宋" w:eastAsia="仿宋" w:cs="仿宋"/>
          <w:lang w:eastAsia="zh-CN"/>
        </w:rPr>
      </w:pPr>
      <w:r>
        <w:rPr>
          <w:rStyle w:val="1055"/>
          <w:rFonts w:hint="eastAsia" w:ascii="仿宋" w:hAnsi="仿宋" w:eastAsia="仿宋" w:cs="仿宋"/>
          <w:b w:val="0"/>
          <w:bCs w:val="0"/>
          <w:sz w:val="28"/>
          <w:szCs w:val="28"/>
          <w:shd w:val="clear" w:color="auto" w:fill="ffffff"/>
          <w:lang w:eastAsia="zh-CN"/>
        </w:rPr>
        <w:t xml:space="preserve">五、公告期限</w:t>
      </w:r>
      <w:r/>
    </w:p>
    <w:p>
      <w:pPr>
        <w:pStyle w:val="1047"/>
        <w:keepLines w:val="0"/>
        <w:keepNext w:val="0"/>
        <w:pageBreakBefore w:val="0"/>
        <w:spacing w:after="0" w:line="560" w:lineRule="exact"/>
        <w:shd w:val="clear" w:color="auto" w:fill="ffffff"/>
        <w:rPr>
          <w:rFonts w:ascii="仿宋" w:hAnsi="仿宋" w:eastAsia="仿宋" w:cs="仿宋"/>
          <w:szCs w:val="24"/>
        </w:rPr>
      </w:pPr>
      <w:r>
        <w:rPr>
          <w:rFonts w:hint="eastAsia" w:ascii="仿宋" w:hAnsi="仿宋" w:eastAsia="仿宋" w:cs="仿宋"/>
          <w:szCs w:val="24"/>
          <w:shd w:val="clear" w:color="auto" w:fill="ffffff"/>
        </w:rPr>
        <w:t xml:space="preserve">自本公告发布之日起</w:t>
      </w:r>
      <w:r>
        <w:rPr>
          <w:rFonts w:ascii="仿宋" w:hAnsi="仿宋" w:eastAsia="仿宋" w:cs="仿宋"/>
          <w:szCs w:val="24"/>
          <w:shd w:val="clear" w:color="auto" w:fill="ffffff"/>
        </w:rPr>
        <w:t xml:space="preserve">5个工作日。</w:t>
      </w:r>
      <w:r/>
    </w:p>
    <w:p>
      <w:pPr>
        <w:pStyle w:val="967"/>
        <w:numPr>
          <w:ilvl w:val="1"/>
          <w:numId w:val="0"/>
        </w:numPr>
        <w:keepLines w:val="0"/>
        <w:keepNext w:val="0"/>
        <w:pageBreakBefore w:val="0"/>
        <w:spacing w:before="0" w:after="0" w:line="560" w:lineRule="exact"/>
        <w:rPr>
          <w:rFonts w:ascii="仿宋" w:hAnsi="仿宋" w:eastAsia="仿宋" w:cs="仿宋"/>
          <w:lang w:eastAsia="zh-CN"/>
        </w:rPr>
      </w:pPr>
      <w:r>
        <w:rPr>
          <w:rStyle w:val="1055"/>
          <w:rFonts w:hint="eastAsia" w:ascii="仿宋" w:hAnsi="仿宋" w:eastAsia="仿宋" w:cs="仿宋"/>
          <w:b w:val="0"/>
          <w:bCs w:val="0"/>
          <w:sz w:val="28"/>
          <w:szCs w:val="28"/>
          <w:shd w:val="clear" w:color="auto" w:fill="ffffff"/>
          <w:lang w:eastAsia="zh-CN"/>
        </w:rPr>
        <w:t xml:space="preserve">六、其他补充事宜</w:t>
      </w:r>
      <w:r/>
    </w:p>
    <w:p>
      <w:pPr>
        <w:keepLines w:val="0"/>
        <w:keepNext w:val="0"/>
        <w:pageBreakBefore w:val="0"/>
        <w:spacing w:after="0" w:line="560" w:lineRule="exac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t xml:space="preserve">1、本项目需要使用CA数字证书制作、上传电子投标文件完成电子投标，请供应商在参加投标活动前办理好CA数字证书申领及电子签章等操作。</w:t>
      </w:r>
      <w:r/>
    </w:p>
    <w:p>
      <w:pPr>
        <w:keepLines w:val="0"/>
        <w:keepNext w:val="0"/>
        <w:pageBreakBefore w:val="0"/>
        <w:spacing w:after="0"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keepLines w:val="0"/>
        <w:keepNext w:val="0"/>
        <w:pageBreakBefore w:val="0"/>
        <w:spacing w:after="0" w:line="560" w:lineRule="exac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szCs w:val="24"/>
          <w:lang w:eastAsia="zh-CN"/>
        </w:rPr>
        <w:t xml:space="preserve">3、本项目采用不见面开标，投标人开标时无需到开标现场进行解密，采取网上开标大厅解密电子投标文件，投标人远程解密要求如下：</w:t>
      </w:r>
      <w:r/>
    </w:p>
    <w:p>
      <w:pPr>
        <w:keepLines w:val="0"/>
        <w:keepNext w:val="0"/>
        <w:pageBreakBefore w:val="0"/>
        <w:spacing w:after="0" w:line="560" w:lineRule="exac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t xml:space="preserve">1）投标人使用CA数字证书进行远程解密，解密的CA数字证书与生成加密电子投标文件时的CA数字证书需为同一个CA数字证书，否则无法解密，造成的后果由投标人自行负责。</w:t>
      </w:r>
      <w:r/>
    </w:p>
    <w:p>
      <w:pPr>
        <w:keepLines w:val="0"/>
        <w:keepNext w:val="0"/>
        <w:pageBreakBefore w:val="0"/>
        <w:spacing w:after="0" w:line="560" w:lineRule="exac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t xml:space="preserve">2）投标人登录苏采云系统，点击开标大厅，选择开标项目，完成不见面开标流程。</w:t>
      </w:r>
      <w:r/>
    </w:p>
    <w:p>
      <w:pPr>
        <w:keepLines w:val="0"/>
        <w:keepNext w:val="0"/>
        <w:pageBreakBefore w:val="0"/>
        <w:spacing w:after="0" w:line="560" w:lineRule="exac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t xml:space="preserve">3）投标截止时间后根据系统提示解密电子投标文件。</w:t>
      </w:r>
      <w:r>
        <w:rPr>
          <w:rFonts w:hint="eastAsia" w:ascii="仿宋" w:hAnsi="仿宋" w:eastAsia="仿宋" w:cs="仿宋"/>
          <w:b/>
          <w:sz w:val="24"/>
          <w:szCs w:val="24"/>
          <w:lang w:eastAsia="zh-CN"/>
        </w:rPr>
        <w:t xml:space="preserve">解密时间为</w:t>
      </w:r>
      <w:r>
        <w:rPr>
          <w:rFonts w:ascii="仿宋" w:hAnsi="仿宋" w:eastAsia="仿宋" w:cs="仿宋"/>
          <w:b/>
          <w:sz w:val="24"/>
          <w:szCs w:val="24"/>
          <w:lang w:eastAsia="zh-CN"/>
        </w:rPr>
        <w:t xml:space="preserve">15分钟，</w:t>
      </w:r>
      <w:r>
        <w:rPr>
          <w:rFonts w:hint="eastAsia" w:ascii="仿宋" w:hAnsi="仿宋" w:eastAsia="仿宋" w:cs="仿宋"/>
          <w:sz w:val="24"/>
          <w:szCs w:val="24"/>
          <w:lang w:eastAsia="zh-CN"/>
        </w:rPr>
        <w:t xml:space="preserve">未在规定时间内完成解密，其投标文件将被拒绝，不参与后续投标流程。</w:t>
      </w:r>
      <w:r/>
    </w:p>
    <w:p>
      <w:pPr>
        <w:keepLines w:val="0"/>
        <w:keepNext w:val="0"/>
        <w:pageBreakBefore w:val="0"/>
        <w:spacing w:after="0" w:line="560" w:lineRule="exac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t xml:space="preserve">4）在开标、评标过程中投标单位代表须在网上不见面开标系统中保持在线状态，以应对可能发生的澄清、说明等回复，由于投标单位代表不在线所造成的一切后果由投标人自行承担。</w:t>
      </w:r>
      <w:r/>
    </w:p>
    <w:p>
      <w:pPr>
        <w:keepLines w:val="0"/>
        <w:keepNext w:val="0"/>
        <w:pageBreakBefore w:val="0"/>
        <w:spacing w:after="0" w:line="560" w:lineRule="exac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t xml:space="preserve">4、</w:t>
      </w:r>
      <w:r>
        <w:rPr>
          <w:rFonts w:hint="eastAsia" w:ascii="仿宋" w:hAnsi="仿宋" w:eastAsia="仿宋" w:cs="仿宋"/>
          <w:b/>
          <w:sz w:val="24"/>
          <w:szCs w:val="24"/>
          <w:lang w:eastAsia="zh-CN"/>
        </w:rPr>
        <w:t xml:space="preserve">有关苏采云系统驱动安装，</w:t>
      </w:r>
      <w:r>
        <w:rPr>
          <w:rFonts w:hint="eastAsia" w:ascii="仿宋" w:hAnsi="仿宋" w:eastAsia="仿宋" w:cs="仿宋"/>
          <w:sz w:val="24"/>
          <w:szCs w:val="24"/>
          <w:lang w:eastAsia="zh-CN"/>
        </w:rPr>
        <w:t xml:space="preserve">登录苏州政府采购网，点击页面底部苏采云图标，进入苏采云政府采购一体化平台，点击“驱动下载”，下载</w:t>
      </w:r>
      <w:r>
        <w:rPr>
          <w:rFonts w:hint="eastAsia" w:ascii="仿宋" w:hAnsi="仿宋" w:eastAsia="仿宋" w:cs="仿宋"/>
          <w:b/>
          <w:sz w:val="24"/>
          <w:szCs w:val="24"/>
          <w:lang w:eastAsia="zh-CN"/>
        </w:rPr>
        <w:t xml:space="preserve">“政务</w:t>
      </w:r>
      <w:r>
        <w:rPr>
          <w:rFonts w:ascii="仿宋" w:hAnsi="仿宋" w:eastAsia="仿宋" w:cs="仿宋"/>
          <w:b/>
          <w:sz w:val="24"/>
          <w:szCs w:val="24"/>
          <w:lang w:eastAsia="zh-CN"/>
        </w:rPr>
        <w:t xml:space="preserve">CA、方正签章控件驱动安装包及安装说明”</w:t>
      </w:r>
      <w:r>
        <w:rPr>
          <w:rFonts w:hint="eastAsia" w:ascii="仿宋" w:hAnsi="仿宋" w:eastAsia="仿宋" w:cs="仿宋"/>
          <w:sz w:val="24"/>
          <w:szCs w:val="24"/>
          <w:lang w:eastAsia="zh-CN"/>
        </w:rPr>
        <w:t xml:space="preserve">文件，按要求安装驱动。</w:t>
      </w:r>
      <w:r/>
    </w:p>
    <w:p>
      <w:pPr>
        <w:keepLines w:val="0"/>
        <w:keepNext w:val="0"/>
        <w:pageBreakBefore w:val="0"/>
        <w:spacing w:after="0" w:line="560" w:lineRule="exac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t xml:space="preserve">5、</w:t>
      </w:r>
      <w:r>
        <w:rPr>
          <w:rFonts w:hint="eastAsia" w:ascii="仿宋" w:hAnsi="仿宋" w:eastAsia="仿宋" w:cs="仿宋"/>
          <w:b/>
          <w:sz w:val="24"/>
          <w:szCs w:val="24"/>
          <w:lang w:eastAsia="zh-CN"/>
        </w:rPr>
        <w:t xml:space="preserve">有关供应商注册、报名、下载电子招标文件、制作上传电子投标文件</w:t>
      </w:r>
      <w:r>
        <w:rPr>
          <w:rFonts w:hint="eastAsia" w:ascii="仿宋" w:hAnsi="仿宋" w:eastAsia="仿宋" w:cs="仿宋"/>
          <w:sz w:val="24"/>
          <w:szCs w:val="24"/>
          <w:lang w:eastAsia="zh-CN"/>
        </w:rPr>
        <w:t xml:space="preserve">、不见面开标及其他注意事项登录苏州政府采购网，在“下载中心”栏目下载“</w:t>
      </w:r>
      <w:r>
        <w:rPr>
          <w:rFonts w:hint="eastAsia" w:ascii="仿宋" w:hAnsi="仿宋" w:eastAsia="仿宋" w:cs="仿宋"/>
          <w:b/>
          <w:sz w:val="24"/>
          <w:szCs w:val="24"/>
          <w:lang w:eastAsia="zh-CN"/>
        </w:rPr>
        <w:t xml:space="preserve">苏采云系统供应商操作</w:t>
      </w:r>
      <w:r>
        <w:rPr>
          <w:rFonts w:hint="eastAsia" w:ascii="仿宋" w:hAnsi="仿宋" w:eastAsia="仿宋" w:cs="仿宋"/>
          <w:b/>
          <w:bCs/>
          <w:sz w:val="24"/>
          <w:szCs w:val="24"/>
          <w:lang w:eastAsia="zh-CN"/>
        </w:rPr>
        <w:t xml:space="preserve">手册</w:t>
      </w:r>
      <w:r>
        <w:rPr>
          <w:rFonts w:hint="eastAsia" w:ascii="仿宋" w:hAnsi="仿宋" w:eastAsia="仿宋" w:cs="仿宋"/>
          <w:sz w:val="24"/>
          <w:szCs w:val="24"/>
          <w:lang w:eastAsia="zh-CN"/>
        </w:rPr>
        <w:t xml:space="preserve">”查阅。</w:t>
      </w:r>
      <w:r/>
    </w:p>
    <w:p>
      <w:pPr>
        <w:keepLines w:val="0"/>
        <w:keepNext w:val="0"/>
        <w:pageBreakBefore w:val="0"/>
        <w:spacing w:after="0" w:line="560" w:lineRule="exac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t xml:space="preserve">6、有关办理CA数字申领及电子签章事项，登录苏州政府采购网，点击页面底部苏采云图标，进入苏采云政府采购一体化平台，下载“新CA办理指南”文件查阅。</w:t>
      </w:r>
      <w:r/>
    </w:p>
    <w:p>
      <w:pPr>
        <w:keepLines w:val="0"/>
        <w:keepNext w:val="0"/>
        <w:pageBreakBefore w:val="0"/>
        <w:spacing w:after="0" w:line="560" w:lineRule="exac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t xml:space="preserve">7、有关电子投标制作技术疑问，请咨询苏采云软件公司客服：18261002950、0512-69820854、0519-86722802</w:t>
      </w:r>
      <w:r/>
    </w:p>
    <w:p>
      <w:pPr>
        <w:keepLines w:val="0"/>
        <w:keepNext w:val="0"/>
        <w:pageBreakBefore w:val="0"/>
        <w:spacing w:after="0" w:line="560" w:lineRule="exac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t xml:space="preserve">8、政府采购监督电话：0512-53512539</w:t>
      </w:r>
      <w:r/>
    </w:p>
    <w:p>
      <w:pPr>
        <w:keepLines w:val="0"/>
        <w:keepNext w:val="0"/>
        <w:pageBreakBefore w:val="0"/>
        <w:spacing w:after="0" w:line="560" w:lineRule="exac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t xml:space="preserve">9、本次招标投标保证金：本项目无须缴纳投标保证金。</w:t>
      </w:r>
      <w:r/>
    </w:p>
    <w:p>
      <w:pPr>
        <w:keepLines w:val="0"/>
        <w:keepNext w:val="0"/>
        <w:pageBreakBefore w:val="0"/>
        <w:spacing w:after="0" w:line="560" w:lineRule="exac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t xml:space="preserve">10、政府采购履约资金扶持政策：</w:t>
      </w:r>
      <w:r>
        <w:rPr>
          <w:rFonts w:hint="eastAsia" w:ascii="仿宋" w:hAnsi="仿宋" w:eastAsia="仿宋" w:cs="仿宋"/>
          <w:sz w:val="24"/>
          <w:szCs w:val="24"/>
          <w:lang w:val="en-US" w:eastAsia="zh-CN"/>
        </w:rPr>
        <w:t xml:space="preserve">以</w:t>
      </w:r>
      <w:r>
        <w:rPr>
          <w:rFonts w:hint="eastAsia" w:ascii="仿宋" w:hAnsi="仿宋" w:eastAsia="仿宋" w:cs="仿宋"/>
          <w:sz w:val="24"/>
          <w:szCs w:val="24"/>
          <w:lang w:eastAsia="zh-CN"/>
        </w:rPr>
        <w:t xml:space="preserve">合同约定要求提交履约保证金；</w:t>
      </w:r>
      <w:r>
        <w:rPr>
          <w:rFonts w:ascii="仿宋" w:hAnsi="仿宋" w:eastAsia="仿宋" w:cs="仿宋"/>
          <w:sz w:val="24"/>
          <w:szCs w:val="24"/>
          <w:lang w:eastAsia="zh-CN"/>
        </w:rPr>
        <w:t xml:space="preserve">中标供应商可凭政府采购合同办理融资贷款，详情请见江苏政府采购网“政采贷”专栏。</w:t>
      </w:r>
      <w:r/>
    </w:p>
    <w:p>
      <w:pPr>
        <w:ind w:firstLine="897"/>
        <w:keepLines w:val="0"/>
        <w:keepNext w:val="0"/>
        <w:pageBreakBefore w:val="0"/>
        <w:spacing w:after="0" w:line="56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10.1</w:t>
      </w:r>
      <w:r>
        <w:rPr>
          <w:rFonts w:hint="eastAsia" w:ascii="仿宋" w:hAnsi="仿宋" w:eastAsia="仿宋" w:cs="仿宋"/>
          <w:sz w:val="24"/>
          <w:szCs w:val="24"/>
          <w:lang w:eastAsia="zh-CN"/>
        </w:rPr>
        <w:t xml:space="preserve">中标供应商可通过南京市公共资源交易中心网站“小企业融资平台”，选择相应的金融机构办理融资贷款。</w:t>
      </w:r>
      <w:r/>
    </w:p>
    <w:p>
      <w:pPr>
        <w:ind w:firstLine="897"/>
        <w:keepLines w:val="0"/>
        <w:keepNext w:val="0"/>
        <w:pageBreakBefore w:val="0"/>
        <w:spacing w:after="0" w:line="560" w:lineRule="exac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10</w:t>
      </w:r>
      <w:r>
        <w:rPr>
          <w:rFonts w:hint="eastAsia" w:ascii="仿宋" w:hAnsi="仿宋" w:eastAsia="仿宋" w:cs="仿宋"/>
          <w:sz w:val="24"/>
          <w:szCs w:val="24"/>
          <w:lang w:eastAsia="zh-CN"/>
        </w:rPr>
        <w:t xml:space="preserve">.2 依据《关于在全省政府采购领域推行电子履约保函（保险）的通知》（苏财购〔2023〕150号），中标供应商可通过江苏政府采购网“政府采购电子履约保函（保险）综合服务平台”线上办理履约保函（保险）。</w:t>
      </w:r>
      <w:r/>
    </w:p>
    <w:p>
      <w:pPr>
        <w:pStyle w:val="967"/>
        <w:numPr>
          <w:ilvl w:val="1"/>
          <w:numId w:val="0"/>
        </w:numPr>
        <w:keepLines w:val="0"/>
        <w:keepNext w:val="0"/>
        <w:pageBreakBefore w:val="0"/>
        <w:spacing w:before="0" w:after="0" w:line="560" w:lineRule="exact"/>
        <w:rPr>
          <w:rFonts w:ascii="仿宋" w:hAnsi="仿宋" w:eastAsia="仿宋" w:cs="仿宋"/>
          <w:lang w:eastAsia="zh-CN"/>
        </w:rPr>
      </w:pPr>
      <w:r>
        <w:rPr>
          <w:rStyle w:val="1055"/>
          <w:rFonts w:hint="eastAsia" w:ascii="仿宋" w:hAnsi="仿宋" w:eastAsia="仿宋" w:cs="仿宋"/>
          <w:b w:val="0"/>
          <w:bCs w:val="0"/>
          <w:sz w:val="28"/>
          <w:szCs w:val="28"/>
          <w:shd w:val="clear" w:color="auto" w:fill="ffffff"/>
          <w:lang w:eastAsia="zh-CN"/>
        </w:rPr>
        <w:t xml:space="preserve">七、对本次招标提出询问，请按以下方式联系</w:t>
      </w:r>
      <w:r/>
    </w:p>
    <w:p>
      <w:pPr>
        <w:pStyle w:val="1047"/>
        <w:keepLines w:val="0"/>
        <w:keepNext w:val="0"/>
        <w:pageBreakBefore w:val="0"/>
        <w:spacing w:after="0" w:line="560" w:lineRule="exact"/>
        <w:rPr>
          <w:rFonts w:ascii="仿宋" w:hAnsi="仿宋" w:eastAsia="仿宋" w:cs="仿宋"/>
          <w:szCs w:val="24"/>
          <w:shd w:val="clear" w:color="auto" w:fill="ffffff"/>
        </w:rPr>
      </w:pPr>
      <w:r>
        <w:rPr>
          <w:rFonts w:ascii="仿宋" w:hAnsi="仿宋" w:eastAsia="仿宋" w:cs="仿宋"/>
          <w:szCs w:val="24"/>
          <w:shd w:val="clear" w:color="auto" w:fill="ffffff"/>
        </w:rPr>
        <w:t xml:space="preserve">1.采购人信息 </w:t>
      </w:r>
      <w:r/>
    </w:p>
    <w:p>
      <w:pPr>
        <w:pStyle w:val="1047"/>
        <w:keepLines w:val="0"/>
        <w:keepNext w:val="0"/>
        <w:pageBreakBefore w:val="0"/>
        <w:spacing w:after="0" w:line="560" w:lineRule="exact"/>
        <w:rPr>
          <w:rFonts w:hint="eastAsia" w:ascii="仿宋" w:hAnsi="仿宋" w:eastAsia="仿宋" w:cs="仿宋"/>
          <w:szCs w:val="24"/>
          <w:shd w:val="clear" w:color="auto" w:fill="ffffff"/>
          <w:lang w:eastAsia="zh-CN"/>
        </w:rPr>
      </w:pPr>
      <w:r>
        <w:rPr>
          <w:rFonts w:hint="eastAsia" w:ascii="仿宋" w:hAnsi="仿宋" w:eastAsia="仿宋" w:cs="仿宋"/>
          <w:szCs w:val="24"/>
          <w:shd w:val="clear" w:color="auto" w:fill="ffffff"/>
        </w:rPr>
        <w:t xml:space="preserve">单位名称：</w:t>
      </w:r>
      <w:r>
        <w:rPr>
          <w:rFonts w:hint="eastAsia" w:ascii="仿宋" w:hAnsi="仿宋" w:eastAsia="仿宋" w:cs="仿宋"/>
          <w:szCs w:val="24"/>
          <w:shd w:val="clear" w:color="auto" w:fill="ffffff"/>
          <w:lang w:eastAsia="zh-CN"/>
        </w:rPr>
        <w:t xml:space="preserve">太仓市公安局</w:t>
      </w:r>
      <w:r/>
    </w:p>
    <w:p>
      <w:pPr>
        <w:pStyle w:val="1047"/>
        <w:keepLines w:val="0"/>
        <w:keepNext w:val="0"/>
        <w:pageBreakBefore w:val="0"/>
        <w:spacing w:after="0" w:line="560" w:lineRule="exac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单位地址：江苏省苏州市太仓市娄东街道上海东路58号</w:t>
      </w:r>
      <w:r/>
    </w:p>
    <w:p>
      <w:pPr>
        <w:pStyle w:val="1047"/>
        <w:keepLines w:val="0"/>
        <w:keepNext w:val="0"/>
        <w:pageBreakBefore w:val="0"/>
        <w:spacing w:after="0" w:line="560" w:lineRule="exac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联系人：陆</w:t>
      </w:r>
      <w:r>
        <w:rPr>
          <w:rFonts w:hint="eastAsia" w:ascii="仿宋" w:hAnsi="仿宋" w:eastAsia="仿宋" w:cs="仿宋"/>
          <w:szCs w:val="24"/>
          <w:shd w:val="clear" w:color="auto" w:fill="ffffff"/>
          <w:lang w:val="en-US" w:eastAsia="zh-CN"/>
        </w:rPr>
        <w:t xml:space="preserve">健</w:t>
      </w:r>
      <w:r>
        <w:rPr>
          <w:rFonts w:ascii="仿宋" w:hAnsi="仿宋" w:eastAsia="仿宋" w:cs="仿宋"/>
          <w:szCs w:val="24"/>
          <w:shd w:val="clear" w:color="auto" w:fill="ffffff"/>
        </w:rPr>
        <w:t xml:space="preserve"> </w:t>
      </w:r>
      <w:r/>
    </w:p>
    <w:p>
      <w:pPr>
        <w:pStyle w:val="1047"/>
        <w:keepLines w:val="0"/>
        <w:keepNext w:val="0"/>
        <w:pageBreakBefore w:val="0"/>
        <w:spacing w:after="0" w:line="560" w:lineRule="exact"/>
        <w:rPr>
          <w:rFonts w:hint="default" w:ascii="仿宋" w:hAnsi="仿宋" w:eastAsia="仿宋" w:cs="仿宋"/>
          <w:szCs w:val="24"/>
          <w:shd w:val="clear" w:color="auto" w:fill="ffffff"/>
          <w:lang w:val="en-US" w:eastAsia="zh-CN"/>
        </w:rPr>
      </w:pPr>
      <w:r>
        <w:rPr>
          <w:rFonts w:hint="eastAsia" w:ascii="仿宋" w:hAnsi="仿宋" w:eastAsia="仿宋" w:cs="仿宋"/>
          <w:szCs w:val="24"/>
          <w:shd w:val="clear" w:color="auto" w:fill="ffffff"/>
        </w:rPr>
        <w:t xml:space="preserve">联系电话</w:t>
      </w:r>
      <w:r>
        <w:rPr>
          <w:rFonts w:ascii="仿宋" w:hAnsi="仿宋" w:eastAsia="仿宋" w:cs="仿宋"/>
          <w:szCs w:val="24"/>
          <w:shd w:val="clear" w:color="auto" w:fill="ffffff"/>
        </w:rPr>
        <w:t xml:space="preserve"> </w:t>
      </w:r>
      <w:r>
        <w:rPr>
          <w:rFonts w:hint="eastAsia" w:ascii="仿宋" w:hAnsi="仿宋" w:eastAsia="仿宋" w:cs="仿宋"/>
          <w:szCs w:val="24"/>
          <w:shd w:val="clear" w:color="auto" w:fill="ffffff"/>
        </w:rPr>
        <w:t xml:space="preserve">：</w:t>
      </w:r>
      <w:r>
        <w:rPr>
          <w:rFonts w:ascii="仿宋" w:hAnsi="仿宋" w:eastAsia="仿宋" w:cs="仿宋"/>
          <w:szCs w:val="24"/>
          <w:shd w:val="clear" w:color="auto" w:fill="ffffff"/>
        </w:rPr>
        <w:t xml:space="preserve">0512-</w:t>
      </w:r>
      <w:r>
        <w:rPr>
          <w:rFonts w:hint="eastAsia" w:ascii="仿宋" w:hAnsi="仿宋" w:eastAsia="仿宋" w:cs="仿宋"/>
          <w:szCs w:val="24"/>
          <w:shd w:val="clear" w:color="auto" w:fill="ffffff"/>
          <w:lang w:val="en-US" w:eastAsia="zh-CN"/>
        </w:rPr>
        <w:t xml:space="preserve">33055622</w:t>
      </w:r>
      <w:r/>
    </w:p>
    <w:p>
      <w:pPr>
        <w:pStyle w:val="1047"/>
        <w:keepLines w:val="0"/>
        <w:keepNext w:val="0"/>
        <w:pageBreakBefore w:val="0"/>
        <w:spacing w:after="0" w:line="560" w:lineRule="exact"/>
        <w:rPr>
          <w:rFonts w:ascii="仿宋" w:hAnsi="仿宋" w:eastAsia="仿宋" w:cs="仿宋"/>
          <w:szCs w:val="24"/>
          <w:shd w:val="clear" w:color="auto" w:fill="ffffff"/>
        </w:rPr>
      </w:pPr>
      <w:r>
        <w:rPr>
          <w:rFonts w:ascii="仿宋" w:hAnsi="仿宋" w:eastAsia="仿宋" w:cs="仿宋"/>
          <w:szCs w:val="24"/>
          <w:shd w:val="clear" w:color="auto" w:fill="ffffff"/>
        </w:rPr>
        <w:t xml:space="preserve">2.采购代理机构信息（如有）</w:t>
      </w:r>
      <w:r/>
    </w:p>
    <w:p>
      <w:pPr>
        <w:pStyle w:val="1047"/>
        <w:keepLines w:val="0"/>
        <w:keepNext w:val="0"/>
        <w:pageBreakBefore w:val="0"/>
        <w:spacing w:after="0" w:line="560" w:lineRule="exac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单位名称：苏州市公共资源交易中心太仓分中心</w:t>
      </w:r>
      <w:r/>
    </w:p>
    <w:p>
      <w:pPr>
        <w:pStyle w:val="1047"/>
        <w:keepLines w:val="0"/>
        <w:keepNext w:val="0"/>
        <w:pageBreakBefore w:val="0"/>
        <w:spacing w:after="0" w:line="560" w:lineRule="exac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单位地址：太仓市县府东街</w:t>
      </w:r>
      <w:r>
        <w:rPr>
          <w:rFonts w:ascii="仿宋" w:hAnsi="仿宋" w:eastAsia="仿宋" w:cs="仿宋"/>
          <w:szCs w:val="24"/>
          <w:shd w:val="clear" w:color="auto" w:fill="ffffff"/>
        </w:rPr>
        <w:t xml:space="preserve">99号政务服务中心三号楼四楼3413室</w:t>
      </w:r>
      <w:r/>
    </w:p>
    <w:p>
      <w:pPr>
        <w:pStyle w:val="1047"/>
        <w:keepLines w:val="0"/>
        <w:keepNext w:val="0"/>
        <w:pageBreakBefore w:val="0"/>
        <w:spacing w:after="0" w:line="560" w:lineRule="exac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联系人：冯晔</w:t>
      </w:r>
      <w:r/>
    </w:p>
    <w:p>
      <w:pPr>
        <w:pStyle w:val="1047"/>
        <w:keepLines w:val="0"/>
        <w:keepNext w:val="0"/>
        <w:pageBreakBefore w:val="0"/>
        <w:spacing w:after="0" w:line="560" w:lineRule="exac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联系电话：</w:t>
      </w:r>
      <w:r>
        <w:rPr>
          <w:rFonts w:ascii="仿宋" w:hAnsi="仿宋" w:eastAsia="仿宋" w:cs="仿宋"/>
          <w:szCs w:val="24"/>
          <w:shd w:val="clear" w:color="auto" w:fill="ffffff"/>
        </w:rPr>
        <w:t xml:space="preserve">0512-53890639</w:t>
      </w:r>
      <w:r/>
    </w:p>
    <w:p>
      <w:pPr>
        <w:pStyle w:val="1047"/>
        <w:keepLines w:val="0"/>
        <w:keepNext w:val="0"/>
        <w:pageBreakBefore w:val="0"/>
        <w:spacing w:after="0" w:line="560" w:lineRule="exact"/>
        <w:rPr>
          <w:rFonts w:ascii="仿宋" w:hAnsi="仿宋" w:eastAsia="仿宋" w:cs="仿宋"/>
          <w:szCs w:val="24"/>
          <w:shd w:val="clear" w:color="auto" w:fill="ffffff"/>
        </w:rPr>
      </w:pPr>
      <w:r>
        <w:rPr>
          <w:rFonts w:ascii="仿宋" w:hAnsi="仿宋" w:eastAsia="仿宋" w:cs="仿宋"/>
          <w:szCs w:val="24"/>
          <w:shd w:val="clear" w:color="auto" w:fill="ffffff"/>
        </w:rPr>
        <w:t xml:space="preserve">3.项目联系方式</w:t>
      </w:r>
      <w:r/>
    </w:p>
    <w:p>
      <w:pPr>
        <w:pStyle w:val="1047"/>
        <w:keepLines w:val="0"/>
        <w:keepNext w:val="0"/>
        <w:pageBreakBefore w:val="0"/>
        <w:spacing w:after="0" w:line="560" w:lineRule="exac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项目联系人：冯晔</w:t>
      </w:r>
      <w:r/>
    </w:p>
    <w:p>
      <w:pPr>
        <w:pStyle w:val="1047"/>
        <w:keepLines w:val="0"/>
        <w:keepNext w:val="0"/>
        <w:pageBreakBefore w:val="0"/>
        <w:spacing w:after="0" w:line="560" w:lineRule="exac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电话：</w:t>
      </w:r>
      <w:r>
        <w:rPr>
          <w:rFonts w:ascii="仿宋" w:hAnsi="仿宋" w:eastAsia="仿宋" w:cs="仿宋"/>
          <w:szCs w:val="24"/>
          <w:shd w:val="clear" w:color="auto" w:fill="ffffff"/>
        </w:rPr>
        <w:t xml:space="preserve">0512-53890639</w:t>
      </w:r>
      <w:r/>
    </w:p>
    <w:p>
      <w:pPr>
        <w:ind w:firstLine="482"/>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lang w:eastAsia="zh-CN"/>
        </w:rPr>
      </w:r>
      <w:r/>
    </w:p>
    <w:p>
      <w:pPr>
        <w:rPr>
          <w:rFonts w:ascii="仿宋" w:hAnsi="仿宋" w:eastAsia="仿宋" w:cs="仿宋"/>
          <w:b/>
          <w:sz w:val="44"/>
          <w:lang w:eastAsia="zh-CN"/>
        </w:rPr>
      </w:pPr>
      <w:r>
        <w:rPr>
          <w:rFonts w:ascii="仿宋" w:hAnsi="仿宋" w:eastAsia="仿宋" w:cs="仿宋"/>
          <w:b/>
          <w:sz w:val="44"/>
          <w:lang w:eastAsia="zh-CN"/>
        </w:rPr>
        <w:br w:type="page" w:clear="all"/>
      </w:r>
      <w:r/>
    </w:p>
    <w:p>
      <w:pPr>
        <w:jc w:val="center"/>
        <w:spacing w:after="0" w:line="312" w:lineRule="atLeast"/>
        <w:rPr>
          <w:rFonts w:ascii="仿宋" w:hAnsi="仿宋" w:eastAsia="仿宋" w:cs="仿宋"/>
          <w:b/>
          <w:sz w:val="4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lang w:eastAsia="zh-CN"/>
        </w:rPr>
        <w:t xml:space="preserve">第二部分  投标人须知</w:t>
      </w:r>
      <w:r/>
    </w:p>
    <w:p>
      <w:pPr>
        <w:jc w:val="center"/>
        <w:spacing w:after="0" w:line="312" w:lineRule="atLeast"/>
        <w:rPr>
          <w:rFonts w:ascii="仿宋" w:hAnsi="仿宋" w:eastAsia="仿宋" w:cs="仿宋"/>
          <w:b/>
          <w:sz w:val="44"/>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44"/>
          <w:lang w:eastAsia="zh-CN"/>
        </w:rPr>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一、说明和释义</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 </w:t>
      </w:r>
      <w:r>
        <w:rPr>
          <w:rFonts w:hint="eastAsia" w:ascii="仿宋" w:hAnsi="仿宋" w:eastAsia="仿宋" w:cs="仿宋"/>
          <w:b/>
          <w:sz w:val="24"/>
          <w:lang w:eastAsia="zh-CN"/>
        </w:rPr>
        <w:t xml:space="preserve">说明</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1.1本招标文件仅适用于苏州市公共资源交易中心太仓分中心组织的招标活动。</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1.2本次招标活动及因本次招标产生的合同受中国法律制约和保护。</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1.3本招标文件的解释权属于采购人。</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2. </w:t>
      </w:r>
      <w:r>
        <w:rPr>
          <w:rFonts w:hint="eastAsia" w:ascii="仿宋" w:hAnsi="仿宋" w:eastAsia="仿宋" w:cs="仿宋"/>
          <w:b/>
          <w:sz w:val="24"/>
          <w:lang w:eastAsia="zh-CN"/>
        </w:rPr>
        <w:t xml:space="preserve">词语释义</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2.1采购代理机构：具体组织实施招标活动的法人。本项目采购代理机构是苏州市公共资源交易中心太仓分中心。</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2.2投标人：经认定有资格响应招标，参加投标竞争的法人或其他组织和自然人。</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2.3响应：投标人根据采购人或采购代理机构发布的招标文件，编制投标文件并按规定投标的行为。</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2.4合同：采供双方根据招标文件和中标的投标文件及中标通知书规定的内容签署的以书面形式所达成的协议，包括所有的附件、附录和构成协议的所有文件。</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2.5甲方（采购方）：合同中明确规定的实际购买货物和服务的法人或其他组织和自然人（采购人）</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2.6乙方（供应商）：合同中规定的向采购方提供货物和服务的法人或其他组织和自然人（中标人）</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2.7货物：系指乙方按招标采购文件规定，应向甲方提供的一切设备、备品、备件、工具、手册及其它有关技术资料和材料。</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2.9知识产权：指专利权、商标权、著作权等无形财产专有权的统称。</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2.10天：日历日。</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2.11交货地点：合同中明确约定的乙方提交的货物和服务最终到达地点。</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2.12 </w:t>
      </w:r>
      <w:r>
        <w:rPr>
          <w:rFonts w:hint="eastAsia" w:ascii="仿宋" w:hAnsi="仿宋" w:eastAsia="仿宋" w:cs="仿宋"/>
          <w:sz w:val="24"/>
          <w:lang w:eastAsia="zh-CN"/>
        </w:rPr>
        <w:t xml:space="preserve">合同价款：根据合同规定，乙方在正确地履行合同义务后甲方应支付乙方的价款。</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2.13 </w:t>
      </w:r>
      <w:r>
        <w:rPr>
          <w:rFonts w:hint="eastAsia" w:ascii="仿宋" w:hAnsi="仿宋" w:eastAsia="仿宋" w:cs="仿宋"/>
          <w:sz w:val="24"/>
          <w:lang w:eastAsia="zh-CN"/>
        </w:rPr>
        <w:t xml:space="preserve">产地：货物开采、生长、生产、最终制造、加工或提供服务的来源地。</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2.14不可抗力：不能预见、不能避免并且不能克服的客观情况。</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2.15 </w:t>
      </w:r>
      <w:r>
        <w:rPr>
          <w:rFonts w:hint="eastAsia" w:ascii="仿宋" w:hAnsi="仿宋" w:eastAsia="仿宋" w:cs="仿宋"/>
          <w:sz w:val="24"/>
          <w:lang w:eastAsia="zh-CN"/>
        </w:rPr>
        <w:t xml:space="preserve">实质性响应：满足有关本次采购标的、数量、质量、价款或者报酬、履行期限、履行地点和方式、违约责任和解决争议方法等要求。</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2.16 </w:t>
      </w:r>
      <w:r>
        <w:rPr>
          <w:rFonts w:hint="eastAsia" w:ascii="仿宋" w:hAnsi="仿宋" w:eastAsia="仿宋" w:cs="仿宋"/>
          <w:sz w:val="24"/>
          <w:lang w:eastAsia="zh-CN"/>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2.17进口产品：指通过中国海关报关验收进入中国境内且产自境外的产品。</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2.18书面形式：指书面文字、合同书、信件和传真等可以有形地表现所载内容的形式。</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二、</w:t>
      </w:r>
      <w:r>
        <w:rPr>
          <w:rFonts w:ascii="仿宋" w:hAnsi="仿宋" w:eastAsia="仿宋" w:cs="仿宋"/>
          <w:b/>
          <w:sz w:val="24"/>
          <w:lang w:eastAsia="zh-CN"/>
        </w:rPr>
        <w:t xml:space="preserve"> </w:t>
      </w:r>
      <w:r>
        <w:rPr>
          <w:rFonts w:hint="eastAsia" w:ascii="仿宋" w:hAnsi="仿宋" w:eastAsia="仿宋" w:cs="仿宋"/>
          <w:b/>
          <w:sz w:val="24"/>
          <w:lang w:eastAsia="zh-CN"/>
        </w:rPr>
        <w:t xml:space="preserve">投标人</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3. </w:t>
      </w:r>
      <w:r>
        <w:rPr>
          <w:rFonts w:hint="eastAsia" w:ascii="仿宋" w:hAnsi="仿宋" w:eastAsia="仿宋" w:cs="仿宋"/>
          <w:b/>
          <w:sz w:val="24"/>
          <w:lang w:eastAsia="zh-CN"/>
        </w:rPr>
        <w:t xml:space="preserve">合格投标人的基本条件</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3.1符合《中华人民共和国政府采购法》第二十二条第一款之规定；</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3.2满足本文件实质性条款的规定。</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4．合格投标人的特定条件</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4.1 </w:t>
      </w:r>
      <w:r>
        <w:rPr>
          <w:rFonts w:hint="eastAsia" w:ascii="仿宋" w:hAnsi="仿宋" w:eastAsia="仿宋" w:cs="仿宋"/>
          <w:sz w:val="24"/>
          <w:lang w:eastAsia="zh-CN"/>
        </w:rPr>
        <w:t xml:space="preserve">按招标公告规定。</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5. </w:t>
      </w:r>
      <w:r>
        <w:rPr>
          <w:rFonts w:hint="eastAsia" w:ascii="仿宋" w:hAnsi="仿宋" w:eastAsia="仿宋" w:cs="仿宋"/>
          <w:b/>
          <w:sz w:val="24"/>
          <w:lang w:eastAsia="zh-CN"/>
        </w:rPr>
        <w:t xml:space="preserve">投标人代表</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5.1指全权代表投标人参加投标活动并签署投标文件的人，如果投标人代表不是法人代表，须持有《法人代表授权委托书》（详见统一格式）。</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6. </w:t>
      </w:r>
      <w:r>
        <w:rPr>
          <w:rFonts w:hint="eastAsia" w:ascii="仿宋" w:hAnsi="仿宋" w:eastAsia="仿宋" w:cs="仿宋"/>
          <w:b/>
          <w:sz w:val="24"/>
          <w:lang w:eastAsia="zh-CN"/>
        </w:rPr>
        <w:t xml:space="preserve">联合投标及转包、分包</w:t>
      </w:r>
      <w:r/>
    </w:p>
    <w:p>
      <w:pPr>
        <w:ind w:firstLine="360"/>
        <w:jc w:val="both"/>
        <w:spacing w:after="0" w:line="439" w:lineRule="atLeast"/>
        <w:rPr>
          <w:rFonts w:hint="eastAsia"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6.1本项目不接受联合体投标。</w:t>
      </w:r>
      <w:r/>
    </w:p>
    <w:p>
      <w:pPr>
        <w:ind w:firstLine="360"/>
        <w:jc w:val="both"/>
        <w:spacing w:after="0" w:line="439" w:lineRule="atLeast"/>
        <w:rPr>
          <w:rFonts w:hint="eastAsia"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6.2本项目不接受转包。</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6.3本项目不接受分包。</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7. 投标费用 </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7.1投标人应自行承担所有准备及参加投标的相关费用。不论投标结果如何，采购代理机构在任何情况下均无义务也无责任承担这些费用。</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7.2 </w:t>
      </w:r>
      <w:r>
        <w:rPr>
          <w:rFonts w:hint="eastAsia" w:ascii="仿宋" w:hAnsi="仿宋" w:eastAsia="仿宋" w:cs="仿宋"/>
          <w:sz w:val="24"/>
          <w:lang w:eastAsia="zh-CN"/>
        </w:rPr>
        <w:t xml:space="preserve">本次招标项目不收取标书费及中标服务费，请投标人在投标时充分考虑这一因素。</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三、招标文件说明</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8. </w:t>
      </w:r>
      <w:r>
        <w:rPr>
          <w:rFonts w:hint="eastAsia" w:ascii="仿宋" w:hAnsi="仿宋" w:eastAsia="仿宋" w:cs="仿宋"/>
          <w:b/>
          <w:sz w:val="24"/>
          <w:lang w:eastAsia="zh-CN"/>
        </w:rPr>
        <w:t xml:space="preserve">招标文件</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8.2招标文件及其更正文件不是直接从采购代理机构或指定媒体获得的，采购代理机构对招标文件及其补遗的真实性、完整性不承担任何责任。</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9. </w:t>
      </w:r>
      <w:r>
        <w:rPr>
          <w:rFonts w:hint="eastAsia" w:ascii="仿宋" w:hAnsi="仿宋" w:eastAsia="仿宋" w:cs="仿宋"/>
          <w:b/>
          <w:sz w:val="24"/>
          <w:lang w:eastAsia="zh-CN"/>
        </w:rPr>
        <w:t xml:space="preserve">招标文件的澄清</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9.1投标人在获取招标文件后，若有疑问，应于投标截止时间之前，向采购代理机构提出，采购代理机构将予以解答。</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9.2如有必要，问题答复将以“变更公告”形式由采购代理机构按照本须知第10条的规定发出。</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10.招标文件的修改</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10.1采购代理机构无论出于自己的考虑，还是出于对投标人提问的澄清，均可对已发出的招标文件用补充文件的方式进行必要澄清或者修改。</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10.3招标文件的更正（含澄清、修改等）内容与原招标文件在同一内容上表述不一致时，以发出日期最接近开标时间的公告为准。</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10.5招标文件若有最新的答疑文件，投标供应商必须下载并使用该文件制作新的电子投标文件，否则将无法完成电子投标文件的上传及投标。</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11.质疑</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11.1 </w:t>
      </w:r>
      <w:r>
        <w:rPr>
          <w:rFonts w:hint="eastAsia" w:ascii="仿宋" w:hAnsi="仿宋" w:eastAsia="仿宋" w:cs="仿宋"/>
          <w:sz w:val="24"/>
          <w:lang w:eastAsia="zh-CN"/>
        </w:rPr>
        <w:t xml:space="preserve">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11.2 </w:t>
      </w:r>
      <w:r>
        <w:rPr>
          <w:rFonts w:hint="eastAsia" w:ascii="仿宋" w:hAnsi="仿宋" w:eastAsia="仿宋" w:cs="仿宋"/>
          <w:sz w:val="24"/>
          <w:lang w:eastAsia="zh-CN"/>
        </w:rPr>
        <w:t xml:space="preserve">提出质疑的供应商应当是参与所质疑项目采购活动的供应商，未参加投标活动的供应商或在投标活动中自身权益未受到损害的供应商所提出的质疑不予受理。</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11.3上述应知其权益受到损害之日是指：</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11.3.1对采购文件提出质疑的，为获取采购文件或者采购文件公告期限届满之日起计算；</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11.3.2对采购过程提出质疑的，自采购程序环节结束之日起计算；</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11.3.3对中标结果提出质疑的，自中标结果公告期限届满之日起计算。</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11.4 </w:t>
      </w:r>
      <w:r>
        <w:rPr>
          <w:rFonts w:hint="eastAsia" w:ascii="仿宋" w:hAnsi="仿宋" w:eastAsia="仿宋" w:cs="仿宋"/>
          <w:sz w:val="24"/>
          <w:lang w:eastAsia="zh-CN"/>
        </w:rPr>
        <w:t xml:space="preserve">供应商提出质疑应当提交质疑函和必要的证明材料。质疑函应当包括下列内容：</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11.4.1 </w:t>
      </w:r>
      <w:r>
        <w:rPr>
          <w:rFonts w:hint="eastAsia" w:ascii="仿宋" w:hAnsi="仿宋" w:eastAsia="仿宋" w:cs="仿宋"/>
          <w:sz w:val="24"/>
          <w:lang w:eastAsia="zh-CN"/>
        </w:rPr>
        <w:t xml:space="preserve">供应商的姓名或者名称、地址、邮编、联系人及联系电话；</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11.4.2 </w:t>
      </w:r>
      <w:r>
        <w:rPr>
          <w:rFonts w:hint="eastAsia" w:ascii="仿宋" w:hAnsi="仿宋" w:eastAsia="仿宋" w:cs="仿宋"/>
          <w:sz w:val="24"/>
          <w:lang w:eastAsia="zh-CN"/>
        </w:rPr>
        <w:t xml:space="preserve">质疑项目的名称、编号；</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11.4.3 </w:t>
      </w:r>
      <w:r>
        <w:rPr>
          <w:rFonts w:hint="eastAsia" w:ascii="仿宋" w:hAnsi="仿宋" w:eastAsia="仿宋" w:cs="仿宋"/>
          <w:sz w:val="24"/>
          <w:lang w:eastAsia="zh-CN"/>
        </w:rPr>
        <w:t xml:space="preserve">具体、明确的质疑事项和与质疑事项相关的请求；</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11.4.4 </w:t>
      </w:r>
      <w:r>
        <w:rPr>
          <w:rFonts w:hint="eastAsia" w:ascii="仿宋" w:hAnsi="仿宋" w:eastAsia="仿宋" w:cs="仿宋"/>
          <w:sz w:val="24"/>
          <w:lang w:eastAsia="zh-CN"/>
        </w:rPr>
        <w:t xml:space="preserve">事实依据；</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11.4.5 </w:t>
      </w:r>
      <w:r>
        <w:rPr>
          <w:rFonts w:hint="eastAsia" w:ascii="仿宋" w:hAnsi="仿宋" w:eastAsia="仿宋" w:cs="仿宋"/>
          <w:sz w:val="24"/>
          <w:lang w:eastAsia="zh-CN"/>
        </w:rPr>
        <w:t xml:space="preserve">必要的法律依据；</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11.4.6 </w:t>
      </w:r>
      <w:r>
        <w:rPr>
          <w:rFonts w:hint="eastAsia" w:ascii="仿宋" w:hAnsi="仿宋" w:eastAsia="仿宋" w:cs="仿宋"/>
          <w:sz w:val="24"/>
          <w:lang w:eastAsia="zh-CN"/>
        </w:rPr>
        <w:t xml:space="preserve">提出质疑的日期。</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11.5质疑函的格式和内容应当符合财政部《政府采购供应商质疑函范本》 </w:t>
      </w:r>
      <w:r>
        <w:rPr>
          <w:rFonts w:hint="eastAsia" w:ascii="仿宋" w:hAnsi="仿宋" w:eastAsia="仿宋" w:cs="仿宋"/>
          <w:sz w:val="24"/>
          <w:lang w:eastAsia="zh-CN"/>
        </w:rPr>
        <w:t xml:space="preserve">要求，质疑函范本在财政部官网上提供下载。</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11.6 </w:t>
      </w:r>
      <w:r>
        <w:rPr>
          <w:rFonts w:hint="eastAsia" w:ascii="仿宋" w:hAnsi="仿宋" w:eastAsia="仿宋" w:cs="仿宋"/>
          <w:sz w:val="24"/>
          <w:lang w:eastAsia="zh-CN"/>
        </w:rPr>
        <w:t xml:space="preserve">提交质疑函同时应当附如下证明材料：</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11.6.1对采购文件提出质疑的供应商提供参加本项目的《投标供应商确认函》；</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11.6.2质疑供应商的营业执照复印件加盖单位公章；</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11.6.3质疑供应商法定代表人身份证复印件加盖单位公章；</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11.7 供应商为自然人的，应当由本人签字；供应商为法人或者其他组织的，应当由法定代表人、主要负责人，或者其授权代表签字或者盖章，并加盖公章。 </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11.8供应商对招标项目技术、商务及其他要求，以及评审细则、标准提出询问或质疑的，应向采购人提出；供应商对采购过程及中标结果提出询问或质疑的，应向采购机代理构提出；</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11.9 供应商如对本项目提出质疑须在法定质疑期内一次性提出针对同一采购程序环节的质疑。</w:t>
      </w:r>
      <w:r/>
    </w:p>
    <w:p>
      <w:pPr>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11.10 </w:t>
      </w:r>
      <w:r>
        <w:rPr>
          <w:rFonts w:hint="eastAsia" w:ascii="仿宋" w:hAnsi="仿宋" w:eastAsia="仿宋" w:cs="仿宋"/>
          <w:sz w:val="24"/>
          <w:lang w:eastAsia="zh-CN"/>
        </w:rPr>
        <w:t xml:space="preserve">根据《政府采购质疑和投诉办法》（财政部第</w:t>
      </w:r>
      <w:r>
        <w:rPr>
          <w:rFonts w:ascii="仿宋" w:hAnsi="仿宋" w:eastAsia="仿宋" w:cs="仿宋"/>
          <w:sz w:val="24"/>
          <w:lang w:eastAsia="zh-CN"/>
        </w:rPr>
        <w:t xml:space="preserve">94号令）第十一条规定，提出质疑的供应商应当是参与所质疑项目采购活动的供应商。提出质疑的供应商必须是依法获取招标文件，须将合法获取招标文件的证明材料（即《投标供应商确认函》）与质疑函一起递交，否则不予受理。</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11.11接受质疑函联系方式见采购公告联系事项。</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四、</w:t>
      </w:r>
      <w:r>
        <w:rPr>
          <w:rFonts w:ascii="仿宋" w:hAnsi="仿宋" w:eastAsia="仿宋" w:cs="仿宋"/>
          <w:b/>
          <w:sz w:val="24"/>
          <w:lang w:eastAsia="zh-CN"/>
        </w:rPr>
        <w:t xml:space="preserve"> </w:t>
      </w:r>
      <w:r>
        <w:rPr>
          <w:rFonts w:hint="eastAsia" w:ascii="仿宋" w:hAnsi="仿宋" w:eastAsia="仿宋" w:cs="仿宋"/>
          <w:b/>
          <w:sz w:val="24"/>
          <w:lang w:eastAsia="zh-CN"/>
        </w:rPr>
        <w:t xml:space="preserve">投标文件说明</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12、提示与要求</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12.2无论是否递交投标文件，投标人都应将招标文件及以后的所有通知、文件等视为保密文件。</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13. </w:t>
      </w:r>
      <w:r>
        <w:rPr>
          <w:rFonts w:hint="eastAsia" w:ascii="仿宋" w:hAnsi="仿宋" w:eastAsia="仿宋" w:cs="仿宋"/>
          <w:b/>
          <w:sz w:val="24"/>
          <w:lang w:eastAsia="zh-CN"/>
        </w:rPr>
        <w:t xml:space="preserve">投标文件计量单位和使用文字</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13.1投标文件中所使用的计量单位，除招标文件中有特殊要求外，均应使用中华人民共和国法定计量单位。</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14. </w:t>
      </w:r>
      <w:r>
        <w:rPr>
          <w:rFonts w:hint="eastAsia" w:ascii="仿宋" w:hAnsi="仿宋" w:eastAsia="仿宋" w:cs="仿宋"/>
          <w:b/>
          <w:sz w:val="24"/>
          <w:lang w:eastAsia="zh-CN"/>
        </w:rPr>
        <w:t xml:space="preserve">知识产权</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14.1 </w:t>
      </w:r>
      <w:r>
        <w:rPr>
          <w:rFonts w:hint="eastAsia" w:ascii="仿宋" w:hAnsi="仿宋" w:eastAsia="仿宋" w:cs="仿宋"/>
          <w:sz w:val="24"/>
          <w:lang w:eastAsia="zh-CN"/>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15. </w:t>
      </w:r>
      <w:r>
        <w:rPr>
          <w:rFonts w:hint="eastAsia" w:ascii="仿宋" w:hAnsi="仿宋" w:eastAsia="仿宋" w:cs="仿宋"/>
          <w:b/>
          <w:sz w:val="24"/>
          <w:lang w:eastAsia="zh-CN"/>
        </w:rPr>
        <w:t xml:space="preserve">投标文件的组成</w:t>
      </w:r>
      <w:r/>
    </w:p>
    <w:p>
      <w:pPr>
        <w:ind w:firstLine="12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15.1报价部分（详见投标文件格式）：</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15.1.1封面</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15.1.2《开标一览表》(统一格式)；</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15.1.3公开分项报价表；</w:t>
      </w:r>
      <w:r/>
    </w:p>
    <w:p>
      <w:pPr>
        <w:ind w:firstLine="12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15.2 </w:t>
      </w:r>
      <w:r>
        <w:rPr>
          <w:rFonts w:hint="eastAsia" w:ascii="仿宋" w:hAnsi="仿宋" w:eastAsia="仿宋" w:cs="仿宋"/>
          <w:b/>
          <w:sz w:val="24"/>
          <w:lang w:eastAsia="zh-CN"/>
        </w:rPr>
        <w:t xml:space="preserve">投标正文部分（包含资质证明和技术部分）</w:t>
      </w:r>
      <w:r/>
    </w:p>
    <w:p>
      <w:pPr>
        <w:ind w:firstLine="361"/>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15.2.1资质证明文件部分</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15.2.1.1关于资格文件的声明函（详见文件格式）；</w:t>
      </w:r>
      <w:r/>
    </w:p>
    <w:p>
      <w:pPr>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15.2.1.2投标承诺函（详见文件格式）；</w:t>
      </w:r>
      <w:r/>
    </w:p>
    <w:p>
      <w:pPr>
        <w:ind w:firstLine="360"/>
        <w:jc w:val="both"/>
        <w:spacing w:after="0" w:line="439" w:lineRule="atLeast"/>
        <w:rPr>
          <w:rFonts w:hint="eastAsia"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15.2.1.3投标人基本情况表（详见文件格式）；</w:t>
      </w:r>
      <w:r/>
    </w:p>
    <w:p>
      <w:pPr>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15.2.1.4投标人法定代表人身份证复印件；</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15.2.1.5投标人法定代表人授权委托书原件（如有授权）（详见文件格式）；</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15.2.1.6投标人授权代理人身份证复印件（如有授权）；</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15.2.1.7投标单位营业执照副本或三证合一营业执照复印件；</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15.2.1.8投标人参加本次政府采购活动前的财务状况报告或者银行出具的资信证明；</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15.2.1.9投标人根据项目需求提供履行合同所必需的设备和专业技术能力的证明材料；</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15.2.1.10投标人参加本次政府采购活动前半年（至少一个月）依法缴纳税收和社会保障资金的证明材料；</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15.2.1.11投标人参加政府采购活动前三年在经营活动中没有重大违法记录的书面申明（详见投标文件格式）；</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15.2.1.12投标人证明其符合招标文件规定的投标人特定资格条件的证书、证明和文件材料；（如有）</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15.2.1.13中小企业声明函</w:t>
      </w:r>
      <w:r>
        <w:rPr>
          <w:rFonts w:ascii="仿宋" w:hAnsi="仿宋" w:eastAsia="仿宋" w:cs="仿宋"/>
          <w:sz w:val="24"/>
          <w:lang w:eastAsia="zh-CN"/>
        </w:rPr>
        <w:t xml:space="preserve">（</w:t>
      </w:r>
      <w:r>
        <w:rPr>
          <w:rFonts w:ascii="仿宋" w:hAnsi="仿宋" w:eastAsia="仿宋" w:cs="仿宋"/>
          <w:sz w:val="24"/>
          <w:lang w:eastAsia="zh-CN"/>
        </w:rPr>
        <w:t xml:space="preserve">如有</w:t>
      </w:r>
      <w:r>
        <w:rPr>
          <w:rFonts w:ascii="仿宋" w:hAnsi="仿宋" w:eastAsia="仿宋" w:cs="仿宋"/>
          <w:sz w:val="24"/>
          <w:lang w:eastAsia="zh-CN"/>
        </w:rPr>
        <w:t xml:space="preserve">）</w:t>
      </w:r>
      <w:r>
        <w:rPr>
          <w:rFonts w:ascii="仿宋" w:hAnsi="仿宋" w:eastAsia="仿宋" w:cs="仿宋"/>
          <w:sz w:val="24"/>
          <w:lang w:eastAsia="zh-CN"/>
        </w:rPr>
        <w:t xml:space="preserve">；</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15.2.1.14残疾人福利性单位声明函（如有）；</w:t>
      </w:r>
      <w:r/>
    </w:p>
    <w:p>
      <w:pPr>
        <w:ind w:firstLine="361"/>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15.2.2技术部分</w:t>
      </w:r>
      <w:r/>
    </w:p>
    <w:p>
      <w:pPr>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15.2.2.1投标货物数量、品牌规格、材质、性能、交货期说明表（详见文件格式）；</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15.2.2.2技术要求偏离表（详见文件格式）；</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15.2.2.3商务要求偏离表（详见文件格式）；</w:t>
      </w:r>
      <w:r/>
    </w:p>
    <w:p>
      <w:pPr>
        <w:ind w:firstLine="360"/>
        <w:jc w:val="both"/>
        <w:spacing w:after="0" w:line="439"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t xml:space="preserve">15.2.2.4项目的技术及服务方案；</w:t>
      </w:r>
      <w:r/>
    </w:p>
    <w:p>
      <w:pPr>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t xml:space="preserve">15.2.2.5项目实施方案和进度方案</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15.2.2.6质量保证措施和承诺；</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15.2.2.7售后服务内容；</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15.2.2.8投入本项目技术（服务）人员一览表及相关证明材料（详见文件格式）；</w:t>
      </w:r>
      <w:r/>
    </w:p>
    <w:p>
      <w:pPr>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15.2.2.9类似项目业绩一览表及相关证明材料（详见文件格式）；</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15.2.2.10其他投标人认为需要提供的材料；</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15.3投标文件由15.1、15.2款规定的内容共同组成。</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16. </w:t>
      </w:r>
      <w:r>
        <w:rPr>
          <w:rFonts w:hint="eastAsia" w:ascii="仿宋" w:hAnsi="仿宋" w:eastAsia="仿宋" w:cs="仿宋"/>
          <w:b/>
          <w:sz w:val="24"/>
          <w:lang w:eastAsia="zh-CN"/>
        </w:rPr>
        <w:t xml:space="preserve">投标文件编制要求</w:t>
      </w:r>
      <w:r>
        <w:rPr>
          <w:rFonts w:ascii="仿宋" w:hAnsi="仿宋" w:eastAsia="仿宋" w:cs="仿宋"/>
          <w:b/>
          <w:sz w:val="24"/>
          <w:lang w:eastAsia="zh-CN"/>
        </w:rPr>
        <w:t xml:space="preserve"> </w:t>
      </w:r>
      <w:r>
        <w:rPr>
          <w:rFonts w:hint="eastAsia" w:ascii="仿宋" w:hAnsi="仿宋" w:eastAsia="仿宋" w:cs="仿宋"/>
          <w:b/>
          <w:sz w:val="24"/>
          <w:lang w:eastAsia="zh-CN"/>
        </w:rPr>
        <w:t xml:space="preserve">  </w:t>
      </w:r>
      <w:r/>
    </w:p>
    <w:p>
      <w:pPr>
        <w:ind w:firstLine="424"/>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电子投标文件编制要求：</w:t>
      </w:r>
      <w:r>
        <w:rPr>
          <w:rFonts w:hint="eastAsia" w:ascii="仿宋" w:hAnsi="仿宋" w:eastAsia="仿宋" w:cs="仿宋"/>
          <w:sz w:val="24"/>
          <w:lang w:eastAsia="zh-CN"/>
        </w:rPr>
        <w:t xml:space="preserve">投标人应使用</w:t>
      </w:r>
      <w:r>
        <w:rPr>
          <w:rFonts w:hint="eastAsia" w:ascii="仿宋" w:hAnsi="仿宋" w:eastAsia="仿宋" w:cs="仿宋"/>
          <w:b/>
          <w:sz w:val="24"/>
          <w:lang w:eastAsia="zh-CN"/>
        </w:rPr>
        <w:t xml:space="preserve">招标文件要求的投标文件制作软件制作电子投标文件</w:t>
      </w:r>
      <w:r>
        <w:rPr>
          <w:rFonts w:hint="eastAsia" w:ascii="仿宋" w:hAnsi="仿宋" w:eastAsia="仿宋" w:cs="仿宋"/>
          <w:sz w:val="24"/>
          <w:lang w:eastAsia="zh-CN"/>
        </w:rPr>
        <w:t xml:space="preserve">，电子投标文件按招标文件规定的格式制作，如果未按要求制作上传，可能导致投标无效。</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17. </w:t>
      </w:r>
      <w:r>
        <w:rPr>
          <w:rFonts w:hint="eastAsia" w:ascii="仿宋" w:hAnsi="仿宋" w:eastAsia="仿宋" w:cs="仿宋"/>
          <w:b/>
          <w:sz w:val="24"/>
          <w:lang w:eastAsia="zh-CN"/>
        </w:rPr>
        <w:t xml:space="preserve">投标报价（编制）要求的说明</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17.3 </w:t>
      </w:r>
      <w:r>
        <w:rPr>
          <w:rFonts w:hint="eastAsia" w:ascii="仿宋" w:hAnsi="仿宋" w:eastAsia="仿宋" w:cs="仿宋"/>
          <w:sz w:val="24"/>
          <w:lang w:eastAsia="zh-CN"/>
        </w:rPr>
        <w:t xml:space="preserve">一项投标内容只允许一个报价，采购代理机构不接受任何有选择性的投标报价。</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17.4投标文件报价中的单价和总价全部采用人民币表示，除非合同的特殊条款另有规定。</w:t>
      </w:r>
      <w:r/>
    </w:p>
    <w:p>
      <w:pPr>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17.5最低的投标报价或最高的优惠比例是中标的重要条件，但不是中标的唯一条件。</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18. </w:t>
      </w:r>
      <w:r>
        <w:rPr>
          <w:rFonts w:hint="eastAsia" w:ascii="仿宋" w:hAnsi="仿宋" w:eastAsia="仿宋" w:cs="仿宋"/>
          <w:b/>
          <w:sz w:val="24"/>
          <w:lang w:eastAsia="zh-CN"/>
        </w:rPr>
        <w:t xml:space="preserve">投标保证金</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本项目无须缴纳投标保证金</w:t>
      </w:r>
      <w:r>
        <w:rPr>
          <w:rFonts w:hint="eastAsia" w:ascii="仿宋" w:hAnsi="仿宋" w:eastAsia="仿宋" w:cs="仿宋"/>
          <w:b/>
          <w:sz w:val="24"/>
          <w:lang w:eastAsia="zh-CN"/>
        </w:rPr>
        <w:t xml:space="preserve">。</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19. </w:t>
      </w:r>
      <w:r>
        <w:rPr>
          <w:rFonts w:hint="eastAsia" w:ascii="仿宋" w:hAnsi="仿宋" w:eastAsia="仿宋" w:cs="仿宋"/>
          <w:b/>
          <w:sz w:val="24"/>
          <w:lang w:eastAsia="zh-CN"/>
        </w:rPr>
        <w:t xml:space="preserve">投标文件的有效期</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19.1在本招标文件规定的开标之日起九十（90）天内，投标人所提交的投标文件应保持有效。</w:t>
      </w:r>
      <w:r>
        <w:rPr>
          <w:rFonts w:hint="eastAsia" w:ascii="仿宋" w:hAnsi="仿宋" w:eastAsia="仿宋" w:cs="仿宋"/>
          <w:b/>
          <w:sz w:val="24"/>
          <w:lang w:eastAsia="zh-CN"/>
        </w:rPr>
        <w:t xml:space="preserve">有效期短于这个规定期限的投标文件，将被认定为未实质性响应招标文件要求。</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五、</w:t>
      </w:r>
      <w:r>
        <w:rPr>
          <w:rFonts w:ascii="仿宋" w:hAnsi="仿宋" w:eastAsia="仿宋" w:cs="仿宋"/>
          <w:b/>
          <w:sz w:val="24"/>
          <w:lang w:eastAsia="zh-CN"/>
        </w:rPr>
        <w:t xml:space="preserve"> </w:t>
      </w:r>
      <w:r>
        <w:rPr>
          <w:rFonts w:hint="eastAsia" w:ascii="仿宋" w:hAnsi="仿宋" w:eastAsia="仿宋" w:cs="仿宋"/>
          <w:b/>
          <w:sz w:val="24"/>
          <w:lang w:eastAsia="zh-CN"/>
        </w:rPr>
        <w:t xml:space="preserve">投标文件的提交、撤回和修改</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20. </w:t>
      </w:r>
      <w:r>
        <w:rPr>
          <w:rFonts w:hint="eastAsia" w:ascii="仿宋" w:hAnsi="仿宋" w:eastAsia="仿宋" w:cs="仿宋"/>
          <w:b/>
          <w:sz w:val="24"/>
          <w:lang w:eastAsia="zh-CN"/>
        </w:rPr>
        <w:t xml:space="preserve">投标文件的上传、提交</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20.</w:t>
      </w:r>
      <w:r>
        <w:rPr>
          <w:rFonts w:ascii="仿宋" w:hAnsi="仿宋" w:eastAsia="仿宋" w:cs="仿宋"/>
          <w:b/>
          <w:sz w:val="24"/>
          <w:lang w:eastAsia="zh-CN"/>
        </w:rPr>
        <w:t xml:space="preserve">1投标人应将制作好的加密电子投标文件按要求在投标截止时间前上传到交易系统平台中。</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21. </w:t>
      </w:r>
      <w:r>
        <w:rPr>
          <w:rFonts w:hint="eastAsia" w:ascii="仿宋" w:hAnsi="仿宋" w:eastAsia="仿宋" w:cs="仿宋"/>
          <w:b/>
          <w:sz w:val="24"/>
          <w:lang w:eastAsia="zh-CN"/>
        </w:rPr>
        <w:t xml:space="preserve">投标截止时间</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21.1</w:t>
      </w:r>
      <w:r>
        <w:rPr>
          <w:rFonts w:hint="eastAsia" w:ascii="仿宋" w:hAnsi="仿宋" w:eastAsia="仿宋" w:cs="仿宋"/>
          <w:b/>
          <w:sz w:val="24"/>
          <w:lang w:eastAsia="zh-CN"/>
        </w:rPr>
        <w:t xml:space="preserve">电子投标文件必须按招标公告中规定的网上投标截止时间前提交</w:t>
      </w:r>
      <w:r>
        <w:rPr>
          <w:rFonts w:hint="eastAsia" w:ascii="仿宋" w:hAnsi="仿宋" w:eastAsia="仿宋" w:cs="仿宋"/>
          <w:sz w:val="24"/>
          <w:lang w:eastAsia="zh-CN"/>
        </w:rPr>
        <w:t xml:space="preserve">，</w:t>
      </w:r>
      <w:r>
        <w:rPr>
          <w:rFonts w:hint="eastAsia" w:ascii="仿宋" w:hAnsi="仿宋" w:eastAsia="仿宋" w:cs="仿宋"/>
          <w:b/>
          <w:sz w:val="24"/>
          <w:lang w:eastAsia="zh-CN"/>
        </w:rPr>
        <w:t xml:space="preserve">否则投标无效</w:t>
      </w:r>
      <w:r>
        <w:rPr>
          <w:rFonts w:hint="eastAsia" w:ascii="仿宋" w:hAnsi="仿宋" w:eastAsia="仿宋" w:cs="仿宋"/>
          <w:sz w:val="24"/>
          <w:lang w:eastAsia="zh-CN"/>
        </w:rPr>
        <w:t xml:space="preserve">。</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21.2采购代理机构推迟投标截止时间时，应以更正公告的形式，通知所有投标人。在这种情况下，采购代理机构和投标人的权利和义务将受到新的截止期的约束。</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21.3在投标截止时间止，采购代理机构于本项目（或标段）收到的电子投标文件少于三份的，采购代理机构有权宣布本项目（或标段）招标失败。</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22. </w:t>
      </w:r>
      <w:r>
        <w:rPr>
          <w:rFonts w:hint="eastAsia" w:ascii="仿宋" w:hAnsi="仿宋" w:eastAsia="仿宋" w:cs="仿宋"/>
          <w:b/>
          <w:sz w:val="24"/>
          <w:lang w:eastAsia="zh-CN"/>
        </w:rPr>
        <w:t xml:space="preserve">投标文件的修改和撤回</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22.1投标人在提交投标文件截止时间前，可对其投标文件进行撤回或修改。</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23.2开标后投标人不得撤回投标。</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六、开标和评标</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23. </w:t>
      </w:r>
      <w:r>
        <w:rPr>
          <w:rFonts w:hint="eastAsia" w:ascii="仿宋" w:hAnsi="仿宋" w:eastAsia="仿宋" w:cs="仿宋"/>
          <w:b/>
          <w:sz w:val="24"/>
          <w:lang w:eastAsia="zh-CN"/>
        </w:rPr>
        <w:t xml:space="preserve">开标</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23.1采购代理机构按采购公告规定的时间、地点主持不见面开标活动。开标仪式由采购代理机构、采购人等主持。</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23.2</w:t>
      </w:r>
      <w:r>
        <w:rPr>
          <w:rFonts w:hint="eastAsia" w:ascii="仿宋" w:hAnsi="仿宋" w:eastAsia="仿宋" w:cs="仿宋"/>
          <w:b/>
          <w:sz w:val="24"/>
          <w:lang w:eastAsia="zh-CN"/>
        </w:rPr>
        <w:t xml:space="preserve">参加开标的投标法定代表人或授权代理人须在项目开标前登录苏采云不见面开标系统，进入苏采云网上不见面开标大厅，做好相关准备工作。</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23.3</w:t>
      </w:r>
      <w:r>
        <w:rPr>
          <w:rFonts w:hint="eastAsia" w:ascii="仿宋" w:hAnsi="仿宋" w:eastAsia="仿宋" w:cs="仿宋"/>
          <w:b/>
          <w:sz w:val="24"/>
          <w:lang w:eastAsia="zh-CN"/>
        </w:rPr>
        <w:t xml:space="preserve">本项目开标后在规定的解密时间内，投标人须自行登录网上开标大厅解密投标文件，解密时间为</w:t>
      </w:r>
      <w:r>
        <w:rPr>
          <w:rFonts w:ascii="仿宋" w:hAnsi="仿宋" w:eastAsia="仿宋" w:cs="仿宋"/>
          <w:b/>
          <w:sz w:val="24"/>
          <w:lang w:eastAsia="zh-CN"/>
        </w:rPr>
        <w:t xml:space="preserve">15分钟，因自身原因导致解密失败的，由投标人自行承担相关责任。</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23.4采购代理机构在开标仪式上，将公布投标人的名称、投标价格，并将作唱标记录。</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23.5投标人代表对开标过程和开标记录有疑义，以及认为采购人、采购代理机构相关工作人员有需要回避的情形的，</w:t>
      </w:r>
      <w:r>
        <w:rPr>
          <w:rFonts w:hint="eastAsia" w:ascii="仿宋" w:hAnsi="仿宋" w:eastAsia="仿宋" w:cs="仿宋"/>
          <w:b/>
          <w:sz w:val="24"/>
          <w:lang w:eastAsia="zh-CN"/>
        </w:rPr>
        <w:t xml:space="preserve">应通过不见面开标大厅提出</w:t>
      </w:r>
      <w:r>
        <w:rPr>
          <w:rFonts w:hint="eastAsia" w:ascii="仿宋" w:hAnsi="仿宋" w:eastAsia="仿宋" w:cs="仿宋"/>
          <w:sz w:val="24"/>
          <w:lang w:eastAsia="zh-CN"/>
        </w:rPr>
        <w:t xml:space="preserve">询问或者回避申请。采购人、采购代理机构对投标人代表提出的询问或者回避申请应当及时处理。</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24. </w:t>
      </w:r>
      <w:r>
        <w:rPr>
          <w:rFonts w:hint="eastAsia" w:ascii="仿宋" w:hAnsi="仿宋" w:eastAsia="仿宋" w:cs="仿宋"/>
          <w:b/>
          <w:sz w:val="24"/>
          <w:lang w:eastAsia="zh-CN"/>
        </w:rPr>
        <w:t xml:space="preserve">评标委员会</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24.1评标委员会由采购人或委托采购代理机构依法组建，负责本项目的评标事务。</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24.2评标委员会独立履行下列职责：</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24.2.1审查投标文件是否符合招标文件的要求，并作出评价；</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24.2.2可以要求投标供应商对投标文件有关事项作出解释或澄清；</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24.2.3推荐中标候选供应商名单，或者受采购人委托按照事先确定的办法直接确定中标供应商；</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24.2.4向采购代理机构或者有关部门报告非法干预评标工作的行为；</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24.3评标委员会成员应当履行下列义务：</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24.3.1遵纪守法，客观、公正、廉洁地履行职责；</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24.3.2按照招标文件规定的评标办法和评标标准进行评标，对评审意见承担个人责任；</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24.3.3对评标过程和结果，以及投标人的商业秘密保密；</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24.3.4参与评标报告的起草；</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24.3.5配合采购代理机构答复投标供应商提出的质疑；</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24.3.6配合相关部门的投诉处理工作；</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25. </w:t>
      </w:r>
      <w:r>
        <w:rPr>
          <w:rFonts w:hint="eastAsia" w:ascii="仿宋" w:hAnsi="仿宋" w:eastAsia="仿宋" w:cs="仿宋"/>
          <w:b/>
          <w:sz w:val="24"/>
          <w:lang w:eastAsia="zh-CN"/>
        </w:rPr>
        <w:t xml:space="preserve">评标内容的保密</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25.1公开开标后，直到宣布授予中标供应商合同为止，凡属于审查、澄清、评价和比较投标的所有资料，有关授予合同的信息都不应向投标人或与评标无关的其他人泄露。</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25.2 </w:t>
      </w:r>
      <w:r>
        <w:rPr>
          <w:rFonts w:hint="eastAsia" w:ascii="仿宋" w:hAnsi="仿宋" w:eastAsia="仿宋" w:cs="仿宋"/>
          <w:sz w:val="24"/>
          <w:lang w:eastAsia="zh-CN"/>
        </w:rPr>
        <w:t xml:space="preserve">在投标文件的审查、澄清、评价和比较以及授予合同的过程中，投标人对采购代理机构和评标委员会成员施加影响的任何行为，都将取消其投标资格。</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25.3在评标期间，采购代理机构将通过指定联络人与投标人进行联系。</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26.对投标文件初审</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26.1投标文件初审分为资格性检查和符合性检查。</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26.1.2 </w:t>
      </w:r>
      <w:r>
        <w:rPr>
          <w:rFonts w:hint="eastAsia" w:ascii="仿宋" w:hAnsi="仿宋" w:eastAsia="仿宋" w:cs="仿宋"/>
          <w:sz w:val="24"/>
          <w:lang w:eastAsia="zh-CN"/>
        </w:rPr>
        <w:t xml:space="preserve">关于信用记录查询：</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根据政府采购法及相关法规，以及《国务院关于建立完善守信联合激励和失信联合惩戒制度加快推进社会诚信建设的指导意见》（国发〔</w:t>
      </w:r>
      <w:r>
        <w:rPr>
          <w:rFonts w:ascii="仿宋" w:hAnsi="仿宋" w:eastAsia="仿宋" w:cs="仿宋"/>
          <w:sz w:val="24"/>
          <w:lang w:eastAsia="zh-CN"/>
        </w:rPr>
        <w:t xml:space="preserve">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26.1.2.1查询时间：评标开始前</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26.1.2.2查询渠道：通过“信用中国”网站、中国政府采购网等渠道查询相关主体信用记录。</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26.1.2.4信用记录使用规则：评审小组在对供应商进行资格性审查时，应根据查询结果对供应商的不良信用记录逐项甄别确认。</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26.1.3符合性检查。依据招标文件的规定，从投标文件的有效性、完整性和对招标文件的响应程度进行审查，以确定是否对招标文件的实质性要求作出响应。</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26.2.1 </w:t>
      </w:r>
      <w:r>
        <w:rPr>
          <w:rFonts w:hint="eastAsia" w:ascii="仿宋" w:hAnsi="仿宋" w:eastAsia="仿宋" w:cs="仿宋"/>
          <w:sz w:val="24"/>
          <w:lang w:eastAsia="zh-CN"/>
        </w:rPr>
        <w:t xml:space="preserve">不同投标人的投标文件由同一单位或者个人编制；</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26.2.2不同投标人委托同一单位或者个人办理投标事宜；</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26.2.3不同投标人的投标文件载明的项目管理成员或者联系人员为同一人；</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26.2.4不同投标人的投标文件异常一致或者投标报价呈规律性差异；</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26.2.5不同投标人的投标文件相互混装；</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w:t>
      </w:r>
      <w:r>
        <w:rPr>
          <w:rFonts w:hint="eastAsia" w:ascii="仿宋" w:hAnsi="仿宋" w:eastAsia="仿宋" w:cs="仿宋"/>
          <w:sz w:val="24"/>
          <w:lang w:eastAsia="zh-CN"/>
        </w:rPr>
        <w:t xml:space="preserve">且限制了合同中买方的权利或投标单位的义务。这些偏离或保留将会对其他实质上响应要求的投标单位的竞争地位产生不公正的影响。</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26.6评标委员会将对确定为实质性响应的投标进行审核，看其是否有计算上或累加上的算术错误，修正错误的原则如下：</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26.6.1投标文件中开标一览表（报价表）内容与投标文件中相应内容不一致的，以开标一览表（报价表）为准；</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26.6.2大写金额和小写金额不一致的，以大写金额为准；</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26.6.3单价金额小数点或者百分比有明显错位的，以开标一览表的总价为准，并修改单价；</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26.6.4总价金额与按单价汇总金额不一致的，以单价金额计算结果为准。</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同时出现两种以上不一致的，按照前款规定的顺序修正。修正后的报价按照本须知</w:t>
      </w:r>
      <w:r>
        <w:rPr>
          <w:rFonts w:ascii="仿宋" w:hAnsi="仿宋" w:eastAsia="仿宋" w:cs="仿宋"/>
          <w:sz w:val="24"/>
          <w:lang w:eastAsia="zh-CN"/>
        </w:rPr>
        <w:t xml:space="preserve">26.6条规定经投标人确认后产生约束力，投标人不确认的，其投标无效。</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26.7</w:t>
      </w:r>
      <w:r>
        <w:rPr>
          <w:rFonts w:hint="eastAsia" w:ascii="仿宋" w:hAnsi="仿宋" w:eastAsia="仿宋" w:cs="仿宋"/>
          <w:b/>
          <w:sz w:val="24"/>
          <w:lang w:eastAsia="zh-CN"/>
        </w:rPr>
        <w:t xml:space="preserve">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26.8对不同文字文本投标文件的解释发生异议的，以中文文本为准。</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26.9评标委员会对投标文件的判定，只依据投标内容本身，不依靠开标后的任何外来证明。</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26.10评标委员会将拒绝被确定为非实质性响应的投标，投标人不能通过修正或撤销不符之处而使其投标成为实质性响应的投标。</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27.投标的澄清</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28.无效投标和废标</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28.1无效投标的具体情形有： </w:t>
      </w:r>
      <w:r>
        <w:rPr>
          <w:rFonts w:hint="eastAsia" w:ascii="仿宋" w:hAnsi="仿宋" w:eastAsia="仿宋" w:cs="仿宋"/>
          <w:sz w:val="24"/>
          <w:lang w:eastAsia="zh-CN"/>
        </w:rPr>
        <w:t xml:space="preserve"> </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28.1.1投标文件未按招标文件要求签署、盖章或电子签章的；</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28.1.2不具备招标文件中规定的资格要求的；</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28.1.3报价超过招标文件中规定的预算金额或者最高限价的；</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28.1.4</w:t>
      </w:r>
      <w:r>
        <w:rPr>
          <w:rFonts w:hint="eastAsia" w:ascii="仿宋" w:hAnsi="仿宋" w:eastAsia="仿宋" w:cs="仿宋"/>
          <w:b/>
          <w:sz w:val="24"/>
          <w:lang w:eastAsia="zh-CN"/>
        </w:rPr>
        <w:t xml:space="preserve">不同投标人的投标文件使用同一台电脑编制的；</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28.1.5投标文件含有采购人不能接受的附加条件的；</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28.1.6法律、法规和招标文件规定的其他无效情形。</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28.2 </w:t>
      </w:r>
      <w:r>
        <w:rPr>
          <w:rFonts w:hint="eastAsia" w:ascii="仿宋" w:hAnsi="仿宋" w:eastAsia="仿宋" w:cs="仿宋"/>
          <w:sz w:val="24"/>
          <w:lang w:eastAsia="zh-CN"/>
        </w:rPr>
        <w:t xml:space="preserve">在招标采购中，出现下列情形之一的，应予废标：</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28.2.1符合专业条件的供应商或者对招标文件作实质响应的供应商不足三家的；</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28.2.2出现影响采购公正的违法、违规行为的；</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28.2.3投标人的报价均超过了采购预算，采购人不能支付的；</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28.2.4因重大变故，采购任务取消的。</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28.3 </w:t>
      </w:r>
      <w:r>
        <w:rPr>
          <w:rFonts w:hint="eastAsia" w:ascii="仿宋" w:hAnsi="仿宋" w:eastAsia="仿宋" w:cs="仿宋"/>
          <w:sz w:val="24"/>
          <w:lang w:eastAsia="zh-CN"/>
        </w:rPr>
        <w:t xml:space="preserve">废标后，采购人应当将废标理由通知所有投标人。</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29. </w:t>
      </w:r>
      <w:r>
        <w:rPr>
          <w:rFonts w:hint="eastAsia" w:ascii="仿宋" w:hAnsi="仿宋" w:eastAsia="仿宋" w:cs="仿宋"/>
          <w:b/>
          <w:sz w:val="24"/>
          <w:lang w:eastAsia="zh-CN"/>
        </w:rPr>
        <w:t xml:space="preserve">投标文件的评价和比较</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29.1评标委员会按招标文件规定的评标方法和标准，仅对资格性检查和符合性检查合格的投标文件进行商务和技术评估，综合比较与评价。</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rPr>
          <w:rFonts w:hint="eastAsia" w:ascii="仿宋" w:hAnsi="仿宋" w:eastAsia="仿宋" w:cs="仿宋"/>
          <w:sz w:val="24"/>
          <w:lang w:eastAsia="zh-CN"/>
        </w:rPr>
        <w:t xml:space="preserve">   </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29.2.1服务的质量保证（保障）内容；</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29.2.2服务配备的人员；</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29.2.3投标者的资信情况和履约能力；</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29.2.4投标者提供的其他优惠条件；</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29.2.5参与本项目政府采购工作的态度及信誉；</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29.2.6最低的投标报价或最高的优惠比例是中标的重要条件，但不是唯一条件。</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七、授予合同</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30. </w:t>
      </w:r>
      <w:r>
        <w:rPr>
          <w:rFonts w:hint="eastAsia" w:ascii="仿宋" w:hAnsi="仿宋" w:eastAsia="仿宋" w:cs="仿宋"/>
          <w:b/>
          <w:sz w:val="24"/>
          <w:lang w:eastAsia="zh-CN"/>
        </w:rPr>
        <w:t xml:space="preserve">中标供应商的确认</w:t>
      </w:r>
      <w:r>
        <w:rPr>
          <w:rFonts w:ascii="仿宋" w:hAnsi="仿宋" w:eastAsia="仿宋" w:cs="仿宋"/>
          <w:b/>
          <w:sz w:val="24"/>
          <w:lang w:eastAsia="zh-CN"/>
        </w:rPr>
        <w:t xml:space="preserve"> </w:t>
      </w:r>
      <w:r>
        <w:rPr>
          <w:rFonts w:hint="eastAsia" w:ascii="仿宋" w:hAnsi="仿宋" w:eastAsia="仿宋" w:cs="仿宋"/>
          <w:b/>
          <w:sz w:val="24"/>
          <w:lang w:eastAsia="zh-CN"/>
        </w:rPr>
        <w:t xml:space="preserve">         </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30.1评标委员会按招标文件规定的评标方法和标准进行详细评审后，按采购人的委托向采购人推荐中标候选单位或根据采购人授权直接确定中标供应商。</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30.2经评标委员会评审并确定中标供应商后，采购人或授权采购代理机构将在规定的时间内将中标结果在相关媒体上予以公告。</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30.4质疑函递交地点及联系方式详见公告内容</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31. </w:t>
      </w:r>
      <w:r>
        <w:rPr>
          <w:rFonts w:hint="eastAsia" w:ascii="仿宋" w:hAnsi="仿宋" w:eastAsia="仿宋" w:cs="仿宋"/>
          <w:b/>
          <w:sz w:val="24"/>
          <w:lang w:eastAsia="zh-CN"/>
        </w:rPr>
        <w:t xml:space="preserve">合同授予标准</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31.1采购人将把合同授予其投标文件在实质上响应招标文件要求和按本须知规定评选出的投标人。确定为中标的投标人必须具有实施本合同的能力和资源。</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32. </w:t>
      </w:r>
      <w:r>
        <w:rPr>
          <w:rFonts w:hint="eastAsia" w:ascii="仿宋" w:hAnsi="仿宋" w:eastAsia="仿宋" w:cs="仿宋"/>
          <w:b/>
          <w:sz w:val="24"/>
          <w:lang w:eastAsia="zh-CN"/>
        </w:rPr>
        <w:t xml:space="preserve">中标通知书</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361"/>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32.2中标通知书在中标公告发布后将发布在苏采云系统中，中标通知书发布之日视为中标供应商领取之日，中标供应商在中标结果公告届满之日起30日内自行在苏采云系统中下载打印。</w:t>
      </w:r>
      <w:r/>
    </w:p>
    <w:p>
      <w:pPr>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32.3因系统存储空间有限，自中标结果公告届满之日起30日后，“苏采云”系统不再保证提供下载中标通知书服务,因未及时下载而造成的不利后果由中标供应商自行承担。</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32.4中标通知书将成为合同的组成部分。</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32.5采购代理机构对未中标供应商不承担解释未中标原因的义务。</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33.履约保证金</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33.1中标供应商按合同约定要求提交履约保证金。</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33.2履约保证金用以约束供应商在合同履行中的行为，弥补合同执行中由于自身行为可能给采购人带来的各种损失。</w:t>
      </w:r>
      <w:r/>
    </w:p>
    <w:p>
      <w:pPr>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33.3履约保证金（无息）将在中标供应商合同履行完毕且质保期满后，采购人在五个工作日内退返中标供应商。</w:t>
      </w:r>
      <w:r/>
    </w:p>
    <w:p>
      <w:pPr>
        <w:pStyle w:val="1063"/>
        <w:rPr>
          <w:rFonts w:hint="default"/>
          <w:lang w:val="en-US" w:eastAsia="zh-CN"/>
        </w:rPr>
      </w:pPr>
      <w:r>
        <w:rPr>
          <w:rFonts w:hint="eastAsia" w:ascii="仿宋" w:hAnsi="仿宋" w:eastAsia="仿宋" w:cs="仿宋"/>
          <w:sz w:val="24"/>
          <w:lang w:val="en-US" w:eastAsia="zh-CN"/>
        </w:rPr>
        <w:t xml:space="preserve">33.4 </w:t>
      </w:r>
      <w:r>
        <w:rPr>
          <w:rFonts w:ascii="仿宋" w:hAnsi="仿宋" w:eastAsia="仿宋" w:cs="仿宋"/>
          <w:sz w:val="24"/>
          <w:lang w:eastAsia="zh-CN"/>
        </w:rPr>
        <w:t xml:space="preserve">中标供应商</w:t>
      </w:r>
      <w:r>
        <w:rPr>
          <w:rFonts w:hint="eastAsia" w:ascii="仿宋" w:hAnsi="仿宋" w:eastAsia="仿宋" w:cs="仿宋"/>
          <w:sz w:val="24"/>
          <w:lang w:val="en-US" w:eastAsia="zh-CN"/>
        </w:rPr>
        <w:t xml:space="preserve">可以采用银行、保险公司、担保公司等第三方机构出具的履约保函（保险）代替缴纳履约保证金，保函（保险）有效期届满且担保人按照约定履行了担保责任后自动失效。如</w:t>
      </w:r>
      <w:r>
        <w:rPr>
          <w:rFonts w:ascii="仿宋" w:hAnsi="仿宋" w:eastAsia="仿宋" w:cs="仿宋"/>
          <w:sz w:val="24"/>
          <w:lang w:eastAsia="zh-CN"/>
        </w:rPr>
        <w:t xml:space="preserve">中标供应商</w:t>
      </w:r>
      <w:r>
        <w:rPr>
          <w:rFonts w:hint="eastAsia" w:ascii="仿宋" w:hAnsi="仿宋" w:eastAsia="仿宋" w:cs="仿宋"/>
          <w:sz w:val="24"/>
          <w:lang w:val="en-US" w:eastAsia="zh-CN"/>
        </w:rPr>
        <w:t xml:space="preserve">未按要求履行合同义务，由担保人按照合同约定对采购人承担赔偿责任。</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34. </w:t>
      </w:r>
      <w:r>
        <w:rPr>
          <w:rFonts w:hint="eastAsia" w:ascii="仿宋" w:hAnsi="仿宋" w:eastAsia="仿宋" w:cs="仿宋"/>
          <w:b/>
          <w:sz w:val="24"/>
          <w:lang w:eastAsia="zh-CN"/>
        </w:rPr>
        <w:t xml:space="preserve">合同的签订</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34.1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34.2中标供应商应按中标通知书中中规定，由法定代表人或授权代理人与采购人代表签订合同，否则按放弃中标权处理。</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34.3签订合同及合同条款应以招标文件和中标供应商的投标文件及其澄清文件为依据。</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34.4中标人无正当理由拒签合同的，或在签订合同时向采购人提出附加条件或者更改合同实质性内容的，采购人可取消其中标资格，同时由中标人承担相应的法律责任。</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八、政府采购相关政策</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35.节能产品和环境标志产品</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hint="eastAsia" w:ascii="仿宋" w:hAnsi="仿宋" w:eastAsia="仿宋" w:cs="仿宋"/>
          <w:b/>
          <w:sz w:val="24"/>
          <w:lang w:eastAsia="zh-CN"/>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36.中小企业相关政策：</w:t>
      </w:r>
      <w:r/>
    </w:p>
    <w:p>
      <w:pPr>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szCs w:val="24"/>
          <w:highlight w:val="none"/>
          <w:lang w:eastAsia="zh-CN"/>
        </w:rPr>
        <w:t xml:space="preserve">36.1</w:t>
      </w:r>
      <w:r>
        <w:rPr>
          <w:rFonts w:hint="eastAsia" w:ascii="仿宋" w:hAnsi="仿宋" w:eastAsia="仿宋" w:cs="仿宋"/>
          <w:color w:val="000000"/>
          <w:sz w:val="24"/>
          <w:szCs w:val="24"/>
          <w:highlight w:val="none"/>
          <w:lang w:eastAsia="zh-CN"/>
        </w:rPr>
        <w:t xml:space="preserve">根据《政府采购促进中小企业发展管理办法》（财库﹝</w:t>
      </w:r>
      <w:r>
        <w:rPr>
          <w:rFonts w:ascii="仿宋" w:hAnsi="仿宋" w:eastAsia="仿宋" w:cs="仿宋"/>
          <w:color w:val="000000"/>
          <w:sz w:val="24"/>
          <w:szCs w:val="24"/>
          <w:highlight w:val="none"/>
          <w:lang w:eastAsia="zh-CN"/>
        </w:rPr>
        <w:t xml:space="preserve">2020﹞46号）</w:t>
      </w:r>
      <w:r>
        <w:rPr>
          <w:rFonts w:hint="eastAsia" w:ascii="仿宋" w:hAnsi="仿宋" w:eastAsia="仿宋" w:cs="仿宋"/>
          <w:color w:val="000000"/>
          <w:sz w:val="24"/>
          <w:szCs w:val="24"/>
          <w:highlight w:val="none"/>
          <w:lang w:eastAsia="zh-CN"/>
        </w:rPr>
        <w:t xml:space="preserve">规定，</w:t>
      </w:r>
      <w:r>
        <w:rPr>
          <w:rFonts w:ascii="仿宋" w:hAnsi="仿宋" w:eastAsia="仿宋" w:cs="仿宋"/>
          <w:color w:val="000000"/>
          <w:sz w:val="24"/>
          <w:szCs w:val="24"/>
          <w:highlight w:val="none"/>
          <w:lang w:eastAsia="zh-CN"/>
        </w:rPr>
        <w:t xml:space="preserve">第二条 本办法所称中小企业，是指在中华人民共和国境内依法设立，依据国务院批准的中小企业划分标准确定的中型企业、小型企业和微型企业，</w:t>
      </w:r>
      <w:r>
        <w:rPr>
          <w:rFonts w:ascii="仿宋" w:hAnsi="仿宋" w:eastAsia="仿宋" w:cs="仿宋"/>
          <w:b/>
          <w:color w:val="000000"/>
          <w:sz w:val="24"/>
          <w:szCs w:val="24"/>
          <w:highlight w:val="none"/>
          <w:lang w:eastAsia="zh-CN"/>
        </w:rPr>
        <w:t xml:space="preserve">但与大企业的负责人为同一人，或者与大企业存在直接控股、管理关系的除外</w:t>
      </w:r>
      <w:r>
        <w:rPr>
          <w:rFonts w:ascii="仿宋" w:hAnsi="仿宋" w:eastAsia="仿宋" w:cs="仿宋"/>
          <w:color w:val="000000"/>
          <w:sz w:val="24"/>
          <w:szCs w:val="24"/>
          <w:highlight w:val="none"/>
          <w:lang w:eastAsia="zh-CN"/>
        </w:rPr>
        <w:t xml:space="preserve">。符合中小企业划分标准的个体工商户，</w:t>
      </w:r>
      <w:r>
        <w:rPr>
          <w:rFonts w:ascii="仿宋" w:hAnsi="仿宋" w:eastAsia="仿宋" w:cs="仿宋"/>
          <w:sz w:val="24"/>
          <w:lang w:eastAsia="zh-CN"/>
        </w:rPr>
        <w:t xml:space="preserve">在政府采购活动中视同中小企业。</w:t>
      </w:r>
      <w:r/>
    </w:p>
    <w:p>
      <w:pPr>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1)在货物采购项目中，货物由小、微企业制造，即货物由小、微企业生产且使用该小、微企业商号或者注册商标。对其报价给予20%的扣除，扣除后的价格参与价格评审。</w:t>
      </w:r>
      <w:r/>
    </w:p>
    <w:p>
      <w:pPr>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2)在服务采购项目中，服务由小、微企业承接，即提供服务的人员为小、微企业依照《中华人民共和国劳动合同法》订立劳动合同的从业人员。对其报价给予20%的扣除，扣除后的价格参与价格评审。</w:t>
      </w:r>
      <w:r/>
    </w:p>
    <w:p>
      <w:pPr>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3)在货物采购项目中，供应商提供的货物既有小、微企业制造货物，也有中、大型企业制造货物的，不享受本办法规定的小、微企业价格扶持政策。</w:t>
      </w:r>
      <w:r/>
    </w:p>
    <w:p>
      <w:pPr>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4)以联合体形式参加政府采购活动，联合体各方均为中小企业的，联合体视同中小企业。其中，联合体各方均为小微企业的，联合体视同小微企业。</w:t>
      </w:r>
      <w:r/>
    </w:p>
    <w:p>
      <w:pPr>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5)符合中小企业划分标准的个体工商户，在政府采购活动中视同中小企业。</w:t>
      </w:r>
      <w:r/>
    </w:p>
    <w:p>
      <w:pPr>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6)残疾人福利性单位及监狱企业视同小型企业，享受评审中价格扣除等促进中小企业发展的政府采购政策。</w:t>
      </w:r>
      <w:r/>
    </w:p>
    <w:p>
      <w:pPr>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7)供应商按照本办法规定提供声明函内容不实的，属于提供虚假材料谋取中标、 </w:t>
      </w:r>
      <w:r>
        <w:rPr>
          <w:rFonts w:hint="eastAsia" w:ascii="仿宋" w:hAnsi="仿宋" w:eastAsia="仿宋" w:cs="仿宋"/>
          <w:sz w:val="24"/>
          <w:lang w:eastAsia="zh-CN"/>
        </w:rPr>
        <w:t xml:space="preserve">成交，</w:t>
      </w:r>
      <w:r>
        <w:rPr>
          <w:rFonts w:ascii="仿宋" w:hAnsi="仿宋" w:eastAsia="仿宋" w:cs="仿宋"/>
          <w:sz w:val="24"/>
          <w:lang w:eastAsia="zh-CN"/>
        </w:rPr>
        <w:t xml:space="preserve"> </w:t>
      </w:r>
      <w:r>
        <w:rPr>
          <w:rFonts w:hint="eastAsia" w:ascii="仿宋" w:hAnsi="仿宋" w:eastAsia="仿宋" w:cs="仿宋"/>
          <w:sz w:val="24"/>
          <w:lang w:eastAsia="zh-CN"/>
        </w:rPr>
        <w:t xml:space="preserve">依照《中华人民共和国政府采购法》</w:t>
      </w:r>
      <w:r>
        <w:rPr>
          <w:rFonts w:ascii="仿宋" w:hAnsi="仿宋" w:eastAsia="仿宋" w:cs="仿宋"/>
          <w:sz w:val="24"/>
          <w:lang w:eastAsia="zh-CN"/>
        </w:rPr>
        <w:t xml:space="preserve"> </w:t>
      </w:r>
      <w:r>
        <w:rPr>
          <w:rFonts w:hint="eastAsia" w:ascii="仿宋" w:hAnsi="仿宋" w:eastAsia="仿宋" w:cs="仿宋"/>
          <w:sz w:val="24"/>
          <w:lang w:eastAsia="zh-CN"/>
        </w:rPr>
        <w:t xml:space="preserve">等国家有关规定追究相应责任。</w:t>
      </w:r>
      <w:r/>
    </w:p>
    <w:p>
      <w:pPr>
        <w:jc w:val="both"/>
        <w:spacing w:after="0" w:line="439" w:lineRule="atLeast"/>
        <w:rPr>
          <w:rFonts w:hint="eastAsia" w:ascii="仿宋" w:hAnsi="仿宋" w:eastAsia="仿宋" w:cs="仿宋"/>
          <w:b/>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37. </w:t>
      </w:r>
      <w:r>
        <w:rPr>
          <w:rFonts w:hint="eastAsia" w:ascii="仿宋" w:hAnsi="仿宋" w:eastAsia="仿宋" w:cs="仿宋"/>
          <w:b/>
          <w:sz w:val="24"/>
          <w:lang w:eastAsia="zh-CN"/>
        </w:rPr>
        <w:t xml:space="preserve">绿色数据中心政策</w:t>
      </w:r>
      <w:r/>
    </w:p>
    <w:p>
      <w:pPr>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37.1 </w:t>
      </w:r>
      <w:r>
        <w:rPr>
          <w:rFonts w:hint="eastAsia" w:ascii="仿宋" w:hAnsi="仿宋" w:eastAsia="仿宋" w:cs="仿宋"/>
          <w:sz w:val="24"/>
          <w:lang w:eastAsia="zh-CN"/>
        </w:rPr>
        <w:t xml:space="preserve">依据《绿色数据中心政府采购需求标准（试行）》（财办库〔2023〕7 号）文件精神，采购</w:t>
      </w:r>
      <w:r>
        <w:rPr>
          <w:rFonts w:hint="eastAsia" w:ascii="仿宋" w:hAnsi="仿宋" w:eastAsia="仿宋" w:cs="仿宋"/>
          <w:sz w:val="24"/>
          <w:lang w:eastAsia="zh-CN"/>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both"/>
        <w:spacing w:after="0" w:line="439" w:lineRule="atLeast"/>
        <w:rPr>
          <w:rFonts w:ascii="仿宋" w:hAnsi="仿宋" w:eastAsia="仿宋" w:cs="仿宋"/>
          <w:b/>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38.商品包装、快递包装政策</w:t>
      </w:r>
      <w:r/>
    </w:p>
    <w:p>
      <w:pPr>
        <w:ind w:firstLine="360"/>
        <w:jc w:val="both"/>
        <w:spacing w:after="0" w:line="439" w:lineRule="atLeast"/>
        <w:rPr>
          <w:rFonts w:hint="eastAsia" w:ascii="仿宋" w:hAnsi="仿宋" w:eastAsia="仿宋" w:cs="仿宋"/>
          <w:b/>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38.1 </w:t>
      </w:r>
      <w:r>
        <w:rPr>
          <w:rFonts w:hint="eastAsia" w:ascii="仿宋" w:hAnsi="仿宋" w:eastAsia="仿宋" w:cs="仿宋"/>
          <w:sz w:val="24"/>
          <w:lang w:eastAsia="zh-CN"/>
        </w:rPr>
        <w:t xml:space="preserve">依据</w:t>
      </w:r>
      <w:r>
        <w:rPr>
          <w:rFonts w:ascii="仿宋" w:hAnsi="仿宋" w:eastAsia="仿宋" w:cs="仿宋"/>
          <w:sz w:val="24"/>
          <w:lang w:eastAsia="zh-CN"/>
        </w:rPr>
        <w:t xml:space="preserve">《关于印发〈商品包装政府采购需求标准（试行）〉、〈快递包装政府采购需求标准（试行）〉的通知》（财办库〔2020〕123号）</w:t>
      </w:r>
      <w:r>
        <w:rPr>
          <w:rFonts w:hint="eastAsia" w:ascii="仿宋" w:hAnsi="仿宋" w:eastAsia="仿宋" w:cs="仿宋"/>
          <w:sz w:val="24"/>
          <w:lang w:eastAsia="zh-CN"/>
        </w:rPr>
        <w:t xml:space="preserve">文件</w:t>
      </w:r>
      <w:r>
        <w:rPr>
          <w:rFonts w:ascii="仿宋" w:hAnsi="仿宋" w:eastAsia="仿宋" w:cs="仿宋"/>
          <w:sz w:val="24"/>
          <w:lang w:eastAsia="zh-CN"/>
        </w:rPr>
        <w:t xml:space="preserve">精神</w:t>
      </w:r>
      <w:r>
        <w:rPr>
          <w:rFonts w:hint="eastAsia" w:ascii="仿宋" w:hAnsi="仿宋" w:eastAsia="仿宋" w:cs="仿宋"/>
          <w:sz w:val="24"/>
          <w:lang w:eastAsia="zh-CN"/>
        </w:rPr>
        <w:t xml:space="preserve">，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九、其他事项</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3</w:t>
      </w:r>
      <w:r>
        <w:rPr>
          <w:rFonts w:hint="eastAsia" w:ascii="仿宋" w:hAnsi="仿宋" w:eastAsia="仿宋" w:cs="仿宋"/>
          <w:b/>
          <w:sz w:val="24"/>
          <w:lang w:val="en-US" w:eastAsia="zh-CN"/>
        </w:rPr>
        <w:t xml:space="preserve">9</w:t>
      </w:r>
      <w:r>
        <w:rPr>
          <w:rFonts w:ascii="仿宋" w:hAnsi="仿宋" w:eastAsia="仿宋" w:cs="仿宋"/>
          <w:b/>
          <w:sz w:val="24"/>
          <w:lang w:eastAsia="zh-CN"/>
        </w:rPr>
        <w:t xml:space="preserve">. </w:t>
      </w:r>
      <w:r>
        <w:rPr>
          <w:rFonts w:hint="eastAsia" w:ascii="仿宋" w:hAnsi="仿宋" w:eastAsia="仿宋" w:cs="仿宋"/>
          <w:b/>
          <w:sz w:val="24"/>
          <w:lang w:eastAsia="zh-CN"/>
        </w:rPr>
        <w:t xml:space="preserve">监督和公证</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w:t>
      </w:r>
      <w:r>
        <w:rPr>
          <w:rFonts w:hint="eastAsia" w:ascii="仿宋" w:hAnsi="仿宋" w:eastAsia="仿宋" w:cs="仿宋"/>
          <w:sz w:val="24"/>
          <w:lang w:val="en-US" w:eastAsia="zh-CN"/>
        </w:rPr>
        <w:t xml:space="preserve">9</w:t>
      </w:r>
      <w:r>
        <w:rPr>
          <w:rFonts w:ascii="仿宋" w:hAnsi="仿宋" w:eastAsia="仿宋" w:cs="仿宋"/>
          <w:sz w:val="24"/>
          <w:lang w:eastAsia="zh-CN"/>
        </w:rPr>
        <w:t xml:space="preserve">.1政府有关监督部门将对招投标全过程进行监督。</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w:t>
      </w:r>
      <w:r>
        <w:rPr>
          <w:rFonts w:hint="eastAsia" w:ascii="仿宋" w:hAnsi="仿宋" w:eastAsia="仿宋" w:cs="仿宋"/>
          <w:sz w:val="24"/>
          <w:lang w:val="en-US" w:eastAsia="zh-CN"/>
        </w:rPr>
        <w:t xml:space="preserve">9</w:t>
      </w:r>
      <w:r>
        <w:rPr>
          <w:rFonts w:ascii="仿宋" w:hAnsi="仿宋" w:eastAsia="仿宋" w:cs="仿宋"/>
          <w:sz w:val="24"/>
          <w:lang w:eastAsia="zh-CN"/>
        </w:rPr>
        <w:t xml:space="preserve">.2采购代理机构的招标过程将通过公证机关进行公证。</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val="en-US" w:eastAsia="zh-CN"/>
        </w:rPr>
        <w:t xml:space="preserve">40</w:t>
      </w:r>
      <w:r>
        <w:rPr>
          <w:rFonts w:ascii="仿宋" w:hAnsi="仿宋" w:eastAsia="仿宋" w:cs="仿宋"/>
          <w:b/>
          <w:sz w:val="24"/>
          <w:lang w:eastAsia="zh-CN"/>
        </w:rPr>
        <w:t xml:space="preserve">.未尽事宜</w:t>
      </w:r>
      <w:r/>
    </w:p>
    <w:p>
      <w:pPr>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708" w:equalWidth="1"/>
          <w:docGrid w:linePitch="360"/>
        </w:sectPr>
      </w:pPr>
      <w:r>
        <w:rPr>
          <w:rFonts w:hint="eastAsia" w:ascii="仿宋" w:hAnsi="仿宋" w:eastAsia="仿宋" w:cs="仿宋"/>
          <w:sz w:val="24"/>
          <w:lang w:val="en-US" w:eastAsia="zh-CN"/>
        </w:rPr>
        <w:t xml:space="preserve">40</w:t>
      </w:r>
      <w:r>
        <w:rPr>
          <w:rFonts w:ascii="仿宋" w:hAnsi="仿宋" w:eastAsia="仿宋" w:cs="仿宋"/>
          <w:sz w:val="24"/>
          <w:lang w:eastAsia="zh-CN"/>
        </w:rPr>
        <w:t xml:space="preserve">.1按《中华人民共和国政府采购法》及其他有关法律法规的规定执行。</w:t>
      </w:r>
      <w:r/>
    </w:p>
    <w:p>
      <w:pPr>
        <w:ind w:left="0" w:firstLine="0"/>
        <w:jc w:val="center"/>
        <w:spacing w:before="240" w:after="240"/>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lang w:eastAsia="zh-CN"/>
        </w:rPr>
        <w:t xml:space="preserve">第三部分</w:t>
      </w:r>
      <w:r>
        <w:rPr>
          <w:rFonts w:ascii="仿宋" w:hAnsi="仿宋" w:eastAsia="仿宋" w:cs="仿宋"/>
          <w:b/>
          <w:sz w:val="44"/>
          <w:lang w:eastAsia="zh-CN"/>
        </w:rPr>
        <w:t xml:space="preserve">  </w:t>
      </w:r>
      <w:r>
        <w:rPr>
          <w:rFonts w:hint="eastAsia" w:ascii="仿宋" w:hAnsi="仿宋" w:eastAsia="仿宋" w:cs="仿宋"/>
          <w:b/>
          <w:sz w:val="44"/>
          <w:lang w:eastAsia="zh-CN"/>
        </w:rPr>
        <w:t xml:space="preserve">项目需求</w:t>
      </w:r>
      <w:r/>
    </w:p>
    <w:p>
      <w:pPr>
        <w:pStyle w:val="966"/>
        <w:ind w:left="0" w:firstLine="422"/>
        <w:rPr>
          <w:rFonts w:ascii="宋体" w:hAnsi="宋体" w:cs="宋体"/>
          <w:szCs w:val="21"/>
        </w:rPr>
      </w:pPr>
      <w:r>
        <w:rPr>
          <w:rFonts w:hint="eastAsia" w:ascii="宋体" w:hAnsi="宋体" w:cs="宋体"/>
          <w:szCs w:val="21"/>
        </w:rPr>
        <w:t xml:space="preserve">项目背景</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太仓，东临长江，南依上海，西接昆山，北与常熟相连，管辖六镇三区总面积809.93平方公里，其中陆域面积665.96平方公里。截止2020年底，常驻人口达到了83.11万人。2020年，太仓市公路总里程1340.511千米，公路桥梁1220座，公路密度216.21千米/百平方千米。其中高速公路57.538千米，一级公路272.128千米，二级公路491.858千米，三级公路105.257千米，四级公路413.73千米。</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太仓市自2020年12月正式启动智慧交通建设项目以来，在市委市政府的坚强领导和大力支持下，全市各相关部门高效协作下，智慧交通一期建设已经完成，取得了一定的成效。主要建设了包括交通信号控制系统、交通违法行为监测记录系统、道路车辆智能监测记录系统、交通视频监视系统等多元化感知和智能化终端，初步组建起城区全方位交通感知网，并初步建设了智慧交管大脑，构建了坚固的数字化基座。</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但是，从覆盖范围来看，在交通安全方面，外场感知覆盖范围较低，还需进一步扩大覆盖面，算力算法仍存在缺口，应用场景还需进一步丰富，交通拥堵“瓶颈点”仍需动态优化，公共交通占比还要提升，智慧停车还要扩大接入范围，民众出行体验仍需提升。</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随着太仓智慧交通一期建设的完成，除了一期建设发现的问题和不足将在本项目的建设中进行补足和优化，亟需从智慧交通到智慧城市推进。全面构建以新发展为理念，以技术创新为驱动，以信息网络为基础的太仓市智慧城市新型基础设施建设，面向高质量发展需要，提供数字转型、智能升级、融合创新等的基础设施体系。</w:t>
      </w:r>
      <w:r/>
    </w:p>
    <w:p>
      <w:pPr>
        <w:pStyle w:val="966"/>
        <w:ind w:left="0" w:firstLine="422"/>
        <w:rPr>
          <w:rFonts w:ascii="宋体" w:hAnsi="宋体" w:cs="宋体"/>
          <w:szCs w:val="21"/>
        </w:rPr>
      </w:pPr>
      <w:r/>
      <w:bookmarkStart w:id="1" w:name="_Toc416043999"/>
      <w:r/>
      <w:bookmarkStart w:id="2" w:name="_Toc449453896"/>
      <w:r>
        <w:rPr>
          <w:rFonts w:hint="eastAsia" w:ascii="宋体" w:hAnsi="宋体" w:cs="宋体"/>
          <w:szCs w:val="21"/>
        </w:rPr>
        <w:t xml:space="preserve">建设内容</w:t>
      </w:r>
      <w:r/>
    </w:p>
    <w:p>
      <w:pPr>
        <w:pStyle w:val="967"/>
      </w:pPr>
      <w:r>
        <w:rPr>
          <w:rFonts w:hint="eastAsia"/>
        </w:rPr>
        <w:t xml:space="preserve">感知体系建设</w:t>
      </w:r>
      <w:r/>
    </w:p>
    <w:p>
      <w:pPr>
        <w:numPr>
          <w:ilvl w:val="0"/>
          <w:numId w:val="17"/>
        </w:numPr>
        <w:ind w:left="0" w:firstLine="420"/>
        <w:spacing w:line="360" w:lineRule="auto"/>
        <w:rPr>
          <w:rFonts w:ascii="宋体" w:hAnsi="宋体" w:eastAsia="宋体" w:cs="宋体"/>
          <w:sz w:val="21"/>
          <w:szCs w:val="21"/>
        </w:rPr>
      </w:pPr>
      <w:r>
        <w:rPr>
          <w:rFonts w:hint="eastAsia" w:ascii="宋体" w:hAnsi="宋体" w:eastAsia="宋体" w:cs="宋体"/>
          <w:sz w:val="21"/>
          <w:szCs w:val="21"/>
        </w:rPr>
        <w:t xml:space="preserve">交通信号控制系统：升级改造辖区内部分未联网路口信号控制机，改造部分老旧信号灯，新增部分路口辅灯，对局部路口进行一灯一线改造，并实时的采集交通量信息，实现路口交通的智能化管理与控制，保障车辆在路口行驶的畅通与安全。</w:t>
      </w:r>
      <w:r/>
    </w:p>
    <w:p>
      <w:pPr>
        <w:numPr>
          <w:ilvl w:val="0"/>
          <w:numId w:val="17"/>
        </w:numPr>
        <w:ind w:left="0" w:firstLine="420"/>
        <w:spacing w:line="360" w:lineRule="auto"/>
        <w:rPr>
          <w:rFonts w:ascii="宋体" w:hAnsi="宋体" w:eastAsia="宋体" w:cs="宋体"/>
          <w:sz w:val="21"/>
          <w:szCs w:val="21"/>
        </w:rPr>
      </w:pPr>
      <w:r>
        <w:rPr>
          <w:rFonts w:hint="eastAsia" w:ascii="宋体" w:hAnsi="宋体" w:eastAsia="宋体" w:cs="宋体"/>
          <w:sz w:val="21"/>
          <w:szCs w:val="21"/>
        </w:rPr>
        <w:t xml:space="preserve">交通信息采集设施：采集交通流量信息，为道路的指挥调度、交通控制及交通诱导等提供决策依据。</w:t>
      </w:r>
      <w:r/>
    </w:p>
    <w:p>
      <w:pPr>
        <w:numPr>
          <w:ilvl w:val="0"/>
          <w:numId w:val="17"/>
        </w:numPr>
        <w:ind w:left="0" w:firstLine="420"/>
        <w:spacing w:line="360" w:lineRule="auto"/>
        <w:rPr>
          <w:rFonts w:ascii="宋体" w:hAnsi="宋体" w:eastAsia="宋体" w:cs="宋体"/>
          <w:sz w:val="21"/>
          <w:szCs w:val="21"/>
        </w:rPr>
      </w:pPr>
      <w:r>
        <w:rPr>
          <w:rFonts w:hint="eastAsia" w:ascii="宋体" w:hAnsi="宋体" w:eastAsia="宋体" w:cs="宋体"/>
          <w:sz w:val="21"/>
          <w:szCs w:val="21"/>
        </w:rPr>
        <w:t xml:space="preserve">交通违法行为监测记录系统：对辖区内部分路口新建和改造交通违法行为监测记录设备，实时记录闯红灯、闯禁区、超速、违反禁止停车禁令标志等违法行为，增加非现场执法的覆盖范围和手段。</w:t>
      </w:r>
      <w:r/>
    </w:p>
    <w:p>
      <w:pPr>
        <w:numPr>
          <w:ilvl w:val="0"/>
          <w:numId w:val="17"/>
        </w:numPr>
        <w:ind w:left="0" w:firstLine="420"/>
        <w:spacing w:line="360" w:lineRule="auto"/>
        <w:rPr>
          <w:rFonts w:ascii="宋体" w:hAnsi="宋体" w:eastAsia="宋体" w:cs="宋体"/>
          <w:sz w:val="21"/>
          <w:szCs w:val="21"/>
        </w:rPr>
      </w:pPr>
      <w:r>
        <w:rPr>
          <w:rFonts w:hint="eastAsia" w:ascii="宋体" w:hAnsi="宋体" w:eastAsia="宋体" w:cs="宋体"/>
          <w:sz w:val="21"/>
          <w:szCs w:val="21"/>
        </w:rPr>
        <w:t xml:space="preserve">一校一策：结合《城市儿童友好空间建设导则（实行）》相关要求，积极践行儿童友好理念，坚持以“一米视角”为导向，推进学校周边道路交通设施升级改造。</w:t>
      </w:r>
      <w:r/>
    </w:p>
    <w:p>
      <w:pPr>
        <w:numPr>
          <w:ilvl w:val="0"/>
          <w:numId w:val="17"/>
        </w:numPr>
        <w:ind w:left="0" w:firstLine="420"/>
        <w:spacing w:line="360" w:lineRule="auto"/>
        <w:rPr>
          <w:rFonts w:ascii="宋体" w:hAnsi="宋体" w:eastAsia="宋体" w:cs="宋体"/>
          <w:sz w:val="21"/>
          <w:szCs w:val="21"/>
        </w:rPr>
      </w:pPr>
      <w:r>
        <w:rPr>
          <w:rFonts w:hint="eastAsia" w:ascii="宋体" w:hAnsi="宋体" w:eastAsia="宋体" w:cs="宋体"/>
          <w:sz w:val="21"/>
          <w:szCs w:val="21"/>
        </w:rPr>
        <w:t xml:space="preserve">视图融合解析服务：织密太仓市全结构化监控点位，进行扫盲补漏，实现对城市管理要素的全量感知；并且实现视频监控可视范围的准确把握，实现更加精细化的侦查分析。</w:t>
      </w:r>
      <w:r/>
    </w:p>
    <w:p>
      <w:pPr>
        <w:numPr>
          <w:ilvl w:val="0"/>
          <w:numId w:val="17"/>
        </w:numPr>
        <w:ind w:left="0" w:firstLine="420"/>
        <w:spacing w:line="360" w:lineRule="auto"/>
        <w:rPr>
          <w:rFonts w:ascii="宋体" w:hAnsi="宋体" w:eastAsia="宋体" w:cs="宋体"/>
          <w:sz w:val="21"/>
          <w:szCs w:val="21"/>
        </w:rPr>
      </w:pPr>
      <w:r>
        <w:rPr>
          <w:rFonts w:hint="eastAsia" w:ascii="宋体" w:hAnsi="宋体" w:eastAsia="宋体" w:cs="宋体"/>
          <w:sz w:val="21"/>
          <w:szCs w:val="21"/>
        </w:rPr>
        <w:t xml:space="preserve">配套的管道、结构件、供电、通信系统的建设。</w:t>
      </w:r>
      <w:r/>
    </w:p>
    <w:p>
      <w:pPr>
        <w:numPr>
          <w:ilvl w:val="0"/>
          <w:numId w:val="17"/>
        </w:numPr>
        <w:ind w:left="0" w:firstLine="420"/>
        <w:spacing w:line="360" w:lineRule="auto"/>
        <w:rPr>
          <w:rFonts w:ascii="宋体" w:hAnsi="宋体" w:eastAsia="宋体" w:cs="宋体"/>
          <w:sz w:val="21"/>
          <w:szCs w:val="21"/>
        </w:rPr>
      </w:pPr>
      <w:r>
        <w:rPr>
          <w:rFonts w:hint="eastAsia" w:ascii="宋体" w:hAnsi="宋体" w:eastAsia="宋体" w:cs="宋体"/>
          <w:sz w:val="21"/>
          <w:szCs w:val="21"/>
        </w:rPr>
        <w:t xml:space="preserve">同步建设与外场设备相对应的后台中心设施。</w:t>
      </w:r>
      <w:r/>
    </w:p>
    <w:p>
      <w:pPr>
        <w:pStyle w:val="967"/>
      </w:pPr>
      <w:r>
        <w:rPr>
          <w:rFonts w:hint="eastAsia" w:ascii="宋体" w:hAnsi="宋体" w:cs="宋体"/>
          <w:szCs w:val="21"/>
        </w:rPr>
        <w:t xml:space="preserve">数字基座扩能</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加强智慧大脑计算能力，使之更加智能，扩建一套国产自主可控、符合信创标准的数字基座，对百亿级感知数据和十亿级警务数据的大数据分析建模、存储，同时预留与上级平台业务联动的能力，满足将来多网络、多平台资源的共享和互通。</w:t>
      </w:r>
      <w:r/>
    </w:p>
    <w:p>
      <w:pPr>
        <w:pStyle w:val="967"/>
      </w:pPr>
      <w:r>
        <w:rPr>
          <w:rFonts w:hint="eastAsia" w:ascii="宋体" w:hAnsi="宋体" w:cs="宋体"/>
          <w:szCs w:val="21"/>
        </w:rPr>
        <w:t xml:space="preserve">业务应用拓展</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以人为核心，运用大数据、物联感知、人工智能AI等新技术构建数字化城市交通人员档案；打造算法孵化仓，在城市交通事件算法孵化基础上，持续赋能政务外网、视频专网、社会面等，通过不断完善算法模型、扩容算法能力，进而形成城市管理的算法孵化群；并通过智慧公交、智慧停车等多方面的建设，提升太仓市动静态交通服务水平。</w:t>
      </w:r>
      <w:r/>
    </w:p>
    <w:p>
      <w:pPr>
        <w:pStyle w:val="966"/>
        <w:ind w:left="0" w:firstLine="422"/>
        <w:rPr>
          <w:rFonts w:ascii="宋体" w:hAnsi="宋体" w:cs="宋体"/>
          <w:szCs w:val="21"/>
        </w:rPr>
      </w:pPr>
      <w:r>
        <w:rPr>
          <w:rFonts w:hint="eastAsia" w:ascii="宋体" w:hAnsi="宋体" w:cs="宋体"/>
          <w:szCs w:val="21"/>
        </w:rPr>
        <w:t xml:space="preserve">维护与升级</w:t>
      </w:r>
      <w:r/>
    </w:p>
    <w:p>
      <w:pPr>
        <w:spacing w:line="360" w:lineRule="auto"/>
        <w:rPr>
          <w:rFonts w:ascii="宋体" w:hAnsi="宋体" w:eastAsia="宋体"/>
          <w:szCs w:val="21"/>
        </w:rPr>
      </w:pPr>
      <w:r>
        <w:rPr>
          <w:rFonts w:hint="eastAsia" w:ascii="宋体" w:hAnsi="宋体" w:eastAsia="宋体"/>
          <w:szCs w:val="21"/>
        </w:rPr>
        <w:t xml:space="preserve">拟建项目的总投资包括系统建成验收后三年的维护和系统升级费用，提供的维护保障服务并对以下服务的实施方式做出详细阐述，服务项目包括但不限于：</w:t>
      </w:r>
      <w:r/>
    </w:p>
    <w:p>
      <w:pPr>
        <w:pStyle w:val="1090"/>
        <w:numPr>
          <w:ilvl w:val="0"/>
          <w:numId w:val="18"/>
        </w:numPr>
        <w:spacing w:line="360" w:lineRule="auto"/>
        <w:tabs>
          <w:tab w:val="left" w:pos="720" w:leader="none"/>
        </w:tabs>
        <w:rPr>
          <w:rFonts w:ascii="宋体" w:hAnsi="宋体" w:eastAsia="宋体"/>
          <w:szCs w:val="21"/>
        </w:rPr>
      </w:pPr>
      <w:r>
        <w:rPr>
          <w:rFonts w:hint="eastAsia" w:ascii="宋体" w:hAnsi="宋体" w:eastAsia="宋体"/>
          <w:szCs w:val="21"/>
        </w:rPr>
        <w:t xml:space="preserve">故障修复服务(含远程技术支持、现场技术支持)</w:t>
      </w:r>
      <w:r/>
    </w:p>
    <w:p>
      <w:pPr>
        <w:pStyle w:val="1090"/>
        <w:numPr>
          <w:ilvl w:val="0"/>
          <w:numId w:val="18"/>
        </w:numPr>
        <w:spacing w:line="360" w:lineRule="auto"/>
        <w:tabs>
          <w:tab w:val="left" w:pos="720" w:leader="none"/>
        </w:tabs>
        <w:rPr>
          <w:rFonts w:ascii="宋体" w:hAnsi="宋体" w:eastAsia="宋体"/>
          <w:szCs w:val="21"/>
        </w:rPr>
      </w:pPr>
      <w:r>
        <w:rPr>
          <w:rFonts w:hint="eastAsia" w:ascii="宋体" w:hAnsi="宋体" w:eastAsia="宋体"/>
          <w:szCs w:val="21"/>
        </w:rPr>
        <w:t xml:space="preserve">版本管理和软件补丁服务</w:t>
      </w:r>
      <w:r/>
    </w:p>
    <w:p>
      <w:pPr>
        <w:pStyle w:val="1090"/>
        <w:numPr>
          <w:ilvl w:val="0"/>
          <w:numId w:val="18"/>
        </w:numPr>
        <w:spacing w:line="360" w:lineRule="auto"/>
        <w:tabs>
          <w:tab w:val="left" w:pos="720" w:leader="none"/>
        </w:tabs>
        <w:rPr>
          <w:rFonts w:ascii="宋体" w:hAnsi="宋体" w:eastAsia="宋体"/>
          <w:szCs w:val="21"/>
        </w:rPr>
      </w:pPr>
      <w:r>
        <w:rPr>
          <w:rFonts w:hint="eastAsia" w:ascii="宋体" w:hAnsi="宋体" w:eastAsia="宋体"/>
          <w:szCs w:val="21"/>
        </w:rPr>
        <w:t xml:space="preserve">系统巡检服务</w:t>
      </w:r>
      <w:r/>
    </w:p>
    <w:p>
      <w:pPr>
        <w:pStyle w:val="1090"/>
        <w:numPr>
          <w:ilvl w:val="0"/>
          <w:numId w:val="18"/>
        </w:numPr>
        <w:spacing w:line="360" w:lineRule="auto"/>
        <w:tabs>
          <w:tab w:val="left" w:pos="720" w:leader="none"/>
        </w:tabs>
        <w:rPr>
          <w:rFonts w:ascii="宋体" w:hAnsi="宋体" w:eastAsia="宋体"/>
          <w:szCs w:val="21"/>
        </w:rPr>
      </w:pPr>
      <w:r>
        <w:rPr>
          <w:rFonts w:hint="eastAsia" w:ascii="宋体" w:hAnsi="宋体" w:eastAsia="宋体"/>
          <w:szCs w:val="21"/>
        </w:rPr>
        <w:t xml:space="preserve">重要事件保障服务</w:t>
      </w:r>
      <w:r/>
    </w:p>
    <w:p>
      <w:pPr>
        <w:pStyle w:val="1090"/>
        <w:numPr>
          <w:ilvl w:val="0"/>
          <w:numId w:val="18"/>
        </w:numPr>
        <w:spacing w:line="360" w:lineRule="auto"/>
        <w:tabs>
          <w:tab w:val="left" w:pos="720" w:leader="none"/>
        </w:tabs>
        <w:rPr>
          <w:rFonts w:ascii="宋体" w:hAnsi="宋体" w:eastAsia="宋体"/>
          <w:szCs w:val="21"/>
        </w:rPr>
      </w:pPr>
      <w:r>
        <w:rPr>
          <w:rFonts w:hint="eastAsia" w:ascii="宋体" w:hAnsi="宋体" w:eastAsia="宋体"/>
          <w:szCs w:val="21"/>
        </w:rPr>
        <w:t xml:space="preserve">应急恢复方案设计与预演服务</w:t>
      </w:r>
      <w:r/>
    </w:p>
    <w:p>
      <w:pPr>
        <w:pStyle w:val="1090"/>
        <w:numPr>
          <w:ilvl w:val="0"/>
          <w:numId w:val="18"/>
        </w:numPr>
        <w:spacing w:line="360" w:lineRule="auto"/>
        <w:tabs>
          <w:tab w:val="left" w:pos="720" w:leader="none"/>
        </w:tabs>
        <w:rPr>
          <w:rFonts w:ascii="宋体" w:hAnsi="宋体" w:eastAsia="宋体"/>
          <w:szCs w:val="21"/>
        </w:rPr>
      </w:pPr>
      <w:r>
        <w:rPr>
          <w:rFonts w:hint="eastAsia" w:ascii="宋体" w:hAnsi="宋体" w:eastAsia="宋体"/>
          <w:szCs w:val="21"/>
        </w:rPr>
        <w:t xml:space="preserve">辅助故障定位服务</w:t>
      </w:r>
      <w:r/>
    </w:p>
    <w:p>
      <w:pPr>
        <w:pStyle w:val="966"/>
        <w:ind w:left="0" w:firstLine="422"/>
        <w:rPr>
          <w:rFonts w:ascii="宋体" w:hAnsi="宋体" w:cs="宋体"/>
          <w:szCs w:val="21"/>
        </w:rPr>
      </w:pPr>
      <w:r>
        <w:rPr>
          <w:rFonts w:hint="eastAsia" w:ascii="宋体" w:hAnsi="宋体" w:cs="宋体"/>
          <w:szCs w:val="21"/>
        </w:rPr>
        <w:t xml:space="preserve">招标内容清单</w:t>
      </w:r>
      <w:r/>
    </w:p>
    <w:tbl>
      <w:tblPr>
        <w:tblStyle w:val="976"/>
        <w:tblW w:w="4985" w:type="pct"/>
        <w:tblInd w:w="0" w:type="dxa"/>
        <w:tblLayout w:type="fixed"/>
        <w:tblCellMar>
          <w:left w:w="108" w:type="dxa"/>
          <w:top w:w="0" w:type="dxa"/>
          <w:right w:w="108" w:type="dxa"/>
          <w:bottom w:w="0" w:type="dxa"/>
        </w:tblCellMar>
        <w:tblLook w:val="04A0" w:firstRow="1" w:lastRow="0" w:firstColumn="1" w:lastColumn="0" w:noHBand="0" w:noVBand="1"/>
      </w:tblPr>
      <w:tblGrid>
        <w:gridCol w:w="686"/>
        <w:gridCol w:w="1768"/>
        <w:gridCol w:w="1403"/>
        <w:gridCol w:w="3145"/>
        <w:gridCol w:w="678"/>
        <w:gridCol w:w="816"/>
      </w:tblGrid>
      <w:tr>
        <w:trPr>
          <w:trHeight w:val="300"/>
          <w:tblHeader/>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center"/>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系统／设备名称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center"/>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规格及配置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数量</w:t>
            </w:r>
            <w:r/>
          </w:p>
        </w:tc>
      </w:tr>
      <w:tr>
        <w:trPr>
          <w:trHeight w:val="300"/>
        </w:trPr>
        <w:tc>
          <w:tcPr>
            <w:gridSpan w:val="4"/>
            <w:shd w:val="clear" w:color="auto" w:fill="auto"/>
            <w:tcBorders>
              <w:top w:val="single" w:color="000000" w:sz="4" w:space="0"/>
              <w:left w:val="single" w:color="000000" w:sz="4" w:space="0"/>
              <w:bottom w:val="single" w:color="000000" w:sz="4" w:space="0"/>
              <w:right w:val="single" w:color="000000" w:sz="4" w:space="0"/>
            </w:tcBorders>
            <w:tcW w:w="4120"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一、感知体系建设</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（一）交通信号控制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交通信号控制机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257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灯驱板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每块灯控板可接12个灯组，所有灯组可编程定义为机动车灯、行人灯或其他信号灯监测</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1515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机动车圆盘信号灯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灯面尺寸：不低于Φ400mm，详见招标技术要求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544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机动车箭头信号灯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灯面尺寸：不低于Φ400mm，详见招标技术要求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机动车圆盘信号灯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灯面尺寸：不低于Φ300mm，详见招标技术要求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105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机动车箭头信号灯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灯面尺寸：不低于Φ300mm，详见招标技术要求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单柱式机动车信号灯立杆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立杆5m，安装净高3.2M，热镀锌喷塑</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99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杆件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高7米，臂长3米</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高7米，臂长5米</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高7米，臂长7米</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高7米，臂长9米</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高7米，臂长10米</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高7米，臂长13米</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单柱式信号灯立杆基础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600*600*1500（mm）</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99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立杆基础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1200*1200*1500（mm）</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立杆基础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1400*1400*1700（mm）</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立杆基础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沉台式：1000*1000*2150（mm）+2000*2000*350（mm）</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接地镀锌角钢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L5X5,L=2.5m</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376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热镀锌扁钢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40X4热镀锌扁钢</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1880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接地连接线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BV-10mm²</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3760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信号机基础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定制，600*860*810（mm）</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257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电源线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KVV3*4mm²</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7710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控制软电缆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KVVR-450/750-（20X1.0）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33880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控制软电缆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KVVR-450/750-（10X1.0）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25920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控制软电缆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KVVR-450/750-（5X1.0）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13420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控制软电缆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KVVR-450/750-（4X1.0）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1180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控制线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RVSP2*1.0mm²</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400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热熔防水压接端子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用于线路连接，具备防水、防盐、防腐蚀、抗压、耐磨等防护</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37400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原信号机拆除及运输费用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原信号机拆除运输至业主指定位置，运距暂按20KM计。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257 </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（二）交通信息采集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雷视一体机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478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防雷器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二合一防雷器</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478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工业级交换机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5口，含至少1个千兆光口、4个百兆电口，含单模光模块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200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工业级交换机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5个百兆电口</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工业级交换机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含至少5个千兆光口，8个百兆电口，含光模块，含电源，带网管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24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抱杆箱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469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设备箱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24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设备箱基础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定制，600*1000*810（mm)</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24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安装支架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长约3米，抱箍安装于单柱式信号灯杆上，含抱箍</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电源线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KVV3*2.5mm²</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37520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电源线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KVV3*1.0mm²</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5140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网线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室外屏蔽超五类</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15900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光缆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室外单模4芯</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16000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光纤熔接盒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4口</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400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光纤尾纤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单模3米，双芯</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800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光纤熔接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订制</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400 </w:t>
            </w:r>
            <w:r/>
          </w:p>
        </w:tc>
      </w:tr>
      <w:tr>
        <w:trPr>
          <w:trHeight w:val="300"/>
        </w:trPr>
        <w:tc>
          <w:tcPr>
            <w:gridSpan w:val="4"/>
            <w:shd w:val="clear" w:color="auto" w:fill="auto"/>
            <w:tcBorders>
              <w:top w:val="single" w:color="000000" w:sz="4" w:space="0"/>
              <w:left w:val="single" w:color="000000" w:sz="4" w:space="0"/>
              <w:bottom w:val="single" w:color="000000" w:sz="4" w:space="0"/>
              <w:right w:val="single" w:color="000000" w:sz="4" w:space="0"/>
            </w:tcBorders>
            <w:tcW w:w="4120" w:type="pct"/>
            <w:vAlign w:val="center"/>
            <w:textDirection w:val="lrTb"/>
            <w:noWrap w:val="false"/>
          </w:tcPr>
          <w:p>
            <w:pPr>
              <w:ind w:firstLine="0"/>
              <w:jc w:val="left"/>
              <w:spacing w:line="240" w:lineRule="auto"/>
              <w:rPr>
                <w:rFonts w:ascii="宋体" w:hAnsi="宋体" w:eastAsia="宋体" w:cs="宋体"/>
                <w:color w:val="000000"/>
                <w:sz w:val="15"/>
                <w:szCs w:val="15"/>
              </w:rPr>
            </w:pPr>
            <w:r>
              <w:rPr>
                <w:rFonts w:hint="eastAsia" w:ascii="宋体" w:hAnsi="宋体" w:eastAsia="宋体" w:cs="宋体"/>
                <w:b/>
                <w:bCs/>
                <w:color w:val="000000"/>
                <w:sz w:val="15"/>
                <w:szCs w:val="15"/>
                <w:lang w:bidi="ar"/>
              </w:rPr>
              <w:t xml:space="preserve">（三）交通违法行为监测记录系统</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3.1、闯禁区电子警察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一体化高清抓拍单元（前牌）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24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智能补光灯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49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防雷器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二合一防雷器</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24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工业级交换机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5口，含至少1个千兆光口、4个百兆电口，含单模光模块。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工业级交换机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5个百兆电口</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抱杆箱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货车禁行标志牌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直径Φ800mm+辅助标志牌，含立杆及基础</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交通监控设备标志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白底、蓝图形、黑边框、白色衬边，1450mm*1810mm,附着式安装</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杆件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高6.5米，臂长10米</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立杆基础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1400*1400*1700（mm）</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电源线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KVV3*1.0mm²</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240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电源线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KVV3*2.5mm²</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光缆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室外单模4芯</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光纤熔接盒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4口</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光纤尾纤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单模3米，双芯</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光纤熔接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订制</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网线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室外屏蔽超五类</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240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控制线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RVSP2*1.0mm²</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490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接地连接线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BV-10mm²</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接地镀锌角钢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L5X5, L=2.5m</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热镀锌扁钢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40X4热镀锌扁钢</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 </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3.2、测速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一体化高清抓拍单元（前牌）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45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测速雷达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45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智能补光灯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45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防雷器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二合一防雷器</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45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工业级交换机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5口，含至少1个千兆光口、4个百兆电口，含单模光模块。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14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工业级交换机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10口，含至少2个千兆光口、8个百兆电口，含单模光模块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抱杆箱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前方测速提醒标志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3400mm*1000mm，含单悬臂立杆+基础</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18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限速标志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直径800mm，含单悬臂立杆+基础</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15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限速标志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直径800mm，附着</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测速抓拍采集点标志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白底、蓝图形、黑边框、白色衬边，2000mm*1300mm，附着式安装</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18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纵向减速标线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宽30cm，长1m，净距1m，平行四边线</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1200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杆件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高6.5米，臂长10米</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高6.5米，臂长11米</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高6.5米，臂长12米</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高6.5米，臂长13米</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立杆基础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1400*1400*1700（mm）</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立杆基础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沉台式：1000*1000*2150（mm）+2000*2000*350（mm）</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电源线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KVV3*1.0mm²</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1350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电源线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KVV3*2.5mm²</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7600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网线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室外屏蔽超五类</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450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控制线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RVSP2*1.0mm²</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900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光缆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室外单模4芯</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3900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光纤熔接盒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4口</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光纤尾纤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单模3米，双芯</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24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光纤熔接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订制</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接地连接线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BV-10mm²</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接地镀锌角钢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L5X5, L=2.5m</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热镀锌扁钢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40X4热镀锌扁钢</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 </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3.3、非机动车提醒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高清摄像机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音柱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电源线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KVV3*1.0mm²</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1600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控制线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RVSP2*1.0mm²</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800 </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3.4、违停移动采集设备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铁骑移动采集设备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65 </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3.5、智慧路口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一体化高清抓拍单元（尾牌）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107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一体化高清抓拍单元（前牌）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66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补光灯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245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智能补光灯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159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防雷器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二合一防雷器</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173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红灯信号检测器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23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前端存储主机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23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工业级交换机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5口，含至少1个千兆光口、4个百兆电口，含单模光模块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48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工业级交换机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10口，含至少2个千兆光口、8个百兆电口，含单模光模块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25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工业级交换机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含至少5个千兆光口，8个百兆电口，含光模块，含电源，带网管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23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设备箱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23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设备箱基础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定制，600*1000*810（mm)</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23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抱杆箱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68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电源线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KVV3*1.0mm²</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1730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电源线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KVV3*2.5mm²</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6800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网线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室外屏蔽超五类</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1730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杆件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高6.5米，臂长3米</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高6.5米，臂长5米</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高6.5米，臂长7米</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高6.5米，臂长9米</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高6.5米，臂长10米</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高6.5米，臂长11米</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高6.5米，臂长13米</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立杆基础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1200*1200*1500（mm）</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立杆基础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1400*1400*1700（mm）</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立杆基础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沉台式：1000*1000*2150（mm）+2000*2000*350（mm）</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光缆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室外单模4芯</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7300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光纤熔接盒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4口</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146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光纤尾纤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单模3米，双芯</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292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光纤熔接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订制</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146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接地连接线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BV-10mm²</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170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接地镀锌角钢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L5X5, L=2.5m</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17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热镀锌扁钢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40X4热镀锌扁钢</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原杆件移装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含原立杆基础破除、新建基础、杆件移位吊装、管线迁移等费用</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32 </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原基础破除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含原立杆基础破除、杆件运回、垃圾清运等费用，运距暂按20KM计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15 </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3.6、道路交通设施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一体化高清抓拍单元（尾牌）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908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补光灯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889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高空摄像机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环视摄像机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远程查看终端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防雷器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二合一防雷器</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938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红灯信号检测器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189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工业级交换机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5口，含至少1个千兆光口、4个百兆电口，含单模光模块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607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工业级交换机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10口，含至少2个千兆光口、8个百兆电口，含单模光模块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工业级交换机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5个百兆电口</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工业级交换机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含至少5个千兆光口，8个百兆电口，含光模块，含电源，带网管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146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设备箱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140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设备箱基础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定制，600*1000*810（mm)</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140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抱杆箱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619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电源线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KVV3*1.0mm²</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9080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电源线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KVV3*2.5mm²</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61900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网线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室外屏蔽超五类</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9080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杆件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高6.5米，臂长3米</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高6.5米，臂长5米</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高6.5米，臂长7米</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134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高6.5米，臂长9米</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高6.5米，臂长10米</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高6.5米，臂长11米</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高6.5米，臂长11+3米</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高6.5米，臂长12米</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高6.5米，臂长13米</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立杆基础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1200*1200*1500（mm）</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280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立杆基础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1400*1400*1700（mm）</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136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立杆基础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沉台式：1000*1000*2150（mm）+2000*2000*350（mm）</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光缆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室外单模4芯</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60900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光纤熔接盒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4口</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1218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光纤尾纤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单模3米，双芯</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2436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光纤熔接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订制</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1218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接地连接线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BV-10mm²</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1640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接地镀锌角钢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L5X5, L=2.5m</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164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热镀锌扁钢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40X4热镀锌扁钢</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492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原杆件移装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含原立杆基础破除、新建基础、杆件移位吊装、管线迁移等费用</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24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原基础破除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含原立杆基础破除、杆件运回、垃圾清运等费用，运距暂按20KM计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31 </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3.7、标线见新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导向箭头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长3m/4.5m/6m</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350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白实线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宽15cm</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282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白虚线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宽15cm，长2m，净距4m</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16.80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黄实线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宽15cm</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266.25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导流线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线宽45cm、净距100cm</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154.35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人行横道线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线宽40cm、净距60cm</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947.60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停止线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线宽40cm</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88.40 </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（四）一校一策</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交通标志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1、类型：交通标志</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2、材质、规格尺寸：Φ800mm   ，LF2-M型铝板 厚2mm</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3、板面反光膜等级：《道路交通反光膜》（GB/T18833—2012） Ⅳ级及以上</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4、单柱式杆件，材质：立柱采用普通无缝钢管，其余均采用Q235钢；立柱及其他外露钢构件,应采用热侵镀锌处理,锌附着量螺栓表面镀锌350g/m2、钢管钢板等镀锌600g/m2</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5、杆件规格尺寸：立柱φ89*3.5*3680mm，含底座法兰盘、加筋法兰盘、底座加劲肋、地脚螺栓等</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6、杆件基础、垫层：材料品种、厚度：C25钢筋砼基础800*800*1000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交通标线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1、材料品种：反光型标线漆，内掺玻璃珠、含量为涂料的20%</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2、工艺：热熔</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3、线型：白色、黄色标线,厚度为1.8mm±2</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1500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道板隔离护栏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1、栏杆材质、规格：钢管护栏，含基础及其预埋件</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2000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环氧地坪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(1)环氧地坪施工工艺:原水泥砂浆基层清理、打磨找平；环氧树脂底涂 0.1mm 厚；环氧石英砂中涂 0.7mm 厚；环氧石英粉腻子中涂 0.2mm 厚;环氧树脂面涂二遍 0.5mm 厚；亚光罩面漆。</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(2)质量要求:Ф环氧树脂涂料为无溶剂型；环氧树脂涂料应符合；HG/T3829-2006《地坪涂料》标准</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（3）施工质量应达到现行国家建筑工程施工质量验收标准的高级涂饰标准。</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（4）其它防火等级、有害物质限量等应符合现行国家标准要求</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（5）交通标线包括停车位线、路口线、导向线、诱导线等,采用道路特种标线漆，厚度 2mm。</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1000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文明宣传设施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规格尺寸：2500mm*4000m</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交通诱导标志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1、材质、规格尺寸：2900mm*2900m，LF2-M型铝板  厚2mm</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2、板面反光膜等级：《道路交通反光膜》（GB/T18833—2012） Ⅳ级及以上</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 </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（五）管路开挖</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顶管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2根HDPEφ100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9270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开挖绿化路面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宽度400mm，深度600mm，土方回填</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25510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开挖道板路面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宽度400mm，深度600mm，土方回填，5cm碎石层，10cm混凝土层，水泥砂浆找平层及道板砖面层恢复</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5450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开挖大理石路面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宽度400mm，深度600mm，土方回填，5cm碎石层，10cm混凝土层，水泥砂浆找平层及大理石面层恢复</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2100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开挖沥青路面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宽度600mm，深度800mm，混凝土包封和面层沥青由养护单位恢复</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4510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开挖混凝土路面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宽度600mm，深度800mm，混凝土恢复至路面</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990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预埋钢管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DN100无缝镀锌钢管，壁厚3.5mm，内衬Φ80尼龙管，含管接件</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13200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硅芯管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HDPE63</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66120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手孔井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500*500*800mm</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1946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手孔井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内径800*800*1500mm</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357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绿化占用补偿费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长期占用</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1178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顶管补偿费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按实结算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9270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绿化开挖补偿费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含面层绿化恢复，按实结算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10204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道板开挖补偿费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按实结算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2180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大理石道板开挖补偿费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按实结算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840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沥青开挖补偿费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含混凝土包封和面层沥青，按实结算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2706 </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（六）其他费用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设备安装调试费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暂定，按实结算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树木修剪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暂定，按实结算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取电接入费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暂定，按实结算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45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安全评估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含安全评估、管线测量、地质勘探，详见国省道路口清单</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路口</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88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铁塔租赁费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三年，暂定</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传输网络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裸纤,三年</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62 </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（七）视图融合解析服务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7.1、全结构化一体人像卡口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双目全结构化一体机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820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全结构化一体机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400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立杆（包括基础）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成品杆件，高3.5米，臂长0.5米（包括基础地笼、混凝土浇注等C25混凝土　）</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438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安装横臂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臂长0.6米-0.3米，根据现场实际情况配置（含安装附件）</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568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电源线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KVV3*1.0mm²</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39300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电源线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KVV3*2.5mm²</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41000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网线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室外屏蔽超五类</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39300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光缆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室外单模4芯</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41000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光纤熔接盒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4口</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568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光纤尾纤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单模3米，双芯</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1136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光纤熔接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订制</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568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工业级交换机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5个百兆电口</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721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光纤收发器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百兆光纤收发器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284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抱杆箱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330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接地连接线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BV-10mm²</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4380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接地镀锌角钢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L5X5, L=2.5m</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438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热镀锌扁钢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40X4热镀锌扁钢</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1314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沿桥/墙面敷设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2*PVC32，阻燃冷弯穿线管，含束节、管头等辅材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1500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开挖绿化路面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宽度200mm，深度400mm，土方回填</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31000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开挖道板路面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宽度200mm，深度400mm，土方回填，5cm碎石层，10cm混凝土层，水泥砂浆找平层及道板砖面层恢复</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17000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开挖大理石路面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宽度200mm，深度400mm，土方回填，5cm碎石层，10cm混凝土层，水泥砂浆找平层及大理石面层恢复</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2650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开挖混凝土路面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宽度200mm，深度400mm，混凝土包封</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1100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开挖沥青路面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宽度200mm，深度400mm，混凝土包封和面层沥青由养护单位恢复</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3700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预埋钢管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DN25无缝镀锌钢管，壁厚3.25mm</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9600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硅芯管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HDPE25</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101300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手孔井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400*400*400mm</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1934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绿化占用补偿费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长期占用</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71.54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绿化开挖补偿费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含面层绿化恢复，按实结算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4133.33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道板开挖补偿费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按实结算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3400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大理石道板开挖补偿费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按实结算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1060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水泥混凝土开挖补偿费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含混凝土包封和面层混凝土，按实结算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沥青开挖补偿费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含混凝土包封和面层沥青，按实结算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220V电表初装费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相应配套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视频云存储存储极点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视频云存储软件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集成容量虚拟化管理功能、集群化管理功能；负责视频录像资源分配、计划管理、索引管理，负载均衡调度；提供数据查询、回放、下载、锁定等功能。支持录像计划从前端取流直存到虚拟化容量空间，提供视频、图片的统一存储。</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2000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视频云存储运维软件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集成视频云存储的运维系统，可进行软件、硬件、系统的运维。</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2000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系统集成费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本项目所涉及的安装调试等各类人工集成费用</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1000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系统服务费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本项目涉及前后端软硬件技术服务费（365天*24小时）</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1000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光缆租赁费用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rPr>
                <w:rFonts w:ascii="宋体" w:hAnsi="宋体" w:eastAsia="宋体" w:cs="宋体"/>
                <w:color w:val="000000"/>
                <w:sz w:val="15"/>
                <w:szCs w:val="15"/>
              </w:rPr>
            </w:pPr>
            <w:r>
              <w:rPr>
                <w:rFonts w:hint="eastAsia" w:ascii="宋体" w:hAnsi="宋体" w:eastAsia="宋体" w:cs="宋体"/>
                <w:color w:val="000000"/>
                <w:sz w:val="15"/>
                <w:szCs w:val="15"/>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41 </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7.2、可视域平台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7.2.1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可视域基础应用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可视域AR实景应用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支持以新一代数智视觉中枢为底座，在“现实”画面中进行“增强”，利用AI+AR技术，将无法直观感知的资源信息以标签方式叠加在实时视频画面中，所见即所得，实现全方位、多角度、立体化的实景地图呈现。</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标签管理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自定义标签类型，对系统中的标签类型自定义，标签类型支持树形结构，同一层级支持排序，支持配置是否显示，支持配置默认图标、选中的图标，支持区分大类小类，小类可配置标签属性，具体的标签必须归属于某个小类。</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支持自定义标签属性，对系统中的标签小类属性自定义，字段包括属性id、属性类型（如文本、图片、数字、web容器、文件、摄像机等）、输入提示、是否显示、排序字段</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支持自定义标签显示样式，自定义标签显示样式，支持标签多状态显示样式自定义，状态根据某一个标签属性值进行变化，比较常用的状态有正常、报警、在线、离线等状态。每种标签显示样式由图标、模型、文本一种或多种组成，文本可以为直接输入的文字也可以为绑定标签某个属性值。</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支持自定义标签详情样式，对标签点击后的详情进行显示样式自定义，包括详情背景、显示内容、布局自定义</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支持模板实时更新，新增、修改、删除视频标签模板时需要通知到客户端，从而在添加标签时能够显示最新数据。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自定义标签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支持视频标签，视频标签支持单击切换主画面，详情样式配置页面中，当标签属性包括单摄像头时样式类型增加“切换主画面”配置，客户端判断样式类型为“切换主画面”单击直接切换主画面</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支持禁用详情，支持禁用详情，当详情样式配置页面中，增加“禁用详情”，当配置“禁用详情”，客户端标签点击无详情弹出。</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支持标签类型复制，支持一键复制标签类型，弹窗选择父类型，默认同级父类型</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支持新增标签类型，1、选择标签类型图标时，当显示样式图标、详情样式背景与关闭按钮样式图标未配置时，直接默认，已配置时提示是否覆盖二次确认2、输入提示根据选择的属性类型自动赋值，单行文本、多行文本、网页提示“请输入”，其它提示“请选择”</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支持图标库，1、图标库分类：类型图标、显示图标、背景图标（详情背景&amp;关闭套图）、按钮图标2、显示样式配置、详情样式配置中的“图标库”隐藏不显示，其它改成“资源库”3、类型图标、原点图标保留默认图标、hover图标</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支持按钮背景，取消背景颜色配置</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支持控件多选，支持鼠标框选，增加打开框选功能</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支持查询API类型属性，标签属性新增查询API类型属性</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支持控制API类型属性，标签属性新增控制API类型属性</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自定义巡检工具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支持新建远程巡检项，新建时支持填写/配置巡检项名称、标准参考图、描述</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支持巡检计划管理、今日巡检任务、巡检任务创建、巡检任务提醒设置、巡检项管理、巡检记录查询、巡检问题查询、巡检问题管理等功能</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报警管理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支持报警源自定义，系统支持配置该报警源来自哪个数据源</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支持语音播报自定义，系统支持配置该报警类型是否播报，播报内容由报警对象属性和自定义文本自由组合，支持播报次数</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支持报警弹窗自定义，系统支持配置联动弹窗样式、弹窗位置、弹窗大小、弹窗停留时长、弹窗里面显示的内容由报警属性和自定义文本、自定义图标自由组成</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支持报警历史详情自定义，系统支持配置历史报警详情弹窗样式、弹窗大小、弹窗里面显示的内容由报警属性和自定义文本、自定义图标自由组成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实时事件管理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支持实时事件记录配置，系统支持配置实时事件记录窗体样式、窗体背景、窗体显示内容由自定义数据源属性和自定义文本、自定义图标自由组成，最多配置3条数据</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支持事件记录详情配置，系统支持配置事件记录详情窗体样式、窗体背景、窗体显示内容由自定义数据源属性和自定义文本、自定义图标自由组成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动态可视域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支持球机设备实时动态展示可视域，当球机设备转动时，可视域自动跟随转动，球机缩放时可视域自动进行缩放。</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可视域地图服务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支持加载二维地图，地图坐标系类型支持墨卡托（3857）、WGS84（4326）。支持手动上传地图数据，支持地图数据分级显示，支持地图缩放、旋转、平移，支持设备落点，支持设备聚合显示。</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7.2.2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可视域标定工具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标定设备配置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支持按照区域组织树选择需要抓拍进行可视域标定的摄像机，支持全选、取消，支持显示待选组织数量、已选组织数量统计</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支持按设备树选择需要抓拍进行可视域标定的摄像机，支持全选、取消，支持显示待选设备数量、已选设备数量统计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标定图片抓拍策略配置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支持配置实时抓拍策略，开启实时抓拍后，系统每天自动8:40~9:10进行抓拍。</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支持配置录像抓拍策略，开启录像抓拍后，系统立刻查询指定时刻进行抓拍，支持对未抓拍的摄像机进行抓拍策略配置，支持对已抓拍未标定的摄像机进行二次抓拍策略配置。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太阳检测算法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支持太阳检测算法，支持图片阳光检测。当画面中存在阳光，肉眼能看到物体影子，检测率达到85%以上。</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可视域算法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支持可视域自动计算算法，输入经纬度、时间、摄像机画面影子的方向，即可计算出摄像机可视域最重要的参数方位角。同时支持根据设备型号自动给出配置的角度，如全景180°，一般设备60°。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实时抓拍服务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系统启动后，实时抓拍服务实时监测实时抓拍策略，当系统配置了实时抓拍策略时，实时抓拍服务根据配置的策略启动抓拍任务，系统自动加载需要实时抓拍的设备，在配置的时间段内自动调用视频管理平台进行图片抓拍，抓拍图片后调用太阳检测算法判断图片是否存在太阳，存在则保存图片进行下一个抓拍任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录像抓拍服务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系统启动后，录像抓拍服务实时监测录像抓拍策略，当系统配置了录像抓拍策略时，录像抓拍服务根据配置的策略启动录像抓拍任务，系统自动加载需要录像抓拍的设备，根据抓拍策略，从视频管理平台查询相关录像、调用录像中的图片抓拍接口，保存抓拍的图片。</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可视域标定模块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支持标定设备列表支持按照全部设备、已标定设备、未标定设备、未抓拍设备进行展示，每个设备会按照已标定、未标定、未抓拍三种状态进行展示。</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支持枪机已抓拍图片展示、支持球机按照预置位图片抓拍展示、支持上一个、下一个切换。</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支持自动加载摄像机经纬度、抓拍时间，默认水平视场角、默认可视距离。</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支持查看摄像机实时视频，实时视频窗口可移动，支持在实时视频窗口中再次抓拍图片。</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支持调用摄像机对应的录像，录像播放窗口可移动，支持在录像播放窗口中再次抓拍图片。</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支持通过二维地图即时查看可视域效果。</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支持手动修改水平视场角、可视距离。</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支持在画面中选择一个影子，点击影子起点和影子终点，通过调用可视域算法即可得到摄像机方位角。</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可视域对接模块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支持将可视域标定后的参数同步到共享库</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共享库为第三方接口开发http Api接口，第三方应用可以通过Api接口获取标定后的可视域参数</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7.2.3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可视域功能应用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可视域上图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支持地图中将落点的摄象机可视域以扇形的方式展示；支持点击摄象机可查看摄象机实时视频、录像回放；支持在实战平台中实时展示可视域；支持AR客户端的地图中实时展示可视域。</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重复点位分析算法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支持根据摄像机点位的方位角、水平视场角、可视距离计算出点位可视的扇形面积，再根据两两点位的经纬度计算出可视扇形的覆盖率，若覆盖率超过30%的面积，则判定可视区域重复</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重复点位分析基础功能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通过分析视频监控设备的可视域重复重叠情况，优化监控点位的科学布点。基于可视域标定和上图结果，规则计算出重复监控的区域（即多个监控摄像头可视域的重叠部分），并评估这些重叠区域内的监控效率；支持可视域重复的点位列表展示、地图实时结果展示和数据导出，在地图上划定任意区域，高亮显示可视域重合的点位，并可依据“重复度”排序导出重复点位列表。</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重复点位分析进阶功能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对重复结果的设备组进行多窗口实时预览，验证实际重复情况；支持分析结果过滤筛选功能，能够标定“合理重复”点位，标定的“合理重复”点位下次分析不再显示为重复点位；支持在重复点位分析算法基础上加上业务判断逻辑，提升合理重复的准确率。</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移位分析算法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支持移动分析算法，支持检测判断相机是否移位（即镜头是否移动）。当相机移位后，镜头中的场景发生位移变化，通过相机移位前后的可视域标定图像帧，判断相机是否移位，准确率85%以上</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移位分析基础功能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系统后台运行移位分析服务，在相同时间段进行图片抓拍，然后调用移位分析算法，返回是否存在移位分析结果；支持启动移位分析；支持查看全部、移位、已修复结果；支持导出以为分析结果。</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vMerge w:val="restart"/>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移位分析进阶功能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支持给定监控点位分析范围，可以通过地图框选划定或监控属性选定（如分析全市人像卡口监控）的方式来选定分析范围；</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restart"/>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vMerge w:val="restart"/>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vMerge w:val="continue"/>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支持自定义设定分析的时间间隔策略，支持即时分析；支持点位过滤功能，单个或批量设定不需要分析的点位；</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vMerge w:val="continue"/>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vMerge w:val="continue"/>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支持对算法分析出移位的点位列表的实时结果展示，支持结果地图展示；支持结果数据导出；支持对移位结果的设备组进行实时预览和确认修复功能；支持移动点位的历史档案留存，可以设定保存时限。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vMerge w:val="continue"/>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7.2.4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网格化管理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center"/>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vMerge w:val="restart"/>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网格配置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支持配置网格、防空圈、区域或自定义，自定义名称长度不超过10个字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vMerge w:val="continue"/>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对列表展示字段名称配置（最多10个字）、是否必填、字段解析（最多30个字）；支持默认字段名称、所属模块、标签、数量、施工、积水、风险等级、备注、责任人、上级网格、权限；支持配置字段是否显示；支持调整字段显示顺序；支持删除自定义字段；支持网格列表显示和筛选字段配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vMerge w:val="continue"/>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支持自定义配置网格总览页面；支持自定义配置网格详情和报警信息页面</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vMerge w:val="continue"/>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支持配置构建范围，选择指定行政区；支持配置构建方式，可按行政单位或小区构建网格</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vMerge w:val="continue"/>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支持行政区、小区、路网矢量数据上传；支持SHP文件，SHP、DBF必选导入，SHX可选，单个文件不超20M</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vMerge w:val="continue"/>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报警、人员、网格风险等级定义；支持配置等级、等级颜色、原始映射等级、积分范围；支持报警等级配置2~5个；支持配置报警颜色红、橙、黄、蓝、紫五个颜色；支持积分范围0~100；支持复制报警、网格风险等级；支持总积分范围依据静态积分动态生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vMerge w:val="continue"/>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选择积分项、输入描述、积分值新增积分配置；支持积分值范围：0~100；支持人员类别、人员标签、报警类型或自定义对人员积分；支持报警类型网格积分；支持单个/批量删除积分配置项；支持编辑积分配置规则，包含积分项、描述、积分值新增；支持展示积分项、描述、积分值、积分类别、创建人、创建时间；支持按照创建时间、积分类别筛选；支持按照名称、描述、创建人模糊搜索</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1055"/>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vMerge w:val="continue"/>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人员选择人员类别、积分规则、状态新增规则应用；支持网格选择人员类别、积分规则、状态新增规则应用；支持编辑积分规则应用；支持启动、停止应用积分规则；支持人员展示网格名称、积分名称、积分规则应用状态；支持网格展示人员类别、积分名称、积分规则应用状态；支持按照人员类别和积分规则应用状态筛选</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网格绘制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以点、矩形、圆和多边形方式绘制网格；支持在电子地图、AR实景模式下新增网格；支持输入网格名称、所属模块、上级网格、所属高点等属性；支持根据网格范围自动或手动关联设备；支持对已关联设备搜索；支持对手动关联的设备删除或清除；最大支持添加网格20000个，网格层数最大支持4层，网格子节点数量最大支持10个</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自动构建网格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支持依据行政区域或小区矢量数据自动构建网格；支持覆盖构建或增量构建；支持一键清除自动构建的网格</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7.2.5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网格化应用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1215"/>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网格出入口分析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地图网格自动生成出入口，并绑定出入口设备；支持分类统计展示出入口相机完全覆盖、部分覆盖、未覆盖网格；支持展示出入口数量、有相机出入口数量、未覆盖相机出入口数量、出入口相机覆盖率；支持出入口分析结果列表展示网格名称、出入口数量、出入口相机数量、覆盖率；支持显示或隐藏网格，支持按照名称搜索网格；最大支持出入口数量100000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1054"/>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网格列表查看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显示网格名称、风险等级；支持按照风险等级筛选网格；支持按照自动构建网格筛选网格；支持按照地图网格筛选网格；支持按照名称模糊搜索网格；支持自定义配置网格详情；支持实景与地图模式切换；支持置顶/取消置顶网格；支持隐藏/显示网格；支持双击网格名称定位网格；支持删除网格</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网格风险积分联动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支持电子地图与AR实景网格根据网格动态风险积分改变网格颜色</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gridSpan w:val="4"/>
            <w:shd w:val="clear" w:color="auto" w:fill="auto"/>
            <w:tcBorders>
              <w:top w:val="single" w:color="000000" w:sz="4" w:space="0"/>
              <w:left w:val="single" w:color="000000" w:sz="4" w:space="0"/>
              <w:bottom w:val="single" w:color="000000" w:sz="4" w:space="0"/>
              <w:right w:val="single" w:color="000000" w:sz="4" w:space="0"/>
            </w:tcBorders>
            <w:tcW w:w="4120"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二、数字基座扩能</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（一）云计算系统扩容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center"/>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云计算服务器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云软件扩容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Hcore</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192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管理平台扩容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网管软件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分布式全闪存储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（二）大数据系统扩容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center"/>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比对碰撞引擎节点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大数据存储节点扩容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大数据软件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vCPU</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768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内存条配件增补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32GB DDR4 3200MHz 2Bank内存条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万兆交换机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千兆交换机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（三）图片存储系统扩容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center"/>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图片存储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服务器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高性能接入服务器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（四）轻量云建设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center"/>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轻量云节点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虚拟化软件扩容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CPU</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（五）智能算力底座建设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center"/>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人像解析服务器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图片解析服务器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视频分析服务器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万兆交换机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千兆交换机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人像比对布控服务器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大数据解析聚类节点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万兆交换机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千兆交换机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b/>
                <w:color w:val="000000"/>
                <w:sz w:val="15"/>
                <w:szCs w:val="15"/>
              </w:rPr>
            </w:pPr>
            <w:r>
              <w:rPr>
                <w:rFonts w:hint="eastAsia" w:ascii="宋体" w:hAnsi="宋体" w:eastAsia="宋体" w:cs="宋体"/>
                <w:b/>
                <w:color w:val="000000"/>
                <w:sz w:val="15"/>
                <w:szCs w:val="15"/>
                <w:lang w:bidi="ar"/>
              </w:rPr>
              <w:t xml:space="preserve">训练服务器（核心产品）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训练互联交换机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推理服务器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（六）专用设备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6.1、接处警排队调度机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ATCA机箱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AC电源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管理控制板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交换板卡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主控板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数字中继接口板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模拟接口板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双机并行改造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对现有排队机数据配置进行改造，并对CTI进行双机配置改造，实现接处警双机应用</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6.2、视频结构化</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center"/>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轻量化智能终端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15</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6.3、交管业务培训设备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center"/>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公安交警规范执法实战练兵系统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系统维护服务费用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含3年维护费；维护期间软件免费升级，课程免费更新；维保期内设备出现故障免费维修（人为因素故障不在免费保修范围内）。</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（七）低代码软件平台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center"/>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国产化操作系统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中间件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数据库堡垒机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接入扩容</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低代码软件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国产化数据库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r>
      <w:tr>
        <w:trPr>
          <w:trHeight w:val="300"/>
        </w:trPr>
        <w:tc>
          <w:tcPr>
            <w:gridSpan w:val="4"/>
            <w:shd w:val="clear" w:color="auto" w:fill="auto"/>
            <w:tcBorders>
              <w:top w:val="single" w:color="000000" w:sz="4" w:space="0"/>
              <w:left w:val="single" w:color="000000" w:sz="4" w:space="0"/>
              <w:bottom w:val="single" w:color="000000" w:sz="4" w:space="0"/>
              <w:right w:val="single" w:color="000000" w:sz="4" w:space="0"/>
            </w:tcBorders>
            <w:tcW w:w="4120"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（八）市公安局视频综合平台升级设备</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核心服务器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日志服务器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全文检索服务器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基础应用服务器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接入-联网服务器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资源管理调度服务器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媒体服务器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接入-网管-点播服务器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点位治理服务一体机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水印网关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云存储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（九）网络安全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center"/>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公安网防火墙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流量精简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安全感知管理平台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潜伏威胁探针系统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核心潜伏威胁探针系统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核心潜伏威胁探针系统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公安网核心交换机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流量分析采集器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gridSpan w:val="4"/>
            <w:shd w:val="clear" w:color="auto" w:fill="auto"/>
            <w:tcBorders>
              <w:top w:val="single" w:color="000000" w:sz="4" w:space="0"/>
              <w:left w:val="single" w:color="000000" w:sz="4" w:space="0"/>
              <w:bottom w:val="single" w:color="000000" w:sz="4" w:space="0"/>
              <w:right w:val="single" w:color="000000" w:sz="4" w:space="0"/>
            </w:tcBorders>
            <w:tcW w:w="4120"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三、业务应用拓展</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（一）AI视频解析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center"/>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应用支撑服务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AI解析服务平台升级</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基础服务-结构化描述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视频图像机动车属性结构化描述升级（车牌、车类型、车颜色、车品牌、驾驶员特征等）</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视频图像非机动车属性结构化描述升级（车类型、载人数量、骑行人特征等）</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骑行人特征（饿了么、美团。其他快递、骑警等）</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非机动车号牌识别</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算法服务-重点车辆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视频图像特种车辆解析升级（渣土车、混凝土搅拌车、油罐车、拖车、工程车、叉车、挖掘机等）</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渣土车、混凝土搅拌车车尾喷印号牌识别</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危化品车类型（液态、灌装、煤气罐等）</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视频图像货车载货解析（载货、超载、空载等）</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视频图像货车载货类型识别升级（地砖、钢材等）</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视频图像渣土车载货类型解析（渣土、混凝土块、混合渣土、装修废料等）</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算法服务-非机动车违法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未系狗绳犬类识别</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两轮车非法改装</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三轮车载钢罐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非机动车载人</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非机动车骑行人不戴头盔优化升级（人脸小图）</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算法服务-机动车违法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驾驶员违法行为（打电话、未系安全带等）</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副驾驶员不系安全带</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夜间车灯异常</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驾驶未登记为机动车上道路行驶</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黄牌客货右转不停车</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违法停车</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摩托车闯禁令</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应用服务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违法感知：一车一档（违法频次、高频违法类型、高频违法地点）</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违法感知：高频违法类型、高频违法地点</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数据推动服务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机动车和非机动车数据的实时推送，按照订阅内容或拟定需求进行数据的分发</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1.1信号灯故障检测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应用支撑服务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设备异常监测所需的图片或视频数据的接入</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算法分析服务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信号灯规则配置（单画面中多个信号灯配置、路口多个方向多个信号灯配置）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算法服务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信号灯偏移</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信号灯不存在</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信号灯亮度不够</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信号灯颜色异常</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信号灯红绿同时亮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信号灯不亮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信号灯红绿错位</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应用服务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信号灯异常结果分析服务（单画面中多个信号灯和路口多方向多个信号灯报警分析），异常结果推送查询服务、异常类型统计等功能</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1.2冲突点检测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应用支撑服务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路口配置服务（路口名称、路口设备以及车道信息）</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路口管理（路口编辑、配置车道信息、和删除）</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统计分析（展示路口的实时分析的路口各方向流量趋势、事件数量统计、违法事件类型统计、流量类型分布统计、以及冲突事件统计图）</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算法服务-冲突点检测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机动车和机动车交叉点冲突（同进口道路、同出口道路、交叉口内冲突）</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非机动车和机动车交叉冲突（右转机动车与直行非机动车冲突、左转机动车与直行非机动车冲突）</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行人和机动车交叉点冲突（右转机动车与直行行人冲突、左转机动车与直行行人冲突、直行机动车与横向行人冲突）</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非机动车和非机动车交叉点冲突</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非机动车和行人交叉点冲突</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目标融合模型：支持对场景中的每一个目标进行识别，包括机动车、非机动车、行人等目标；支持多路目标轨迹的去重和融合；支持局部坐标和全局坐标的转换。</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轨迹跟踪模型：支持单路场景中的多个目标进行识别和分类，包括机动车、非机动车、行人目标；支持单路设备目标轨迹检测，上报目标位置信息</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算法服务-交通流量统计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车道级流量统计（支持车道、车型、时间段统计）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路口级流量统计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应用服务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路口冲突监测（基于路口冲突数据、交通事件数据、流量数据等基础数据，对路口进行安全评价）</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路口态势分析：包含态势检测、区域管理、路口管理、平台管理等应用功能，基数据分析模块深度挖掘的分析数据，支持业务应用及多形态展示。</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数据支撑服务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服务与资源调度：支持服务器集群统一部署和管理、整合硬件资源，支持智能调度均衡分析负载；</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算力管理：支持对各个分析设备进行算力资源管理与分配；</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服务注册与发现：支持各个微服务和组件实例的自动发现、自动注册与健康检查等，在服务动态上下线过程中，无需人工介入配置；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算法管理：支持统一的算法管理；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算法分发：支持根据不同的应用场景，向各分析设备分发合适的算法模型用于布控；</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任务轮巡：对接入摄像机的事件任务和参数进行配置、设置及管理，自定义不同的轮巡布控策略；</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数据接入服务：接口协议适配开发，数据结构设计，接口联调，与第三方平台进行数据对接，同时系统支持提供标准对外接口。</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1.3交通事件检测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算法服务-交通异常事件检测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交通事件识别：疑似事故、异常停车、应急车道停车、车辆逆行、车辆倒车、实线变道、连续变道、穿越导流线、占用应急车道、大型车占用主车道、货车驶入快车道、车辆异常驶离、道路拥堵、路口滞留、非机动车闯入、行人闯入、物品遗落、团雾天气、火焰烟雾、车辆抛锚、排队溢出、红绿灯异常、危化品车</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交通参数分析：分车型机动车流量统计、分车道机动车流量统计、分方向机动车流量统计、非机动车流量、车道空间占有率、车道时间占有率、车道平均车速、车辆排队长度、车头时距、拥堵指数。</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（二）安全风险防控平台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center"/>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风险防控平台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系统运行环境部署</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系统数据对接与清洗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系统功能测试与完善</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系统使用培训与技术支持</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升级维护风险防控平台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维护风险防控平台，结合招标方需求，优化系统功能</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（三）“情指行”一体化平台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center"/>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3.1、视频综合平台升级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平台基础包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提供了系统业务应用依赖的基础资源，包括用户管理、权限管理、部门管理、门户管理，统一管理了组织、权限、用户、物联设备等资源，并提供门户、录像计划等配置能力。</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国产化客户端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支持视频预览、录像回放和视频上墙业务功能。</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电子地图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业务资源空间查询：</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支持监控点、卡口、探针、IO输入输出、报警设备等业务资源在地图上展示；支持框选、圆选、线选、多边形选等多种方式进行地图空间查询；支持对结果按类型过滤，支持预览、回放、收藏、周边查询、打标签等操作 </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定位轨迹：按时间查询单兵、车载、无人机等在地图上的位置及轨迹</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视频级联管理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基于标准协议与外域平台互联互通，支持视频通用标准协议（GB/T28181-2011,GB/T28181-2016,DB33/T629-2011）、以及行业视频标准协议。主要业务功能包括：域间注册与心跳、资源同步、实时预览、录像回放与控制、录像下载、设备控制等</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设备在线管理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设备网络管理应用，对接入平台的视频设备进行在线巡检，及时发现故障设备和掉线设备，使运维工作更加高效，便利。</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万路</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视频质量诊断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视频质量诊断应用，提供视频图像诊断和监测服务。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万路</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本级视频接入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本级监控点所接入的数量</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万路</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视频级联接入通道数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上级管理级联上来的视频点位</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万路</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本级卡口车道数接入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对车辆应用中的车道数量进行管理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车道</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500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本级人证设备接入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对人证的设备数进行管理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经纬度治理工具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要素基础包：</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提供设备搜索，基于设备的经纬度和地图图层变化查看点位分布具体位置，查看设备详细的属性信息；提供监控点、卡口、wifi、电围等设备资源管理、查询，导入新增、删除、编辑和批量修改设备信息、导入修改、导出、打标签以及查询设备详情功能；提供设备治理字段模型和结合本地特色拓展治理项配置管理功能；提供行政区划、管理单位等新信息编辑、删除管理。提供设备级联功能；提供设备的抓拍图结合项目情况自定义时间、时段抓取任务执行管理；支持账户基本信息和角色信息的增删改查；支持配置不同角色权限，包括菜单权限、设备资源权限。</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设备治理：</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提供治</w:t>
            </w:r>
            <w:r>
              <w:rPr>
                <w:rFonts w:hint="eastAsia" w:ascii="宋体" w:hAnsi="宋体" w:eastAsia="宋体" w:cs="宋体"/>
                <w:color w:val="000000"/>
                <w:sz w:val="15"/>
                <w:szCs w:val="15"/>
                <w:lang w:bidi="ar"/>
              </w:rPr>
              <w:t xml:space="preserve">理清单管理，分配责任人下发治理任务，管理治理任务内设备范围；治理人员根据治理任务对设备进行单个点位信息标定和设备批量场所标定、批量关联场所、打标签；提供空间信息治理，对设备空间信息标定，包含设备经纬度、安装地址、场所类型、室内外、监控方向、打标签等设备信息，支持设备批量修改经纬度、确认经纬度、批量关联场所；提供可视域生成和展示，根据设备的抓拍图位置信息，结合地图空间位置信息，对抓拍图和地图进行位置校对打点，设备自动生成可视域面数据范围。设定设备可视域参数信息，通过可视域算法，自动成可视域面数据范围。支持设备</w:t>
            </w:r>
            <w:r>
              <w:rPr>
                <w:rFonts w:hint="eastAsia" w:ascii="宋体" w:hAnsi="宋体" w:eastAsia="宋体" w:cs="宋体"/>
                <w:color w:val="000000"/>
                <w:sz w:val="15"/>
                <w:szCs w:val="15"/>
                <w:lang w:bidi="ar"/>
              </w:rPr>
              <w:t xml:space="preserve">可视域参数编辑调整；提供设备场所类型、室内外、朝向属性批量标定，朝向标定支持列表模式和大图模型进行标定；提供设备关联关系自定义设备关系，对设备进行关系标定、解绑、批量导入标定，提供地图模式和列表模式进行标定。支持查看设备关系清单明细；提供批量关联标定，设定标定规则，通过资源树批量多个标定设备的基本属性管理，任务配置定时执行任务，将配置的基本属性等信息更新到设备信息中；提供设备坐标系转换；提供场所、部位、楼层新增、编辑、删除管理，支持标定场所经纬度、绘制区域边界，支持场所和部位批量标定关联设备、取消关联设备。</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质量检测：</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提供点位异常检测，包含室内外与设备名称不匹配、监控方向和设备名称不匹配、设备和关联场所距离过远、设备和关联杆体距离过远、摄像机能力集和设备名称不匹配、摄像机类型和设备名称不匹配、相同经纬度有多个设备共7个异常检测；提供设备时间差、经纬度异常、摄像机采集区域、监控点位类型、设备状态等十大类设备属性质量检测。</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视频调度管控及一键封控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一、视频业务管控：权限使能；业务限制；紧急管控。</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二、视频业务调用统计：视频操作记录审计：全面实时的记录视频监控平台实时预览、录像回放、录像下载、云台控制等业务操作，对异常的调用数据进行统计分析并进行可视化展示；支持查看平台的实时和历史监测数据，方便用户回顾分析平台历史运行状态、分析取流链路的详情和业务问题的排查追溯；支持报表方式导出统计数据，方便用户做平台视频业务汇报。</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三、视频预热：提升首屏时间、画面流畅度：在重要演示汇报、重大安保、视频上墙、项目PK等场景下，通过智能缓存的方式提高平台点位取流速度与画面流畅度，并对预取流点位视频质量诊断，提供图像检测数据做业务参考，保障重点点位的取流体验。</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四、视频智能调度：定向调度，媒体资源精细化分配：支持更丰富更自由的媒体分组绑定操作，实现不同的视频调用方的媒体资源精细化分配，实现指定媒体给指定调用方使用，当某个调用方出现过渡调用或异常调用时，不影响其他调用方的视频使用，满足不同取流场景下的媒体调度需求；智能选路，取流路径可选：多级级联场景下，通过智能探测能力检测更优的取流路径，实现日常使用与突发应急场景时跨媒体取流能力，保障视频业务稳定可用。</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五、一键封控：实现两种点位封控方式：1、列表形式：支持指定对某个点位（包括社会面点位）进行封控， 可以对点位的权限勾选指定用户，只有勾选的用户拥有预览查看权限。（拓展功能：可设置封控时间，封控时间结束后，自动解除）；2、地图形式：支持在地图上以案发地点为中心， 通过框选工具框选需要封控的点位，框选范围内的点位，可以勾选指定用户拥有预览查看权限，同时封控该辖区未上图的社会面点位。（拓展功能：可设置封控时间，封控时间结束后，自动解除）</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可视域对接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通过定制，允许可视域写入接口开放，通过调用API，同步点位可视半径、水平角度、角度朝向，并在PVIA点位地图上显示设备可视域。</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3.2、数字机器人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定制，详见技术要求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gridSpan w:val="4"/>
            <w:shd w:val="clear" w:color="auto" w:fill="auto"/>
            <w:tcBorders>
              <w:top w:val="single" w:color="000000" w:sz="4" w:space="0"/>
              <w:left w:val="single" w:color="000000" w:sz="4" w:space="0"/>
              <w:bottom w:val="single" w:color="000000" w:sz="4" w:space="0"/>
              <w:right w:val="single" w:color="000000" w:sz="4" w:space="0"/>
            </w:tcBorders>
            <w:tcW w:w="4120" w:type="pct"/>
            <w:vAlign w:val="center"/>
            <w:textDirection w:val="lrTb"/>
            <w:noWrap w:val="false"/>
          </w:tcPr>
          <w:p>
            <w:pPr>
              <w:ind w:firstLine="0"/>
              <w:jc w:val="left"/>
              <w:spacing w:line="240" w:lineRule="auto"/>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（四）城市运营管理中心平台改造</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4.1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716" w:type="pct"/>
            <w:vAlign w:val="center"/>
            <w:textDirection w:val="lrTb"/>
            <w:noWrap w:val="false"/>
          </w:tcPr>
          <w:p>
            <w:pPr>
              <w:ind w:firstLine="0"/>
              <w:jc w:val="left"/>
              <w:spacing w:line="240" w:lineRule="auto"/>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助企惠民智慧平台定制化开发</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面向企业群众的服务门户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基于大模型的搜索</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平台运营数据概览</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restart"/>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政策超市</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政策清单</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政策申报-一张表单申报</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政策申报-数据自动填充</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政策申报-一张清单申报</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政策申报-材料自动加载</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政策申报-企业电子签章</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政策申报-个人电子签名</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政策直兑-审补公示</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政策直兑-奖补公告</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申报指南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服务超市</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中介服务机构清单</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中介服务项目清单</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中介服务事项清单</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中介服务智能比选</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中介机构智能推荐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中介机构服务评价</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远程视频办</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人才申报支持</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个人政策申报</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企业政策申报</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远程咨询与指导</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用户空间</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身份切换</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历史申报</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复用申报</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补齐补正</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进度跟踪</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兑付评价</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数据授权</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数据使用记录</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画像补全</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年度兑付报表（模板定制、报表生成等）</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我的收藏（政策、服务收藏）</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面向部门人员的协作门户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工作台</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基于大模型的数据分析助手</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政策分析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办理效能分析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办件进度分析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数据综合查询</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办件退回分析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个人服务分析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人才服务分析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企业服务分析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产业服务分析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中介服务分析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视频办服务分析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政企交互分析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金融产品分析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移动端服务门户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门户设计及适配</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政策专题设计及适配</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政策展示、政策匹配、政策申报、政策详情等</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个人专题设计及适配</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个人政策展示、匹配、便民服务、反向办展示等</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人才专题设计及适配</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人才政策、匹配、人才企业地图、人才服务等</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企业专题设计及适配</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企业政策、匹配、金融专题、政企交互、基础配套等服务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产业专题设计及适配</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产业画像、产业链招商、区域发展动态、产业结构展现、用地分布、产业载体信息、企业投资合作</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服务机构专题设计及适配</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服务机构展示、详情、服务事项展示、项目信息等</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视频办服务设计及适配</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视频办预约、视频办办理、视频办咨询与指导</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用户空间设计及适配</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身份切换、历史申报、复用申报、补齐补正、视频办服务、进度跟踪、兑付、评价、数据授权、数据使用记录、画像查看、补全、年度兑付报表</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71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惠民政策匹配</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71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“反向办”服务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71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便民服务整合</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71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人才政策匹配</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71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人才企业关联</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71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人才企业地图</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71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人才服务整合</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71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助企政策匹配</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金融产品服务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金融产品精准匹配</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金融产品分类查看</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金融产品资格审核</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金融产品申请</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企业档案系统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企业基本信息管理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企业自主管理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政企交互服务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企业咨询</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问题反馈</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投诉建议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在线提交与实时跟踪</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企业意见征集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满意度调查</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交互记录档案化管理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反馈结果和评分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基础配套服务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公租房</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人才公寓</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人才招聘</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产业链招商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全市板块核心产业</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产业链招商政策指南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全市板块招商联络信息</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全市“3+3”产业可视化统计分析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区域发展动态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全市招商公告</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全市各区域发展现状统计分析报表</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产业结构展现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产业结构图谱</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图谱内各环节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图谱环节内各企业</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图谱内环节、企业标签</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产业用地分布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产业用地区域</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产业用地周边交通</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产业用地周边配置设施</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产业载体信息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产业载体基本信息</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产业载体入驻企业</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产业载体运营数据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产业载体建设进度</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产业载体租赁</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产业载体现状可视化统计分析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企业投资合作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重大设备采购需求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基础设施建设需求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定制解决方案需求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技术人才需求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核心技术引进需求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融资需求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政策协作系统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政策申报审核</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标签审核</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政策分类管理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政策入库</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人工拆解调优</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政策审核</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政策规则管理（支持脚本、代码编辑器配置）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政策发布</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金融协作系统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金融产品分类管理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金融产品发布</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申请提交</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审核反馈</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发布确认</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金融产品管理</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产品信息管理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产品状态管理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公共数据授权中心</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公共数据授权申请</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公共数据标准接口</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公共数据应用</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金融产品申请页面配置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人才管理系统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人才基本信息管理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人才档案编制</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人才服务团队管理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人才政策发布</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人才需求管理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产业链管理系统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全市板块核心产业管理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全市板块招商联络信息管理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全市招商公告管理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产业结构图谱管理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图谱内各环节管理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图谱环节内各企业关联</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图谱内环节、企业标签关联</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产业用地区域信息管理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产业用地周边交通管理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产业用地周边配置设施管理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产业载体信息管理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产业载体入驻企业管理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产业载体运营数据管理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产业载体建设进度管理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产业链合作供应关系管理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投资合作需求</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重大设备采购需求管理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基础设施建设需求管理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定制解决方案需求管理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技术人才需求管理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核心技术引进需求管理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融资需求管理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统一管理系统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企业档案管理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用户管理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权限管理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日志管理</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服务日志、业务日志、操作日志、登录日志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标签管理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接口管理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157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71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区域地图接入、绘制</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人才一张图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人才图层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人才落图</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人才企业落图</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人才信息</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企业信息</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人才需求图层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人才政策图</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人才综合查询</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政策一张图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政策图层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兑付企业落图</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企业政策关联</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企业信息</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政策信息</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政策综合查询（区域、兑付企业、兑付部门、年度、兑付政策等）</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产业链一张图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产业链图层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产业链区块落图</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产业链节点落图</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产业链节点信息</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产业链链条企业信息</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产业链综合查询</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服务机构一张图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机构图层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机构落图</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项目方落图</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采购信息</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服务信息</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服务机构综合查询</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产业载体一张图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产业载体图层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载体落图</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载体信息</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载体企业信息</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载体运营情况</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产业载体综合查询</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特色产业园一张图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产业园图层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产业园落图</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产业园信息</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产业园企业信息</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产业园运营情况</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人才公寓信息</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产业园综合查询</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奖补政策监管</w:t>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奖补发放情况监管</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预警名单计算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超发预警分析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漏发预警分析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互斥政策项重复享受预警分析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奖补金额异常预警分析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审核时限监管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政策执行情况监管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预警处理情况监管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数据异常预警</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数据统计分析系统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政策库统计分析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企业库统计分析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个人库统计分析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金融服务统计分析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政策申报审核统计分析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企业信用与积分动态统计分析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政策兑现统计分析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监管结果统计分析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人才服务统计分析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智能搜索引擎</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搜索类型管理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多模态搜索管理（语音）</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过滤与筛选条件配置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搜索历史配置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热点搜索配置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搜索结果聚合配置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大模型管理</w:t>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RAG知识库</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构建助手</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构建技能</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构建工具</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构建知识库</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文件解析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模型挂载</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助手评测</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模型兜底回答</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知识库检索管理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数据处理（数据自动清洗、数据增强、文本分类、文本抽取）</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Agent智能体</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智能体构建</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流程绘制</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流程节点脚本</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prompt构建</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prompt管理（智能体配置不同prompt）</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决策分类构建</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决策分类管理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流程驱动引擎</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FAQ管理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模型融合</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BI决策引擎</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自定义组件管理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决策引擎管理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决策指标管理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决策规则管理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规则代码执行器</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查询转化器</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数据源管理配置（不同数据库）</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数据持续优化</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问答反馈</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数据修正</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数据打标</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精数据管理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数据集抽取</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数据集训练</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训练评测</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数据监管</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合规性检查（合规性管理、自定义配置包括但不限于法律、政策、敏感词等）</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数据分级授权（不同应用权限分级）</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数据留存管理（元数据管理、加密查询等）</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数据流通管理（数据流程配置、监测）</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异常行为检测（包括异常规则配置、异常检测、异常处理、异常提醒）</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数据要素管理</w:t>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目录管理系统</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目录分类管理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目录信息管理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主题目录关联管理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数据采集系统</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数据源管理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数据适配</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数据抽取</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数据上报</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文件采集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数据归档</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抽取任务监控</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文件采集监控</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数据统计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数据治理平台</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质量检测系统（规则管理、质量模型、质量检核、质量监控）</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数据处理系统</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数据脱敏处理（脱敏规则、脱敏任务管理、脱敏任务监控、安全审查）</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元数据管理系统（元模型管理、元数据采集、元数据版本管理、元数据分析）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数据溯源管理系统（流向分析、应用溯源、目录溯源、数据来源分析）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数据标准管理系统（标准规范管理、数据元管理、数据集管理、数据集分类管理）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政策匹配引擎</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通过规则将政策与企业、政策与个人进行关联匹配</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金融产品匹配引擎</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通过规则计算将金融产品与企业、金融产品与个人进行关联匹配</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工作流引擎</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工作流定义</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流程绘制</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任务分配</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工作流触发</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工作流监控</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任务执行</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版本控制（版本回滚、版本查看等）</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低代码表单引擎</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表单设计器</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字段类型管理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字段元数据管理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表单布局编辑</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表单验证规则</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表单权限控制</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数据绑定</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表单提交处理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表单版本控制</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表单模板</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表单渲染引擎</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表单数据存储</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画像服务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个人画像</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人才画像</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企业画像</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产业画像</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营商环境画像</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画像建模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用户画像报告</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用户精准服务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视频通信技术</w:t>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移动端组件</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实时音视频通话、文件传输、语音聊天室、双人通话、多人会议、在线表单填写、屏幕共享</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电脑端组件</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实时音视频通话、文件传输、语音聊天室、双人通话、多人会议、在线表单填写、屏幕共享</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云录制</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视频文件归档</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视频多方人员核验</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线上签名</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标准化接口</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视频会议创建</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视频通话唤醒</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创建会议材料</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删除会议材料</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视频文件下载</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综合管理</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授权文件</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视频文件管理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云录制文件管理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录制规则管理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322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71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政策库</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企业库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企业奖补档案</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企业信息综合查询</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企业信息管理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企业自动打标签</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企业人工打标签</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企业报告下载</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个人库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个人奖补档案</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个人信息综合查询</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个人信息管理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个人自动打标签</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个人人工打标签</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个人报告下载</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335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71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标签库</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历史奖补库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奖补数据导入</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奖补综合查询</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奖补信息管理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数据导入日志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奖补数据导出</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341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71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与“一网通办”平台对接（各类能力、数据等）</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与数据共享交换平台对接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教育局学生成长平台数据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公安死亡数据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公安户籍信息</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残联残疾人数据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卫健委独生子女数据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医保局就医数据和缴费数据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太仓数据超市户籍信息和尊老金的户籍信息</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人社社保信息</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工信局高新技术申报相关数据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351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71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与公共信用信息平台对接</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352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71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与新市民金融服务平台对接</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353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71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与电子证照系统对接</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354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71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与中介超市平台对接</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355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71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与企服中心平台对接</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356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71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与云招商平台对接</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357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71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与太e居平台对接</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358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71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与人才创新创业系统对接</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4.2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716" w:type="pct"/>
            <w:vAlign w:val="center"/>
            <w:textDirection w:val="lrTb"/>
            <w:noWrap w:val="false"/>
          </w:tcPr>
          <w:p>
            <w:pPr>
              <w:ind w:firstLine="0"/>
              <w:jc w:val="left"/>
              <w:spacing w:line="240" w:lineRule="auto"/>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项目密码应用服务设备</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IPSec/SSL 安全网关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基于SSL/TLS、IPSec构建安全通道；</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支持SSL卸载、SSL加壳、负载均衡;</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支持国密SSL，每秒新建连接数3000，最大并发连接数5万，吞吐率600Mbps。</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支持国密IPSec，吞吐率500Mbps。</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硬件规格：2U；双电源；3个千兆电口+1个千兆光口</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服务器密码机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具备信创《商用密码产品认证证书》，符合《党政机关信创应用功能信息类产品采购名录—商用密码产品》内的技术要求，具有密钥管理、数据加/解密，签名/验证等密码运算服务功能，支持SM2、SM3、SM4算法。</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国密ssl证书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支持国密浏览器的SM2算法OV SSL证书。</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张/年</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设备证书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标识各类设备的网上身份，证书有效期1年</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张/年</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系统集成费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系统集成费用</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项目实施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政策入库梳理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梳理政策内容、政策条件、政策间关系、兑现周期等。</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奖补规则梳理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奖补数据元素梳理、免审即享规则梳理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预警规则梳理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预警指标、阈值梳理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政策申报配置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政策基本信息配置、兑现周期配置、互斥规则配置（一对一、一对多、多对多等关系的配置）、兑现信息字段动态配置、奖补规则配置、预警规则配置（通用规则配置、定制规则配置）、工作流配置、表单配置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标签梳理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企业标签梳理、个人标签梳理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产业链梳理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产业链链条梳理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产业链上中下游梳理及配置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产业链关键节点梳理及配置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产业链节点相关企业梳理及配置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产业链载体基本情况梳理及配置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产业链载体入驻企业梳理及配置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产业链园区基本情况梳理及配置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产业链园区入驻企业梳理及配置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安装部署</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上下游系统联调、系统安装部署</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系统性能调优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系统性能调优</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系统培训、初始化</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一对一培训、集中培训、系统各类数据初始化</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系统上线、试运行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试运行过程中性能优化、试运行过程中问题解决</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大模型使用服务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大模型使用费用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每人每天约10次查询，每天约2000人使用，每日约20000次查询。预估每次使用500tokens</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语音听写服务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语音听写服务费用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语音输入：预估每天1000人使用，每次使用5次，每年估算350天。每年约1,750,000次</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语音输出：预估每天1000人使用，每次使用10次，每年估算350天。每年约1000*350*10=3,500,000次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gridSpan w:val="4"/>
            <w:shd w:val="clear" w:color="auto" w:fill="auto"/>
            <w:tcBorders>
              <w:top w:val="single" w:color="000000" w:sz="4" w:space="0"/>
              <w:left w:val="single" w:color="000000" w:sz="4" w:space="0"/>
              <w:bottom w:val="single" w:color="000000" w:sz="4" w:space="0"/>
              <w:right w:val="single" w:color="000000" w:sz="4" w:space="0"/>
            </w:tcBorders>
            <w:tcW w:w="4120" w:type="pct"/>
            <w:vAlign w:val="center"/>
            <w:textDirection w:val="lrTb"/>
            <w:noWrap w:val="false"/>
          </w:tcPr>
          <w:p>
            <w:pPr>
              <w:ind w:firstLine="0"/>
              <w:jc w:val="left"/>
              <w:spacing w:line="240" w:lineRule="auto"/>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（五）城区瓶颈点改造（港区停车治理）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政府管理端子系统</w:t>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用户信息审核</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企业信息审核</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司机信息审核</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车辆信息校验</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集卡通行预约监管</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车辆预约记录管理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预约自动审核</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预约人工复核</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企业车辆预约监控</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审批信息生成与发布</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违章停车车辆管理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黑名单车辆管理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黑名单企业管理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外来车辆信息管理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驾驶员信息管理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道路违规信息实时告警</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道路异常事件数据接入</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道路异常事件告警</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车辆违规历史与风险告警</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禁区车辆闯入告警推送</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道路泊位停车溢出告警推送</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道路违停信息告警推送</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港区道路停车态势感知</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区域集卡进、出量监测分析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道路在停车辆监测分析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道路停车区域停留特征分析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实时货车位置监测及轨迹分布</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外来车辆进入港区次数统计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当日预约情况汇总统计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历史预约情况汇总统计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停车场周转情况分析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道路泊位周转分析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高频拥堵道路时空分析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道路停车车型分布分析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片区道路停车供需态势监测</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短时停车需求预测</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司机服务端小程序</w:t>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车主个人信息认证</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里包括司机的实名认证、车辆信息的备案、挂车信息的备案</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禁行区信息查询与展示</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港区禁行区域和路段信息的查询与展示</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禁行区通行预约服务</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禁行区通行权的预约，包括预约路段、时间、预约车辆信息等</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道路停车位信息查询与展示</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对道路可停车路段的信息查询与展示</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运单信息上传服务</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支持运单信息录入和运单的上传</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停车场实时车位情况</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停车场实时停车位使用情况展示</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停车场预约服务</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停车场车位预约，包括预约时段、预约车辆信息</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预约记录</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历史预约记录查询</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历史预约管理</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司机可对已预约单进行管理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司机之家服务导引</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司机之家的线下服务进行线上展示、介绍和导引</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运单任务广场</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企业发布的运输订单任务展示、查询</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企业运单接单</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对企业发布的运输订单进行接单和运单信息查看、企业对接</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运单接单记录</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司机已接单的企业运单记录</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运单任务更新</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对运单任务状态进行更新</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运单信息匹配</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运单派单的自动化信息匹配，实现规则制派单</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运单位置导航</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提供导航路径第三方APP的跳转</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临时交通管制信息推送</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港区临时及交通管制信息公告推送</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集卡车辆行车及停车诱导</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未司机提供禁行区路径诱导和停车场、位的位置引导</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停车排队等待时间推送</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对于已经抵达港区的车辆，进行停车排队时间的预计和推送</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企业管理服务端子系统</w:t>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企业PC端</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企业注册与登录</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企业信息录入</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运输车辆通行预约</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运输车辆停车预约</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运单信息上传服务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运单车辆在途情况查看</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预约记录管理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企业运单需求发布</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企业运单供需对接</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运单派单记录</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运单任务更新</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后台管理端</w:t>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基础数据采集与第三方系统对接</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驾驶人档案数据对接</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车辆档案数据对接</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太仓港口岸管理数据对接</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违停抓拍系统数据对接</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停车场管理系统对接</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交管勤务系统数据对接</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数据主题库建设</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物流企业业务主题库</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集卡停车与预约主题库</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停车监管业务主题库</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AI数据算法模型</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道路违停数据挖掘算法</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卡口流量与预约数据关联校验算法</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车辆预约行为挖掘算法</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黑名单生成规则算法</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运单匹配调度算法</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停车排队时间预测算法</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卡口识别车辆轨迹还原算法</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停车场管理系统对接改造</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自动预约车辆识别</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预约车辆自动放行</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停车优惠规则结算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已有通行证预约系统改造</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整合已有系统，数据归并</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（六）交通态势及优化平台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center"/>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路网交通数据接入模块</w:t>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地图路网数据接入</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建立地图数据接口，对接高精地图路网，路口，区域静态信息的提取</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互联网地图交通指标数据接入</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对接互联网交通指标数据，展示路口、路段实时路况</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外场交通感知设备数据接入</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对接电警、卡口、雷视、雷达等外场设备采集数据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移动交通感知数据接入</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对接无人机、及各种移动交通流量采集设备</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交通控制数据接入</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自动导入各类交通控制数据，信号灯，可变车道，诱导屏，指示牌</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交通事件数据接入</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对接道路的施工和维护、交通管制措施等信息和数据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系统概览及主题查询模块</w:t>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区域交通信息预览</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结合地图上显示区域交通运行状况，提运行指标概览</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路口交通信息查询系统</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结合地图提供维度路口模型及交通运行状态检索和查询</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干线交通信息查询系统</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结合地图提供多维度干线模型及运行状态信息检索和查询</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实时路况信息系统</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结合地图展示实时路况信息，实现对路况的动态跟踪和监测</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路口分类及统计分析</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支持对所有路口按特定指标的分类和运行指标的统计和汇总</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路口模型几何预览</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提供路口几何模型的车道级预览功能</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干线分类及统计分析</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支持对交通干线按特定指标的分类和运行指标的统计和汇总</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区域交通统计分析</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支持对区域交通按特定指标的分类和运行指标的统计和汇总</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路网交通要素编辑及管理模块</w:t>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路口方位参数编辑及标定</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路口定位和方向定位，结合地图信息对路口轮廓线的快速绘制</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道路红线建模及参数编辑</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道路红线的建模，及参数化编辑，违反红线预警</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机动车道几何对象建模及及参数化编辑</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实现对机动车道的几何建模，及参数化编辑</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中央分隔带几何对象建模及参数化编辑</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支持对道路中央分隔带的几何建模，及参数化编辑</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非机动车道几何对象建模及参数化编辑</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支持对非动车道的几何建模及参数化编辑</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斑马线（人行横道）几何对象建模及参数编辑</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支持对行人斑马线的几何抽象建模，及参数编辑化</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路口展宽段几何对象建模及参数编辑</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支持对路口进出口道展宽对几何建模及参数化编辑</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路口渠化岛几何对象建模及参数编辑</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支持对路口右转进行渠化岛设计，建模及参数化编辑</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特殊车道处理及属性编辑</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公交专用，可变车道等特殊车道属性的建模及参数化编辑</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车道标线对象几何建模及编辑</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支持对车道转向标志的几何建模，查看及参数化编辑</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路口几何版本管理</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针对不同路口设计方案的管理和调用</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交通流冲突点展示及分析</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支持不同路经交通流冲突点的计算，展示和分析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现场探勘记录录入及分析</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外场踏勘记录的录入系统和自动化分析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交通需求管理模块</w:t>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机动车转向流量编辑及可视化</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支持对于机动车流量的手动输入、查询、修改操作</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非机动车流量编辑及可视化</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支持对非机动车流量输入、查询、修改作</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流量数据集合管理及数据查询</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支持对不同天、不同时段流量集合的管理、查看及分析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电警卡口转向流量数据分析及展示</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支持对电警、卡口交通流量数据的导入后的分析、展示，诊断，统计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雷视感知数据分析及展示</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接入雷视，指标数据（车头视距，占有率，排队长度）分析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交通流量融合、补全及诊断分析</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支持数据融合，及对融合数据对分析及统计，特征值提取</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机动车和非机动车交通流可视化</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以各种图、表、曲线展示及分析各种交通流</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信控最优时段划分</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根据交通流特征划分最优信号配时时段</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交通流量分析报告</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支持批处理生成流量数据分析报告，形成可下载的PDF文件</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信号配时设计及管理模块</w:t>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车道灯组设置</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灯组跟控制车道的对应关系建模、编辑和修改</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相位设计及管理</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支持对各配时相位设计、边界条件编辑；行人相位处理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环栅结构设计及配时方案管理</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支持环栅结构信号配时方案设计、管理及比对分析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阶段式信号配时方案设计及管理</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支持对阶段式配时方案的编辑，管理及对比分析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配时方案动态模拟演示</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支持对信号配时方案动画模拟演示，配时冲突分析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交通问题诊断模块</w:t>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路口模型参数标定</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用视频、雷视数据标定模型参数，如饱和流率</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交通组织及渠化设计问题诊断</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车道通行能力匹配、渠化设计、展宽设计、待行区设计问题</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信号控制及配时问题诊断</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支持针交通控制和信号配时方案、配时合理性对问题诊断</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慢行交通系统问题诊断</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支持对行人相位设计问题、二次过街问题、非机动车道控制问题诊断</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一般交通安全问题诊断</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支持交通流冲突分析、视距安全、限速问题诊断</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交通秩序问题诊断</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支持对影响交通秩序的问题诊断</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交通优化模块</w:t>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通行能力分析</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路口通行能力分析，延误、排队、服务水平计算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渠化空间分析</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根据道路红线及路口几何特征来分析渠化改善空间</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信号配时方案优化</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支持对信号配时方案的优化，对周期相位的优化</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交通组织及渠化优化</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支持对交通组织和渠化设计的优化，包括车道路权分配的优化</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优化过程推演</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支持对交通优化推演过程的记录和透明化</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优化指标可视化</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支持以图表方式记录交通优化效果</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分析报告生成</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自动生成通行能力分析报告，设计预览功能</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干线协调优化</w:t>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干线创建及编辑</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交通干线协调建模，路口添加，关联，参数配置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干线查询及管理</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支持对多条干线的管理及查询，在地图上展示</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干线信号协调</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在时空图上手动优化调整干线协调参数， 结果图形化展示</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干线信号自动优化</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支持系统自动化优化干线信号协调参数</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干线指标统计分析</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对不同起终点、不同行驶路径下的车辆进行运行指标统计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干线协调效果平价</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统计汇总相关交通指标，计算综合最优方案</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交通优化算法仓库</w:t>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信号配时时段优化算法</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根据路口流量确定最佳配时时间段划分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交通问题诊断算法</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自动诊断路口效率，配时，几何，拥堵等交通问题</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路口周期及相位优化算法</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根据路口几何和流量给出最佳周期设置及相位设置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路口渠化改善推荐算法</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根据交通通行能力分析结果推荐渠化方案</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干线协调优化算法</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支持在相位相序约束，周期变化约束的情况下优化干线相位差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交通流量补全算法</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支持有限数据缺失情况下的数据补齐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饱和流量自动标定算法</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支持不同转向下的饱和流量标定范围参数设置。支持不同速度下饱和流量、阻塞车头时距参数的自定义设置。支持路口及干线不同标定算法模式设置。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方案比选模块</w:t>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交通提升方案构造</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通过改变几何、配时、流量来构造不同的分析方案</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交通提升方案分析</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自动化分析备选的交通提升方案</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交通方案比选</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依据预期提升效果进行交通方案比选</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方案比选报告</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自动生成方案比选报告，输出PDF文件</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系统运行管理模块</w:t>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用户权限管理</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用户登陆、身份认证、给不同用户设置不同权限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角色管理</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支持设置不同角色，角色设置不同权限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功能权限管理</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资产灵活地将功能点赋予管理员创建的相关角色</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日志管理</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系统运行记录存留、查询及问题分析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路网基础数据采集</w:t>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路网几何参数精细化测量</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高精地图测距、激光测距，几何校准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路口无人机高点数据采集</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无人机航拍，路口几何概览，特征标注，问题说明</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外场感知流量数据验证和校准</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对外场感知数据源如电警/卡口/雷视数据质量的验证和校准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交通流量动态补齐</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针对电警/卡口/雷视数据缺失的情况，进行人工流量采集补缺</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信号配时方案核对及标准转换</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针对客户提供信号配时方案进行核准及规范化处理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信号配时方案路口调研</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针对提供的配时方案，进行现场核实验证</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路口交通问题采集</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对路问题进行照片标注；视频标注；问题记录，入库</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干线道路基础信息采集</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采集干线各路段距离、交叉口距离、路段运行速度校验</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干线交通需求数据采集</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统计路段流量变化情况；确定主流方向；</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干线交通问题调研</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对干线交通问题进行照片标注；视频标注；问题记录、入库</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路网交通主题数据库建设</w:t>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路网静态要素主题库</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对路口路段几何设计参数进行建库，支持创建和编辑</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信号配时优化主题库</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对路口信号配时各核心参数进行建库，支持信号配时编辑和优化</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交通需求管理主题库</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对交通需求进行建库，管理分析各类交通需求（机动车，非机动车，行人）</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干线交通要素主题库</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对干线交通要素进行建库，支持干线创建、协调、分析及评价</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区域交通要素主题库</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对区域交通要素进行建库，支持区域交通运行分析和评价</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交通精细化治理决策专题报告服务</w:t>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宏观交通运行指标数据解读</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根据互联网轨迹指标数据解读宏观交通运行状况</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restart"/>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vMerge w:val="restart"/>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重点路口外场数据采集解析</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针对关键数据缺失的情况进行外场数据补点采集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vMerge w:val="continue"/>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线上线下数据综合研判</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融合互联网数据及本地交通数据,  形成融合指标</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vMerge w:val="continue"/>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交通运行综合研判分析</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交通运行状况进行综合研判分析， 列举问题，分析原因</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vMerge w:val="continue"/>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本阶段交通治理建议汇总</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本期交通优化建议形成汇总性方案</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vMerge w:val="continue"/>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下阶段交通态势分析及防范</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对下阶段可能出现的交通问题提前预警，做好防范工作</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vMerge w:val="continue"/>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报告生成与输出</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形成专业的技术专题报告，为决策者提供决策支撑</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vMerge w:val="continue"/>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数据更新维护服务</w:t>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模型及数据的定期维护和更新</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针对路口/干线几何变动，配时变动，流量变动的持续更新</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（七）公交线网运营优化</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公交运营基础数据采集</w:t>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公交线网基础数据采集</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采集全市公交基础线网、场站、停靠站等基础数据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公交运营基础数据采集</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采集全市公交运营基础数据，包括车辆运行、班次调度、客流等</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公安数据采集接入</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将公安的车辆卡口和行人卡口等出行od数据进行接入和采集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公交刷卡数据采集</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采集全市公交刷卡数据，包括IC卡和移动支付的刷卡数据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公交运营数据主题库建设</w:t>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公交运营大数据治理</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对多源的公交大数据进行清洗、治理和标准化</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公交线网数据主题库建设</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针对公交线网、场站的主题数据库建设</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公交日常运营数据主题库建设</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公交日常运营数据主题库建设，包括运营指标、线网指标、资产台账、里程数据等。</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公交客流数据主题库建设</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公交客流数据主题库建设，包括客流趋势、客流分布、客流营收等。</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多源数据汇聚与时空标准化</w:t>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交通小区网格化</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将太仓市的地理空间进行统一的交通小区网格化，形成OD数据的统一时空标准基础</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公交公司数据汇聚与标准化</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公交公司刷卡数据、车辆定位数据、调度生产数据接入与标准化开发</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互联网出行数据标准化</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互联网出行数据接入与标准化处理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公安交警数据汇聚与标准化</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公安卡口车辆数据提取、行人数据、共享单车数据接入，标准化处理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多源数据融合与OD还原算法</w:t>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统一时空化算法</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公交公司运营数据、互联网出行数据、公安交警数据统一时空化对齐与聚类算法</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OD反推算法</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公交刷卡数据OD反推算法，还原现状公交客流的od特征</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多源出行数据reID算法</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多源出行数据去重、ID匹配，形成唯一出行者ID的特征数据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OD网格匹配算法</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对多源数据OD标准化后与地理空间的交通小区进行自动关联匹配</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分方式全量出行OD还原算法</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针对全出行方式的全量OD还原，实现对全市出行OD矩阵的完整分析结果</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公交客流与运营分析模块</w:t>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线网指标分析</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公交线网各项指标分析，例如线网里程、线网密度、站点覆盖率等。</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站点客流分析</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公交站点客流特征分析，按照时间、线路等维度进行挖掘。</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线路运营分析</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单条线路技术指标分析，对线路的客流特征、时空分布进行挖掘分析。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OD分析与可视化模块</w:t>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全量OD可视化</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全量出行OD可视化呈现</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分交通方式OD分布</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不同交通方式客流OD时空分布分析与展示</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热门OD分析</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全市OD热度或出行量统计排序</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任意交通小区间OD特征分析</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任意交通小区网格作为出发网格或到达网格，分析其出行OD的来源与去向，并进行可视化呈现。</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互联网出行数据服务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1年</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公交运营优化全过程咨询服务</w:t>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公交线路运营效率与效益评估</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基于公交客流数据、运营数据，分析公交线路的供需关系、重复与竞争关系、资源利用情况等</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公交获客辅助规划</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针对潜在可转移的个体交通客流，进行智能化公交路径规划，寻找可获客的公交运行路径，为新增或优化线路提供辅助规划。</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线路调整方案评估</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基于整体线网进行线形调整与运营效益评估，测算线路方案的运营效率变化情况，乘客服务影响情况，并跟踪方案实施后的运营效率与效益。</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新规划线路方案评估</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基于数据挖掘新增公交线路，采用常规支线、定制班线、弹性公交等形式为市民提供个性化的公交服务，并针对线路提供运营方案建议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（八）数据治理平台升级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跨边界数据传输中转改造和切换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1、改造各边界数据存储和读取FTP服务器的程序，以及数据治理中涉及到的采集任务；</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2、确保当前已接入的数据（目前约23类）正常切换和传输，涉及图片等非结构化数据实时性的需求，由公安网本地存储改造为HTTP请求透传跨边界直接获取数据，即现用现取；</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3、制定升级实施计划，逐步完成历史数据中的路径刷新和切换，不对下游应用厂家产生影响。</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跨边界公安网数据实时安全共享功能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1、基于大数据平台现有组件，创建各类业务表主题；</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2、在各边界定制开发程序，对接各边界内应用系统的数据进行采集，并通过HTTP请求直接透传跨边界方式，将数据传输到公安网侧；</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3、在公安网侧定制开发程序接收数据，并通过Kafka消息队列进行高效存储，以及直接提供数据实时消费服务。</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4、支持通过数据治理进行数据流程开发，将Kafka消息队列中数据存储到PostgreSQL，为下游厂家提供统计类等场景下SQL计算服务。</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5、支持通过数据治理进行数据流程开发，为下游厂家提供HTTP数据安全共享接口查询服务。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数据实时安全转发服务功能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定制开发数据实时安全转发服务程序平台，包含用户标识数据同步、审批状态同步、接口转发、接口鉴权，安全审计、异常监控等功能；</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调试数据实时安全转发服务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在视频专网侧，部署调试数据实时安全转发服务平台，并通HTTP请求直接透传跨边界方式，将数据实时传输到公安网侧；</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专网数据资产管理平台数据日志审计融合功能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在公安网侧，将视频专网侧接口调用数据、日志数据等，融合到数据资产管理平台，并在数据资产管理平台定制开发融合功能，进行数据统一管理功能。</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创建对账任务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创建对账任务，选择需要对账的数据表，配置数据表的增量时间字段，选择对账的范围以及对账的方式；</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定时任务对账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对账任务配置后，通过定时任务调用进行对账，生成数据对账报告；</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对账任务记录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对账任务历史记录可以查看指定配置的执行记录，以及执行失败的报错信息；</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对账管理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对账管理对历史对账结果进行查询、删除等管理。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数据对账报告</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通过查看数据对账的结果来了解数据要素组织结果的正确性，以便及时进行修正，确保数据要素组织后数据的正确性和可用性。</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数据申请功能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数据申请需填写需求方、使用场景、数据接入源、数据计算规则、数据输出方式、数据更新周期、数据接口或数据结构说明等</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数据审批功能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数据分析员审批通过后，即可按申请要求进行数据开发，并提供数据接口。</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数据接入监测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接入监测包括接入数据概况和接入任务两类监测，数据接入监测有数据接入种类、数据接入来源、数据接入数量、数据接入方式、数据接入状态，对接入任务的管理可以监测查看实时接入任务的运行状态、启动和停止接入任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标准数据监测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可通过该模块查看系统中标准数据的种类、总量、容量等原始数据的统计信息，也可通过查询获取某原始数据表的容量、数据量、日增量等详情信息。</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数据操作审计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查看被操作的表名、操作用户名、查询数据次数、增加数据次数、删除数据次数、修改数据次数、导入导出数据次数等数据操作信息。</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数据访问日志审计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查看包括数据接口访问预警、用户频繁访问预警、数据访问异常预警在内的3种类型预警信息。</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数据接口访问排名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根据接口调用日志进行分析，哪类接口调用的多，哪类接口调用异常等信息，展示接口数量及接口运行状态，接口调用排名（Top 10）</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访问数据用户排名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根据接口调用日志进行分析，能够分析哪个用户调用的多，用户调用排名（Top10），接口错误日志信息等反应接口日常监测情况</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数据积压监测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积压监测在数据要素组织过程中用来监测任务，及时了解数据流程中是否出现导致数据积压的问题。主要监测调度任务的执行情况，完成情况，数据量，任务执行时间等。</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企业监管数据处理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包括重点企业总数、重点车辆总数、车辆违法总数（年）、车辆事故总数（年）等，数据处理。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黑榜企业详情数据处理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包括数据唯一标识、红榜企业数、黑榜企业数、数据更新时间等，数据处理。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辖区中队企业数据处理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包括数据唯一标识、序号、辖区中队、企业名称、车辆数、违法比例、上榜原因、数据更新时间等，数据处理。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企业违法总数趋势数据处理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包括数据唯一标识、每月企业违法数、数据更新时间等，数据处理。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驾驶人数据处理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包括数据唯一标识、驾驶人总数、驾驶人黑名单、列管驾驶人、非企业列管驾驶人、数据更新时间等，数据处理。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当月各违法数据处理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包括数据唯一标识、抽烟、拨打电话、未系安全带、违反指示、数据更新时间等，数据处理。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近一年各违法数据处理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包括数据唯一标识、每月抽烟数、每月拨打电话数、每月未系安全带数、每月违反指示数、数据更新时间等，数据处理。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岗位信息数据处理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包括数据唯一标识、调离工作岗位、留用驾驶人、数据更新时间等，数据处理。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驾驶人隐患类型数据处理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包括数据唯一标识、逾期未审验、逾期未换证、重点驾驶人预警、驾驶人入职预警、企业重点关注驾驶人预警、记满12分预警、黑名单驾驶人预警、数据更新时间等，数据处理。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重点车辆列管数据处理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包括数据唯一标识、企业列管车辆、非企业列管车辆、数据更新时间等，数据处理。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使用性质重点车辆（月）数据处理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包括数据唯一标识、危险品运输、公路客运、旅游客运、货运、其他、数据更新时间等，数据处理。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使用性质重点车辆（年）数据处理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包括数据唯一标识、每月危险品运输车辆数、每月公路客运车辆数、每月旅游客运车辆数、每月货运车辆数、每月其他车辆数、数据更新时间等，数据处理。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车辆状态分析（月）数据处理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包括数据唯一标识、正常、违法未处理、达到报废标准、公告牌证作废、事故未处理、数据更新时间等，数据处理。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车辆预警类型（周）数据处理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包括数据唯一标识、处罚类预警、研判类预警、管理类预警、隐患类预警、数据更新时间等，数据处理。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隐患类型预警处理状态（月）数据处理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包括数据唯一标识、未签收、处置中、数据更新时间等，数据处理。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主动安防车辆处理状态数据处理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包括数据唯一标识、已处理、未处理、数据更新时间等，数据处理。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外地过境车辆（近30天）数据处理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包括数据唯一标识、过境车辆、入境车辆、研判中、数据更新时间等，数据处理。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外地车辆在太仓情况数据处理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包括数据唯一标识、外地过境车辆、外地活跃车辆、外地重点车辆、数据更新时间等，数据处理。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今日警情数据处理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包括数据唯一标识、今日警情数、日环比、周环比、数据更新时间等，数据处理。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今日警情事件数据处理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包括数据唯一标识、序号、发生时间、发生地点、事件内容、数据更新时间等，数据处理。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当月各中队警情趋势数据处理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包括数据唯一标识、中队名称、当月各中队警情数、数据更新时间等，数据处理。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当月交通事故高发路段数据处理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包括数据唯一标识、路段名称、当月高发路段事故数、数据更新时间等，数据处理。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今日高发时间段数据处理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包括数据唯一标识、24小时时间段、24小时时间段事故数、数据更新时间等，数据处理。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近一周交通事故发展趋势数据处理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包括数据唯一标识、近一周时间段、近一周时间段事故数、数据更新时间等，数据处理。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当月违法处罚数据处理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包括数据唯一标识、中队名称、当月各中队违法处罚数、数据更新时间等，数据处理。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路段详情数据处理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包括数据唯一标识、路段名称、所属中队、道路类型、事故数量、环比数量、同比数量、数据更新时间等，数据处理。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当月接处警总数数据处理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包括数据唯一标识、当月接处警总数、月环比、月环比、数据更新时间等，数据处理。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各中队接处警数量数据处理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包括数据唯一标识、中队名称、当月各中队接处警数量、近一年各中队接处警数量、数据更新时间等，数据处理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当月接处警事件数据处理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包括数据唯一标识、序号、接警时间、接警地点、接报内容、接报单位、数据更新时间等，数据处理。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有效布控在控车辆数据处理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包括数据唯一标识、布控在控车辆总数、数据更新时间等，数据处理。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布控预警趋势数据处理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包括数据唯一标识、近一年时间段、近一年布控在控车辆数、数据更新时间等，数据处理。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预警事件数据处理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包括数据唯一标识、序号、车牌号、号牌类型、开始事件、布控类型、布控案由、数据更新时间等，数据处理。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机动车违法数据处理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包括数据唯一标识、违法类型、违法时间、违法地点、车牌号码、抓拍图片、数据更新时间等，数据处理。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非机动车违法数据处理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包括数据唯一标识、违法类型、违法时间、违法地点、抓拍图片、数据更新时间等，数据处理。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人员违法数据处理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包括数据唯一标识、违法类型、违法时间、违法地点、抓拍图片、数据更新时间等，数据处理。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（九）慧眼平台升级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管理任务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统计待处罚人员、待宣教人员，待宣教企业；及今日新增数据展示</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管理成效</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统计处罚人员数量；统计已宣教人员，按人员标签，企业标签统计，饼状图展示</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工作质态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辖区维度统计，处罚、宣教情况，柱状图展示</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违法趋势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近七天，近14天，近90天，统计非机动车，机动车，行人，审核后有效数据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按辖区维度统计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同比，环比，折线图展示</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辖区高频违法TOP10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辖区高违法率top10，权限控制，各中队看到自己数据，大队看到全量数据，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统计维度按机动车、非机动车、行人违法积分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统计周期在月统计基础上实时统计，统计截止自然时间-1天</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已处罚人员新增已处罚标记</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人员待办</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根据待办规则，生成待办人员；列表展示人员基本信息，人员标签，待办积分，管辖中队；详情展示该人违法记录，处置记录；处置对接宣教表；可人工进行处置，上传处置凭证，宣教结束，完成闭环；支持数据可导出；待办数据待宣教对接云哨接口打电话宣教</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企业待办</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根据待办规则，生成企业待办；列表展示企业基本信息，企业标签，待办积分，管辖中队；详情展示该企业人员违法记录，处置记录；可人工进行处置，上传处置凭证，宣教结束，完成闭环；支持数据导出；待办数据宣教对接云哨接口打电话宣教</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车辆待办</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根据待办规则，生成车辆待办；列表展示车辆基本信息，待办积分，管辖中队；详情展示车辆违法记录，处置记录；可人工进行处置，上传处置凭证，宣教结束，完成闭环；支持数据导出；待办数据宣教对接云哨接口打电话宣教</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已办人员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读取警务通宣教表，速裁处罚表，太融E宣教表，人工宣教状态，云哨宣教，形成已宣教，已处罚状态，可查看详情，数据可导出</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已办企业</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读取警务通宣教表，速裁处罚表，太融E宣教表，人工宣教状态，云哨宣教，形成已宣教，已处罚状态，可查看详情，数据可导出</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已办车辆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车辆处置逻辑，处罚车牌号，走行政速裁，已处罚状态，可查看详情，支持数据可导出</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待办处置逻辑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车辆处置逻辑，处罚车牌号，走行政速裁</w:t>
            </w:r>
            <w:r>
              <w:rPr>
                <w:rFonts w:hint="eastAsia" w:ascii="宋体" w:hAnsi="宋体" w:eastAsia="宋体" w:cs="宋体"/>
                <w:color w:val="000000"/>
                <w:sz w:val="15"/>
                <w:szCs w:val="15"/>
                <w:lang w:bidi="ar"/>
              </w:rPr>
              <w:br/>
            </w:r>
            <w:r>
              <w:rPr>
                <w:rFonts w:hint="eastAsia" w:ascii="宋体" w:hAnsi="宋体" w:eastAsia="宋体" w:cs="宋体"/>
                <w:color w:val="000000"/>
                <w:sz w:val="15"/>
                <w:szCs w:val="15"/>
                <w:lang w:bidi="ar"/>
              </w:rPr>
              <w:t xml:space="preserve">人员处置逻辑，人员内车辆积分 如存在多个车辆，处置几个车辆消除车辆对应的积分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档案概况/人员档案</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人员档案宫格展示，待办积分，累计积分展示身份基本信息，所属中队；详情展示人员所有违法记录，处置记录、违法类型饼状图，违法地点TOP10，违法趋势折线图统计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档案概况/企业档案</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企业内人员违法档案展示，企业待办积分，累计积分展示，详情可查看该企业所有人员违法记录，处置记录、违法类型饼状图，违法地点TOP10，违法趋势折线图统计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档案概况/匿名档案</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违法车辆查询不到档案数据，展示待办积分，累计积分展示，详情可查看该企业所有人员违法记录，处置记录、违法类型饼状图，违法地点TOP10，违法趋势折线图统计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匿名车挡数据推送到云哨接口，拨打电话宣教</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人员档案</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首次违法，违法次数三次以下，列表展示人员档案，基本信息，人员标签，违法状态，处置状态，查看档案详情，详情展示人员基本信息，违法信息，机非人违法记录，及处置记录</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高频违法，违法次数三次以上；列表展示人员档案，基本信息，人员标签，违法状态，处置状态，查看档案详情，详情展示人员基本信息，违法信息，机非人违法记录，及处置记录</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再次违法，上门宣教后再次违法；列表展示人员档案，基本信息，人员标签，违法状态，处置状态，查看档案详情，详情展示人员基本信息，违法信息，机非人违法记录，及处置记录</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重点人员，处罚后再次违法；列表展示人员档案，基本信息，人员标签，违法状态，处置状态，查看档案详情，详情展示人员基本信息，违法信息，机非人违法记录，及处置记录</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电动车人员档案</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不戴头盔审核后数据+推送戴头盔数据，列表展示</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车辆档案</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新增车辆档案，对接扬帆数据中心，建设机动车一车一档，支持提供机动车过车，机动车违法，机动车基本档案信息。</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非机动审核</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接入外卖人员数据，人工审核</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机动车审核</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扩展功能，接入机动车数据，人工审核</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非机动车审核</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扩展功能，接入非机动车数据，人工审核</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非机动车违法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系统自动审核，增加非机动车，三轮车不戴头盔，闯红灯数据接入审核，审核后落入数据台账发送短信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机动车违法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系统自动审核，增加机动车数据接入审核，审核后落入数据台账发送短信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行人违法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系统自动审核，增加行人数据接入审核，审核后落入数据台账发送短信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非机动车违法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审核后数据，发送短信，列表展示人员基本信息，处罚状态，发送短线状态，</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机动车违法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审核后数据，发送短信，列表展示人员基本信息，处罚状态，发送短线状态，</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行人违法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审核后数据，发送短信，列表展示人员基本信息，处罚状态，发送短线状态，</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已纠正人员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算法设别错误，纠正功能，已确认违法状态改为已忽略，同步删除违法记录</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已处罚人员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对接速裁处罚表，处罚人员展示</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统计报表1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无法置信数据违法统计，遛狗不牵绳等</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企业违法率分析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统计企业人数，违法人数，违法率</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统计报表2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短信报表统计；新增按时间、按中队、对象类型（人、车、非）、按标签、按违法行为、发送状态统计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违法行为统计；新增按人员、按标签、按中队、按时间、按积分、处置结果统计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处置结果统计；新增处置类型、按时间、按中队、按对象、按标签、按违法行为统计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非机动车违法top20；增加全量非机动车违法类型</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云哨统计；新增类型（电话、短信）、发送状态统计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数据看板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原非机动车管理大屏，增加统计机动车，行人，违法统计；所有项改为机动车，非机动，行人统计，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非机动车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非机动车数据接入扩容建设</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机动车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机动车数据接入扩容建设</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行人违法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行人违法数据接入扩容建设</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审核配置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支持自定义审批模型，通过模型建模定义数据源、违法行为、系统自动分拣或人工分拣。</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处置配置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支持自定义违法行为处置，通过开启处置按钮计入积分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非机动车审核后布控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审核后非机动车人脸数据，三个月内违法行为超过三次，程序自动写入扬帆动态布控库，数据每天更新，布控预警</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机动车审核后布控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审核后机动车数据，三个月内违法行为超过三次，程序自动写入扬帆动态布控库，数据每天更新，布控预警</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布控告警数据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订阅告警数据，警务通处罚后数据再给到应用平台</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审核后数据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推送非机动车，机动车正片数据推送警务通，</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推送非机动车，正片数据给到太融E,太融E学习后数据再给到华尊</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新增标签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老年人，财政供养人员、快递人员、普通企业人员，其他未成年人，学生</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云哨电话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对接接听电话状态，已接通为已宣教，未接通继续打</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云哨短信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云哨短信接口返回手机号码，调短信接口发送短信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关系库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存储云哨短信，手机号码和车牌号码关联关系储存关系库</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（十）城市交通人员档案系统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首页升级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添加自定义预警类型、时间范围检索分析功能，默认分析处罚类预警和主动安防处罚类预警；增加各预警处罚率统计功能，并根据客户需求，可自行切换查询结果</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外地企业在太经营档案</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运维长期在太经营的外地企业信息的基本信息、备案车辆、以及单位在太情况。</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危险品停车许可区域管理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对危险品车停车许可区域进行管理和维护</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渣土车停车区域管理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对渣土车停车区域进行管理和维护</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未纳入重点管理的混凝土运输车辆预警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拓展预警模型，结合卡口抓拍结果，发现非混凝土车企业下存在的混凝土车，根据过车数据实时生成预警</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驾驶人与备案驾驶人不匹配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拓展预警模型和数据采集模型，接入行驶中车辆的人脸抓拍图片，通过人脸识别，若行驶中车辆的驾驶员并非改车辆所在企业的任职驾驶人员，生成预警</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重点驾驶人同时存在多个企业预警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拓展数据采集模型，根据数据特征，识别驾驶人同时存在多个企业下场景，根据场景信息生成预警推送中队；若此场景数据被纠正正确，数据采集模型，自动将该预警闭环处理，无需警力人工介入。</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已过户车辆小黄人系统内未迁移预警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拓展数据采集模型，根据数据特征，识别车辆所有人和单位不一致场景，根据场景信息生成预警推送中队；若此场景数据被纠正正确，数据采集模型，自动将该预警闭环处理，无需警力人工介入。</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重点车辆同时存在多个企业预警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拓展数据采集模型，根据数据特征，识别车辆同时存在多个企业下场景，根据场景信息生成预警推送中队；若此场景数据被纠正正确，数据采集模型，自动将该预警闭环处理，无需警力人工介入。</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外地混凝土车预警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拓展数据采集模型和预警模型，结合卡口抓拍数据，发现不在本地车辆档案的混凝土车进入太仓的行为特征，立即生成预警推送中队。</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其他妨碍安全驾驶的行为报警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拓展数据采集模型，接入第三方推送其他妨碍安全驾驶行为数据，结合企业车辆档案基础数据，生成报警推送源头中队</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异常情况</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拓展数据采集模型，接入第三方推送企业每周摄像头遮挡、摄像头扭转、摄像头污垢、定位天线未接等异常情况及整改结果给中队，并生成统计报表。</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危化品伪装普货技术预警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以车辆沉淀算法为基础，分析易出现伪装普货的危化品车的数据特征，设定特定场景算法模型，生成预警推送中队</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停业整顿车辆管理（含预警）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城管、交运录入停业整顿车辆名单、停业整顿时间及对应的处罚告知书，拓展预警模型，识别上路行驶的停业整顿车辆的行为特征，生成预警，推送中队</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渣土车禁行时间管理（含预警）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城管维护维护渣土车长期禁行时间、临时管控时间和特殊审批车辆，拓展预警模型，识别在禁行时间上路行驶的车辆的行为特征，生成预警，推送中队</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外地大客车无线路牌驶入太仓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建立不在大客车目录中的大客车驶入太仓的算法模型，结合卡口抓拍数据，识别此特征的车辆行驶行为，生成预警</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新增登高车辆预警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建立未纳入源头管理的登高车辆预警模型，结合卡口抓拍数据，识别此特征的车辆，推送至交警，并提供交警与应急局的联合公办流转机制，完善此类车辆的闭环管理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叉车上路预警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建立叉车上路预警模型，识别上路行驶的叉车行为，生成预警，结合市场监督管理局提供叉车基础数据，联合预警推送至市场监督管理局</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疑似破坏主防设备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拓展数据采集模型，增设第三方推送驾驶人多次或故意损坏设备的数据治理逻辑，数据接入后进行数据处理，结合企业车辆基础数据，生成疑似破坏主防设备预警，推送源头中队</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行前检测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对接应急管理局，接入两客一危车辆的行前检测数据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行前检测预警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建立未进行行前检测的车辆上路行驶预警模型，在部门联动预警页面生成预警推送交运局。提供行前检测预警页面，根据处理状态和预警时间，归纳统计企业的预警情况，并提供处理闭环功能</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重点车辆交通环境档案管理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AI智能交通环境巡检一张图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未经申报核查的驾驶人参加春运预警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将超卡抓拍人脸照片与人脸库进行比对，若发现驾驶人未经申报核查参加春运，则生成预警推送公安处置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押运员与备案押运员不匹配预警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提供春运驾驶人与小黄人备案驾驶人比对功能，发现小黄人中企业下驾驶人未及时更新问题。为纠正小黄人数据提供数据依据，并且降低“驾驶人无春运资格预警”误报率；比对结果自动推送责任辖区中队，为中队提供数据支撑；中队纠正完成后，自动留痕。</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各中队辖区预警处置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建立新管理页面，将“驾驶人无春运资格预警”、“押运员无资格预警”、“危险品车无押运员预警”、“抽烟预警”、“接打电话预警”、“危险品车2:00-5:00禁行时段上路预警”纳入此模块进行统一管理；控制系统春运时间段范围以及春运相关预警激活开关。</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春运护航统计分析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针对春运预警的预警数、处罚数、处置数等维度进行统计分析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押运员信息维护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提供押运员基础信息（姓名、身份证、照片、所属企业）维护功能；为“押运员无资格预警”、“危险品车无押运员预警”提供基础数据支撑。</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7-9座客车档案库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根据核定载客数从六合一机动车数据抽取数据，建立7-9座客车档案库。</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7-9小客车隐患滚动清理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自动抽取六合一机动车状态，分析车辆隐患，生成预警推送中队；及时更新基础档案数据，获取最新机动车状态，若已完成隐患消除，隐患自动闭环。</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（十一）文本分析研判模型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智能问答</w:t>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回答知识源</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全部知识源：支持同时选择个人知识库、企业知识库、财经、法律、互联网作为回答来源。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个人知识库：支持上传PDF、docx、txt、xlsx、mp3、mp4、jpg、png等构建个人的知识库，并基于上传文件进行问答。</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企业知识库：支持管理端配置企业知识库和权限后，在用户端选择有查看权限的企业知识库进行问答。</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资料：支持基于公安行业内部预置资料库进行问答，通过关联和整合行业领域相关知识进行分析。点击下方链接即可查看答案中的引用来源。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法律：支持基于证券交易相关法规和各大证券交易所的规定等进行问答，为用户提供法律风险预警及证券交易相关的应对建议。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互联网：支持实时获取和解析市场动态及资讯，根据用户需求，给出及时有效的投资策略或是风险预警信息。</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参考文档预览</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支持对参考文档的原文进行预览，确认答案真实性和准确性。</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高亮引用</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支持在文档预览中高亮模型回答来源文字。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中英翻译</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支持中英文的文档翻译，中英文混合的音频、视频翻译。</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产业图谱</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支持对回答中涉及的企业、行业板块进行产业图谱穿透分析。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历史对话管理</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支持新建文件夹对历史对话进行批量管理或是重命名历史对话。</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切换模型</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支持切换7B/72B模型后重新生成答案。</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复制答案</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支持一键复制答案文本及引用。</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相关问题</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支持根据用户提问内容生成相关的追问问题，用户可直接点击并进行追问。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文本写作</w:t>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大纲生成</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支持根据用户需求先生成文案大纲供确认，再进行后续写作。</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指定参考来源写作</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支持根据用户需求指定写作参考的知识源。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写作内容溯源</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支持在写作完成后，展示参考的文献链接，并在写作文章内标注查找来源文献。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实时资讯</w:t>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智能新闻总结</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确保用户能够获取最新的新闻动态，紧跟时事发展动态，并且自动生成新闻摘要，快速了解新闻核心内容。</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产业穿透分析</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深入分析新闻影响的产业链，帮助用户迅速把握市场变化，洞察产业趋势。</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热门资讯分析</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根据智能算法，分析当前热门话题及热门资讯板块。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智能助手</w:t>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数据分析助手</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表格类文档数据分析：支持用户上传.xlsx/.xls/.csv格式的数据后，大模型智能体根据用户的提问生成并调用python代码进行数据分析，智能提供相应的分析结果。</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分析步骤与分析代码展示：支持在分析结束后提供具体的分析步骤与代码语句。用户还可以点击展开数据解析，查看数据的清洗、检索、分析的全过程，还原数据分析的底层逻辑，让结论有迹可循。</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尽调助手</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尽调报告编写：支持对指定的公司全网检索汇总公司相关的基本情况、财务状况、所处行业状况评价等情况，编写尽调报告。</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大纲编写：支持用户根据个人需求修改尽调报告编写大纲，并按照修改后的大纲全网检索信息编写尽调报告。</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公司名称模糊匹配：支持在用户输入模糊的公司名称后匹配出具体的公司名检索结果，并引导用户确认尽调目标公司。</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合同审核助手</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合同审核：支持对用户上传的合同按照默认的产品销售合同撰写规则，逐条进行审核与分析并给出结论。</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审核规则上传：支持用户上传合同审核规则对合同进行审核。</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审核规则编辑：支持页面上直接修改合同审核规则，并按照修改后的规则进行重新审核。</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首页</w:t>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知识库概览</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展示平台内知识库的名称与描述，点击后可快速查看对应的知识库详情。</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快速新建知识库</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支持在首页快速新建知识库。</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知识库管理</w:t>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新建知识库</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新建图谱知识库：支持填写知识库名称、描述和图谱英文名；支持选择已有的标签组作为图谱知识库的实体标签和关系标签模板；支持设置图谱知识库对每个机构的权限，包含查看文档/文档问答的权限，以及上传/解析文档的权限；支持基于标签组进行修改，可以新建、编辑和删除标签。标签的类型包含实体标签和关系标签两种。修改标签后，支持实时查看对应的图，检查修改是否有误。</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新建文档知识库：支持填写知识库名称和描述；支持设置文档知识库对每个机构的权限，包含查看文档/文档问答的权限，以及上传/解析文档的权限；支持批量导入文件作为数据源，方式包含从文件系统导入以及从本地上传；支持配置FTP、HDFS数据源，设置定时更新策略；支持对文档做切片，切分为多个文本块。待切片完成后，支持检查切片效果是否满足要求。如果不满足要求，支持合并文本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图谱知识库管理</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查看知识库：支持以树状结构展示知识库的层级关系；支持以树状结构展示组织架构的层级关系，并且在选中组织架构之后，展示该组织有权限查看的所有知识库。</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标签管理：支持配置实体标签和关系标签模板，新建图谱知识库时可以基于标签模板进一步新建、编辑和删除标签；支持通过输入字段和上传xlsx文件的方式，定义标签的字典结构。</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实体关系图：支持查看和修改图谱知识库对应的实体关系，支持通过可视化的形式展现实体关系。</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构建图谱：支持导入1个或多个本地文件作为生成图谱的数据源；支持使用已有知识库的1个或多个文档作为生成图谱的数据源；支持自动抽取PDF、docx文档中的文本；支持基于标签中的字典值自动预标注文档，提高标注效率；支持查看文本中所有的实体数和关系数，并且支持查看各个文档中的实体数和关系数；支持查看预标注的结果，即各文档中的文本以及对应的标签；支持基于预标注结果修改标注内容，提高标注质量；支持解析文本标注，生成图谱。</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知识库权限：支持设置各个机构对知识库的权限，包括查看文档/文档问答权限，以及上传/解析文档权限。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文档知识库管理</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查看知识库：支持以树状结构展示知识库的层级关系；支持以树状结构展示组织架构的层级关系，并且在选中组织架构之后，展示该组织有权限查看的所有知识库。</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文档管理：支持查看文档列表、查看文档想i去那个以及解析文档内容；支持用文件夹整理文档；支持把文档上传到云盘，并且支持设置自动上传的周期；支持导入文档，并进行文档切片和合并文本块。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数据源管理：支持配置FTP、HDFS数据源，设置定时更新策略；支持新建、编辑数据源。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知识库权限：支持设置各个机构对知识库的权限，包括查看文档/文档问答权限，以及上传/解析文档权限。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提问模板：支持新建、编辑和删除prompt模板。</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用户管理</w:t>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机构管理</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支持新建、编辑和删除机构；支持以树状结构展示机构间的关系；支持新增、移动和删除各个机构中的用户；支持搜索机构内的用户，以及按照账号、姓名、创建时间对用户进行排序。</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用户管理</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持新建、编辑和删除用户；支持为用户分配管理员和普通用户的角色，其中管理员可以访问管理端和用户端，普通用户只能访问用户端；支持查看用户的详细信息；支持重置用户密码；支持启用和禁用用户；支持搜索用户，以及按照账号、姓名和创建时间对用户进行排序；提供登录密码校验，按密码规则校验密码的格式、有效性和期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72B模型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提供本地的72B模型，拥有丰富的行业知识，能够理解复杂问题，适用于对答案准确度和模型推理能力有更高要求的用户</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对接第三方模型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可选择与第三方大模型对接，如三所大模型或其它公安行业指定大模型，拥有丰富的公安行业知识。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向量库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面向AI、大语言模型应用领域设计的企业级分布式向量数据库。</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文件存储系统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面向大数据领域的企业级分布式文件存储。</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（十二）、智慧交运建设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gridSpan w:val="4"/>
            <w:shd w:val="clear" w:color="auto" w:fill="auto"/>
            <w:tcBorders>
              <w:top w:val="single" w:color="000000" w:sz="4" w:space="0"/>
              <w:left w:val="single" w:color="000000" w:sz="4" w:space="0"/>
              <w:bottom w:val="single" w:color="000000" w:sz="4" w:space="0"/>
              <w:right w:val="single" w:color="000000" w:sz="4" w:space="0"/>
            </w:tcBorders>
            <w:tcW w:w="4120"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12.1、客流线网分析辅助设计系统</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客流数据采集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充分利用现有的线路数据、站点数据、时刻表数据、运营日报、月报等营运数据，结合采集的太仓市民卡刷卡、扫码数据和车载端上报的上下门客流设备提供的客流数据，综合分析、研判、引导。含刷卡扫码车载设备对接</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数据总览</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定制，详见技术要求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客流数据分析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定制，详见技术要求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客流运力分析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定制，详见技术要求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高峰断面分析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定制，详见技术要求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客流OD分析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定制，详见技术要求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换乘分析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定制，详见技术要求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运营智能评估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定制，详见技术要求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线路指标展示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定制，详见技术要求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公交线网覆盖率分析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定制，详见技术要求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公交线网重复度分析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定制，详见技术要求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高峰期建议时段评估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以客流数据为基础，分析出每条线路的客流出现的早高峰及晚高峰，为时刻表自动计算提供高峰期数据支撑。</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断面客流优化建议评估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以客流数据为基础，实时计算0-24点各断面客流满载率、本线路站比率、换乘率，为断面客流输送提供优化建议：如替换营运车辆、增加班次或新辟区间线。</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行车间隔优化建议评估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以路牌配置数据、客流数据为基础进行运力和运量的匹配性评估，对于运力高于运量的时间段适当增大行车间隔，对于运力低于运量的时间段适当降低行车间隔，为时刻表自动计算提供发车间隔数据支撑，尽可能的让运力和载客量无限接近吻合。</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客流预测优化建议评估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以客流数据为基础，结合天气、节假日等因素，对历史数据进行评估，预测未来某一天的时间客流量，为时刻表自动计算提供客流预测数据，从而达到优化时刻表的目的，将公交的智能化服务水平从满足当前需求向预测未来需求进行进一步的提升。</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线路辅助设计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定制，详见技术要求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站点优化建议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定制，详见技术要求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公交营收分析看板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定制，详见技术要求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gridSpan w:val="4"/>
            <w:shd w:val="clear" w:color="auto" w:fill="auto"/>
            <w:tcBorders>
              <w:top w:val="single" w:color="000000" w:sz="4" w:space="0"/>
              <w:left w:val="single" w:color="000000" w:sz="4" w:space="0"/>
              <w:bottom w:val="single" w:color="000000" w:sz="4" w:space="0"/>
              <w:right w:val="single" w:color="000000" w:sz="4" w:space="0"/>
            </w:tcBorders>
            <w:tcW w:w="4120" w:type="pct"/>
            <w:vAlign w:val="center"/>
            <w:textDirection w:val="lrTb"/>
            <w:noWrap w:val="false"/>
          </w:tcPr>
          <w:p>
            <w:pPr>
              <w:ind w:firstLine="0"/>
              <w:spacing w:line="240" w:lineRule="auto"/>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12.2、科技兴安道路安全预警系统</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12.2.1、交通数字安全驾驶舱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定制，详见技术要求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gridSpan w:val="4"/>
            <w:shd w:val="clear" w:color="auto" w:fill="auto"/>
            <w:tcBorders>
              <w:top w:val="single" w:color="000000" w:sz="4" w:space="0"/>
              <w:left w:val="single" w:color="000000" w:sz="4" w:space="0"/>
              <w:bottom w:val="single" w:color="000000" w:sz="4" w:space="0"/>
              <w:right w:val="single" w:color="000000" w:sz="4" w:space="0"/>
            </w:tcBorders>
            <w:tcW w:w="4120" w:type="pct"/>
            <w:vAlign w:val="center"/>
            <w:textDirection w:val="lrTb"/>
            <w:noWrap w:val="false"/>
          </w:tcPr>
          <w:p>
            <w:pPr>
              <w:ind w:firstLine="0"/>
              <w:spacing w:line="240" w:lineRule="auto"/>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12.2.2、出租车智能调度管理平台</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智能服务终端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229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智能摄像主机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229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车内全景摄像机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229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DSM摄像机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229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TF卡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2*256G或1*512G（MLC）</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229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出租车在线智能调度管理平台升级改造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定制，详见技术要求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云平台集成费用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1、政务云平台部署；2、与相关系统的接口</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物联网（IOT）集成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车载终端安装调试，含计价器对接</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229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平台运营和设备定点维修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三年</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备品备件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同设备采购技术参数，包括智能服务终端、智能摄像主机、车内全景摄像机、DSM摄像机、TF卡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 </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12.2.3、水上智能安全监管系统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center"/>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电子海图/电子地图显示引擎</w:t>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地图服务</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定制开发</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辅助功能</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定制开发</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渣土船舶预警及相关功能</w:t>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电子卡口、视频流点位联动分析</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定制开发（已建边界卡口4个，新建视频流分析点位2个）</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重点船舶联动跟踪</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定制开发</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重点区域监控</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定制开发</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船舶回放功能</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定制开发</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电子巡航功能</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定制开发</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其他应用功能（含多信号监控功能、流量统计功能、船舶档案管理功能、通航环境管理功能、物标分组等功能）</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定制开发</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系统数据接入</w:t>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AIS基站数据接入（含接入交通部导助航系统）</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定制开发</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CCTV视频数据接入</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定制开发（利旧6个，新建8个。共14个。）</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系统视频AR展示及中心平台展示</w:t>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视频AR结构化服务模块</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定制开发</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视频AR增强现实处理模块</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定制开发</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视频-AR展示系统（融合AIS/船舶信息）</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定制开发</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航道重点监管水域视频/AIS覆盖建设</w:t>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监控球机800W</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AIS接收机</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供电：7-18V；工作电流：约240mA；工作温度范围：-20  ~  +85摄氏度 ；网络接口：100M网口；支持网络协议：TCP/IP UDP 等支持多个socket；工作频率：船用频161.975+162.025MHz；接收灵敏度：-112dBm @20%BER  多普勒频偏：±4kHz；接收通道：2通道；天线接口：SL-16 （M头）；天线阻抗：50欧姆 ；接收机结构：内差式2次变频接收机</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7.5M立杆</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智能控制箱</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智能重合闸、市电防雷、模数化插座、智能控制器、12V电源输出、断电断网报警，由后端运维保障平台统一管理。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全千兆工业交换机带管理</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网络电源防雷器</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采用标准RJ45接口，网络Uc:8VDC；电源：Uc:40VAC50~60Hz；In:5kA Ima:10kA Up:120V</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线缆及辅材</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设备通信：FS-CAT6；设备供电：FS-RVV2*1.0；市电输入FS-RVV3*2.5、管材等（此单价为预估单价）</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沿线视频流分析部分</w:t>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监控球机800W</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前端智能抓拍控制单元</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含目标检测算法、细节抓拍算法、抓拍拼接算法</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图像识别模块</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含船名识别算法、船型识别算法、船舶特征算法等，进行船舶分类，并构建船舶特征库等</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智能控制箱</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智能重合闸、市电防雷、模数化插座、智能控制器、12V电源输出、断电断网报警、微型空调设备管理由后端运维保障平台统一管理。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全千兆工业交换机带管理</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网络电源防雷器</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采用标准RJ45接口，网络Uc:8VDC；电源：Uc:40VAC50~60Hz；In:5kA Ima:10kA Up:120V</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补光灯（配套立杆、支架）</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配合摄像机进行引导、抓拍的补光</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7.5M立杆</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线缆及辅材</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设备通信：FS-CAT6；设备供电：FS-RVV2*1.0；市电输入FS-RVV3*2.5、管材等</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网络及其他</w:t>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网络专线</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20M，三年费用</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网络专线</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50M，三年费用（视频流分析点位1个）</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现场设备供电费用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2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由业主单位提供（按摄像头14个，补光灯2个核算，3年费用）</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2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系统集成费</w:t>
            </w:r>
            <w:r/>
          </w:p>
        </w:tc>
        <w:tc>
          <w:tcPr>
            <w:shd w:val="clear" w:color="auto" w:fill="auto"/>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施工安装调试集成</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gridSpan w:val="4"/>
            <w:shd w:val="clear" w:color="auto" w:fill="auto"/>
            <w:tcBorders>
              <w:top w:val="single" w:color="000000" w:sz="4" w:space="0"/>
              <w:left w:val="single" w:color="000000" w:sz="4" w:space="0"/>
              <w:bottom w:val="single" w:color="000000" w:sz="4" w:space="0"/>
              <w:right w:val="single" w:color="000000" w:sz="4" w:space="0"/>
            </w:tcBorders>
            <w:tcW w:w="4120" w:type="pct"/>
            <w:vAlign w:val="center"/>
            <w:textDirection w:val="lrTb"/>
            <w:noWrap w:val="false"/>
          </w:tcPr>
          <w:p>
            <w:pPr>
              <w:ind w:firstLine="0"/>
              <w:spacing w:line="240" w:lineRule="auto"/>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12.3、智慧公交信号优先控制系统</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公交车定位信息接入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通过公交车上安装卫星定位设备采集公交车辆定位信息，并接入数据分析系统。</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线路</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公交定位信息分析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对定位数据进行综合分析，掌握公交车运行的实时定位、运行方向、速度等运行状态，为信号控制子系统提供数据支撑。</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信号系统升级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升级现有信号系统，加入公交优先功能模块，实现公交优先控制</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公交车优先算法配置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基于地图配置公交车行驶路径，对沿途路口公交优先策略配置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路口</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73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GIS基本功能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基于GIS电子地图在统一的界面上展示各类交通地理信息图层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综合监测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基于电子地图展示公交车实时定位信息，通过列表的方式展示公交车优先控制情况，包括对公交车通用优先控制节约的时间、优先控制的类型、优先控制的结果等。</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公交管理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系统中可以自行配置公交车信息，包括路线名称、车辆信息、车辆类型等。</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线路管理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基于电子地图实现公交车通行线路的编辑。</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公交优化效果评估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通过获取的信号优先、公交运行和道路交通运行数据，分析评价公交在实施优先后的效果，包括停车次数、行程时间、平均速度等。</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用户管理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身份认证：输入用户名、密码，认证指定用户的密码是否正确。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用户管理：为系统提供增加、删除、查询、修改本系统用户信息的接口。</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权限管理：增加、删除、查询、修改本系统用户。</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日志管理：系统对人员访问操作、设备故障、维修日志进行记录。</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软件系统安装部署</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开发环境、运行环境</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外部系统对接接口对接调试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刷卡实时数据、投币数据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测试调优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单元测试、系统联调、性能调优</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使用培训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编写操作手册、培训用户</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gridSpan w:val="4"/>
            <w:shd w:val="clear" w:color="auto" w:fill="auto"/>
            <w:tcBorders>
              <w:top w:val="single" w:color="000000" w:sz="4" w:space="0"/>
              <w:left w:val="single" w:color="000000" w:sz="4" w:space="0"/>
              <w:bottom w:val="single" w:color="000000" w:sz="4" w:space="0"/>
              <w:right w:val="single" w:color="000000" w:sz="4" w:space="0"/>
            </w:tcBorders>
            <w:tcW w:w="4120" w:type="pct"/>
            <w:vAlign w:val="center"/>
            <w:textDirection w:val="lrTb"/>
            <w:noWrap w:val="false"/>
          </w:tcPr>
          <w:p>
            <w:pPr>
              <w:ind w:firstLine="0"/>
              <w:spacing w:line="240" w:lineRule="auto"/>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12.4、智慧公交生物识别乘车系统</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12.4.1、公交无感支付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center"/>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人脸识别</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车载三合一支付一体机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210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人脸注册及支付管理平台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太融e平台</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卡码支付网关及公交行业SaaS平台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支付、清分、结算、用户管理、设备管理、后台服务管理、交易查询、报表管理、数据分析包括国朗新功能和之前上线的所有功能</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人脸识别人证比对功能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注册信息和本人身份证比对功能</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注册单人次</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100000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物联网卡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运行商流量卡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210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交通部PSAM卡（密钥卡）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交通部全国互联互通密钥卡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210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掌静脉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掌静脉识别终端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定制，含安装调试</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掌静脉采集仪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掌静脉管理平台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掌静脉在线比对算法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二次开发对接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物联网卡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运行商流量卡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接收天线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辅助安装包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C</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公交清结算平台改造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需求调研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与各相关方对接，收集此次建设内容需求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需求分析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对公交接送学生项目内容进行分析，明确各方职责</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需求确认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各相关方确认建设内容和进度计划</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业务模型设计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业务流程梳理设计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原型和UI设计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相关页面及报表设计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接口设计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接口设计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前置系统改造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消费接口改造（脱机或联机）</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运管对接（上下车数据）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运管系统改造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消息队列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数据清洗关联</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学生白名单管理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公交白名单管理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卡管系统改造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掌静脉数据采集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掌静脉支付账号开通、身份绑定（联机）</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终端号新增（商户沿用公交商户）</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第三方对接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人脸交易数据上传接口开发对接</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掌静脉交易数据接口开发对接</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掌静脉数据采集相关接口对接</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掌静脉数据同步</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“太融e”平台数据上传接口对接</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数据统计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数据分类明细查询</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数据分类汇总报表</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人脸交易汇总报表</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人脸交易明细报表</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掌静脉交易汇总报表</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vMerge w:val="continue"/>
            <w:textDirection w:val="lrTb"/>
            <w:noWrap w:val="false"/>
          </w:tcPr>
          <w:p>
            <w:pPr>
              <w:ind w:firstLine="0"/>
              <w:jc w:val="left"/>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掌静脉交易明细报表</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gridSpan w:val="4"/>
            <w:shd w:val="clear" w:color="auto" w:fill="auto"/>
            <w:tcBorders>
              <w:top w:val="single" w:color="000000" w:sz="4" w:space="0"/>
              <w:left w:val="single" w:color="000000" w:sz="4" w:space="0"/>
              <w:bottom w:val="single" w:color="000000" w:sz="4" w:space="0"/>
              <w:right w:val="single" w:color="000000" w:sz="4" w:space="0"/>
            </w:tcBorders>
            <w:tcW w:w="4120" w:type="pct"/>
            <w:vAlign w:val="center"/>
            <w:textDirection w:val="lrTb"/>
            <w:noWrap w:val="false"/>
          </w:tcPr>
          <w:p>
            <w:pPr>
              <w:ind w:firstLine="0"/>
              <w:spacing w:line="240" w:lineRule="auto"/>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12.4.2、公交车客流分析管理系统</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客流分析仪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188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管理平台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(十三)智慧停车系统扩容提升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道闸</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雷达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控制器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一体化车牌识别机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辅助摄像机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防倒车AI相机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防跟车AI相机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无人值守终端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无人值守中控机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安全岛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350cm*100cm*20cm 支模，混凝土浇筑，刷漆，地面开槽布管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场内码标识牌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安装在车场内，2米立柱</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车场指示牌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安装在车场入口，1.2米立柱</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车道管理系统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通过物联网关联接云端，超大容量数据本地备份；无牌车扫码进出；可选择无人值守或有人值守方式；具备车牌识别、远程控制、自助缴费等功能；车位池一车多位、多车多位功能。</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智能地锁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车牌识别单元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地锁管理系统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配合与智慧停车系统联动</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简易升降机械车位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停车规格:地面层不低于:长5200mm*宽1950mm*高2100mm*重2500kg；第二层不低于:长5200mm*宽1950mm*高1550mm*重2000kg；</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政务网核心防火墙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 </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ind w:firstLine="0"/>
              <w:jc w:val="left"/>
              <w:spacing w:line="240" w:lineRule="auto"/>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四、专业服务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配时优化服务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3人，服务内容详见招标技术要求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交通组织服务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4人，服务内容详见招标技术要求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隐患AI排查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服务内容详见招标技术要求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互联网实时路况数据服务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服务内容详见招标技术要求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数据治理运营驻场服务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1人，服务内容详见招标技术要求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风控驻场服务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3人，服务内容详见招标技术要求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大数据/存储原厂人员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1人，服务内容详见招标技术要求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慧眼驻场服务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1人，服务内容详见招标技术要求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外场视频专项工作服务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服务内容详见招标技术要求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摄像机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不低于400万像素，全彩，自动变焦摄像机，支持白光/红外双补光，支持分区补光，红外光不低于50m；白光不低于30m；采用深度学习硬件及算法，提供精准的人车分类侦测，支持越界侦测，区域入侵侦测，进入区域侦测和离开区域侦测</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配套线材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网线+电源线</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监控安装调试维护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安装+设备调试</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抓拍摄像机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不小于1英寸高帧率全局曝光CMOS传感器，分辨率不低于4096 × 2160，支持视频触发等多种触发模式并实现全结构化：支持深度学习算法，支持多目标混合场景应用，实时提取机动车、非机动车、行人、人脸等目标全结构化信息；白天使用闪光灯补光，夜晚仅使用LED频闪灯补光，抓拍图片可看清司乘人员人脸；需支持对25×10 像素～1100×3000 像素的机动车车牌进行抓拍并识别。支持识别并抓拍垂直倾斜角度≤55°、水平倾斜角度≤35°、俯仰角度≤40°的机动车车牌。</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抓拍配套补光灯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与抓拍相机配套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配套线材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网线+电源线</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抓拍安装调试维护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安装+设备调试</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低代码服务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服务内容详见招标技术要求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电话定位服务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服务内容详见招标技术要求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VoLTE/VoNR高清视频通话接入前置网关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不低于20核40线程, 2.50 GHz /4*16GB DDR4 内存 / 2*256GB 工业级SSD固态硬盘 / </w:t>
            </w:r>
            <w:r>
              <w:rPr>
                <w:rFonts w:hint="eastAsia" w:ascii="宋体" w:hAnsi="宋体" w:eastAsia="宋体" w:cs="宋体"/>
                <w:color w:val="000000"/>
                <w:sz w:val="15"/>
                <w:szCs w:val="15"/>
                <w:lang w:bidi="ar"/>
              </w:rPr>
              <w:t xml:space="preserve">550W冗余电源；不少于2路千兆以太网口，2路千兆光口，4路E1数字中继接口，8路HDMI输出接口；与运营商之间的信令、媒体对接，将多种媒体格式转换为统一媒体格式，与主控服务模块、排队调度媒体处理服务模块完成会话建立，实现手机与其他模块终端的音/视频互通；支持SIP协议与运营商对接，支持VoLTE视频呼叫；语音数字中继服务：支持SS7信令、PRI协议；支持G711A、G711U、G.729、PCM多种语音格式转换；HDMI视频信号传输服务:支持H.264、VP8、VP9视频数据的编解码；支持网络视频流收发；</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VoLTE/VoNR高清视频通话接入后置网关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不低于20核</w:t>
            </w:r>
            <w:r>
              <w:rPr>
                <w:rFonts w:hint="eastAsia" w:ascii="宋体" w:hAnsi="宋体" w:eastAsia="宋体" w:cs="宋体"/>
                <w:color w:val="000000"/>
                <w:sz w:val="15"/>
                <w:szCs w:val="15"/>
                <w:lang w:bidi="ar"/>
              </w:rPr>
              <w:t xml:space="preserve">40线程, 2.50 GHz /4*16GB DDR4内存 / 2*256GB 工业级SSD固态硬盘 / 550W冗余电源；不少于2路千兆以太网口，2路E1数字中继接口，8路HDMI输入接口；与VoLTE/VoNR高清视频通话接入前置网关配合，实现视频流单向传输控制，实时媒体流的接收与转发；实现视频接处警客户端的接入和控制，通信通道的建立和拆除。HDMI视频信号传输服务:支持H.264、VP8、VP9视频数据的编解码；支持网络视频流收发。支持webrtc协议处理、webrtc媒体处理、信令加密、媒体流加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视话通信模块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与运营商之间信令、媒体对接，实现音视频媒体流拆分及合并，与主控服务模块、排队调度媒体处理服务模块完成会话建立：VoLTE/VoNR超清视话接入；SBC接入；视频流传输控制；HDMI安全传输；音视频分流与合并；语音中继服务；媒体处理服务；WebRTC 服务</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视频报警模块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核心应用组件，支持视频呼叫排队、语音报警转视频报警、报警人视频预览、三方通话等功能；视频报警呼入；视频呼叫接通；视频呼叫挂断；视频呼叫排队；排队早释；排队提示音和提示视频画面；报警人视频预览；语音报警转视频报警；视频呼出；三方视频通话；三方视频画面推送</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录制与存储模块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对视频排队调度系统进行的所有呼叫、音视频调度进行录音录像并提供相应查询功能：通话录音录像；录音录像方式；录音记录；录音录像信息查询；录音录像回放；录音录像状态监视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WebTrace网管服务模块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提供完整的WEB网管系统，方便对系统进行维护和配置：登陆管理；运行信息；业务配置；坐席状态实时监控</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接处警客户端软件改造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对110接处警平台进行适配性改造，实现5G视频报警界面操作、图像显示等适配功能：接处警警界面UI改造；基础功能：展示坐席信息及状态；组件参数配置；视频接警列表；视频接警录像播放；录像文件与接警单的关联操作，视频接处警图像资料的管理和维护。视频报警通话展示：语音通话信息；切换视频；报警人视频画面展示；呼入提示；视频画面展示；画面风格控制；接警员画面及背景设置；视频通话能力提示；三方通话展示；视频抓图。</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110警情定位服务平台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租用警情定位平台，接入三大运营商基站定位，接入手机厂商高精度定位，处理和管理定位数据，提供定位查询接口，及其他基于位置的应用；以及配套硬件、运维服务等</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定位数据与移动接处警对接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对接移动接处警手机端，将产生的报警人的实时位置信息传递至移动接处警的后台系统内，后台将实时位置信息传输至警务通的移动接处警APP内</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11.10</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基站定位数据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中国移动、中国联通、中国电信基站定位能力接入与数据费用</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restart"/>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vMerge w:val="restart"/>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高精度定位数据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接入市面上绝大多数品牌智能手机的报警辅助功能，接收高精度定位数据；接入品牌包括华为、荣耀、小米、中兴、OPPO、vivo、魅族、苹果等</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vMerge w:val="continue"/>
            <w:textDirection w:val="lrTb"/>
            <w:noWrap/>
          </w:tcPr>
          <w:p>
            <w:pPr>
              <w:ind w:firstLine="0"/>
              <w:jc w:val="center"/>
              <w:spacing w:line="240" w:lineRule="auto"/>
              <w:rPr>
                <w:rFonts w:ascii="宋体" w:hAnsi="宋体" w:eastAsia="宋体" w:cs="宋体"/>
                <w:color w:val="000000"/>
                <w:sz w:val="15"/>
                <w:szCs w:val="15"/>
              </w:rPr>
            </w:pPr>
            <w:r>
              <w:rPr>
                <w:rFonts w:ascii="宋体" w:hAnsi="宋体" w:eastAsia="宋体" w:cs="宋体"/>
                <w:color w:val="000000"/>
                <w:sz w:val="15"/>
                <w:szCs w:val="15"/>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无人车租赁服务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10辆，服务内容详见招标技术要求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9" w:type="pct"/>
            <w:vAlign w:val="center"/>
            <w:textDirection w:val="lrTb"/>
            <w:noWrap/>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saas数据服务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left"/>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服务内容详见招标技术要求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r>
    </w:tbl>
    <w:p>
      <w:pPr>
        <w:ind w:firstLine="0"/>
        <w:spacing w:line="240" w:lineRule="auto"/>
        <w:rPr>
          <w:rFonts w:ascii="宋体" w:hAnsi="宋体" w:eastAsia="宋体" w:cs="宋体"/>
          <w:sz w:val="18"/>
          <w:szCs w:val="18"/>
        </w:rPr>
      </w:pPr>
      <w:r>
        <w:rPr>
          <w:rFonts w:hint="eastAsia" w:ascii="宋体" w:hAnsi="宋体" w:eastAsia="宋体" w:cs="宋体"/>
          <w:sz w:val="18"/>
          <w:szCs w:val="18"/>
        </w:rPr>
        <w:t xml:space="preserve">注：以上内容中涉及到与第三方平台对接的工作在实施中由招标方进行协调获取相关接口协议。</w:t>
      </w:r>
      <w:r/>
    </w:p>
    <w:p>
      <w:pPr>
        <w:ind w:firstLine="0"/>
        <w:spacing w:line="240" w:lineRule="auto"/>
        <w:rPr>
          <w:rFonts w:ascii="宋体" w:hAnsi="宋体" w:eastAsia="宋体" w:cs="宋体"/>
          <w:sz w:val="18"/>
          <w:szCs w:val="18"/>
        </w:rPr>
      </w:pPr>
      <w:r>
        <w:rPr>
          <w:rFonts w:ascii="宋体" w:hAnsi="宋体" w:eastAsia="宋体" w:cs="宋体"/>
          <w:sz w:val="18"/>
          <w:szCs w:val="18"/>
        </w:rPr>
      </w:r>
      <w:r/>
    </w:p>
    <w:p>
      <w:pPr>
        <w:pStyle w:val="966"/>
        <w:ind w:left="0" w:firstLine="422"/>
      </w:pPr>
      <w:r>
        <w:rPr>
          <w:rFonts w:hint="eastAsia"/>
        </w:rPr>
        <w:t xml:space="preserve">主要</w:t>
      </w:r>
      <w:r>
        <w:rPr>
          <w:rFonts w:hint="eastAsia" w:ascii="宋体" w:hAnsi="宋体" w:cs="宋体"/>
          <w:szCs w:val="21"/>
        </w:rPr>
        <w:t xml:space="preserve">货物清单</w:t>
      </w:r>
      <w:r>
        <w:rPr>
          <w:rFonts w:hint="eastAsia" w:ascii="宋体" w:hAnsi="宋体" w:cs="宋体"/>
          <w:szCs w:val="21"/>
          <w:lang w:eastAsia="zh-CN"/>
        </w:rPr>
        <w:t xml:space="preserve">（</w:t>
      </w:r>
      <w:r>
        <w:rPr>
          <w:rFonts w:hint="eastAsia" w:ascii="宋体" w:hAnsi="宋体" w:cs="宋体"/>
          <w:szCs w:val="21"/>
          <w:lang w:val="en-US" w:eastAsia="zh-CN"/>
        </w:rPr>
        <w:t xml:space="preserve">仅用于中小企业声明函认定，不需要采购本清单产品</w:t>
      </w:r>
      <w:r>
        <w:rPr>
          <w:rFonts w:hint="eastAsia" w:ascii="宋体" w:hAnsi="宋体" w:cs="宋体"/>
          <w:szCs w:val="21"/>
          <w:lang w:eastAsia="zh-CN"/>
        </w:rPr>
        <w:t xml:space="preserve">）</w:t>
      </w:r>
      <w:r/>
    </w:p>
    <w:tbl>
      <w:tblPr>
        <w:tblStyle w:val="976"/>
        <w:tblW w:w="9059" w:type="dxa"/>
        <w:jc w:val="center"/>
        <w:tblLayout w:type="fixed"/>
        <w:tblCellMar>
          <w:left w:w="108" w:type="dxa"/>
          <w:top w:w="0" w:type="dxa"/>
          <w:right w:w="108" w:type="dxa"/>
          <w:bottom w:w="0" w:type="dxa"/>
        </w:tblCellMar>
        <w:tblLook w:val="04A0" w:firstRow="1" w:lastRow="0" w:firstColumn="1" w:lastColumn="0" w:noHBand="0" w:noVBand="1"/>
      </w:tblPr>
      <w:tblGrid>
        <w:gridCol w:w="680"/>
        <w:gridCol w:w="2951"/>
        <w:gridCol w:w="1027"/>
        <w:gridCol w:w="730"/>
        <w:gridCol w:w="2406"/>
        <w:gridCol w:w="1265"/>
      </w:tblGrid>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tcPr>
          <w:p>
            <w:pPr>
              <w:ind w:firstLine="0"/>
              <w:jc w:val="center"/>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firstLine="0"/>
              <w:jc w:val="center"/>
              <w:spacing w:line="240" w:lineRule="auto"/>
              <w:widowControl/>
              <w:rPr>
                <w:rFonts w:hint="default" w:ascii="宋体" w:hAnsi="宋体" w:eastAsia="宋体" w:cs="宋体"/>
                <w:color w:val="000000"/>
                <w:sz w:val="15"/>
                <w:szCs w:val="15"/>
                <w:lang w:val="en-US" w:eastAsia="zh-CN" w:bidi="ar"/>
              </w:rPr>
            </w:pPr>
            <w:r>
              <w:rPr>
                <w:rFonts w:hint="eastAsia" w:ascii="宋体" w:hAnsi="宋体" w:eastAsia="宋体" w:cs="宋体"/>
                <w:color w:val="000000"/>
                <w:sz w:val="15"/>
                <w:szCs w:val="15"/>
                <w:lang w:val="en-US" w:eastAsia="zh-CN" w:bidi="ar"/>
              </w:rPr>
              <w:t xml:space="preserve">行业属性</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ind w:firstLine="0"/>
              <w:jc w:val="center"/>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ind w:firstLine="0"/>
              <w:jc w:val="center"/>
              <w:spacing w:line="240" w:lineRule="auto"/>
              <w:widowControl/>
              <w:rPr>
                <w:rFonts w:hint="eastAsia" w:ascii="宋体" w:hAnsi="宋体" w:eastAsia="宋体" w:cs="宋体"/>
                <w:color w:val="000000"/>
                <w:sz w:val="15"/>
                <w:szCs w:val="15"/>
                <w:lang w:val="en-US" w:eastAsia="zh-CN" w:bidi="ar"/>
              </w:rPr>
            </w:pPr>
            <w:r>
              <w:rPr>
                <w:rFonts w:hint="eastAsia" w:ascii="宋体" w:hAnsi="宋体" w:eastAsia="宋体" w:cs="宋体"/>
                <w:color w:val="000000"/>
                <w:sz w:val="15"/>
                <w:szCs w:val="15"/>
                <w:lang w:val="en-US" w:eastAsia="zh-CN" w:bidi="ar"/>
              </w:rPr>
              <w:t xml:space="preserve">行业属性</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交通信号控制机</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firstLine="0"/>
              <w:jc w:val="center"/>
              <w:spacing w:line="240" w:lineRule="auto"/>
              <w:widowControl/>
              <w:rPr>
                <w:rFonts w:hint="eastAsia" w:ascii="宋体" w:hAnsi="宋体" w:eastAsia="宋体" w:cs="宋体"/>
                <w:color w:val="000000"/>
                <w:sz w:val="15"/>
                <w:szCs w:val="15"/>
                <w:lang w:val="en-US" w:eastAsia="zh-CN" w:bidi="ar"/>
              </w:rPr>
            </w:pPr>
            <w:r>
              <w:rPr>
                <w:rFonts w:hint="eastAsia" w:ascii="宋体" w:hAnsi="宋体" w:eastAsia="宋体" w:cs="宋体"/>
                <w:color w:val="000000"/>
                <w:sz w:val="15"/>
                <w:szCs w:val="15"/>
                <w:lang w:val="en-US" w:eastAsia="zh-CN" w:bidi="ar"/>
              </w:rPr>
              <w:t xml:space="preserve"> 工业</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公安网核心交换机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灯驱板</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流量分析采集器</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机动车圆盘信号灯</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云计算服务器</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机动车箭头信号灯</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管理平台扩容</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雷视一体机</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分布式全闪存储</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一体化高清抓拍单元（尾牌）</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图片存储</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一体化高清抓拍单元（前牌）</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服务器</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补光灯</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高性能接入服务器</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智能补光灯</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轻量云节点</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测速雷达</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比对碰撞引擎节点</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高清摄像机</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大数据存储节点扩容</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铁骑移动采集设备</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内存条配件增补</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红灯信号检测器</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万兆交换机</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前端存储主机</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高空摄像机</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人像解析服务器</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环视摄像机</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图片解析服务器</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双目全结构化一体机</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视频分析服务器</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全结构化一体机</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万兆交换机</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摄像机</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抓拍摄像机</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人像比对布控服务器</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核心服务器</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大数据解析聚类节点</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日志服务器</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万兆交换机</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全文检索服务器</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基础应用服务器</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训练服务器</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接入-联网服务器</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训练互联交换机</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资源管理调度服务器</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推理服务器</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媒体服务器</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公安网防火墙</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接入-网管-点播服务器</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流量精简</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点位治理服务一体机</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安全感知管理平台</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水印网关</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潜伏威胁探针系统</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云存储</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核心潜伏威胁探针系统</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t xml:space="preserve">核心潜伏威胁探针系统</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firstLine="30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ind w:firstLine="0"/>
              <w:jc w:val="left"/>
              <w:spacing w:line="240" w:lineRule="auto"/>
              <w:widowControl/>
              <w:rPr>
                <w:rFonts w:ascii="宋体" w:hAnsi="宋体" w:eastAsia="宋体" w:cs="宋体"/>
                <w:color w:val="000000"/>
                <w:sz w:val="15"/>
                <w:szCs w:val="15"/>
                <w:lang w:bidi="ar"/>
              </w:rPr>
            </w:pPr>
            <w:r>
              <w:rPr>
                <w:rFonts w:ascii="宋体" w:hAnsi="宋体" w:eastAsia="宋体" w:cs="宋体"/>
                <w:color w:val="000000"/>
                <w:sz w:val="15"/>
                <w:szCs w:val="15"/>
                <w:lang w:bidi="ar"/>
              </w:rPr>
            </w:r>
            <w:r/>
          </w:p>
        </w:tc>
      </w:tr>
    </w:tbl>
    <w:p>
      <w:pPr>
        <w:pStyle w:val="966"/>
        <w:numPr>
          <w:ilvl w:val="0"/>
          <w:numId w:val="0"/>
        </w:numPr>
        <w:ind w:left="432"/>
      </w:pPr>
      <w:r>
        <w:rPr>
          <w:rFonts w:hint="eastAsia"/>
        </w:rPr>
        <w:t xml:space="preserve">注：本清单中标注行业属性的产品，需在中小企业声明函中进行声明，否则不享受中小企业扶持政策。</w:t>
      </w:r>
      <w:r/>
    </w:p>
    <w:p>
      <w:r/>
      <w:r/>
    </w:p>
    <w:p>
      <w:pPr>
        <w:pStyle w:val="966"/>
      </w:pPr>
      <w:r>
        <w:rPr>
          <w:rFonts w:hint="eastAsia"/>
        </w:rPr>
        <w:t xml:space="preserve">国省道路口清单</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本次项目涉及到国省道路口施工的路口清单如下，投标单位应给出详细施工方案：</w:t>
      </w:r>
      <w:r/>
    </w:p>
    <w:tbl>
      <w:tblPr>
        <w:tblStyle w:val="976"/>
        <w:tblW w:w="80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9"/>
        <w:gridCol w:w="3388"/>
        <w:gridCol w:w="632"/>
        <w:gridCol w:w="3386"/>
      </w:tblGrid>
      <w:tr>
        <w:trPr>
          <w:jc w:val="center"/>
          <w:trHeight w:val="313"/>
        </w:trPr>
        <w:tc>
          <w:tcPr>
            <w:shd w:val="clear" w:color="auto" w:fill="auto"/>
            <w:tcW w:w="619"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序号</w:t>
            </w:r>
            <w:r/>
          </w:p>
        </w:tc>
        <w:tc>
          <w:tcPr>
            <w:shd w:val="clear" w:color="auto" w:fill="auto"/>
            <w:tcW w:w="3388" w:type="dxa"/>
            <w:vAlign w:val="center"/>
            <w:textDirection w:val="lrTb"/>
            <w:noWrap/>
          </w:tcPr>
          <w:p>
            <w:pPr>
              <w:ind w:firstLine="0"/>
              <w:jc w:val="center"/>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路口名称</w:t>
            </w:r>
            <w:r/>
          </w:p>
        </w:tc>
        <w:tc>
          <w:tcPr>
            <w:shd w:val="clear" w:color="auto" w:fill="auto"/>
            <w:tcW w:w="632"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序号</w:t>
            </w:r>
            <w:r/>
          </w:p>
        </w:tc>
        <w:tc>
          <w:tcPr>
            <w:shd w:val="clear" w:color="auto" w:fill="auto"/>
            <w:tcW w:w="3386" w:type="dxa"/>
            <w:vAlign w:val="center"/>
            <w:textDirection w:val="lrTb"/>
            <w:noWrap/>
          </w:tcPr>
          <w:p>
            <w:pPr>
              <w:ind w:firstLine="0"/>
              <w:jc w:val="center"/>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路口名称</w:t>
            </w:r>
            <w:r/>
          </w:p>
        </w:tc>
      </w:tr>
      <w:tr>
        <w:trPr>
          <w:jc w:val="center"/>
          <w:trHeight w:val="288"/>
        </w:trPr>
        <w:tc>
          <w:tcPr>
            <w:shd w:val="clear" w:color="auto" w:fill="auto"/>
            <w:tcW w:w="619"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1</w:t>
            </w:r>
            <w:r/>
          </w:p>
        </w:tc>
        <w:tc>
          <w:tcPr>
            <w:shd w:val="clear" w:color="auto" w:fill="auto"/>
            <w:tcW w:w="3388"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346国道--时璜路</w:t>
            </w:r>
            <w:r/>
          </w:p>
        </w:tc>
        <w:tc>
          <w:tcPr>
            <w:shd w:val="clear" w:color="auto" w:fill="auto"/>
            <w:tcW w:w="632"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45</w:t>
            </w:r>
            <w:r/>
          </w:p>
        </w:tc>
        <w:tc>
          <w:tcPr>
            <w:shd w:val="clear" w:color="auto" w:fill="auto"/>
            <w:tcW w:w="3386"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339--南圩路</w:t>
            </w:r>
            <w:r/>
          </w:p>
        </w:tc>
      </w:tr>
      <w:tr>
        <w:trPr>
          <w:jc w:val="center"/>
          <w:trHeight w:val="288"/>
        </w:trPr>
        <w:tc>
          <w:tcPr>
            <w:shd w:val="clear" w:color="auto" w:fill="auto"/>
            <w:tcW w:w="619"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2</w:t>
            </w:r>
            <w:r/>
          </w:p>
        </w:tc>
        <w:tc>
          <w:tcPr>
            <w:shd w:val="clear" w:color="auto" w:fill="auto"/>
            <w:tcW w:w="3388"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南环路--平江路</w:t>
            </w:r>
            <w:r/>
          </w:p>
        </w:tc>
        <w:tc>
          <w:tcPr>
            <w:shd w:val="clear" w:color="auto" w:fill="auto"/>
            <w:tcW w:w="632"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46</w:t>
            </w:r>
            <w:r/>
          </w:p>
        </w:tc>
        <w:tc>
          <w:tcPr>
            <w:shd w:val="clear" w:color="auto" w:fill="auto"/>
            <w:tcW w:w="3386"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339--新闯公路</w:t>
            </w:r>
            <w:r/>
          </w:p>
        </w:tc>
      </w:tr>
      <w:tr>
        <w:trPr>
          <w:jc w:val="center"/>
          <w:trHeight w:val="288"/>
        </w:trPr>
        <w:tc>
          <w:tcPr>
            <w:shd w:val="clear" w:color="auto" w:fill="auto"/>
            <w:tcW w:w="619"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3</w:t>
            </w:r>
            <w:r/>
          </w:p>
        </w:tc>
        <w:tc>
          <w:tcPr>
            <w:shd w:val="clear" w:color="auto" w:fill="auto"/>
            <w:tcW w:w="3388"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沙鹿路--雅鹿工业园</w:t>
            </w:r>
            <w:r/>
          </w:p>
        </w:tc>
        <w:tc>
          <w:tcPr>
            <w:shd w:val="clear" w:color="auto" w:fill="auto"/>
            <w:tcW w:w="632"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47</w:t>
            </w:r>
            <w:r/>
          </w:p>
        </w:tc>
        <w:tc>
          <w:tcPr>
            <w:shd w:val="clear" w:color="auto" w:fill="auto"/>
            <w:tcW w:w="3386"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339省道--新浏线</w:t>
            </w:r>
            <w:r/>
          </w:p>
        </w:tc>
      </w:tr>
      <w:tr>
        <w:trPr>
          <w:jc w:val="center"/>
          <w:trHeight w:val="288"/>
        </w:trPr>
        <w:tc>
          <w:tcPr>
            <w:shd w:val="clear" w:color="auto" w:fill="auto"/>
            <w:tcW w:w="619"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4</w:t>
            </w:r>
            <w:r/>
          </w:p>
        </w:tc>
        <w:tc>
          <w:tcPr>
            <w:shd w:val="clear" w:color="auto" w:fill="auto"/>
            <w:tcW w:w="3388"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瑞云路--印溪南路</w:t>
            </w:r>
            <w:r/>
          </w:p>
        </w:tc>
        <w:tc>
          <w:tcPr>
            <w:shd w:val="clear" w:color="auto" w:fill="auto"/>
            <w:tcW w:w="632"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48</w:t>
            </w:r>
            <w:r/>
          </w:p>
        </w:tc>
        <w:tc>
          <w:tcPr>
            <w:shd w:val="clear" w:color="auto" w:fill="auto"/>
            <w:tcW w:w="3386"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通港路--太仓三号物流园（太仓海之诺物流园）（经九路）</w:t>
            </w:r>
            <w:r/>
          </w:p>
        </w:tc>
      </w:tr>
      <w:tr>
        <w:trPr>
          <w:jc w:val="center"/>
          <w:trHeight w:val="288"/>
        </w:trPr>
        <w:tc>
          <w:tcPr>
            <w:shd w:val="clear" w:color="auto" w:fill="auto"/>
            <w:tcW w:w="619"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5</w:t>
            </w:r>
            <w:r/>
          </w:p>
        </w:tc>
        <w:tc>
          <w:tcPr>
            <w:shd w:val="clear" w:color="auto" w:fill="auto"/>
            <w:tcW w:w="3388"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姚泾路--印溪南路</w:t>
            </w:r>
            <w:r/>
          </w:p>
        </w:tc>
        <w:tc>
          <w:tcPr>
            <w:shd w:val="clear" w:color="auto" w:fill="auto"/>
            <w:tcW w:w="632"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49</w:t>
            </w:r>
            <w:r/>
          </w:p>
        </w:tc>
        <w:tc>
          <w:tcPr>
            <w:shd w:val="clear" w:color="auto" w:fill="auto"/>
            <w:tcW w:w="3386"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新港公路--南牌九路</w:t>
            </w:r>
            <w:r/>
          </w:p>
        </w:tc>
      </w:tr>
      <w:tr>
        <w:trPr>
          <w:jc w:val="center"/>
          <w:trHeight w:val="288"/>
        </w:trPr>
        <w:tc>
          <w:tcPr>
            <w:shd w:val="clear" w:color="auto" w:fill="auto"/>
            <w:tcW w:w="619"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6</w:t>
            </w:r>
            <w:r/>
          </w:p>
        </w:tc>
        <w:tc>
          <w:tcPr>
            <w:shd w:val="clear" w:color="auto" w:fill="auto"/>
            <w:tcW w:w="3388"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346国道--华苏路</w:t>
            </w:r>
            <w:r/>
          </w:p>
        </w:tc>
        <w:tc>
          <w:tcPr>
            <w:shd w:val="clear" w:color="auto" w:fill="auto"/>
            <w:tcW w:w="632"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50</w:t>
            </w:r>
            <w:r/>
          </w:p>
        </w:tc>
        <w:tc>
          <w:tcPr>
            <w:shd w:val="clear" w:color="auto" w:fill="auto"/>
            <w:tcW w:w="3386"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新港公路--西泾路</w:t>
            </w:r>
            <w:r/>
          </w:p>
        </w:tc>
      </w:tr>
      <w:tr>
        <w:trPr>
          <w:jc w:val="center"/>
          <w:trHeight w:val="272"/>
        </w:trPr>
        <w:tc>
          <w:tcPr>
            <w:shd w:val="clear" w:color="auto" w:fill="auto"/>
            <w:tcW w:w="619"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7</w:t>
            </w:r>
            <w:r/>
          </w:p>
        </w:tc>
        <w:tc>
          <w:tcPr>
            <w:shd w:val="clear" w:color="auto" w:fill="auto"/>
            <w:tcW w:w="3388"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陆璜公路--邢港线</w:t>
            </w:r>
            <w:r/>
          </w:p>
        </w:tc>
        <w:tc>
          <w:tcPr>
            <w:shd w:val="clear" w:color="auto" w:fill="auto"/>
            <w:tcW w:w="632"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51</w:t>
            </w:r>
            <w:r/>
          </w:p>
        </w:tc>
        <w:tc>
          <w:tcPr>
            <w:shd w:val="clear" w:color="auto" w:fill="auto"/>
            <w:tcW w:w="3386"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通港路--印溪东路</w:t>
            </w:r>
            <w:r/>
          </w:p>
        </w:tc>
      </w:tr>
      <w:tr>
        <w:trPr>
          <w:jc w:val="center"/>
          <w:trHeight w:val="288"/>
        </w:trPr>
        <w:tc>
          <w:tcPr>
            <w:shd w:val="clear" w:color="auto" w:fill="auto"/>
            <w:tcW w:w="619"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8</w:t>
            </w:r>
            <w:r/>
          </w:p>
        </w:tc>
        <w:tc>
          <w:tcPr>
            <w:shd w:val="clear" w:color="auto" w:fill="auto"/>
            <w:tcW w:w="3388"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双浮路--沙徐线</w:t>
            </w:r>
            <w:r/>
          </w:p>
        </w:tc>
        <w:tc>
          <w:tcPr>
            <w:shd w:val="clear" w:color="auto" w:fill="auto"/>
            <w:tcW w:w="632"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52</w:t>
            </w:r>
            <w:r/>
          </w:p>
        </w:tc>
        <w:tc>
          <w:tcPr>
            <w:shd w:val="clear" w:color="auto" w:fill="auto"/>
            <w:tcW w:w="3386"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协星路--大众村路口（大众河桥）</w:t>
            </w:r>
            <w:r/>
          </w:p>
        </w:tc>
      </w:tr>
      <w:tr>
        <w:trPr>
          <w:jc w:val="center"/>
          <w:trHeight w:val="288"/>
        </w:trPr>
        <w:tc>
          <w:tcPr>
            <w:shd w:val="clear" w:color="auto" w:fill="auto"/>
            <w:tcW w:w="619"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9</w:t>
            </w:r>
            <w:r/>
          </w:p>
        </w:tc>
        <w:tc>
          <w:tcPr>
            <w:shd w:val="clear" w:color="auto" w:fill="auto"/>
            <w:tcW w:w="3388"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双浮路--三沙路</w:t>
            </w:r>
            <w:r/>
          </w:p>
        </w:tc>
        <w:tc>
          <w:tcPr>
            <w:shd w:val="clear" w:color="auto" w:fill="auto"/>
            <w:tcW w:w="632"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53</w:t>
            </w:r>
            <w:r/>
          </w:p>
        </w:tc>
        <w:tc>
          <w:tcPr>
            <w:shd w:val="clear" w:color="auto" w:fill="auto"/>
            <w:tcW w:w="3386"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G346国道--嘉浏线</w:t>
            </w:r>
            <w:r/>
          </w:p>
        </w:tc>
      </w:tr>
      <w:tr>
        <w:trPr>
          <w:jc w:val="center"/>
          <w:trHeight w:val="288"/>
        </w:trPr>
        <w:tc>
          <w:tcPr>
            <w:shd w:val="clear" w:color="auto" w:fill="auto"/>
            <w:tcW w:w="619"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10</w:t>
            </w:r>
            <w:r/>
          </w:p>
        </w:tc>
        <w:tc>
          <w:tcPr>
            <w:shd w:val="clear" w:color="auto" w:fill="auto"/>
            <w:tcW w:w="3388"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双浮路--新松路</w:t>
            </w:r>
            <w:r/>
          </w:p>
        </w:tc>
        <w:tc>
          <w:tcPr>
            <w:shd w:val="clear" w:color="auto" w:fill="auto"/>
            <w:tcW w:w="632"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54</w:t>
            </w:r>
            <w:r/>
          </w:p>
        </w:tc>
        <w:tc>
          <w:tcPr>
            <w:shd w:val="clear" w:color="auto" w:fill="auto"/>
            <w:tcW w:w="3386"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通港路--官桥陆（新开河）</w:t>
            </w:r>
            <w:r/>
          </w:p>
        </w:tc>
      </w:tr>
      <w:tr>
        <w:trPr>
          <w:jc w:val="center"/>
          <w:trHeight w:val="288"/>
        </w:trPr>
        <w:tc>
          <w:tcPr>
            <w:shd w:val="clear" w:color="auto" w:fill="auto"/>
            <w:tcW w:w="619"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11</w:t>
            </w:r>
            <w:r/>
          </w:p>
        </w:tc>
        <w:tc>
          <w:tcPr>
            <w:shd w:val="clear" w:color="auto" w:fill="auto"/>
            <w:tcW w:w="3388"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白云路--印溪路</w:t>
            </w:r>
            <w:r/>
          </w:p>
        </w:tc>
        <w:tc>
          <w:tcPr>
            <w:shd w:val="clear" w:color="auto" w:fill="auto"/>
            <w:tcW w:w="632"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55</w:t>
            </w:r>
            <w:r/>
          </w:p>
        </w:tc>
        <w:tc>
          <w:tcPr>
            <w:shd w:val="clear" w:color="auto" w:fill="auto"/>
            <w:tcW w:w="3386"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玄武路--陆璜公路</w:t>
            </w:r>
            <w:r/>
          </w:p>
        </w:tc>
      </w:tr>
      <w:tr>
        <w:trPr>
          <w:jc w:val="center"/>
          <w:trHeight w:val="288"/>
        </w:trPr>
        <w:tc>
          <w:tcPr>
            <w:shd w:val="clear" w:color="auto" w:fill="auto"/>
            <w:tcW w:w="619"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12</w:t>
            </w:r>
            <w:r/>
          </w:p>
        </w:tc>
        <w:tc>
          <w:tcPr>
            <w:shd w:val="clear" w:color="auto" w:fill="auto"/>
            <w:tcW w:w="3388"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G346国道--崖山路（时泸路）</w:t>
            </w:r>
            <w:r/>
          </w:p>
        </w:tc>
        <w:tc>
          <w:tcPr>
            <w:shd w:val="clear" w:color="auto" w:fill="auto"/>
            <w:tcW w:w="632"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56</w:t>
            </w:r>
            <w:r/>
          </w:p>
        </w:tc>
        <w:tc>
          <w:tcPr>
            <w:shd w:val="clear" w:color="auto" w:fill="auto"/>
            <w:tcW w:w="3386"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G346--沪宜高速</w:t>
            </w:r>
            <w:r/>
          </w:p>
        </w:tc>
      </w:tr>
      <w:tr>
        <w:trPr>
          <w:jc w:val="center"/>
          <w:trHeight w:val="288"/>
        </w:trPr>
        <w:tc>
          <w:tcPr>
            <w:shd w:val="clear" w:color="auto" w:fill="auto"/>
            <w:tcW w:w="619"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13</w:t>
            </w:r>
            <w:r/>
          </w:p>
        </w:tc>
        <w:tc>
          <w:tcPr>
            <w:shd w:val="clear" w:color="auto" w:fill="auto"/>
            <w:tcW w:w="3388"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通港路--平江路</w:t>
            </w:r>
            <w:r/>
          </w:p>
        </w:tc>
        <w:tc>
          <w:tcPr>
            <w:shd w:val="clear" w:color="auto" w:fill="auto"/>
            <w:tcW w:w="632"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57</w:t>
            </w:r>
            <w:r/>
          </w:p>
        </w:tc>
        <w:tc>
          <w:tcPr>
            <w:shd w:val="clear" w:color="auto" w:fill="auto"/>
            <w:tcW w:w="3386"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东仓北路--新港路</w:t>
            </w:r>
            <w:r/>
          </w:p>
        </w:tc>
      </w:tr>
      <w:tr>
        <w:trPr>
          <w:jc w:val="center"/>
          <w:trHeight w:val="288"/>
        </w:trPr>
        <w:tc>
          <w:tcPr>
            <w:shd w:val="clear" w:color="auto" w:fill="auto"/>
            <w:tcW w:w="619"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14</w:t>
            </w:r>
            <w:r/>
          </w:p>
        </w:tc>
        <w:tc>
          <w:tcPr>
            <w:shd w:val="clear" w:color="auto" w:fill="auto"/>
            <w:tcW w:w="3388"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339省道--浮浏线（闸北路）</w:t>
            </w:r>
            <w:r/>
          </w:p>
        </w:tc>
        <w:tc>
          <w:tcPr>
            <w:shd w:val="clear" w:color="auto" w:fill="auto"/>
            <w:tcW w:w="632"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58</w:t>
            </w:r>
            <w:r/>
          </w:p>
        </w:tc>
        <w:tc>
          <w:tcPr>
            <w:shd w:val="clear" w:color="auto" w:fill="auto"/>
            <w:tcW w:w="3386"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G346国道--北环路</w:t>
            </w:r>
            <w:r/>
          </w:p>
        </w:tc>
      </w:tr>
      <w:tr>
        <w:trPr>
          <w:jc w:val="center"/>
          <w:trHeight w:val="288"/>
        </w:trPr>
        <w:tc>
          <w:tcPr>
            <w:shd w:val="clear" w:color="auto" w:fill="auto"/>
            <w:tcW w:w="619"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15</w:t>
            </w:r>
            <w:r/>
          </w:p>
        </w:tc>
        <w:tc>
          <w:tcPr>
            <w:shd w:val="clear" w:color="auto" w:fill="auto"/>
            <w:tcW w:w="3388"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新港路--毛太路</w:t>
            </w:r>
            <w:r/>
          </w:p>
        </w:tc>
        <w:tc>
          <w:tcPr>
            <w:shd w:val="clear" w:color="auto" w:fill="auto"/>
            <w:tcW w:w="632"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59</w:t>
            </w:r>
            <w:r/>
          </w:p>
        </w:tc>
        <w:tc>
          <w:tcPr>
            <w:shd w:val="clear" w:color="auto" w:fill="auto"/>
            <w:tcW w:w="3386"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通港路--百花路</w:t>
            </w:r>
            <w:r/>
          </w:p>
        </w:tc>
      </w:tr>
      <w:tr>
        <w:trPr>
          <w:jc w:val="center"/>
          <w:trHeight w:val="288"/>
        </w:trPr>
        <w:tc>
          <w:tcPr>
            <w:shd w:val="clear" w:color="auto" w:fill="auto"/>
            <w:tcW w:w="619"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16</w:t>
            </w:r>
            <w:r/>
          </w:p>
        </w:tc>
        <w:tc>
          <w:tcPr>
            <w:shd w:val="clear" w:color="auto" w:fill="auto"/>
            <w:tcW w:w="3388"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新港路--岳杨路</w:t>
            </w:r>
            <w:r/>
          </w:p>
        </w:tc>
        <w:tc>
          <w:tcPr>
            <w:shd w:val="clear" w:color="auto" w:fill="auto"/>
            <w:tcW w:w="632"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60</w:t>
            </w:r>
            <w:r/>
          </w:p>
        </w:tc>
        <w:tc>
          <w:tcPr>
            <w:shd w:val="clear" w:color="auto" w:fill="auto"/>
            <w:tcW w:w="3386"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通港路--印北中心路</w:t>
            </w:r>
            <w:r/>
          </w:p>
        </w:tc>
      </w:tr>
      <w:tr>
        <w:trPr>
          <w:jc w:val="center"/>
          <w:trHeight w:val="288"/>
        </w:trPr>
        <w:tc>
          <w:tcPr>
            <w:shd w:val="clear" w:color="auto" w:fill="auto"/>
            <w:tcW w:w="619"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17</w:t>
            </w:r>
            <w:r/>
          </w:p>
        </w:tc>
        <w:tc>
          <w:tcPr>
            <w:shd w:val="clear" w:color="auto" w:fill="auto"/>
            <w:tcW w:w="3388"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岳鹿路--光耀路</w:t>
            </w:r>
            <w:r/>
          </w:p>
        </w:tc>
        <w:tc>
          <w:tcPr>
            <w:shd w:val="clear" w:color="auto" w:fill="auto"/>
            <w:tcW w:w="632"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61</w:t>
            </w:r>
            <w:r/>
          </w:p>
        </w:tc>
        <w:tc>
          <w:tcPr>
            <w:shd w:val="clear" w:color="auto" w:fill="auto"/>
            <w:tcW w:w="3386"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双浮路--镇东路</w:t>
            </w:r>
            <w:r/>
          </w:p>
        </w:tc>
      </w:tr>
      <w:tr>
        <w:trPr>
          <w:jc w:val="center"/>
          <w:trHeight w:val="288"/>
        </w:trPr>
        <w:tc>
          <w:tcPr>
            <w:shd w:val="clear" w:color="auto" w:fill="auto"/>
            <w:tcW w:w="619"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18</w:t>
            </w:r>
            <w:r/>
          </w:p>
        </w:tc>
        <w:tc>
          <w:tcPr>
            <w:shd w:val="clear" w:color="auto" w:fill="auto"/>
            <w:tcW w:w="3388"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G346国道--浮宅路</w:t>
            </w:r>
            <w:r/>
          </w:p>
        </w:tc>
        <w:tc>
          <w:tcPr>
            <w:shd w:val="clear" w:color="auto" w:fill="auto"/>
            <w:tcW w:w="632"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62</w:t>
            </w:r>
            <w:r/>
          </w:p>
        </w:tc>
        <w:tc>
          <w:tcPr>
            <w:shd w:val="clear" w:color="auto" w:fill="auto"/>
            <w:tcW w:w="3386"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通港路--洞星路</w:t>
            </w:r>
            <w:r/>
          </w:p>
        </w:tc>
      </w:tr>
      <w:tr>
        <w:trPr>
          <w:jc w:val="center"/>
          <w:trHeight w:val="288"/>
        </w:trPr>
        <w:tc>
          <w:tcPr>
            <w:shd w:val="clear" w:color="auto" w:fill="auto"/>
            <w:tcW w:w="619"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19</w:t>
            </w:r>
            <w:r/>
          </w:p>
        </w:tc>
        <w:tc>
          <w:tcPr>
            <w:shd w:val="clear" w:color="auto" w:fill="auto"/>
            <w:tcW w:w="3388"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太沙路--中荷新村</w:t>
            </w:r>
            <w:r/>
          </w:p>
        </w:tc>
        <w:tc>
          <w:tcPr>
            <w:shd w:val="clear" w:color="auto" w:fill="auto"/>
            <w:tcW w:w="632"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63</w:t>
            </w:r>
            <w:r/>
          </w:p>
        </w:tc>
        <w:tc>
          <w:tcPr>
            <w:shd w:val="clear" w:color="auto" w:fill="auto"/>
            <w:tcW w:w="3386"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沙鹿路-协星路</w:t>
            </w:r>
            <w:r/>
          </w:p>
        </w:tc>
      </w:tr>
      <w:tr>
        <w:trPr>
          <w:jc w:val="center"/>
          <w:trHeight w:val="288"/>
        </w:trPr>
        <w:tc>
          <w:tcPr>
            <w:shd w:val="clear" w:color="auto" w:fill="auto"/>
            <w:tcW w:w="619"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20</w:t>
            </w:r>
            <w:r/>
          </w:p>
        </w:tc>
        <w:tc>
          <w:tcPr>
            <w:shd w:val="clear" w:color="auto" w:fill="auto"/>
            <w:tcW w:w="3388"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陆璜公路路广新站</w:t>
            </w:r>
            <w:r/>
          </w:p>
        </w:tc>
        <w:tc>
          <w:tcPr>
            <w:shd w:val="clear" w:color="auto" w:fill="auto"/>
            <w:tcW w:w="632"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64</w:t>
            </w:r>
            <w:r/>
          </w:p>
        </w:tc>
        <w:tc>
          <w:tcPr>
            <w:shd w:val="clear" w:color="auto" w:fill="auto"/>
            <w:tcW w:w="3386"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G346国道--伍鹿路</w:t>
            </w:r>
            <w:r/>
          </w:p>
        </w:tc>
      </w:tr>
      <w:tr>
        <w:trPr>
          <w:jc w:val="center"/>
          <w:trHeight w:val="288"/>
        </w:trPr>
        <w:tc>
          <w:tcPr>
            <w:shd w:val="clear" w:color="auto" w:fill="auto"/>
            <w:tcW w:w="619"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21</w:t>
            </w:r>
            <w:r/>
          </w:p>
        </w:tc>
        <w:tc>
          <w:tcPr>
            <w:shd w:val="clear" w:color="auto" w:fill="auto"/>
            <w:tcW w:w="3388"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陆璜线--园林路</w:t>
            </w:r>
            <w:r/>
          </w:p>
        </w:tc>
        <w:tc>
          <w:tcPr>
            <w:shd w:val="clear" w:color="auto" w:fill="auto"/>
            <w:tcW w:w="632"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65</w:t>
            </w:r>
            <w:r/>
          </w:p>
        </w:tc>
        <w:tc>
          <w:tcPr>
            <w:shd w:val="clear" w:color="auto" w:fill="auto"/>
            <w:tcW w:w="3386"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G346国道--园林路（海麒路）</w:t>
            </w:r>
            <w:r/>
          </w:p>
        </w:tc>
      </w:tr>
      <w:tr>
        <w:trPr>
          <w:jc w:val="center"/>
          <w:trHeight w:val="288"/>
        </w:trPr>
        <w:tc>
          <w:tcPr>
            <w:shd w:val="clear" w:color="auto" w:fill="auto"/>
            <w:tcW w:w="619"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22</w:t>
            </w:r>
            <w:r/>
          </w:p>
        </w:tc>
        <w:tc>
          <w:tcPr>
            <w:shd w:val="clear" w:color="auto" w:fill="auto"/>
            <w:tcW w:w="3388"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沙鹿路--荣文路</w:t>
            </w:r>
            <w:r/>
          </w:p>
        </w:tc>
        <w:tc>
          <w:tcPr>
            <w:shd w:val="clear" w:color="auto" w:fill="auto"/>
            <w:tcW w:w="632"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66</w:t>
            </w:r>
            <w:r/>
          </w:p>
        </w:tc>
        <w:tc>
          <w:tcPr>
            <w:shd w:val="clear" w:color="auto" w:fill="auto"/>
            <w:tcW w:w="3386"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G346国道--荡茜路</w:t>
            </w:r>
            <w:r/>
          </w:p>
        </w:tc>
      </w:tr>
      <w:tr>
        <w:trPr>
          <w:jc w:val="center"/>
          <w:trHeight w:val="288"/>
        </w:trPr>
        <w:tc>
          <w:tcPr>
            <w:shd w:val="clear" w:color="auto" w:fill="auto"/>
            <w:tcW w:w="619"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23</w:t>
            </w:r>
            <w:r/>
          </w:p>
        </w:tc>
        <w:tc>
          <w:tcPr>
            <w:shd w:val="clear" w:color="auto" w:fill="auto"/>
            <w:tcW w:w="3388"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陆璜公路--疏港高速</w:t>
            </w:r>
            <w:r/>
          </w:p>
        </w:tc>
        <w:tc>
          <w:tcPr>
            <w:shd w:val="clear" w:color="auto" w:fill="auto"/>
            <w:tcW w:w="632"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67</w:t>
            </w:r>
            <w:r/>
          </w:p>
        </w:tc>
        <w:tc>
          <w:tcPr>
            <w:shd w:val="clear" w:color="auto" w:fill="auto"/>
            <w:tcW w:w="3386"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G346-滨江大道</w:t>
            </w:r>
            <w:r/>
          </w:p>
        </w:tc>
      </w:tr>
      <w:tr>
        <w:trPr>
          <w:jc w:val="center"/>
          <w:trHeight w:val="288"/>
        </w:trPr>
        <w:tc>
          <w:tcPr>
            <w:shd w:val="clear" w:color="auto" w:fill="auto"/>
            <w:tcW w:w="619"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24</w:t>
            </w:r>
            <w:r/>
          </w:p>
        </w:tc>
        <w:tc>
          <w:tcPr>
            <w:shd w:val="clear" w:color="auto" w:fill="auto"/>
            <w:tcW w:w="3388"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洋江路--银港路路口</w:t>
            </w:r>
            <w:r/>
          </w:p>
        </w:tc>
        <w:tc>
          <w:tcPr>
            <w:shd w:val="clear" w:color="auto" w:fill="auto"/>
            <w:tcW w:w="632"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68</w:t>
            </w:r>
            <w:r/>
          </w:p>
        </w:tc>
        <w:tc>
          <w:tcPr>
            <w:shd w:val="clear" w:color="auto" w:fill="auto"/>
            <w:tcW w:w="3386"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S339-新塘线</w:t>
            </w:r>
            <w:r/>
          </w:p>
        </w:tc>
      </w:tr>
      <w:tr>
        <w:trPr>
          <w:jc w:val="center"/>
          <w:trHeight w:val="288"/>
        </w:trPr>
        <w:tc>
          <w:tcPr>
            <w:shd w:val="clear" w:color="auto" w:fill="auto"/>
            <w:tcW w:w="619"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25</w:t>
            </w:r>
            <w:r/>
          </w:p>
        </w:tc>
        <w:tc>
          <w:tcPr>
            <w:shd w:val="clear" w:color="auto" w:fill="auto"/>
            <w:tcW w:w="3388"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346国道--圣像寺路</w:t>
            </w:r>
            <w:r/>
          </w:p>
        </w:tc>
        <w:tc>
          <w:tcPr>
            <w:shd w:val="clear" w:color="auto" w:fill="auto"/>
            <w:tcW w:w="632"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69</w:t>
            </w:r>
            <w:r/>
          </w:p>
        </w:tc>
        <w:tc>
          <w:tcPr>
            <w:shd w:val="clear" w:color="auto" w:fill="auto"/>
            <w:tcW w:w="3386"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通港路--牌九路</w:t>
            </w:r>
            <w:r/>
          </w:p>
        </w:tc>
      </w:tr>
      <w:tr>
        <w:trPr>
          <w:jc w:val="center"/>
          <w:trHeight w:val="288"/>
        </w:trPr>
        <w:tc>
          <w:tcPr>
            <w:shd w:val="clear" w:color="auto" w:fill="auto"/>
            <w:tcW w:w="619"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26</w:t>
            </w:r>
            <w:r/>
          </w:p>
        </w:tc>
        <w:tc>
          <w:tcPr>
            <w:shd w:val="clear" w:color="auto" w:fill="auto"/>
            <w:tcW w:w="3388"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G346国道--南环路</w:t>
            </w:r>
            <w:r/>
          </w:p>
        </w:tc>
        <w:tc>
          <w:tcPr>
            <w:shd w:val="clear" w:color="auto" w:fill="auto"/>
            <w:tcW w:w="632"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70</w:t>
            </w:r>
            <w:r/>
          </w:p>
        </w:tc>
        <w:tc>
          <w:tcPr>
            <w:shd w:val="clear" w:color="auto" w:fill="auto"/>
            <w:tcW w:w="3386"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G204国道--建湖路</w:t>
            </w:r>
            <w:r/>
          </w:p>
        </w:tc>
      </w:tr>
      <w:tr>
        <w:trPr>
          <w:jc w:val="center"/>
          <w:trHeight w:val="288"/>
        </w:trPr>
        <w:tc>
          <w:tcPr>
            <w:shd w:val="clear" w:color="auto" w:fill="auto"/>
            <w:tcW w:w="619"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27</w:t>
            </w:r>
            <w:r/>
          </w:p>
        </w:tc>
        <w:tc>
          <w:tcPr>
            <w:shd w:val="clear" w:color="auto" w:fill="auto"/>
            <w:tcW w:w="3388"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新港路--临港南路</w:t>
            </w:r>
            <w:r/>
          </w:p>
        </w:tc>
        <w:tc>
          <w:tcPr>
            <w:shd w:val="clear" w:color="auto" w:fill="auto"/>
            <w:tcW w:w="632"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71</w:t>
            </w:r>
            <w:r/>
          </w:p>
        </w:tc>
        <w:tc>
          <w:tcPr>
            <w:shd w:val="clear" w:color="auto" w:fill="auto"/>
            <w:tcW w:w="3386"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G346国道--鹿北路</w:t>
            </w:r>
            <w:r/>
          </w:p>
        </w:tc>
      </w:tr>
      <w:tr>
        <w:trPr>
          <w:jc w:val="center"/>
          <w:trHeight w:val="288"/>
        </w:trPr>
        <w:tc>
          <w:tcPr>
            <w:shd w:val="clear" w:color="auto" w:fill="auto"/>
            <w:tcW w:w="619"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28</w:t>
            </w:r>
            <w:r/>
          </w:p>
        </w:tc>
        <w:tc>
          <w:tcPr>
            <w:shd w:val="clear" w:color="auto" w:fill="auto"/>
            <w:tcW w:w="3388"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新港路--协星路</w:t>
            </w:r>
            <w:r/>
          </w:p>
        </w:tc>
        <w:tc>
          <w:tcPr>
            <w:shd w:val="clear" w:color="auto" w:fill="auto"/>
            <w:tcW w:w="632"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72</w:t>
            </w:r>
            <w:r/>
          </w:p>
        </w:tc>
        <w:tc>
          <w:tcPr>
            <w:shd w:val="clear" w:color="auto" w:fill="auto"/>
            <w:tcW w:w="3386"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S339--站东路</w:t>
            </w:r>
            <w:r/>
          </w:p>
        </w:tc>
      </w:tr>
      <w:tr>
        <w:trPr>
          <w:jc w:val="center"/>
          <w:trHeight w:val="288"/>
        </w:trPr>
        <w:tc>
          <w:tcPr>
            <w:shd w:val="clear" w:color="auto" w:fill="auto"/>
            <w:tcW w:w="619"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29</w:t>
            </w:r>
            <w:r/>
          </w:p>
        </w:tc>
        <w:tc>
          <w:tcPr>
            <w:shd w:val="clear" w:color="auto" w:fill="auto"/>
            <w:tcW w:w="3388"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通港路--白云路</w:t>
            </w:r>
            <w:r/>
          </w:p>
        </w:tc>
        <w:tc>
          <w:tcPr>
            <w:shd w:val="clear" w:color="auto" w:fill="auto"/>
            <w:tcW w:w="632"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73</w:t>
            </w:r>
            <w:r/>
          </w:p>
        </w:tc>
        <w:tc>
          <w:tcPr>
            <w:shd w:val="clear" w:color="auto" w:fill="auto"/>
            <w:tcW w:w="3386"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通港东路--昭溪路</w:t>
            </w:r>
            <w:r/>
          </w:p>
        </w:tc>
      </w:tr>
      <w:tr>
        <w:trPr>
          <w:jc w:val="center"/>
          <w:trHeight w:val="288"/>
        </w:trPr>
        <w:tc>
          <w:tcPr>
            <w:shd w:val="clear" w:color="auto" w:fill="auto"/>
            <w:tcW w:w="619"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30</w:t>
            </w:r>
            <w:r/>
          </w:p>
        </w:tc>
        <w:tc>
          <w:tcPr>
            <w:shd w:val="clear" w:color="auto" w:fill="auto"/>
            <w:tcW w:w="3388"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太沙路--德溪路</w:t>
            </w:r>
            <w:r/>
          </w:p>
        </w:tc>
        <w:tc>
          <w:tcPr>
            <w:shd w:val="clear" w:color="auto" w:fill="auto"/>
            <w:tcW w:w="632"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74</w:t>
            </w:r>
            <w:r/>
          </w:p>
        </w:tc>
        <w:tc>
          <w:tcPr>
            <w:shd w:val="clear" w:color="auto" w:fill="auto"/>
            <w:tcW w:w="3386"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G346国道--新港路</w:t>
            </w:r>
            <w:r/>
          </w:p>
        </w:tc>
      </w:tr>
      <w:tr>
        <w:trPr>
          <w:jc w:val="center"/>
          <w:trHeight w:val="288"/>
        </w:trPr>
        <w:tc>
          <w:tcPr>
            <w:shd w:val="clear" w:color="auto" w:fill="auto"/>
            <w:tcW w:w="619"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31</w:t>
            </w:r>
            <w:r/>
          </w:p>
        </w:tc>
        <w:tc>
          <w:tcPr>
            <w:shd w:val="clear" w:color="auto" w:fill="auto"/>
            <w:tcW w:w="3388"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岳鹿路--茜直路</w:t>
            </w:r>
            <w:r/>
          </w:p>
        </w:tc>
        <w:tc>
          <w:tcPr>
            <w:shd w:val="clear" w:color="auto" w:fill="auto"/>
            <w:tcW w:w="632"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75</w:t>
            </w:r>
            <w:r/>
          </w:p>
        </w:tc>
        <w:tc>
          <w:tcPr>
            <w:shd w:val="clear" w:color="auto" w:fill="auto"/>
            <w:tcW w:w="3386"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兴业路--S339</w:t>
            </w:r>
            <w:r/>
          </w:p>
        </w:tc>
      </w:tr>
      <w:tr>
        <w:trPr>
          <w:jc w:val="center"/>
          <w:trHeight w:val="288"/>
        </w:trPr>
        <w:tc>
          <w:tcPr>
            <w:shd w:val="clear" w:color="auto" w:fill="auto"/>
            <w:tcW w:w="619"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32</w:t>
            </w:r>
            <w:r/>
          </w:p>
        </w:tc>
        <w:tc>
          <w:tcPr>
            <w:shd w:val="clear" w:color="auto" w:fill="auto"/>
            <w:tcW w:w="3388"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新港路--东林规九路</w:t>
            </w:r>
            <w:r/>
          </w:p>
        </w:tc>
        <w:tc>
          <w:tcPr>
            <w:shd w:val="clear" w:color="auto" w:fill="auto"/>
            <w:tcW w:w="632"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76</w:t>
            </w:r>
            <w:r/>
          </w:p>
        </w:tc>
        <w:tc>
          <w:tcPr>
            <w:shd w:val="clear" w:color="auto" w:fill="auto"/>
            <w:tcW w:w="3386"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S339--娄江路</w:t>
            </w:r>
            <w:r/>
          </w:p>
        </w:tc>
      </w:tr>
      <w:tr>
        <w:trPr>
          <w:jc w:val="center"/>
          <w:trHeight w:val="288"/>
        </w:trPr>
        <w:tc>
          <w:tcPr>
            <w:shd w:val="clear" w:color="auto" w:fill="auto"/>
            <w:tcW w:w="619"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33</w:t>
            </w:r>
            <w:r/>
          </w:p>
        </w:tc>
        <w:tc>
          <w:tcPr>
            <w:shd w:val="clear" w:color="auto" w:fill="auto"/>
            <w:tcW w:w="3388"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339省道--五洋路</w:t>
            </w:r>
            <w:r/>
          </w:p>
        </w:tc>
        <w:tc>
          <w:tcPr>
            <w:shd w:val="clear" w:color="auto" w:fill="auto"/>
            <w:tcW w:w="632"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77</w:t>
            </w:r>
            <w:r/>
          </w:p>
        </w:tc>
        <w:tc>
          <w:tcPr>
            <w:shd w:val="clear" w:color="auto" w:fill="auto"/>
            <w:tcW w:w="3386"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S339--太平路</w:t>
            </w:r>
            <w:r/>
          </w:p>
        </w:tc>
      </w:tr>
      <w:tr>
        <w:trPr>
          <w:jc w:val="center"/>
          <w:trHeight w:val="288"/>
        </w:trPr>
        <w:tc>
          <w:tcPr>
            <w:shd w:val="clear" w:color="auto" w:fill="auto"/>
            <w:tcW w:w="619"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34</w:t>
            </w:r>
            <w:r/>
          </w:p>
        </w:tc>
        <w:tc>
          <w:tcPr>
            <w:shd w:val="clear" w:color="auto" w:fill="auto"/>
            <w:tcW w:w="3388"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S339--四通路</w:t>
            </w:r>
            <w:r/>
          </w:p>
        </w:tc>
        <w:tc>
          <w:tcPr>
            <w:shd w:val="clear" w:color="auto" w:fill="auto"/>
            <w:tcW w:w="632"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78</w:t>
            </w:r>
            <w:r/>
          </w:p>
        </w:tc>
        <w:tc>
          <w:tcPr>
            <w:shd w:val="clear" w:color="auto" w:fill="auto"/>
            <w:tcW w:w="3386"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G204--建业路</w:t>
            </w:r>
            <w:r/>
          </w:p>
        </w:tc>
      </w:tr>
      <w:tr>
        <w:trPr>
          <w:jc w:val="center"/>
          <w:trHeight w:val="288"/>
        </w:trPr>
        <w:tc>
          <w:tcPr>
            <w:shd w:val="clear" w:color="auto" w:fill="auto"/>
            <w:tcW w:w="619"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35</w:t>
            </w:r>
            <w:r/>
          </w:p>
        </w:tc>
        <w:tc>
          <w:tcPr>
            <w:shd w:val="clear" w:color="auto" w:fill="auto"/>
            <w:tcW w:w="3388"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339省道--常胜路</w:t>
            </w:r>
            <w:r/>
          </w:p>
        </w:tc>
        <w:tc>
          <w:tcPr>
            <w:shd w:val="clear" w:color="auto" w:fill="auto"/>
            <w:tcW w:w="632"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79</w:t>
            </w:r>
            <w:r/>
          </w:p>
        </w:tc>
        <w:tc>
          <w:tcPr>
            <w:shd w:val="clear" w:color="auto" w:fill="auto"/>
            <w:tcW w:w="3386"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发达路--S339</w:t>
            </w:r>
            <w:r/>
          </w:p>
        </w:tc>
      </w:tr>
      <w:tr>
        <w:trPr>
          <w:jc w:val="center"/>
          <w:trHeight w:val="288"/>
        </w:trPr>
        <w:tc>
          <w:tcPr>
            <w:shd w:val="clear" w:color="auto" w:fill="auto"/>
            <w:tcW w:w="619"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36</w:t>
            </w:r>
            <w:r/>
          </w:p>
        </w:tc>
        <w:tc>
          <w:tcPr>
            <w:shd w:val="clear" w:color="auto" w:fill="auto"/>
            <w:tcW w:w="3388"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339省道--毛太路</w:t>
            </w:r>
            <w:r/>
          </w:p>
        </w:tc>
        <w:tc>
          <w:tcPr>
            <w:shd w:val="clear" w:color="auto" w:fill="auto"/>
            <w:tcW w:w="632"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80</w:t>
            </w:r>
            <w:r/>
          </w:p>
        </w:tc>
        <w:tc>
          <w:tcPr>
            <w:shd w:val="clear" w:color="auto" w:fill="auto"/>
            <w:tcW w:w="3386"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S339--通海路</w:t>
            </w:r>
            <w:r/>
          </w:p>
        </w:tc>
      </w:tr>
      <w:tr>
        <w:trPr>
          <w:jc w:val="center"/>
          <w:trHeight w:val="288"/>
        </w:trPr>
        <w:tc>
          <w:tcPr>
            <w:shd w:val="clear" w:color="auto" w:fill="auto"/>
            <w:tcW w:w="619"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37</w:t>
            </w:r>
            <w:r/>
          </w:p>
        </w:tc>
        <w:tc>
          <w:tcPr>
            <w:shd w:val="clear" w:color="auto" w:fill="auto"/>
            <w:tcW w:w="3388"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太沙路--仁溪路</w:t>
            </w:r>
            <w:r/>
          </w:p>
        </w:tc>
        <w:tc>
          <w:tcPr>
            <w:shd w:val="clear" w:color="auto" w:fill="auto"/>
            <w:tcW w:w="632"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81</w:t>
            </w:r>
            <w:r/>
          </w:p>
        </w:tc>
        <w:tc>
          <w:tcPr>
            <w:shd w:val="clear" w:color="auto" w:fill="auto"/>
            <w:tcW w:w="3386"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岳鹿线--通港东路</w:t>
            </w:r>
            <w:r/>
          </w:p>
        </w:tc>
      </w:tr>
      <w:tr>
        <w:trPr>
          <w:jc w:val="center"/>
          <w:trHeight w:val="288"/>
        </w:trPr>
        <w:tc>
          <w:tcPr>
            <w:shd w:val="clear" w:color="auto" w:fill="auto"/>
            <w:tcW w:w="619"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38</w:t>
            </w:r>
            <w:r/>
          </w:p>
        </w:tc>
        <w:tc>
          <w:tcPr>
            <w:shd w:val="clear" w:color="auto" w:fill="auto"/>
            <w:tcW w:w="3388"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339省道--陆璜路（融沪大道）</w:t>
            </w:r>
            <w:r/>
          </w:p>
        </w:tc>
        <w:tc>
          <w:tcPr>
            <w:shd w:val="clear" w:color="auto" w:fill="auto"/>
            <w:tcW w:w="632"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82</w:t>
            </w:r>
            <w:r/>
          </w:p>
        </w:tc>
        <w:tc>
          <w:tcPr>
            <w:shd w:val="clear" w:color="auto" w:fill="auto"/>
            <w:tcW w:w="3386"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人民路--339省道</w:t>
            </w:r>
            <w:r/>
          </w:p>
        </w:tc>
      </w:tr>
      <w:tr>
        <w:trPr>
          <w:jc w:val="center"/>
          <w:trHeight w:val="288"/>
        </w:trPr>
        <w:tc>
          <w:tcPr>
            <w:shd w:val="clear" w:color="auto" w:fill="auto"/>
            <w:tcW w:w="619"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39</w:t>
            </w:r>
            <w:r/>
          </w:p>
        </w:tc>
        <w:tc>
          <w:tcPr>
            <w:shd w:val="clear" w:color="auto" w:fill="auto"/>
            <w:tcW w:w="3388"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339省道--岳鹿路（白云渡大道）</w:t>
            </w:r>
            <w:r/>
          </w:p>
        </w:tc>
        <w:tc>
          <w:tcPr>
            <w:shd w:val="clear" w:color="auto" w:fill="auto"/>
            <w:tcW w:w="632"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83</w:t>
            </w:r>
            <w:r/>
          </w:p>
        </w:tc>
        <w:tc>
          <w:tcPr>
            <w:shd w:val="clear" w:color="auto" w:fill="auto"/>
            <w:tcW w:w="3386"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滨江大道三高线</w:t>
            </w:r>
            <w:r/>
          </w:p>
        </w:tc>
      </w:tr>
      <w:tr>
        <w:trPr>
          <w:jc w:val="center"/>
          <w:trHeight w:val="288"/>
        </w:trPr>
        <w:tc>
          <w:tcPr>
            <w:shd w:val="clear" w:color="auto" w:fill="auto"/>
            <w:tcW w:w="619"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40</w:t>
            </w:r>
            <w:r/>
          </w:p>
        </w:tc>
        <w:tc>
          <w:tcPr>
            <w:shd w:val="clear" w:color="auto" w:fill="auto"/>
            <w:tcW w:w="3388"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339省道--飞沪大道</w:t>
            </w:r>
            <w:r/>
          </w:p>
        </w:tc>
        <w:tc>
          <w:tcPr>
            <w:shd w:val="clear" w:color="auto" w:fill="auto"/>
            <w:tcW w:w="632"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84</w:t>
            </w:r>
            <w:r/>
          </w:p>
        </w:tc>
        <w:tc>
          <w:tcPr>
            <w:shd w:val="clear" w:color="auto" w:fill="auto"/>
            <w:tcW w:w="3386"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南环路-中兴南街</w:t>
            </w:r>
            <w:r/>
          </w:p>
        </w:tc>
      </w:tr>
      <w:tr>
        <w:trPr>
          <w:jc w:val="center"/>
          <w:trHeight w:val="288"/>
        </w:trPr>
        <w:tc>
          <w:tcPr>
            <w:shd w:val="clear" w:color="auto" w:fill="auto"/>
            <w:tcW w:w="619"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41</w:t>
            </w:r>
            <w:r/>
          </w:p>
        </w:tc>
        <w:tc>
          <w:tcPr>
            <w:shd w:val="clear" w:color="auto" w:fill="auto"/>
            <w:tcW w:w="3388"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通港路--协星路（陆璜路）</w:t>
            </w:r>
            <w:r/>
          </w:p>
        </w:tc>
        <w:tc>
          <w:tcPr>
            <w:shd w:val="clear" w:color="auto" w:fill="auto"/>
            <w:tcW w:w="632"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85</w:t>
            </w:r>
            <w:r/>
          </w:p>
        </w:tc>
        <w:tc>
          <w:tcPr>
            <w:shd w:val="clear" w:color="auto" w:fill="auto"/>
            <w:tcW w:w="3386"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G346-南鹿线</w:t>
            </w:r>
            <w:r/>
          </w:p>
        </w:tc>
      </w:tr>
      <w:tr>
        <w:trPr>
          <w:jc w:val="center"/>
          <w:trHeight w:val="288"/>
        </w:trPr>
        <w:tc>
          <w:tcPr>
            <w:shd w:val="clear" w:color="auto" w:fill="auto"/>
            <w:tcW w:w="619"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42</w:t>
            </w:r>
            <w:r/>
          </w:p>
        </w:tc>
        <w:tc>
          <w:tcPr>
            <w:shd w:val="clear" w:color="auto" w:fill="auto"/>
            <w:tcW w:w="3388"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G346--荣文路</w:t>
            </w:r>
            <w:r/>
          </w:p>
        </w:tc>
        <w:tc>
          <w:tcPr>
            <w:shd w:val="clear" w:color="auto" w:fill="auto"/>
            <w:tcW w:w="632"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86</w:t>
            </w:r>
            <w:r/>
          </w:p>
        </w:tc>
        <w:tc>
          <w:tcPr>
            <w:shd w:val="clear" w:color="auto" w:fill="auto"/>
            <w:tcW w:w="3386"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沙鹿路-崇文路</w:t>
            </w:r>
            <w:r/>
          </w:p>
        </w:tc>
      </w:tr>
      <w:tr>
        <w:trPr>
          <w:jc w:val="center"/>
          <w:trHeight w:val="288"/>
        </w:trPr>
        <w:tc>
          <w:tcPr>
            <w:shd w:val="clear" w:color="auto" w:fill="auto"/>
            <w:tcW w:w="619"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43</w:t>
            </w:r>
            <w:r/>
          </w:p>
        </w:tc>
        <w:tc>
          <w:tcPr>
            <w:shd w:val="clear" w:color="auto" w:fill="auto"/>
            <w:tcW w:w="3388"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339省道--吴泾道观</w:t>
            </w:r>
            <w:r/>
          </w:p>
        </w:tc>
        <w:tc>
          <w:tcPr>
            <w:shd w:val="clear" w:color="auto" w:fill="auto"/>
            <w:tcW w:w="632"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87</w:t>
            </w:r>
            <w:r/>
          </w:p>
        </w:tc>
        <w:tc>
          <w:tcPr>
            <w:shd w:val="clear" w:color="auto" w:fill="auto"/>
            <w:tcW w:w="3386"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通港路-洪泾中心路</w:t>
            </w:r>
            <w:r/>
          </w:p>
        </w:tc>
      </w:tr>
      <w:tr>
        <w:trPr>
          <w:jc w:val="center"/>
          <w:trHeight w:val="288"/>
        </w:trPr>
        <w:tc>
          <w:tcPr>
            <w:shd w:val="clear" w:color="auto" w:fill="auto"/>
            <w:tcW w:w="619"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44</w:t>
            </w:r>
            <w:r/>
          </w:p>
        </w:tc>
        <w:tc>
          <w:tcPr>
            <w:shd w:val="clear" w:color="auto" w:fill="auto"/>
            <w:tcW w:w="3388"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204国道--新泾路（新丰路）</w:t>
            </w:r>
            <w:r/>
          </w:p>
        </w:tc>
        <w:tc>
          <w:tcPr>
            <w:shd w:val="clear" w:color="auto" w:fill="auto"/>
            <w:tcW w:w="632" w:type="dxa"/>
            <w:vAlign w:val="center"/>
            <w:textDirection w:val="lrTb"/>
            <w:noWrap/>
          </w:tcPr>
          <w:p>
            <w:pPr>
              <w:ind w:firstLine="0"/>
              <w:jc w:val="center"/>
              <w:spacing w:line="240" w:lineRule="auto"/>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88</w:t>
            </w:r>
            <w:r/>
          </w:p>
        </w:tc>
        <w:tc>
          <w:tcPr>
            <w:shd w:val="clear" w:color="auto" w:fill="auto"/>
            <w:tcW w:w="3386" w:type="dxa"/>
            <w:vAlign w:val="center"/>
            <w:textDirection w:val="lrTb"/>
            <w:noWrap w:val="false"/>
          </w:tcPr>
          <w:p>
            <w:pPr>
              <w:ind w:firstLine="0"/>
              <w:jc w:val="left"/>
              <w:spacing w:line="240" w:lineRule="auto"/>
              <w:widowControl/>
              <w:rPr>
                <w:rFonts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浮浏线（滨江大道）-太仓冷箱有限公司</w:t>
            </w:r>
            <w:r/>
          </w:p>
        </w:tc>
      </w:tr>
    </w:tbl>
    <w:p>
      <w:pPr>
        <w:ind w:firstLine="0"/>
        <w:spacing w:line="240" w:lineRule="auto"/>
        <w:rPr>
          <w:rFonts w:ascii="宋体" w:hAnsi="宋体" w:eastAsia="宋体" w:cs="宋体"/>
          <w:sz w:val="21"/>
          <w:szCs w:val="21"/>
        </w:rPr>
      </w:pPr>
      <w:r>
        <w:rPr>
          <w:rFonts w:ascii="宋体" w:hAnsi="宋体" w:eastAsia="宋体" w:cs="宋体"/>
          <w:sz w:val="21"/>
          <w:szCs w:val="21"/>
        </w:rPr>
      </w:r>
      <w:r/>
    </w:p>
    <w:p>
      <w:pPr>
        <w:ind w:firstLine="0"/>
        <w:spacing w:line="240" w:lineRule="auto"/>
        <w:rPr>
          <w:rFonts w:ascii="宋体" w:hAnsi="宋体" w:eastAsia="宋体" w:cs="宋体"/>
          <w:sz w:val="21"/>
          <w:szCs w:val="21"/>
        </w:rPr>
      </w:pPr>
      <w:r>
        <w:rPr>
          <w:rFonts w:ascii="宋体" w:hAnsi="宋体" w:eastAsia="宋体" w:cs="宋体"/>
          <w:sz w:val="21"/>
          <w:szCs w:val="21"/>
        </w:rPr>
      </w:r>
      <w:bookmarkEnd w:id="1"/>
      <w:r/>
      <w:bookmarkEnd w:id="2"/>
      <w:r/>
      <w:r/>
    </w:p>
    <w:p>
      <w:pPr>
        <w:pStyle w:val="966"/>
        <w:ind w:left="0" w:firstLine="422"/>
        <w:spacing w:before="156"/>
        <w:rPr>
          <w:rFonts w:ascii="宋体" w:hAnsi="宋体" w:cs="宋体"/>
          <w:szCs w:val="21"/>
        </w:rPr>
      </w:pPr>
      <w:r>
        <w:rPr>
          <w:rFonts w:hint="eastAsia" w:ascii="宋体" w:hAnsi="宋体" w:cs="宋体"/>
          <w:szCs w:val="21"/>
        </w:rPr>
        <w:t xml:space="preserve">招标技术要求</w:t>
      </w:r>
      <w:r>
        <w:rPr>
          <w:rFonts w:hint="eastAsia" w:ascii="宋体" w:hAnsi="宋体" w:cs="宋体"/>
          <w:szCs w:val="21"/>
          <w:lang w:eastAsia="zh-CN"/>
        </w:rPr>
        <w:t xml:space="preserve">（</w:t>
      </w:r>
      <w:r>
        <w:rPr>
          <w:rFonts w:hint="eastAsia" w:ascii="宋体" w:hAnsi="宋体" w:cs="宋体"/>
          <w:szCs w:val="21"/>
          <w:lang w:val="en-US" w:eastAsia="zh-CN"/>
        </w:rPr>
        <w:t xml:space="preserve">标</w:t>
      </w:r>
      <w:r>
        <w:rPr>
          <w:rFonts w:hint="eastAsia" w:ascii="宋体" w:hAnsi="宋体" w:cs="宋体"/>
          <w:szCs w:val="21"/>
          <w:lang w:eastAsia="zh-CN"/>
        </w:rPr>
        <w:t xml:space="preserve">★项技术参数属于实质性响应参数，提供技术偏离表并明确产品的品牌、型号及参数。不允许负偏离，否则为无效投标。）</w:t>
      </w:r>
      <w:r/>
    </w:p>
    <w:p>
      <w:pPr>
        <w:pStyle w:val="967"/>
        <w:spacing w:line="372" w:lineRule="auto"/>
      </w:pPr>
      <w:r>
        <w:rPr>
          <w:rFonts w:hint="eastAsia"/>
        </w:rPr>
        <w:t xml:space="preserve">感知体系建设</w:t>
      </w:r>
      <w:r/>
    </w:p>
    <w:p>
      <w:pPr>
        <w:pStyle w:val="968"/>
        <w:spacing w:line="372" w:lineRule="auto"/>
      </w:pPr>
      <w:r>
        <w:rPr>
          <w:rFonts w:hint="eastAsia"/>
        </w:rPr>
        <w:t xml:space="preserve">交通信号控制系统</w:t>
      </w:r>
      <w:r/>
    </w:p>
    <w:p>
      <w:pPr>
        <w:pStyle w:val="969"/>
        <w:spacing w:line="372" w:lineRule="auto"/>
      </w:pPr>
      <w:r/>
      <w:bookmarkStart w:id="3" w:name="_Toc261534262"/>
      <w:r/>
      <w:bookmarkStart w:id="4" w:name="_Toc350935029"/>
      <w:r>
        <w:rPr>
          <w:rFonts w:hint="eastAsia"/>
        </w:rPr>
        <w:t xml:space="preserve">功能</w:t>
      </w:r>
      <w:bookmarkEnd w:id="3"/>
      <w:r/>
      <w:bookmarkEnd w:id="4"/>
      <w:r>
        <w:rPr>
          <w:rFonts w:hint="eastAsia"/>
        </w:rPr>
        <w:t xml:space="preserve">要求</w:t>
      </w:r>
      <w:r/>
    </w:p>
    <w:p>
      <w:pPr>
        <w:ind w:firstLine="422"/>
        <w:jc w:val="left"/>
        <w:spacing w:line="372" w:lineRule="auto"/>
        <w:rPr>
          <w:rFonts w:ascii="宋体" w:hAnsi="宋体" w:eastAsia="宋体" w:cs="宋体"/>
          <w:sz w:val="21"/>
          <w:szCs w:val="21"/>
        </w:rPr>
      </w:pPr>
      <w:r>
        <w:rPr>
          <w:rFonts w:hint="eastAsia" w:ascii="宋体" w:hAnsi="宋体" w:eastAsia="宋体" w:cs="宋体"/>
          <w:b/>
          <w:sz w:val="21"/>
          <w:szCs w:val="21"/>
        </w:rPr>
        <w:t xml:space="preserve">设备功能包含但不限于以下功能，施工单位进场后，需对设备功能进行深化，以满足业主的要求为准。</w:t>
      </w:r>
      <w:r/>
    </w:p>
    <w:p>
      <w:pPr>
        <w:ind w:firstLine="422"/>
        <w:spacing w:line="372" w:lineRule="auto"/>
        <w:rPr>
          <w:rFonts w:ascii="宋体" w:hAnsi="宋体" w:eastAsia="宋体" w:cs="宋体"/>
          <w:b/>
          <w:bCs/>
          <w:sz w:val="21"/>
          <w:szCs w:val="21"/>
        </w:rPr>
      </w:pPr>
      <w:r/>
      <w:bookmarkStart w:id="5" w:name="_Toc321747571"/>
      <w:r/>
      <w:bookmarkStart w:id="6" w:name="_Toc329184563"/>
      <w:r/>
      <w:bookmarkStart w:id="7" w:name="_Toc286149339"/>
      <w:r>
        <w:rPr>
          <w:rFonts w:hint="eastAsia" w:ascii="宋体" w:hAnsi="宋体" w:eastAsia="宋体" w:cs="宋体"/>
          <w:b/>
          <w:bCs/>
          <w:sz w:val="21"/>
          <w:szCs w:val="21"/>
        </w:rPr>
        <w:t xml:space="preserve">系统控制功能</w:t>
      </w:r>
      <w:bookmarkEnd w:id="5"/>
      <w:r/>
      <w:bookmarkEnd w:id="6"/>
      <w:r/>
      <w:bookmarkEnd w:id="7"/>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系统应具备二个方面的功能：</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基本功能</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区域协调控制、干线协调控制、单点自适应控制、定时控制等基本功能。</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特殊功能</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指定相位控制、警卫路线控制、模拟手动、手动功能、公交优先信号控制、行人过街管理、VIP绿色通道、交通意外事件管理、过饱和控制等特殊功能。</w:t>
      </w:r>
      <w:r/>
    </w:p>
    <w:p>
      <w:pPr>
        <w:ind w:firstLine="422"/>
        <w:spacing w:line="372" w:lineRule="auto"/>
        <w:rPr>
          <w:rFonts w:ascii="宋体" w:hAnsi="宋体" w:eastAsia="宋体" w:cs="宋体"/>
          <w:b/>
          <w:bCs/>
          <w:sz w:val="21"/>
          <w:szCs w:val="21"/>
        </w:rPr>
      </w:pPr>
      <w:r/>
      <w:bookmarkStart w:id="8" w:name="_Toc321747572"/>
      <w:r/>
      <w:bookmarkStart w:id="9" w:name="_Toc329184564"/>
      <w:r/>
      <w:bookmarkStart w:id="10" w:name="_Toc286149340"/>
      <w:r>
        <w:rPr>
          <w:rFonts w:hint="eastAsia" w:ascii="宋体" w:hAnsi="宋体" w:eastAsia="宋体" w:cs="宋体"/>
          <w:b/>
          <w:bCs/>
          <w:sz w:val="21"/>
          <w:szCs w:val="21"/>
        </w:rPr>
        <w:t xml:space="preserve">交通信息与控制指令传输</w:t>
      </w:r>
      <w:bookmarkEnd w:id="8"/>
      <w:r/>
      <w:bookmarkEnd w:id="9"/>
      <w:r/>
      <w:bookmarkEnd w:id="10"/>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在区域控制计算机和交通信号机通信正常的情况下，区域控制计算机与交通信号机之间可进行交通信息及控制指令的传输。</w:t>
      </w:r>
      <w:r/>
    </w:p>
    <w:p>
      <w:pPr>
        <w:ind w:firstLine="422"/>
        <w:spacing w:line="372" w:lineRule="auto"/>
        <w:rPr>
          <w:rFonts w:ascii="宋体" w:hAnsi="宋体" w:eastAsia="宋体" w:cs="宋体"/>
          <w:b/>
          <w:bCs/>
          <w:sz w:val="21"/>
          <w:szCs w:val="21"/>
        </w:rPr>
      </w:pPr>
      <w:r/>
      <w:bookmarkStart w:id="11" w:name="_Toc286149341"/>
      <w:r/>
      <w:bookmarkStart w:id="12" w:name="_Toc329184565"/>
      <w:r/>
      <w:bookmarkStart w:id="13" w:name="_Toc321747573"/>
      <w:r>
        <w:rPr>
          <w:rFonts w:hint="eastAsia" w:ascii="宋体" w:hAnsi="宋体" w:eastAsia="宋体" w:cs="宋体"/>
          <w:b/>
          <w:bCs/>
          <w:sz w:val="21"/>
          <w:szCs w:val="21"/>
        </w:rPr>
        <w:t xml:space="preserve">交通信息采集与数据纠错</w:t>
      </w:r>
      <w:bookmarkEnd w:id="11"/>
      <w:r/>
      <w:bookmarkEnd w:id="12"/>
      <w:r/>
      <w:bookmarkEnd w:id="13"/>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交通信息采集</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系统可以通过在路口各车道安装的车辆检测器来采集交通流量、车速、占有率等基本交通数据，并进行处理、统计分析、存储、提取控制区域内的车流量、平均车速、停车率、排队长度、饱和度等交通信息，同时评估交通负荷度，建立交通信息管理数据库，打印分析交通信息各类图表，供交通疏导、交通组织与规划使用。</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数据纠错</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系统具有数据纠错功能，对采集到的交通信息进行容错、过滤，提取有效数据，剔除错误数据，确保采集到的交通信息的准确性。</w:t>
      </w:r>
      <w:r/>
    </w:p>
    <w:p>
      <w:pPr>
        <w:ind w:firstLine="422"/>
        <w:spacing w:line="372" w:lineRule="auto"/>
        <w:rPr>
          <w:rFonts w:ascii="宋体" w:hAnsi="宋体" w:eastAsia="宋体" w:cs="宋体"/>
          <w:b/>
          <w:bCs/>
          <w:sz w:val="21"/>
          <w:szCs w:val="21"/>
        </w:rPr>
      </w:pPr>
      <w:r/>
      <w:bookmarkStart w:id="14" w:name="_Toc286149342"/>
      <w:r/>
      <w:bookmarkStart w:id="15" w:name="_Toc329184566"/>
      <w:r/>
      <w:bookmarkStart w:id="16" w:name="_Toc321747574"/>
      <w:r>
        <w:rPr>
          <w:rFonts w:hint="eastAsia" w:ascii="宋体" w:hAnsi="宋体" w:eastAsia="宋体" w:cs="宋体"/>
          <w:b/>
          <w:bCs/>
          <w:sz w:val="21"/>
          <w:szCs w:val="21"/>
        </w:rPr>
        <w:t xml:space="preserve">系统崩溃的紧急预案</w:t>
      </w:r>
      <w:bookmarkEnd w:id="14"/>
      <w:r/>
      <w:bookmarkEnd w:id="15"/>
      <w:r/>
      <w:bookmarkEnd w:id="16"/>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系统应具有系统崩溃（区域控制计算机发生故障、通信断线等）的紧急预案，一旦出现崩溃系统应确保路口交通正常运行。</w:t>
      </w:r>
      <w:r/>
    </w:p>
    <w:p>
      <w:pPr>
        <w:ind w:firstLine="422"/>
        <w:spacing w:line="372" w:lineRule="auto"/>
        <w:rPr>
          <w:rFonts w:ascii="宋体" w:hAnsi="宋体" w:eastAsia="宋体" w:cs="宋体"/>
          <w:b/>
          <w:bCs/>
          <w:sz w:val="21"/>
          <w:szCs w:val="21"/>
        </w:rPr>
      </w:pPr>
      <w:r/>
      <w:bookmarkStart w:id="17" w:name="_Toc329184567"/>
      <w:r/>
      <w:bookmarkStart w:id="18" w:name="_Toc321747575"/>
      <w:r/>
      <w:bookmarkStart w:id="19" w:name="_Toc286149343"/>
      <w:r>
        <w:rPr>
          <w:rFonts w:hint="eastAsia" w:ascii="宋体" w:hAnsi="宋体" w:eastAsia="宋体" w:cs="宋体"/>
          <w:b/>
          <w:bCs/>
          <w:sz w:val="21"/>
          <w:szCs w:val="21"/>
        </w:rPr>
        <w:t xml:space="preserve">设备自动检测功能</w:t>
      </w:r>
      <w:bookmarkEnd w:id="17"/>
      <w:r/>
      <w:bookmarkEnd w:id="18"/>
      <w:r/>
      <w:bookmarkEnd w:id="19"/>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系统主要设备（交通信号控制机、车辆检测器等）应具有完备的自动检测功能，实时检测当前硬件工作状态、软件运行状态及通信状态，检测到有故障产生时应根据故障级别进行相应处理，必要时进行故障降级处理，并记录故障信息，在通讯正常的情况下实时将故障信息上报系统。未联机的情况下要能在本地保存</w:t>
      </w:r>
      <w:r/>
    </w:p>
    <w:p>
      <w:pPr>
        <w:ind w:firstLine="422"/>
        <w:spacing w:line="372" w:lineRule="auto"/>
        <w:rPr>
          <w:rFonts w:ascii="宋体" w:hAnsi="宋体" w:eastAsia="宋体" w:cs="宋体"/>
          <w:b/>
          <w:bCs/>
          <w:sz w:val="21"/>
          <w:szCs w:val="21"/>
        </w:rPr>
      </w:pPr>
      <w:r/>
      <w:bookmarkStart w:id="20" w:name="_Toc329184568"/>
      <w:r/>
      <w:bookmarkStart w:id="21" w:name="_Toc286149344"/>
      <w:r/>
      <w:bookmarkStart w:id="22" w:name="_Toc80864951"/>
      <w:r/>
      <w:bookmarkStart w:id="23" w:name="_Toc321747576"/>
      <w:r/>
      <w:bookmarkStart w:id="24" w:name="_Toc83202612"/>
      <w:r/>
      <w:bookmarkStart w:id="25" w:name="_Toc83091279"/>
      <w:r/>
      <w:bookmarkStart w:id="26" w:name="_Toc111914230"/>
      <w:r>
        <w:rPr>
          <w:rFonts w:hint="eastAsia" w:ascii="宋体" w:hAnsi="宋体" w:eastAsia="宋体" w:cs="宋体"/>
          <w:b/>
          <w:bCs/>
          <w:sz w:val="21"/>
          <w:szCs w:val="21"/>
        </w:rPr>
        <w:t xml:space="preserve">系统监测功能</w:t>
      </w:r>
      <w:bookmarkEnd w:id="20"/>
      <w:r/>
      <w:bookmarkEnd w:id="21"/>
      <w:r/>
      <w:bookmarkEnd w:id="22"/>
      <w:r/>
      <w:bookmarkEnd w:id="23"/>
      <w:r/>
      <w:bookmarkEnd w:id="24"/>
      <w:r/>
      <w:bookmarkEnd w:id="25"/>
      <w:r/>
      <w:bookmarkEnd w:id="26"/>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对系统设备和软件运行状况和故障进行全面监测和管理。以报表的形式清晰的反映系统操作员的操作记录，系统参数的修改记录，系统登录记录，系统故障及处理记录，系统运行方案的历史记录，交通阻塞报警及处理记录。</w:t>
      </w:r>
      <w:r/>
    </w:p>
    <w:p>
      <w:pPr>
        <w:ind w:firstLine="422"/>
        <w:spacing w:line="372" w:lineRule="auto"/>
        <w:rPr>
          <w:rFonts w:ascii="宋体" w:hAnsi="宋体" w:eastAsia="宋体" w:cs="宋体"/>
          <w:b/>
          <w:bCs/>
          <w:sz w:val="21"/>
          <w:szCs w:val="21"/>
        </w:rPr>
      </w:pPr>
      <w:r/>
      <w:bookmarkStart w:id="27" w:name="_Toc329184569"/>
      <w:r/>
      <w:bookmarkStart w:id="28" w:name="_Toc80864952"/>
      <w:r/>
      <w:bookmarkStart w:id="29" w:name="_Toc321747577"/>
      <w:r/>
      <w:bookmarkStart w:id="30" w:name="_Toc286149345"/>
      <w:r/>
      <w:bookmarkStart w:id="31" w:name="_Toc111914231"/>
      <w:r/>
      <w:bookmarkStart w:id="32" w:name="_Toc83202613"/>
      <w:r/>
      <w:bookmarkStart w:id="33" w:name="_Toc83091280"/>
      <w:r>
        <w:rPr>
          <w:rFonts w:hint="eastAsia" w:ascii="宋体" w:hAnsi="宋体" w:eastAsia="宋体" w:cs="宋体"/>
          <w:b/>
          <w:bCs/>
          <w:sz w:val="21"/>
          <w:szCs w:val="21"/>
        </w:rPr>
        <w:t xml:space="preserve">遥设信号机参数</w:t>
      </w:r>
      <w:bookmarkEnd w:id="27"/>
      <w:r/>
      <w:bookmarkEnd w:id="28"/>
      <w:r/>
      <w:bookmarkEnd w:id="29"/>
      <w:r/>
      <w:bookmarkEnd w:id="30"/>
      <w:r/>
      <w:bookmarkEnd w:id="31"/>
      <w:r/>
      <w:bookmarkEnd w:id="32"/>
      <w:r/>
      <w:bookmarkEnd w:id="33"/>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区域机可以调看、修改和设置信号机参数。</w:t>
      </w:r>
      <w:r/>
    </w:p>
    <w:p>
      <w:pPr>
        <w:ind w:firstLine="422"/>
        <w:spacing w:line="372" w:lineRule="auto"/>
        <w:rPr>
          <w:rFonts w:ascii="宋体" w:hAnsi="宋体" w:eastAsia="宋体" w:cs="宋体"/>
          <w:b/>
          <w:bCs/>
          <w:sz w:val="21"/>
          <w:szCs w:val="21"/>
        </w:rPr>
      </w:pPr>
      <w:r/>
      <w:bookmarkStart w:id="34" w:name="_Toc280099631"/>
      <w:r/>
      <w:bookmarkStart w:id="35" w:name="_Toc321747578"/>
      <w:r/>
      <w:bookmarkStart w:id="36" w:name="_Toc153175864"/>
      <w:r/>
      <w:bookmarkStart w:id="37" w:name="_Toc286149346"/>
      <w:r/>
      <w:bookmarkStart w:id="38" w:name="_Toc329184570"/>
      <w:r>
        <w:rPr>
          <w:rFonts w:hint="eastAsia" w:ascii="宋体" w:hAnsi="宋体" w:eastAsia="宋体" w:cs="宋体"/>
          <w:b/>
          <w:bCs/>
          <w:sz w:val="21"/>
          <w:szCs w:val="21"/>
        </w:rPr>
        <w:t xml:space="preserve">系统对时功能</w:t>
      </w:r>
      <w:bookmarkEnd w:id="34"/>
      <w:r/>
      <w:bookmarkEnd w:id="35"/>
      <w:r/>
      <w:bookmarkEnd w:id="36"/>
      <w:r/>
      <w:bookmarkEnd w:id="37"/>
      <w:r/>
      <w:bookmarkEnd w:id="38"/>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为了保证信号机在协调控制时保持时间基准绝对一致，定时或人工对所控制的信号机进行精确对时；同时还可以确定对时的范围、对时的时间和频率，使得整个系统的时间上绝对无误。</w:t>
      </w:r>
      <w:r/>
    </w:p>
    <w:p>
      <w:pPr>
        <w:ind w:firstLine="422"/>
        <w:spacing w:line="372" w:lineRule="auto"/>
        <w:rPr>
          <w:rFonts w:ascii="宋体" w:hAnsi="宋体" w:eastAsia="宋体" w:cs="宋体"/>
          <w:b/>
          <w:bCs/>
          <w:sz w:val="21"/>
          <w:szCs w:val="21"/>
        </w:rPr>
      </w:pPr>
      <w:r/>
      <w:bookmarkStart w:id="39" w:name="_Toc286149347"/>
      <w:r/>
      <w:bookmarkStart w:id="40" w:name="_Toc280099632"/>
      <w:r/>
      <w:bookmarkStart w:id="41" w:name="_Toc153175869"/>
      <w:r/>
      <w:bookmarkStart w:id="42" w:name="_Toc329184571"/>
      <w:r/>
      <w:bookmarkStart w:id="43" w:name="_Toc321747579"/>
      <w:r>
        <w:rPr>
          <w:rFonts w:hint="eastAsia" w:ascii="宋体" w:hAnsi="宋体" w:eastAsia="宋体" w:cs="宋体"/>
          <w:b/>
          <w:bCs/>
          <w:sz w:val="21"/>
          <w:szCs w:val="21"/>
        </w:rPr>
        <w:t xml:space="preserve">系统管理功能</w:t>
      </w:r>
      <w:bookmarkEnd w:id="39"/>
      <w:r/>
      <w:bookmarkEnd w:id="40"/>
      <w:r/>
      <w:bookmarkEnd w:id="41"/>
      <w:r/>
      <w:bookmarkEnd w:id="42"/>
      <w:r/>
      <w:bookmarkEnd w:id="43"/>
      <w:r/>
      <w:r/>
    </w:p>
    <w:p>
      <w:pPr>
        <w:ind w:firstLine="422"/>
        <w:spacing w:line="360" w:lineRule="auto"/>
        <w:rPr>
          <w:rFonts w:ascii="宋体" w:hAnsi="宋体" w:eastAsia="宋体" w:cs="宋体"/>
          <w:b/>
          <w:bCs/>
          <w:sz w:val="21"/>
          <w:szCs w:val="21"/>
        </w:rPr>
      </w:pPr>
      <w:r/>
      <w:bookmarkStart w:id="44" w:name="_Toc280099633"/>
      <w:r>
        <w:rPr>
          <w:rFonts w:hint="eastAsia" w:ascii="宋体" w:hAnsi="宋体" w:eastAsia="宋体" w:cs="宋体"/>
          <w:b/>
          <w:sz w:val="21"/>
          <w:szCs w:val="21"/>
        </w:rPr>
        <w:t xml:space="preserve">A、</w:t>
      </w:r>
      <w:r>
        <w:rPr>
          <w:rFonts w:hint="eastAsia" w:ascii="宋体" w:hAnsi="宋体" w:eastAsia="宋体" w:cs="宋体"/>
          <w:b/>
          <w:bCs/>
          <w:sz w:val="21"/>
          <w:szCs w:val="21"/>
        </w:rPr>
        <w:t xml:space="preserve">交通属性管理</w:t>
      </w:r>
      <w:bookmarkEnd w:id="44"/>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配置下列属性和参数：</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区域属性；</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子区属性；</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路口属性；</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车道属性；</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相位属性；</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相序属性；</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路网属性；</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路网定位；</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线控方案；</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疏导方案；</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配时方案（线控方案）；</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其他。</w:t>
      </w:r>
      <w:r/>
    </w:p>
    <w:p>
      <w:pPr>
        <w:ind w:firstLine="422"/>
        <w:spacing w:line="360" w:lineRule="auto"/>
        <w:rPr>
          <w:rFonts w:ascii="宋体" w:hAnsi="宋体" w:eastAsia="宋体" w:cs="宋体"/>
          <w:b/>
          <w:bCs/>
          <w:sz w:val="21"/>
          <w:szCs w:val="21"/>
        </w:rPr>
      </w:pPr>
      <w:r/>
      <w:bookmarkStart w:id="45" w:name="_Toc280099635"/>
      <w:r>
        <w:rPr>
          <w:rFonts w:hint="eastAsia" w:ascii="宋体" w:hAnsi="宋体" w:eastAsia="宋体" w:cs="宋体"/>
          <w:b/>
          <w:bCs/>
          <w:sz w:val="21"/>
          <w:szCs w:val="21"/>
        </w:rPr>
        <w:t xml:space="preserve">B、用户管理</w:t>
      </w:r>
      <w:bookmarkEnd w:id="45"/>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用户管理功能包括增设用户、赋予权限、密码管理。分为调看员级、操作员级、区域操作员级、系统管理员级。</w:t>
      </w:r>
      <w:r/>
    </w:p>
    <w:p>
      <w:pPr>
        <w:ind w:firstLine="422"/>
        <w:spacing w:line="360" w:lineRule="auto"/>
        <w:rPr>
          <w:rFonts w:ascii="宋体" w:hAnsi="宋体" w:eastAsia="宋体" w:cs="宋体"/>
          <w:b/>
          <w:bCs/>
          <w:sz w:val="21"/>
          <w:szCs w:val="21"/>
        </w:rPr>
      </w:pPr>
      <w:r/>
      <w:bookmarkStart w:id="46" w:name="_Toc280099636"/>
      <w:r>
        <w:rPr>
          <w:rFonts w:hint="eastAsia" w:ascii="宋体" w:hAnsi="宋体" w:eastAsia="宋体" w:cs="宋体"/>
          <w:b/>
          <w:bCs/>
          <w:sz w:val="21"/>
          <w:szCs w:val="21"/>
        </w:rPr>
        <w:t xml:space="preserve">C、日志记录和管理</w:t>
      </w:r>
      <w:bookmarkEnd w:id="46"/>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操作员记录：操作员登录/退出时间、所有操作命令记录；</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系统运行记录：系统命令执行、控制方式与系统设备状态记录；</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系统故障记录：系统中心设备、传输设备以及路口设备故障记录；</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记录保存时间：系统至少保留最近3个月的综合日志记录；</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记录查询：可根据日期范围、时刻、控制区域、用户、路口等各种限定，方便快捷地查询各类日志记录，并能以常用表格形式打印；</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记录输出：记录文件以开放的数据格式在记录内容发生变化时随时输出。</w:t>
      </w:r>
      <w:r/>
    </w:p>
    <w:p>
      <w:pPr>
        <w:pStyle w:val="969"/>
      </w:pPr>
      <w:r>
        <w:rPr>
          <w:rFonts w:hint="eastAsia"/>
        </w:rPr>
        <w:t xml:space="preserve">主要设备性能要求</w:t>
      </w:r>
      <w:r/>
    </w:p>
    <w:p>
      <w:pPr>
        <w:pStyle w:val="970"/>
      </w:pPr>
      <w:r>
        <w:rPr>
          <w:rFonts w:hint="eastAsia"/>
        </w:rPr>
        <w:t xml:space="preserve">机动车箭头信号灯（JD400-3/15W）</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光强分布： 符合GB14887-2011  表2信号灯光强分布</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发光强度： 符合GB14887-2011 400 cd ≤ 发光中心 ≤1000 cd</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色坐标  ：符合GB14887-2011  色度性能表6</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红色625±5nm    X=0.6984，Y=0.3014</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黄色590±5nm    X=0.5802，Y=0.4137</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绿色505±4nm    X=0.0848，Y=0.5739</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灯面尺寸：Φ400mm</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供电电压：AC220V±20%  50Hz</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功    率：≤20W</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功率因数：≥0.9</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倒计时方式：</w:t>
      </w:r>
      <w:r>
        <w:rPr>
          <w:rFonts w:hint="eastAsia" w:ascii="宋体" w:hAnsi="宋体" w:eastAsia="宋体" w:cs="宋体"/>
          <w:sz w:val="21"/>
          <w:szCs w:val="21"/>
        </w:rPr>
        <w:t xml:space="preserve">在信号灯黄色发光单元内嵌“一位半”半程倒计时装置，显示红灯和绿灯相位的最后时间。红灯“倒计时”从红灯相位结束前至少13秒开始显示，其中设置全红时间路口的“倒计时”秒数相应增加；绿灯“倒计时”从绿灯相位结束前至少10秒开始显示。倒计时结束时显示数字为“1”，黄灯时倒计时不显示；红灯“倒计时”显示数字为红色，绿灯“倒计时”显示数字为绿色。</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倒计时最大显示数字19</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rPr>
        <w:t xml:space="preserve">应具备脉冲抑制功能（100～300毫秒）</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绝缘电阻：≥10M</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使用寿命：＞50000h</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抗风压：符合 GB14887-2011 的相关要求</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抗振动：符合 GB14887-2011 的相关要求</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防水、防尘措施防护等级：不低于IP54</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出线孔容纳线径： 不低于Φ20</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外壳材质：聚酸碳脂(PC)工程塑料</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含安装支架及配件</w:t>
      </w:r>
      <w:r/>
    </w:p>
    <w:p>
      <w:pPr>
        <w:pStyle w:val="970"/>
      </w:pPr>
      <w:r>
        <w:rPr>
          <w:rFonts w:hint="eastAsia"/>
        </w:rPr>
        <w:t xml:space="preserve">机动车圆盘信号灯（JD400-3/20W）</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光强分布： 符合GB14887-2011  表2信号灯光强分布</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发光强度： 符合GB14887-2011  400 cd ≤ 发光中心 ≤1000 cd</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色坐标  ：符合GB14887-2011  色度性能表6</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红色625±5nm    X=0.6984，Y=0.3014</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黄色590±5nm    X=0.5802，Y=0.4137</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绿色505±4nm    X=0.0848，Y=0.5739</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灯面尺寸：Φ400mm</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供电电压： AC220V±20%  50Hz</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功    率： ≤20W</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功率因数： ≥0.9</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倒计时方式：</w:t>
      </w:r>
      <w:r>
        <w:rPr>
          <w:rFonts w:hint="eastAsia" w:ascii="宋体" w:hAnsi="宋体" w:eastAsia="宋体" w:cs="宋体"/>
          <w:sz w:val="21"/>
          <w:szCs w:val="21"/>
        </w:rPr>
        <w:t xml:space="preserve">在信号灯黄色发光单元内嵌“一位半”半程倒计时装置，显示红灯和绿灯相位的最后时间。红灯“倒计时”从红灯相位结束前至少13秒开始显示，其中设置全红时间路口的“倒计时”秒数相应增加；绿灯“倒计时”从绿灯相位结束前至少10秒开始显示。倒计时结束时显示数字为“1”，黄灯时倒计时不显示；红灯“倒计时”显示数字为红色，绿灯“倒计时”显示数字为绿色。</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倒计时最大显示数字19</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rPr>
        <w:t xml:space="preserve">应具备脉冲抑制功能（100～300毫秒）</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绝缘电阻： ≥10M</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使用寿命： ＞50000h</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抗风压：符合 GB14887-2011 的相关要求</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抗振动：符合 GB14887-2011 的相关要求</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防水、防尘措施防护等级：不低于IP54</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出线孔容纳线径： 不低于Φ20</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外壳材质：聚酸碳脂(PC)工程塑料</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含安装支架及配件</w:t>
      </w:r>
      <w:r/>
    </w:p>
    <w:p>
      <w:pPr>
        <w:pStyle w:val="970"/>
      </w:pPr>
      <w:r>
        <w:rPr>
          <w:rFonts w:hint="eastAsia"/>
        </w:rPr>
        <w:t xml:space="preserve">机动车箭头信号灯（JD300-3/15W））</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光强分布： 符合GB14887-2011  表2信号灯光强分布</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发光强度： 符合GB14887-2011  400 cd ≤ 发光中心 ≤1000 cd</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色坐标  ：符合GB14887-2011  色度性能表6</w:t>
      </w:r>
      <w:r/>
    </w:p>
    <w:p>
      <w:pPr>
        <w:ind w:left="1188" w:firstLine="420"/>
        <w:spacing w:line="360" w:lineRule="auto"/>
        <w:rPr>
          <w:rFonts w:ascii="宋体" w:hAnsi="宋体" w:eastAsia="宋体" w:cs="宋体"/>
          <w:sz w:val="21"/>
          <w:szCs w:val="21"/>
        </w:rPr>
      </w:pPr>
      <w:r>
        <w:rPr>
          <w:rFonts w:hint="eastAsia" w:ascii="宋体" w:hAnsi="宋体" w:eastAsia="宋体" w:cs="宋体"/>
          <w:sz w:val="21"/>
          <w:szCs w:val="21"/>
        </w:rPr>
        <w:t xml:space="preserve">红色625±5nm    X=0.6984，Y=0.3014</w:t>
      </w:r>
      <w:r/>
    </w:p>
    <w:p>
      <w:pPr>
        <w:ind w:left="1188" w:firstLine="420"/>
        <w:spacing w:line="360" w:lineRule="auto"/>
        <w:rPr>
          <w:rFonts w:ascii="宋体" w:hAnsi="宋体" w:eastAsia="宋体" w:cs="宋体"/>
          <w:sz w:val="21"/>
          <w:szCs w:val="21"/>
        </w:rPr>
      </w:pPr>
      <w:r>
        <w:rPr>
          <w:rFonts w:hint="eastAsia" w:ascii="宋体" w:hAnsi="宋体" w:eastAsia="宋体" w:cs="宋体"/>
          <w:sz w:val="21"/>
          <w:szCs w:val="21"/>
        </w:rPr>
        <w:t xml:space="preserve">黄色590±5nm    X=0.5802，Y=0.4137</w:t>
      </w:r>
      <w:r/>
    </w:p>
    <w:p>
      <w:pPr>
        <w:ind w:left="1188" w:firstLine="420"/>
        <w:spacing w:line="360" w:lineRule="auto"/>
        <w:rPr>
          <w:rFonts w:ascii="宋体" w:hAnsi="宋体" w:eastAsia="宋体" w:cs="宋体"/>
          <w:sz w:val="21"/>
          <w:szCs w:val="21"/>
        </w:rPr>
      </w:pPr>
      <w:r>
        <w:rPr>
          <w:rFonts w:hint="eastAsia" w:ascii="宋体" w:hAnsi="宋体" w:eastAsia="宋体" w:cs="宋体"/>
          <w:sz w:val="21"/>
          <w:szCs w:val="21"/>
        </w:rPr>
        <w:t xml:space="preserve">绿色505±4nm    X=0.0848，Y=0.5739</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灯面尺寸：不低于Φ300mm</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供电电压： AC220V±20%  50Hz</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功    率： ≤15W</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功率因数： ≥0.9</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倒计时方式：在信号灯黄色发光单元内嵌“一位半”半程倒计时装置，显示红灯和绿灯相位的最后时间。红灯“倒计时”从红灯相位结束前至少13秒开始显示，其中设置全红时间路口的“倒计时”秒数相应增加；绿灯“倒计时”从绿灯相位结束前至少10秒开始显示。倒计时结束时显示数字为“1”，黄灯时倒计时不显示；红灯“倒计时”显示数字为红色，绿灯“倒计时”显示数字为绿色。</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应具备脉冲抑制功能（100～300毫秒）</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绝缘电阻： ≥10M</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使用寿命： ＞50000h</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抗风压： 符合 GB14887-2011 的相关要求</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抗振动： 符合 GB14887-2011 的相关要求</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防水、防尘措施防护等级：不低于IP54</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出线孔容纳线径： 不低于Φ20</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外壳材质：聚酸碳脂(PC)工程塑料</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含安装支架及配件</w:t>
      </w:r>
      <w:r/>
    </w:p>
    <w:p>
      <w:pPr>
        <w:pStyle w:val="970"/>
      </w:pPr>
      <w:r>
        <w:rPr>
          <w:rFonts w:hint="eastAsia"/>
        </w:rPr>
        <w:t xml:space="preserve">机动车圆盘信号灯（JD300-3/15W）</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光强分布： 符合GB14887-2011  表2信号灯光强分布</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发光强度： 符合GB14887-2011  400 cd ≤ 发光中心 ≤1000 cd</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色坐标  ：符合GB14887-2011  色度性能表6</w:t>
      </w:r>
      <w:r/>
    </w:p>
    <w:p>
      <w:pPr>
        <w:ind w:left="1188" w:firstLine="420"/>
        <w:spacing w:line="360" w:lineRule="auto"/>
        <w:rPr>
          <w:rFonts w:ascii="宋体" w:hAnsi="宋体" w:eastAsia="宋体" w:cs="宋体"/>
          <w:sz w:val="21"/>
          <w:szCs w:val="21"/>
        </w:rPr>
      </w:pPr>
      <w:r>
        <w:rPr>
          <w:rFonts w:hint="eastAsia" w:ascii="宋体" w:hAnsi="宋体" w:eastAsia="宋体" w:cs="宋体"/>
          <w:sz w:val="21"/>
          <w:szCs w:val="21"/>
        </w:rPr>
        <w:t xml:space="preserve">红色625±5nm    X=0.6984，Y=0.3014</w:t>
      </w:r>
      <w:r/>
    </w:p>
    <w:p>
      <w:pPr>
        <w:ind w:left="1188" w:firstLine="420"/>
        <w:spacing w:line="360" w:lineRule="auto"/>
        <w:rPr>
          <w:rFonts w:ascii="宋体" w:hAnsi="宋体" w:eastAsia="宋体" w:cs="宋体"/>
          <w:sz w:val="21"/>
          <w:szCs w:val="21"/>
        </w:rPr>
      </w:pPr>
      <w:r>
        <w:rPr>
          <w:rFonts w:hint="eastAsia" w:ascii="宋体" w:hAnsi="宋体" w:eastAsia="宋体" w:cs="宋体"/>
          <w:sz w:val="21"/>
          <w:szCs w:val="21"/>
        </w:rPr>
        <w:t xml:space="preserve">黄色590±5nm    X=0.5802，Y=0.4137</w:t>
      </w:r>
      <w:r/>
    </w:p>
    <w:p>
      <w:pPr>
        <w:ind w:left="1188" w:firstLine="420"/>
        <w:spacing w:line="360" w:lineRule="auto"/>
        <w:rPr>
          <w:rFonts w:ascii="宋体" w:hAnsi="宋体" w:eastAsia="宋体" w:cs="宋体"/>
          <w:sz w:val="21"/>
          <w:szCs w:val="21"/>
        </w:rPr>
      </w:pPr>
      <w:r>
        <w:rPr>
          <w:rFonts w:hint="eastAsia" w:ascii="宋体" w:hAnsi="宋体" w:eastAsia="宋体" w:cs="宋体"/>
          <w:sz w:val="21"/>
          <w:szCs w:val="21"/>
        </w:rPr>
        <w:t xml:space="preserve">绿色505±4nm    X=0.0848，Y=0.5739</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灯面尺寸：Φ300mm</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供电电压： AC220V±20%  50Hz</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功    率： ≤15W</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功率因数： ≥0.9</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倒计时方式：在信号灯黄色发光单元内嵌“一位半”半程倒计时装置，显示红灯和绿灯相位的最后时间。红灯“倒计时”从红灯相位结束前至少13秒开始显示，其中设置全红时间路口的“倒计时”秒数相应增加；绿灯“倒计时”从绿灯相位结束前至少10秒开始显示。倒计时结束时显示数字为“1”，黄灯时倒计时不显示；红灯“倒计时”显示数字为红色，绿灯“倒计时”显示数字为绿色。</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应具备脉冲抑制功能（100～300毫秒）</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绝缘电阻： ≥10M</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使用寿命： ＞50000h</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抗风压： 符合 GB14887-2011 的相关要求</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抗振动： 符合 GB14887-2011 的相关要求</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防水、防尘措施防护等级：不低于IP54</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出线孔容纳线径： 不低于Φ20</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外壳材质：聚酸碳脂(PC)工程塑料</w:t>
      </w:r>
      <w:r/>
    </w:p>
    <w:p>
      <w:pPr>
        <w:ind w:firstLine="420"/>
        <w:spacing w:line="360" w:lineRule="auto"/>
        <w:rPr>
          <w:rFonts w:ascii="宋体" w:hAnsi="宋体" w:eastAsia="宋体" w:cs="宋体"/>
          <w:b/>
          <w:sz w:val="21"/>
          <w:szCs w:val="21"/>
        </w:rPr>
      </w:pPr>
      <w:r>
        <w:rPr>
          <w:rFonts w:hint="eastAsia" w:ascii="宋体" w:hAnsi="宋体" w:eastAsia="宋体" w:cs="宋体"/>
          <w:sz w:val="21"/>
          <w:szCs w:val="21"/>
        </w:rPr>
        <w:t xml:space="preserve">含安装支架及配件</w:t>
      </w:r>
      <w:r/>
    </w:p>
    <w:p>
      <w:pPr>
        <w:pStyle w:val="970"/>
      </w:pPr>
      <w:r>
        <w:rPr>
          <w:rFonts w:hint="eastAsia"/>
        </w:rPr>
        <w:t xml:space="preserve">交通信号控制机</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信号机由由室外机柜、控制机箱、配电机箱、接线底板、接线侧板、手动控制机构、照明设备等部分组成，应无缝接入现有信号控制平台；</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通讯输入：多种模式（网络、串口、并口）交通数据接入通讯板；</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上位机通信接口：RS232C 串口、以太网口；</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手持终端或其它终端设备通信接口：RS232C串口；</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灯控制输出：不低于48 路；</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相位不小于32；</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信号组冲突表不小于32；</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配时方案不小于64；</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故障检测：信号灯驱动回路故障检测、绿冲突故障检测（按照冲突表）、红灯不亮故障检测与同组红绿灯同亮故障检测；</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符合《道路交通信号控制机》GB25280-2016中的C类标准；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支持流量检测设备网络接入；</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提供三年质保服务，同时在质保期内配置2名运维人员。</w:t>
      </w:r>
      <w:r/>
    </w:p>
    <w:p>
      <w:pPr>
        <w:pStyle w:val="993"/>
        <w:ind w:firstLine="420"/>
        <w:rPr>
          <w:rFonts w:ascii="宋体" w:hAnsi="宋体" w:eastAsia="宋体" w:cs="宋体"/>
          <w:sz w:val="21"/>
          <w:szCs w:val="21"/>
        </w:rPr>
      </w:pPr>
      <w:r>
        <w:rPr>
          <w:rFonts w:ascii="宋体" w:hAnsi="宋体" w:eastAsia="宋体" w:cs="宋体"/>
          <w:sz w:val="21"/>
          <w:szCs w:val="21"/>
        </w:rPr>
      </w:r>
      <w:r/>
    </w:p>
    <w:p>
      <w:pPr>
        <w:pStyle w:val="968"/>
      </w:pPr>
      <w:r>
        <w:rPr>
          <w:rFonts w:hint="eastAsia"/>
        </w:rPr>
        <w:t xml:space="preserve">交通信息采集系统</w:t>
      </w:r>
      <w:r/>
    </w:p>
    <w:p>
      <w:pPr>
        <w:pStyle w:val="969"/>
      </w:pPr>
      <w:r>
        <w:rPr>
          <w:rFonts w:hint="eastAsia"/>
        </w:rPr>
        <w:t xml:space="preserve">功能要求</w:t>
      </w:r>
      <w:r/>
    </w:p>
    <w:p>
      <w:pPr>
        <w:pStyle w:val="1116"/>
        <w:ind w:right="66" w:firstLine="430"/>
        <w:spacing w:line="372" w:lineRule="auto"/>
        <w:rPr>
          <w:rFonts w:eastAsia="宋体" w:cs="宋体"/>
          <w:b/>
          <w:bCs/>
          <w:sz w:val="21"/>
          <w:szCs w:val="21"/>
        </w:rPr>
      </w:pPr>
      <w:r>
        <w:rPr>
          <w:rFonts w:hint="eastAsia" w:eastAsia="宋体" w:cs="宋体"/>
          <w:b/>
          <w:bCs/>
          <w:sz w:val="21"/>
          <w:szCs w:val="21"/>
        </w:rPr>
        <w:t xml:space="preserve">设备功能包含但不限于以下功能，施工单位进场后，需对设备功能进行深化，以满足业主的要求为准。</w:t>
      </w:r>
      <w:r/>
    </w:p>
    <w:p>
      <w:pPr>
        <w:pStyle w:val="1116"/>
        <w:ind w:right="66" w:firstLine="430"/>
        <w:spacing w:line="372" w:lineRule="auto"/>
        <w:rPr>
          <w:rFonts w:eastAsia="宋体" w:cs="宋体"/>
          <w:b/>
          <w:bCs/>
          <w:sz w:val="21"/>
          <w:szCs w:val="21"/>
          <w:lang w:eastAsia="zh-Hans"/>
        </w:rPr>
      </w:pPr>
      <w:r/>
      <w:bookmarkStart w:id="47" w:name="_Toc421653794"/>
      <w:r>
        <w:rPr>
          <w:rFonts w:hint="eastAsia" w:eastAsia="宋体" w:cs="宋体"/>
          <w:b/>
          <w:bCs/>
          <w:sz w:val="21"/>
          <w:szCs w:val="21"/>
          <w:lang w:eastAsia="zh-Hans"/>
        </w:rPr>
        <w:t xml:space="preserve">交通信息采集功能</w:t>
      </w:r>
      <w:bookmarkEnd w:id="47"/>
      <w:r/>
      <w:r/>
    </w:p>
    <w:p>
      <w:pPr>
        <w:pStyle w:val="1116"/>
        <w:ind w:right="66" w:firstLine="428"/>
        <w:spacing w:line="372" w:lineRule="auto"/>
        <w:rPr>
          <w:rFonts w:eastAsia="宋体" w:cs="宋体"/>
          <w:sz w:val="21"/>
          <w:szCs w:val="21"/>
        </w:rPr>
      </w:pPr>
      <w:r>
        <w:rPr>
          <w:rFonts w:hint="eastAsia" w:eastAsia="宋体" w:cs="宋体"/>
          <w:sz w:val="21"/>
          <w:szCs w:val="21"/>
        </w:rPr>
        <w:t xml:space="preserve">采集用于进行交通状态处理、统计分析及态势研判所需的路口参数。</w:t>
      </w:r>
      <w:r/>
    </w:p>
    <w:p>
      <w:pPr>
        <w:pStyle w:val="1116"/>
        <w:ind w:right="66" w:firstLine="428"/>
        <w:spacing w:line="372" w:lineRule="auto"/>
        <w:rPr>
          <w:rFonts w:eastAsia="宋体" w:cs="宋体"/>
          <w:sz w:val="21"/>
          <w:szCs w:val="21"/>
        </w:rPr>
      </w:pPr>
      <w:r>
        <w:rPr>
          <w:rFonts w:hint="eastAsia" w:eastAsia="宋体" w:cs="宋体"/>
          <w:sz w:val="21"/>
          <w:szCs w:val="21"/>
        </w:rPr>
        <w:t xml:space="preserve">路</w:t>
      </w:r>
      <w:r>
        <w:rPr>
          <w:rFonts w:hint="eastAsia" w:eastAsia="宋体" w:cs="宋体"/>
          <w:sz w:val="21"/>
          <w:szCs w:val="21"/>
          <w:lang w:eastAsia="zh-Hans"/>
        </w:rPr>
        <w:t xml:space="preserve">口</w:t>
      </w:r>
      <w:r>
        <w:rPr>
          <w:rFonts w:hint="eastAsia" w:eastAsia="宋体" w:cs="宋体"/>
          <w:sz w:val="21"/>
          <w:szCs w:val="21"/>
        </w:rPr>
        <w:t xml:space="preserve">采集的数据汇聚功能主要实现本项目中布设的微波采集设备采集的</w:t>
      </w:r>
      <w:r>
        <w:rPr>
          <w:rFonts w:hint="eastAsia" w:eastAsia="宋体" w:cs="宋体"/>
          <w:sz w:val="21"/>
          <w:szCs w:val="21"/>
          <w:lang w:eastAsia="zh-Hans"/>
        </w:rPr>
        <w:t xml:space="preserve">路口</w:t>
      </w:r>
      <w:r>
        <w:rPr>
          <w:rFonts w:hint="eastAsia" w:eastAsia="宋体" w:cs="宋体"/>
          <w:sz w:val="21"/>
          <w:szCs w:val="21"/>
        </w:rPr>
        <w:t xml:space="preserve">交通参数的汇聚。</w:t>
      </w:r>
      <w:r/>
    </w:p>
    <w:p>
      <w:pPr>
        <w:pStyle w:val="1116"/>
        <w:ind w:right="66" w:firstLine="430"/>
        <w:spacing w:line="372" w:lineRule="auto"/>
        <w:rPr>
          <w:rFonts w:eastAsia="宋体" w:cs="宋体"/>
          <w:b/>
          <w:bCs/>
          <w:sz w:val="21"/>
          <w:szCs w:val="21"/>
          <w:lang w:eastAsia="zh-Hans"/>
        </w:rPr>
      </w:pPr>
      <w:r/>
      <w:bookmarkStart w:id="48" w:name="_Toc421653795"/>
      <w:r>
        <w:rPr>
          <w:rFonts w:hint="eastAsia" w:eastAsia="宋体" w:cs="宋体"/>
          <w:b/>
          <w:bCs/>
          <w:sz w:val="21"/>
          <w:szCs w:val="21"/>
          <w:lang w:eastAsia="zh-Hans"/>
        </w:rPr>
        <w:t xml:space="preserve">交通信息处理功能</w:t>
      </w:r>
      <w:bookmarkEnd w:id="48"/>
      <w:r/>
      <w:r/>
    </w:p>
    <w:p>
      <w:pPr>
        <w:pStyle w:val="1116"/>
        <w:ind w:right="66" w:firstLine="428"/>
        <w:spacing w:line="372" w:lineRule="auto"/>
        <w:rPr>
          <w:rFonts w:eastAsia="宋体" w:cs="宋体"/>
          <w:sz w:val="21"/>
          <w:szCs w:val="21"/>
        </w:rPr>
      </w:pPr>
      <w:r>
        <w:rPr>
          <w:rFonts w:hint="eastAsia" w:eastAsia="宋体" w:cs="宋体"/>
          <w:sz w:val="21"/>
          <w:szCs w:val="21"/>
        </w:rPr>
        <w:t xml:space="preserve">由于用于交通状态处理的交通信息来源的渠道比较多，有通过信号控制系统采集的交通流数据，有路</w:t>
      </w:r>
      <w:r>
        <w:rPr>
          <w:rFonts w:hint="eastAsia" w:eastAsia="宋体" w:cs="宋体"/>
          <w:sz w:val="21"/>
          <w:szCs w:val="21"/>
          <w:lang w:eastAsia="zh-Hans"/>
        </w:rPr>
        <w:t xml:space="preserve">口</w:t>
      </w:r>
      <w:r>
        <w:rPr>
          <w:rFonts w:hint="eastAsia" w:eastAsia="宋体" w:cs="宋体"/>
          <w:sz w:val="21"/>
          <w:szCs w:val="21"/>
        </w:rPr>
        <w:t xml:space="preserve">布设的采集设备采集的交通流数据，还有</w:t>
      </w:r>
      <w:r>
        <w:rPr>
          <w:rFonts w:hint="eastAsia" w:eastAsia="宋体" w:cs="宋体"/>
          <w:sz w:val="21"/>
          <w:szCs w:val="21"/>
          <w:lang w:eastAsia="zh-Hans"/>
        </w:rPr>
        <w:t xml:space="preserve">电警、卡口</w:t>
      </w:r>
      <w:r>
        <w:rPr>
          <w:rFonts w:hint="eastAsia" w:eastAsia="宋体" w:cs="宋体"/>
          <w:sz w:val="21"/>
          <w:szCs w:val="21"/>
        </w:rPr>
        <w:t xml:space="preserve">等设备采集的交通流数据，这类数据由于采集的要求存在不一致的情况，部分设备随着时间的推移，难以避免出现故障，因此在后续进行交通状态处理时，首先应对该类数据进行预处理，使之标准化、准确化，从而提升处理的效率和处理结果的准确性。</w:t>
      </w:r>
      <w:r/>
    </w:p>
    <w:p>
      <w:pPr>
        <w:pStyle w:val="1116"/>
        <w:ind w:right="66" w:firstLine="430"/>
        <w:spacing w:line="372" w:lineRule="auto"/>
        <w:rPr>
          <w:rFonts w:eastAsia="宋体" w:cs="宋体"/>
          <w:b/>
          <w:bCs/>
          <w:sz w:val="21"/>
          <w:szCs w:val="21"/>
          <w:lang w:eastAsia="zh-Hans"/>
        </w:rPr>
      </w:pPr>
      <w:r/>
      <w:bookmarkStart w:id="49" w:name="_Toc421653797"/>
      <w:r>
        <w:rPr>
          <w:rFonts w:hint="eastAsia" w:eastAsia="宋体" w:cs="宋体"/>
          <w:b/>
          <w:bCs/>
          <w:sz w:val="21"/>
          <w:szCs w:val="21"/>
          <w:lang w:eastAsia="zh-Hans"/>
        </w:rPr>
        <w:t xml:space="preserve">交通流量统计分析功能</w:t>
      </w:r>
      <w:bookmarkEnd w:id="49"/>
      <w:r/>
      <w:r/>
    </w:p>
    <w:p>
      <w:pPr>
        <w:pStyle w:val="1116"/>
        <w:ind w:right="66" w:firstLine="428"/>
        <w:spacing w:line="372" w:lineRule="auto"/>
        <w:rPr>
          <w:rFonts w:eastAsia="宋体" w:cs="宋体"/>
          <w:sz w:val="21"/>
          <w:szCs w:val="21"/>
        </w:rPr>
      </w:pPr>
      <w:r>
        <w:rPr>
          <w:rFonts w:hint="eastAsia" w:eastAsia="宋体" w:cs="宋体"/>
          <w:sz w:val="21"/>
          <w:szCs w:val="21"/>
        </w:rPr>
        <w:t xml:space="preserve">交通流量统计分析功能包括：</w:t>
      </w:r>
      <w:r/>
    </w:p>
    <w:p>
      <w:pPr>
        <w:pStyle w:val="1116"/>
        <w:ind w:right="66" w:firstLine="428"/>
        <w:spacing w:line="372" w:lineRule="auto"/>
        <w:rPr>
          <w:rFonts w:eastAsia="宋体" w:cs="宋体"/>
          <w:sz w:val="21"/>
          <w:szCs w:val="21"/>
        </w:rPr>
      </w:pPr>
      <w:r>
        <w:rPr>
          <w:rFonts w:hint="eastAsia" w:eastAsia="宋体" w:cs="宋体"/>
          <w:sz w:val="21"/>
          <w:szCs w:val="21"/>
        </w:rPr>
        <w:t xml:space="preserve">（1）报告数据汇集</w:t>
      </w:r>
      <w:r/>
    </w:p>
    <w:p>
      <w:pPr>
        <w:pStyle w:val="1116"/>
        <w:ind w:right="66" w:firstLine="428"/>
        <w:spacing w:line="372" w:lineRule="auto"/>
        <w:rPr>
          <w:rFonts w:eastAsia="宋体" w:cs="宋体"/>
          <w:sz w:val="21"/>
          <w:szCs w:val="21"/>
        </w:rPr>
      </w:pPr>
      <w:r>
        <w:rPr>
          <w:rFonts w:hint="eastAsia" w:eastAsia="宋体" w:cs="宋体"/>
          <w:sz w:val="21"/>
          <w:szCs w:val="21"/>
        </w:rPr>
        <w:t xml:space="preserve">对道路交通流量、占有率、交通拥挤度等进行统计分析，形成设定时间、区域范围内的交通流统计分析报告。</w:t>
      </w:r>
      <w:r/>
    </w:p>
    <w:p>
      <w:pPr>
        <w:pStyle w:val="1116"/>
        <w:ind w:right="66" w:firstLine="428"/>
        <w:spacing w:line="372" w:lineRule="auto"/>
        <w:rPr>
          <w:rFonts w:eastAsia="宋体" w:cs="宋体"/>
          <w:sz w:val="21"/>
          <w:szCs w:val="21"/>
        </w:rPr>
      </w:pPr>
      <w:r>
        <w:rPr>
          <w:rFonts w:hint="eastAsia" w:eastAsia="宋体" w:cs="宋体"/>
          <w:sz w:val="21"/>
          <w:szCs w:val="21"/>
        </w:rPr>
        <w:t xml:space="preserve">（2）报告数据挖掘</w:t>
      </w:r>
      <w:r/>
    </w:p>
    <w:p>
      <w:pPr>
        <w:pStyle w:val="1116"/>
        <w:ind w:right="66" w:firstLine="428"/>
        <w:spacing w:line="372" w:lineRule="auto"/>
        <w:rPr>
          <w:rFonts w:eastAsia="宋体" w:cs="宋体"/>
          <w:sz w:val="21"/>
          <w:szCs w:val="21"/>
        </w:rPr>
      </w:pPr>
      <w:r>
        <w:rPr>
          <w:rFonts w:hint="eastAsia" w:eastAsia="宋体" w:cs="宋体"/>
          <w:sz w:val="21"/>
          <w:szCs w:val="21"/>
        </w:rPr>
        <w:t xml:space="preserve">统计分析时，可以对同一道路不同时间以及不同道路相同时间的交通数据进行横向、纵向对比，进行深度的数据挖掘。</w:t>
      </w:r>
      <w:r/>
    </w:p>
    <w:p>
      <w:pPr>
        <w:pStyle w:val="1116"/>
        <w:ind w:right="66" w:firstLine="428"/>
        <w:spacing w:line="372" w:lineRule="auto"/>
        <w:rPr>
          <w:rFonts w:eastAsia="宋体" w:cs="宋体"/>
          <w:sz w:val="21"/>
          <w:szCs w:val="21"/>
        </w:rPr>
      </w:pPr>
      <w:r>
        <w:rPr>
          <w:rFonts w:hint="eastAsia" w:eastAsia="宋体" w:cs="宋体"/>
          <w:sz w:val="21"/>
          <w:szCs w:val="21"/>
        </w:rPr>
        <w:t xml:space="preserve">（3）报告数据展示</w:t>
      </w:r>
      <w:r/>
    </w:p>
    <w:p>
      <w:pPr>
        <w:pStyle w:val="1116"/>
        <w:ind w:right="66" w:firstLine="428"/>
        <w:spacing w:line="372" w:lineRule="auto"/>
        <w:rPr>
          <w:rFonts w:eastAsia="宋体" w:cs="宋体"/>
          <w:sz w:val="21"/>
          <w:szCs w:val="21"/>
        </w:rPr>
      </w:pPr>
      <w:r>
        <w:rPr>
          <w:rFonts w:hint="eastAsia" w:eastAsia="宋体" w:cs="宋体"/>
          <w:sz w:val="21"/>
          <w:szCs w:val="21"/>
        </w:rPr>
        <w:t xml:space="preserve">统计分析报告可以以表格、直方图、曲线、折线图等方式进行显示。</w:t>
      </w:r>
      <w:r/>
    </w:p>
    <w:p>
      <w:pPr>
        <w:pStyle w:val="1116"/>
        <w:ind w:right="66" w:firstLine="430"/>
        <w:spacing w:line="372" w:lineRule="auto"/>
        <w:rPr>
          <w:rFonts w:eastAsia="宋体" w:cs="宋体"/>
          <w:b/>
          <w:bCs/>
          <w:sz w:val="21"/>
          <w:szCs w:val="21"/>
          <w:lang w:eastAsia="zh-Hans"/>
        </w:rPr>
      </w:pPr>
      <w:r/>
      <w:bookmarkStart w:id="50" w:name="_Toc421653798"/>
      <w:r>
        <w:rPr>
          <w:rFonts w:hint="eastAsia" w:eastAsia="宋体" w:cs="宋体"/>
          <w:b/>
          <w:bCs/>
          <w:sz w:val="21"/>
          <w:szCs w:val="21"/>
          <w:lang w:eastAsia="zh-Hans"/>
        </w:rPr>
        <w:t xml:space="preserve">交通态势研判功能</w:t>
      </w:r>
      <w:bookmarkEnd w:id="50"/>
      <w:r/>
      <w:r/>
    </w:p>
    <w:p>
      <w:pPr>
        <w:pStyle w:val="1116"/>
        <w:ind w:right="66" w:firstLine="428"/>
        <w:spacing w:line="372" w:lineRule="auto"/>
        <w:rPr>
          <w:rFonts w:eastAsia="宋体" w:cs="宋体"/>
          <w:sz w:val="21"/>
          <w:szCs w:val="21"/>
        </w:rPr>
      </w:pPr>
      <w:r>
        <w:rPr>
          <w:rFonts w:hint="eastAsia" w:eastAsia="宋体" w:cs="宋体"/>
          <w:sz w:val="21"/>
          <w:szCs w:val="21"/>
        </w:rPr>
        <w:t xml:space="preserve">交通态势研判功能主要包括：</w:t>
      </w:r>
      <w:r/>
    </w:p>
    <w:p>
      <w:pPr>
        <w:pStyle w:val="1116"/>
        <w:ind w:right="66" w:firstLine="428"/>
        <w:spacing w:line="372" w:lineRule="auto"/>
        <w:rPr>
          <w:rFonts w:eastAsia="宋体" w:cs="宋体"/>
          <w:sz w:val="21"/>
          <w:szCs w:val="21"/>
        </w:rPr>
      </w:pPr>
      <w:r>
        <w:rPr>
          <w:rFonts w:hint="eastAsia" w:eastAsia="宋体" w:cs="宋体"/>
          <w:sz w:val="21"/>
          <w:szCs w:val="21"/>
        </w:rPr>
        <w:t xml:space="preserve">（1）交通状态评估</w:t>
      </w:r>
      <w:r/>
    </w:p>
    <w:p>
      <w:pPr>
        <w:pStyle w:val="1116"/>
        <w:ind w:right="66" w:firstLine="428"/>
        <w:spacing w:line="372" w:lineRule="auto"/>
        <w:rPr>
          <w:rFonts w:eastAsia="宋体" w:cs="宋体"/>
          <w:sz w:val="21"/>
          <w:szCs w:val="21"/>
        </w:rPr>
      </w:pPr>
      <w:r>
        <w:rPr>
          <w:rFonts w:hint="eastAsia" w:eastAsia="宋体" w:cs="宋体"/>
          <w:sz w:val="21"/>
          <w:szCs w:val="21"/>
        </w:rPr>
        <w:t xml:space="preserve">根据实时生成的交通状态信息，设定需要关注的告警范围和阈值，以提示相关交通管理人员维持交通秩序、进行交通疏导。</w:t>
      </w:r>
      <w:r/>
    </w:p>
    <w:p>
      <w:pPr>
        <w:pStyle w:val="1116"/>
        <w:ind w:right="66" w:firstLine="428"/>
        <w:spacing w:line="372" w:lineRule="auto"/>
        <w:rPr>
          <w:rFonts w:eastAsia="宋体" w:cs="宋体"/>
          <w:sz w:val="21"/>
          <w:szCs w:val="21"/>
        </w:rPr>
      </w:pPr>
      <w:r>
        <w:rPr>
          <w:rFonts w:hint="eastAsia" w:eastAsia="宋体" w:cs="宋体"/>
          <w:sz w:val="21"/>
          <w:szCs w:val="21"/>
        </w:rPr>
        <w:t xml:space="preserve">（2）交通状态研判</w:t>
      </w:r>
      <w:r/>
    </w:p>
    <w:p>
      <w:pPr>
        <w:pStyle w:val="1116"/>
        <w:ind w:right="66" w:firstLine="428"/>
        <w:spacing w:line="372" w:lineRule="auto"/>
        <w:rPr>
          <w:rFonts w:eastAsia="宋体" w:cs="宋体"/>
          <w:sz w:val="21"/>
          <w:szCs w:val="21"/>
        </w:rPr>
      </w:pPr>
      <w:r>
        <w:rPr>
          <w:rFonts w:hint="eastAsia" w:eastAsia="宋体" w:cs="宋体"/>
          <w:sz w:val="21"/>
          <w:szCs w:val="21"/>
        </w:rPr>
        <w:t xml:space="preserve">根据数据的统计分析结果，建立研判指标体系，如基于流量特性、占有率拥堵检测、以浮动车样本平均车速进行拥堵评判等，建立区域路网内的的多样式综合研判标准，最后得到路况研判结论数据。</w:t>
      </w:r>
      <w:r/>
    </w:p>
    <w:p>
      <w:pPr>
        <w:pStyle w:val="969"/>
        <w:rPr>
          <w:lang w:eastAsia="zh-Hans"/>
        </w:rPr>
      </w:pPr>
      <w:r/>
      <w:bookmarkStart w:id="51" w:name="_Toc279946715"/>
      <w:r/>
      <w:bookmarkStart w:id="52" w:name="_Toc90590946"/>
      <w:r>
        <w:rPr>
          <w:rFonts w:hint="eastAsia"/>
          <w:lang w:eastAsia="zh-Hans"/>
        </w:rPr>
        <w:t xml:space="preserve">系统性能指标</w:t>
      </w:r>
      <w:bookmarkEnd w:id="51"/>
      <w:r/>
      <w:bookmarkEnd w:id="52"/>
      <w:r/>
      <w:r/>
    </w:p>
    <w:p>
      <w:pPr>
        <w:pStyle w:val="1116"/>
        <w:ind w:right="66" w:firstLine="428"/>
        <w:spacing w:line="372" w:lineRule="auto"/>
        <w:rPr>
          <w:rFonts w:eastAsia="宋体" w:cs="宋体"/>
          <w:sz w:val="21"/>
          <w:szCs w:val="21"/>
        </w:rPr>
      </w:pPr>
      <w:r>
        <w:rPr>
          <w:rFonts w:hint="eastAsia" w:eastAsia="宋体" w:cs="宋体"/>
          <w:sz w:val="21"/>
          <w:szCs w:val="21"/>
        </w:rPr>
        <w:t xml:space="preserve">（1）实时性要求</w:t>
      </w:r>
      <w:r/>
    </w:p>
    <w:p>
      <w:pPr>
        <w:pStyle w:val="1116"/>
        <w:ind w:right="66" w:firstLine="428"/>
        <w:spacing w:line="372" w:lineRule="auto"/>
        <w:rPr>
          <w:rFonts w:eastAsia="宋体" w:cs="宋体"/>
          <w:sz w:val="21"/>
          <w:szCs w:val="21"/>
        </w:rPr>
      </w:pPr>
      <w:r>
        <w:rPr>
          <w:rFonts w:hint="eastAsia" w:eastAsia="宋体" w:cs="宋体"/>
          <w:sz w:val="21"/>
          <w:szCs w:val="21"/>
        </w:rPr>
        <w:t xml:space="preserve">数据采集周期应为10s～60s可调，一般为20s。</w:t>
      </w:r>
      <w:r/>
    </w:p>
    <w:p>
      <w:pPr>
        <w:pStyle w:val="1116"/>
        <w:ind w:right="66" w:firstLine="428"/>
        <w:spacing w:line="372" w:lineRule="auto"/>
        <w:rPr>
          <w:rFonts w:eastAsia="宋体" w:cs="宋体"/>
          <w:sz w:val="21"/>
          <w:szCs w:val="21"/>
        </w:rPr>
      </w:pPr>
      <w:r>
        <w:rPr>
          <w:rFonts w:hint="eastAsia" w:eastAsia="宋体" w:cs="宋体"/>
          <w:sz w:val="21"/>
          <w:szCs w:val="21"/>
        </w:rPr>
        <w:t xml:space="preserve">对快速路网内同一条道路的交通参数采集同步误差不大于100ms，交通参数的传输时延不大于1s。</w:t>
      </w:r>
      <w:r/>
    </w:p>
    <w:p>
      <w:pPr>
        <w:pStyle w:val="1116"/>
        <w:ind w:right="66" w:firstLine="428"/>
        <w:spacing w:line="372" w:lineRule="auto"/>
        <w:rPr>
          <w:rFonts w:eastAsia="宋体" w:cs="宋体"/>
          <w:sz w:val="21"/>
          <w:szCs w:val="21"/>
        </w:rPr>
      </w:pPr>
      <w:r>
        <w:rPr>
          <w:rFonts w:hint="eastAsia" w:eastAsia="宋体" w:cs="宋体"/>
          <w:sz w:val="21"/>
          <w:szCs w:val="21"/>
        </w:rPr>
        <w:t xml:space="preserve">（2）准确性要求</w:t>
      </w:r>
      <w:r/>
    </w:p>
    <w:p>
      <w:pPr>
        <w:pStyle w:val="1116"/>
        <w:ind w:right="66" w:firstLine="428"/>
        <w:spacing w:line="372" w:lineRule="auto"/>
        <w:rPr>
          <w:rFonts w:eastAsia="宋体" w:cs="宋体"/>
          <w:sz w:val="21"/>
          <w:szCs w:val="21"/>
        </w:rPr>
      </w:pPr>
      <w:r>
        <w:rPr>
          <w:rFonts w:hint="eastAsia" w:eastAsia="宋体" w:cs="宋体"/>
          <w:sz w:val="21"/>
          <w:szCs w:val="21"/>
        </w:rPr>
        <w:t xml:space="preserve">1）交通流量精度</w:t>
      </w:r>
      <w:r/>
    </w:p>
    <w:p>
      <w:pPr>
        <w:pStyle w:val="1116"/>
        <w:ind w:right="66" w:firstLine="428"/>
        <w:spacing w:line="372" w:lineRule="auto"/>
        <w:rPr>
          <w:rFonts w:eastAsia="宋体" w:cs="宋体"/>
          <w:sz w:val="21"/>
          <w:szCs w:val="21"/>
        </w:rPr>
      </w:pPr>
      <w:r>
        <w:rPr>
          <w:rFonts w:hint="eastAsia" w:eastAsia="宋体" w:cs="宋体"/>
          <w:sz w:val="21"/>
          <w:szCs w:val="21"/>
        </w:rPr>
        <w:t xml:space="preserve">检测设备在测试时间段内检测的通过车辆计数值与实际通过检测断面的车辆数之比，要求：≥95％；</w:t>
      </w:r>
      <w:r/>
    </w:p>
    <w:p>
      <w:pPr>
        <w:pStyle w:val="1116"/>
        <w:ind w:right="66" w:firstLine="428"/>
        <w:spacing w:line="372" w:lineRule="auto"/>
        <w:rPr>
          <w:rFonts w:eastAsia="宋体" w:cs="宋体"/>
          <w:sz w:val="21"/>
          <w:szCs w:val="21"/>
        </w:rPr>
      </w:pPr>
      <w:r>
        <w:rPr>
          <w:rFonts w:hint="eastAsia" w:eastAsia="宋体" w:cs="宋体"/>
          <w:sz w:val="21"/>
          <w:szCs w:val="21"/>
        </w:rPr>
        <w:t xml:space="preserve">2）平均速度精度</w:t>
      </w:r>
      <w:r/>
    </w:p>
    <w:p>
      <w:pPr>
        <w:pStyle w:val="1116"/>
        <w:ind w:right="66" w:firstLine="428"/>
        <w:spacing w:line="372" w:lineRule="auto"/>
        <w:rPr>
          <w:rFonts w:eastAsia="宋体" w:cs="宋体"/>
          <w:sz w:val="21"/>
          <w:szCs w:val="21"/>
        </w:rPr>
      </w:pPr>
      <w:r>
        <w:rPr>
          <w:rFonts w:hint="eastAsia" w:eastAsia="宋体" w:cs="宋体"/>
          <w:sz w:val="21"/>
          <w:szCs w:val="21"/>
        </w:rPr>
        <w:t xml:space="preserve">检测设备在测试时间段内检测到的通过车辆速度算术平均值与实际通过检测断面的车辆速度算术平均值之比，要求：≥90％；</w:t>
      </w:r>
      <w:r/>
    </w:p>
    <w:p>
      <w:pPr>
        <w:pStyle w:val="1116"/>
        <w:ind w:right="66" w:firstLine="428"/>
        <w:spacing w:line="372" w:lineRule="auto"/>
        <w:rPr>
          <w:rFonts w:eastAsia="宋体" w:cs="宋体"/>
          <w:sz w:val="21"/>
          <w:szCs w:val="21"/>
        </w:rPr>
      </w:pPr>
      <w:r>
        <w:rPr>
          <w:rFonts w:hint="eastAsia" w:eastAsia="宋体" w:cs="宋体"/>
          <w:sz w:val="21"/>
          <w:szCs w:val="21"/>
        </w:rPr>
        <w:t xml:space="preserve">3）时间占有率精度</w:t>
      </w:r>
      <w:r/>
    </w:p>
    <w:p>
      <w:pPr>
        <w:pStyle w:val="1116"/>
        <w:ind w:right="66" w:firstLine="428"/>
        <w:spacing w:line="372" w:lineRule="auto"/>
        <w:rPr>
          <w:rFonts w:eastAsia="宋体" w:cs="宋体"/>
          <w:sz w:val="21"/>
          <w:szCs w:val="21"/>
        </w:rPr>
      </w:pPr>
      <w:r>
        <w:rPr>
          <w:rFonts w:hint="eastAsia" w:eastAsia="宋体" w:cs="宋体"/>
          <w:sz w:val="21"/>
          <w:szCs w:val="21"/>
        </w:rPr>
        <w:t xml:space="preserve">检测设备在测试时间段内检测到的通过车辆的时间占有率值与实际通过检测断面的车辆的时间占有率值之比，要求：≥90％</w:t>
      </w:r>
      <w:r/>
    </w:p>
    <w:p>
      <w:pPr>
        <w:pStyle w:val="969"/>
      </w:pPr>
      <w:r>
        <w:rPr>
          <w:rFonts w:hint="eastAsia"/>
        </w:rPr>
        <w:t xml:space="preserve">主要设备性能要求</w:t>
      </w:r>
      <w:r/>
    </w:p>
    <w:p>
      <w:pPr>
        <w:pStyle w:val="970"/>
      </w:pPr>
      <w:r>
        <w:rPr>
          <w:rFonts w:hint="eastAsia"/>
        </w:rPr>
        <w:t xml:space="preserve">雷视一体机</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应采用符合工信部规定的频段；</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采用一体化结构，内含雷达、视频摄像机、补光灯；</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视频不低于800万像素，图片分辨率不低于3840×2160；</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应支持雷达检测和视频检测结果坐标融合，支持自动识别标底，自动标定；</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应支持实时显示目标的相对位置坐标输出、车道号、速度、航向角；</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应支持对雷达参数进行设置，包括检测速度、原点坐标、车道数、车道宽度、方向、架设高度、距离修正参数、角度修正参数；</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应支持目标轨迹跟踪和显示，可在WEB端展示目标轨迹；</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应支持实时输出目标的结构化信息，结构化信息包括车牌号、车牌颜色、车辆类型、车辆颜色、速度、车道号等；</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应支持对行车方向进行设置，并可通过客户端软件显示车辆行驶方向，包括来向，去向和双向；</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应支持检测的机动车车道数量≥1</w:t>
      </w:r>
      <w:r>
        <w:rPr>
          <w:rFonts w:ascii="宋体" w:hAnsi="宋体" w:eastAsia="宋体" w:cs="宋体"/>
          <w:sz w:val="21"/>
          <w:szCs w:val="21"/>
        </w:rPr>
        <w:t xml:space="preserve">0</w:t>
      </w:r>
      <w:r>
        <w:rPr>
          <w:rFonts w:hint="eastAsia" w:ascii="宋体" w:hAnsi="宋体" w:eastAsia="宋体" w:cs="宋体"/>
          <w:sz w:val="21"/>
          <w:szCs w:val="21"/>
        </w:rPr>
        <w:t xml:space="preserve">个；</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应支持对距离样机≥100米处的行人进行检测；</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应支持区分距离≤0.5m的相邻交通目标；</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应支持在设备水平偏转正负5度的情况下自动修正车道标识线以保证交通目标检测精度。</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应支持对≥400个交通目标进行检测，可对交通目标进行轨迹跟踪监测；</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应支持对距检测器300m处检测断面内的来向车流量进行统计，车流量统计准确率≥99%；</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车牌图像识别准确率≥99%；</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应支持交通信号评价数据输出，包括周期停车次数、排队长度等；</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应支持区域状态数据输出，包括秒级排队长度（双向）、车辆数、队首/队尾车辆信息，车道车辆分布信息等；</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应支持非标准车道检测机动车。</w:t>
      </w:r>
      <w:r/>
    </w:p>
    <w:p>
      <w:pPr>
        <w:pStyle w:val="993"/>
        <w:ind w:firstLine="420"/>
        <w:rPr>
          <w:rFonts w:ascii="宋体" w:hAnsi="宋体" w:eastAsia="宋体" w:cs="宋体"/>
          <w:sz w:val="21"/>
          <w:szCs w:val="21"/>
        </w:rPr>
      </w:pPr>
      <w:r>
        <w:rPr>
          <w:rFonts w:ascii="宋体" w:hAnsi="宋体" w:eastAsia="宋体" w:cs="宋体"/>
          <w:sz w:val="21"/>
          <w:szCs w:val="21"/>
        </w:rPr>
      </w:r>
      <w:r/>
    </w:p>
    <w:p>
      <w:pPr>
        <w:pStyle w:val="968"/>
      </w:pPr>
      <w:r>
        <w:rPr>
          <w:rFonts w:hint="eastAsia"/>
        </w:rPr>
        <w:t xml:space="preserve">交通违法行为监测记录系统</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针对闯红灯、闯禁区、超速、违停等交通违法行为进行记录。</w:t>
      </w:r>
      <w:r/>
    </w:p>
    <w:p>
      <w:pPr>
        <w:pStyle w:val="969"/>
      </w:pPr>
      <w:r>
        <w:rPr>
          <w:rFonts w:hint="eastAsia"/>
        </w:rPr>
        <w:t xml:space="preserve">功能要求</w:t>
      </w:r>
      <w:r/>
    </w:p>
    <w:p>
      <w:pPr>
        <w:ind w:firstLine="422"/>
        <w:jc w:val="left"/>
        <w:spacing w:line="360" w:lineRule="auto"/>
        <w:rPr>
          <w:rFonts w:ascii="宋体" w:hAnsi="宋体" w:eastAsia="宋体" w:cs="宋体"/>
          <w:sz w:val="21"/>
          <w:szCs w:val="21"/>
        </w:rPr>
      </w:pPr>
      <w:r>
        <w:rPr>
          <w:rFonts w:hint="eastAsia" w:ascii="宋体" w:hAnsi="宋体" w:eastAsia="宋体" w:cs="宋体"/>
          <w:b/>
          <w:sz w:val="21"/>
          <w:szCs w:val="21"/>
        </w:rPr>
        <w:t xml:space="preserve">设备功能包含但不限于以下功能，施工单位进场后，需对设备功能进行深化，以满足业主的要求为准。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1）闯红灯行为记录功能</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闯红灯车辆捕获率、记录有效率参见系统性能指标。记录文件符合《闯红灯自动记录系统通用技术条件》（GA/T496-2014）、《道路交通安全违法行为图像取证技术规范》（GA/T832-2014）。</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2）逆行记录功能：应能清晰记录逆行车辆的图片，图片应符合GA/T 832-2014的要求。</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3）不按规定车道行驶记录功能：应能清晰记录不按规定车道行驶车辆的图片，图片应符合GA/T 832-2014的要求。</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4）闯</w:t>
      </w:r>
      <w:r>
        <w:rPr>
          <w:rFonts w:hint="eastAsia" w:ascii="宋体" w:hAnsi="宋体" w:eastAsia="宋体" w:cs="宋体"/>
          <w:sz w:val="21"/>
          <w:szCs w:val="21"/>
          <w:lang w:eastAsia="zh-Hans"/>
        </w:rPr>
        <w:t xml:space="preserve">禁区</w:t>
      </w:r>
      <w:r>
        <w:rPr>
          <w:rFonts w:hint="eastAsia" w:ascii="宋体" w:hAnsi="宋体" w:eastAsia="宋体" w:cs="宋体"/>
          <w:sz w:val="21"/>
          <w:szCs w:val="21"/>
        </w:rPr>
        <w:t xml:space="preserve">记录功能：闯</w:t>
      </w:r>
      <w:r>
        <w:rPr>
          <w:rFonts w:hint="eastAsia" w:ascii="宋体" w:hAnsi="宋体" w:eastAsia="宋体" w:cs="宋体"/>
          <w:sz w:val="21"/>
          <w:szCs w:val="21"/>
          <w:lang w:eastAsia="zh-Hans"/>
        </w:rPr>
        <w:t xml:space="preserve">禁区</w:t>
      </w:r>
      <w:r>
        <w:rPr>
          <w:rFonts w:hint="eastAsia" w:ascii="宋体" w:hAnsi="宋体" w:eastAsia="宋体" w:cs="宋体"/>
          <w:sz w:val="21"/>
          <w:szCs w:val="21"/>
        </w:rPr>
        <w:t xml:space="preserve">车辆捕获率等参见系统性能指标。记录文件符合《道路交通安全违法行为图像取证技术规范》（GA/T832-2014）。</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5）超速取证功能：当监测到车辆行驶速度超过速度限定值后，自动启动摄像机抓拍图片，生成超速违法证据，记录的违法图片应符合《道路交通安全违法行为图像取证技术规范》（GA/T 832）的要求，叠加的信息应至少包括号牌号码、违法时间、违法地点、违法代码、违法行为、限速值、行驶速度值、超速比例、图像取证设备编号、防伪信息等内容。宜记录驾驶室驾驶人特征信息。</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6）车速检测功能：系统具备车速检测功能，车速在10-250km/h范围内测速误差不超过-4km/h</w:t>
      </w:r>
      <w:r>
        <w:rPr>
          <w:rFonts w:hint="eastAsia" w:ascii="Times New Roman" w:hAnsi="Times New Roman" w:eastAsia="宋体" w:cs="Times New Roman"/>
          <w:sz w:val="21"/>
          <w:szCs w:val="21"/>
        </w:rPr>
        <w:t xml:space="preserve">～</w:t>
      </w:r>
      <w:r>
        <w:rPr>
          <w:rFonts w:hint="eastAsia" w:ascii="宋体" w:hAnsi="宋体" w:eastAsia="宋体" w:cs="宋体"/>
          <w:sz w:val="21"/>
          <w:szCs w:val="21"/>
        </w:rPr>
        <w:t xml:space="preserve">0km/h。</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7）图像记录存储功能</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系统记录的车辆信息除车辆图像信息外，还应记录车辆的通行信息，如时间、地点、方向、号牌号码、号牌颜色、车道编号等，并将相关信息叠加到图片上。实现车辆采集、车辆号牌全自动识别、以及相关控制数据存储等功能。</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车辆图像捕获时应不受雨、雪、雾等天气、环境光和相临车道通行车辆的影响而出现误记录。在环境无雾包括雨雪天气下，监控区域内规范行驶的车辆被记录的图片应能看清车辆类型、颜色和所载货物等。</w:t>
      </w:r>
      <w:bookmarkStart w:id="53" w:name="_Toc303185586"/>
      <w:r/>
      <w:bookmarkStart w:id="54" w:name="_Toc413676227"/>
      <w:r/>
      <w:bookmarkStart w:id="55" w:name="_Toc425428290"/>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8）前端备份存储功能</w:t>
      </w:r>
      <w:bookmarkEnd w:id="53"/>
      <w:r/>
      <w:bookmarkEnd w:id="54"/>
      <w:r/>
      <w:bookmarkEnd w:id="55"/>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系统采集的图片、视频可在设备前端做备份存储，按照数据存储时长要求配置不同容量的硬盘。系统可根据预先的空间分配，优先保证足够的图片存储空间，保证核心数据不丢失。</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9）数据传输</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数据传输要求：闯红灯自动记录系统应具备联网数据传输或现场数据下载功能。</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联网数据传输：通过网络将机动车闯红灯信息自动传输到指定数据中心，且信息传输应具有防丢失、防篡改等功能。</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现场数据下载：现场将机动车闯红灯信息人工或自动下载到存储介质中后带回数据中心，下载过程不得删改原始信息，且应自动生成下载日志信息，包括下载人、下载时间等信息。</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10）号牌识别功能</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系统应支持摄像机内置车牌识别功能，能识别的号牌结构应包括：</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单排字符结构的号牌，如军队用小型汽车号牌、GA36-2014中的小型汽车号牌、港澳入出境车号牌、教练汽车号牌等；</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可识别武警用小型汽车号牌；</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可识别警用汽车号牌；</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可识别新能源车辆号牌；</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双排字符结构的号牌，如军队用大型汽车号牌、武警用大型汽车号牌、GA36-2014中的大型汽车号牌、挂车号牌、低速汽车号牌、摩托车号牌等。</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号牌字符识别：</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应识别的字符包括：</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①数字：0~9；</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②字母：A~Z；</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③省、自治区、直辖市简称：京、津、晋、冀、蒙、辽、吉、黑、沪、苏、浙、皖、闽、赣、鲁、豫、鄂、湘、粤、桂、琼、川、贵、云、藏、陕、甘、青、宁、新、渝；</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④军牌用汉字：军、海、空、北、沈、南、兰、广、成、济、京；</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⑤号牌分类用汉字：警、学、领、试、挂、港、澳、超、使；</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⑥武警号牌特殊字符：WJ、00~34、练。</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号牌颜色识别：系统应至少能识别蓝、黄、白、黑、新能源五种底色的机动车号牌。</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车辆号牌识别要求：车辆号牌识别准确率白天应大于95%，夜间应大于90%，可全天候识别（除摩托车号牌、低速车号牌、临时号牌、农用拖拉机号牌外）。号牌识别信息包含号牌结构、号牌字符、号牌颜色等信息。</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11）车型判别功能：系统采用车牌颜色和视频检测技术结合的方法对车辆类型进行判别，可对7种车型进行识别（大货车、小货车、客车、轿车、面包车、中型客车、SUV-MPV）以及摩托车进行识别。</w:t>
      </w:r>
      <w:r/>
    </w:p>
    <w:p>
      <w:pPr>
        <w:ind w:firstLine="420"/>
        <w:spacing w:line="360" w:lineRule="auto"/>
        <w:rPr>
          <w:rFonts w:ascii="宋体" w:hAnsi="宋体" w:eastAsia="宋体" w:cs="宋体"/>
          <w:sz w:val="21"/>
          <w:szCs w:val="21"/>
        </w:rPr>
      </w:pPr>
      <w:r/>
      <w:bookmarkStart w:id="56" w:name="_Toc382684176"/>
      <w:r/>
      <w:bookmarkStart w:id="57" w:name="_Toc425866167"/>
      <w:r/>
      <w:bookmarkStart w:id="58" w:name="_Toc382617230"/>
      <w:r/>
      <w:bookmarkStart w:id="59" w:name="_Toc382617345"/>
      <w:r/>
      <w:bookmarkStart w:id="60" w:name="_Toc417651876"/>
      <w:r>
        <w:rPr>
          <w:rFonts w:hint="eastAsia" w:ascii="宋体" w:hAnsi="宋体" w:eastAsia="宋体" w:cs="宋体"/>
          <w:sz w:val="21"/>
          <w:szCs w:val="21"/>
        </w:rPr>
        <w:t xml:space="preserve">12）车标识别功能</w:t>
      </w:r>
      <w:bookmarkEnd w:id="56"/>
      <w:r/>
      <w:bookmarkEnd w:id="57"/>
      <w:r/>
      <w:bookmarkEnd w:id="58"/>
      <w:r/>
      <w:bookmarkEnd w:id="59"/>
      <w:r/>
      <w:bookmarkEnd w:id="60"/>
      <w:r>
        <w:rPr>
          <w:rFonts w:hint="eastAsia" w:ascii="宋体" w:hAnsi="宋体" w:eastAsia="宋体" w:cs="宋体"/>
          <w:sz w:val="21"/>
          <w:szCs w:val="21"/>
        </w:rPr>
        <w:t xml:space="preserve">：系统采用视频检测技术对车标进行识别，可对200种车标进行识别，可供用户根据车标来查询通行车辆。</w:t>
      </w:r>
      <w:r/>
    </w:p>
    <w:p>
      <w:pPr>
        <w:ind w:firstLine="420"/>
        <w:spacing w:line="360" w:lineRule="auto"/>
        <w:rPr>
          <w:rFonts w:ascii="宋体" w:hAnsi="宋体" w:eastAsia="宋体" w:cs="宋体"/>
          <w:sz w:val="21"/>
          <w:szCs w:val="21"/>
        </w:rPr>
      </w:pPr>
      <w:r/>
      <w:bookmarkStart w:id="61" w:name="_Toc425866168"/>
      <w:r/>
      <w:bookmarkStart w:id="62" w:name="_Toc417651877"/>
      <w:r>
        <w:rPr>
          <w:rFonts w:hint="eastAsia" w:ascii="宋体" w:hAnsi="宋体" w:eastAsia="宋体" w:cs="宋体"/>
          <w:sz w:val="21"/>
          <w:szCs w:val="21"/>
        </w:rPr>
        <w:t xml:space="preserve">13）车辆子品牌识别功能</w:t>
      </w:r>
      <w:bookmarkEnd w:id="61"/>
      <w:r/>
      <w:bookmarkEnd w:id="62"/>
      <w:r>
        <w:rPr>
          <w:rFonts w:hint="eastAsia" w:ascii="宋体" w:hAnsi="宋体" w:eastAsia="宋体" w:cs="宋体"/>
          <w:sz w:val="21"/>
          <w:szCs w:val="21"/>
        </w:rPr>
        <w:t xml:space="preserve">：系统采用视频检测技术对车辆子品牌进行识别，可对至少1018种车辆子品牌进行识别，可供用户根据车辆子品牌来查询通行车辆。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14）人脸特征抠图：系统采用视频检测技术，对驾驶室人脸特征进行检测，并将人脸特征抠出。</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15）打开遮阳板检测：系统采用视频检测技术，对打开遮阳板进行检测。</w:t>
      </w:r>
      <w:r/>
    </w:p>
    <w:p>
      <w:pPr>
        <w:ind w:firstLine="420"/>
        <w:spacing w:line="360" w:lineRule="auto"/>
        <w:rPr>
          <w:rFonts w:ascii="宋体" w:hAnsi="宋体" w:eastAsia="宋体" w:cs="宋体"/>
          <w:sz w:val="21"/>
          <w:szCs w:val="21"/>
        </w:rPr>
      </w:pPr>
      <w:r/>
      <w:bookmarkStart w:id="63" w:name="_Toc425866165"/>
      <w:r/>
      <w:bookmarkStart w:id="64" w:name="_Toc417651874"/>
      <w:r>
        <w:rPr>
          <w:rFonts w:hint="eastAsia" w:ascii="宋体" w:hAnsi="宋体" w:eastAsia="宋体" w:cs="宋体"/>
          <w:sz w:val="21"/>
          <w:szCs w:val="21"/>
        </w:rPr>
        <w:t xml:space="preserve">16）车身颜色识别功能</w:t>
      </w:r>
      <w:bookmarkEnd w:id="63"/>
      <w:r/>
      <w:bookmarkEnd w:id="64"/>
      <w:r>
        <w:rPr>
          <w:rFonts w:hint="eastAsia" w:ascii="宋体" w:hAnsi="宋体" w:eastAsia="宋体" w:cs="宋体"/>
          <w:sz w:val="21"/>
          <w:szCs w:val="21"/>
        </w:rPr>
        <w:t xml:space="preserve">：系统可自动对车身深浅和颜色进行识别，可供用户根据车身颜色来查询通行车辆。系统可自动区分出车辆为深色车辆还是浅色车辆；并识别出至少11种常见车身颜色，11种颜色包括：白，灰(银)，黄、粉、红、绿、蓝、棕、黑、紫、青。</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17）相位同步功能：系统视频帧率应与工频保持整数倍约束关系，以保证拍摄的外部工频设备，如红绿灯等设备，不会变暗或者变黑。</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18）系统应支持高清视频录像功能</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系统应具备录像功能，采用H.265、H.264、MPEG4或MJPEG编码标准，视频质量不低于720P及8fps，并能确保前端存储连续录像时间不小于7日；录像支持OSD信息叠加，叠加的信息至少包括日期、时间（精确到秒）、监控点名称、设备编号等信息。录像中能清晰地反映车辆的颜色、车辆类型、运动轨迹；并提供录像查询、录像下载等功能。</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19）卡口功能：系统具备卡口功能，对所有途径监控点车道的所有车辆进行图像记录，车辆捕获率不低于99%。</w:t>
      </w:r>
      <w:r/>
    </w:p>
    <w:p>
      <w:pPr>
        <w:ind w:firstLine="420"/>
        <w:spacing w:line="360" w:lineRule="auto"/>
        <w:rPr>
          <w:rFonts w:ascii="宋体" w:hAnsi="宋体" w:eastAsia="宋体" w:cs="宋体"/>
          <w:sz w:val="21"/>
          <w:szCs w:val="21"/>
        </w:rPr>
      </w:pPr>
      <w:r/>
      <w:bookmarkStart w:id="65" w:name="_Toc425428293"/>
      <w:r/>
      <w:bookmarkStart w:id="66" w:name="_Toc413676230"/>
      <w:r/>
      <w:bookmarkStart w:id="67" w:name="_Toc303185589"/>
      <w:r/>
      <w:bookmarkStart w:id="68" w:name="_Toc303027252"/>
      <w:r>
        <w:rPr>
          <w:rFonts w:hint="eastAsia" w:ascii="宋体" w:hAnsi="宋体" w:eastAsia="宋体" w:cs="宋体"/>
          <w:sz w:val="21"/>
          <w:szCs w:val="21"/>
        </w:rPr>
        <w:t xml:space="preserve">20）交通参数采集功能</w:t>
      </w:r>
      <w:bookmarkEnd w:id="65"/>
      <w:r/>
      <w:bookmarkEnd w:id="66"/>
      <w:r/>
      <w:bookmarkEnd w:id="67"/>
      <w:r/>
      <w:bookmarkEnd w:id="68"/>
      <w:r>
        <w:rPr>
          <w:rFonts w:hint="eastAsia" w:ascii="宋体" w:hAnsi="宋体" w:eastAsia="宋体" w:cs="宋体"/>
          <w:sz w:val="21"/>
          <w:szCs w:val="21"/>
        </w:rPr>
        <w:t xml:space="preserve">：通过检测数据，统计交通流参数，包括每个方向每个车道的流量、车速、时间占有率、车长、车头时距等，其中流量采集准确度不小于90%； </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21）非机动车违章识别：支持非占机、载人、未戴头盔、逆行、闯红灯等非机动车违章行为的识别，并可联动音柱进行语音警示劝导。</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22）断点续传功能：系统应支持多种方式的数据传输。可通过FTP方式自动上传违法数据、车辆通过信息（时间、地点、车牌号码等）、设备监测数据、流量统计数据等到中心管理系统；也可在中心通过TCP/IP网络下载操控前端设备。如因网络中断或其它故障，信息备份存储于前端设备中，待故障恢复后自动上传。</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23）水印加密防篡改功能：系统应具有水印加密功能，图像、录像在前端摄像机内部进行加密处理，防止在传输、存储、处理等过程中被人为修改，管理中心在接收到前端传回的图片、录像时需要进行算法验证，确认是否有被篡改，保证执法的真实、公平、公正。</w:t>
      </w:r>
      <w:r/>
    </w:p>
    <w:p>
      <w:pPr>
        <w:ind w:firstLine="420"/>
        <w:spacing w:line="360" w:lineRule="auto"/>
        <w:rPr>
          <w:rFonts w:ascii="宋体" w:hAnsi="宋体" w:eastAsia="宋体" w:cs="宋体"/>
          <w:sz w:val="21"/>
          <w:szCs w:val="21"/>
        </w:rPr>
      </w:pPr>
      <w:r/>
      <w:bookmarkStart w:id="69" w:name="_Toc425428289"/>
      <w:r>
        <w:rPr>
          <w:rFonts w:hint="eastAsia" w:ascii="宋体" w:hAnsi="宋体" w:eastAsia="宋体" w:cs="宋体"/>
          <w:sz w:val="21"/>
          <w:szCs w:val="21"/>
        </w:rPr>
        <w:t xml:space="preserve">24）智能补光功能</w:t>
      </w:r>
      <w:bookmarkEnd w:id="69"/>
      <w:r>
        <w:rPr>
          <w:rFonts w:hint="eastAsia" w:ascii="宋体" w:hAnsi="宋体" w:eastAsia="宋体" w:cs="宋体"/>
          <w:sz w:val="21"/>
          <w:szCs w:val="21"/>
        </w:rPr>
        <w:t xml:space="preserve">：系统前端设备能根据光线的变化或时间的控制自动改变摄像设备的工作参数，自动打开或关闭补光设备，确保记录图片的清晰。同时根据现场情况可对补光灯进行光栅增补,减少市区光污染。补光灯采用频闪技术，与高清摄像机采集频率完全匹配，在达到最大补光效果的同时降低灯光对周围环境的影响，不会对驾驶人造成直接强光刺激。</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25）中心校时功能</w:t>
      </w:r>
      <w:bookmarkStart w:id="70" w:name="OLE_LINK150"/>
      <w:r/>
      <w:bookmarkStart w:id="71" w:name="OLE_LINK152"/>
      <w:r/>
      <w:bookmarkStart w:id="72" w:name="OLE_LINK153"/>
      <w:r/>
      <w:bookmarkStart w:id="73" w:name="OLE_LINK151"/>
      <w:r/>
      <w:bookmarkStart w:id="74" w:name="OLE_LINK156"/>
      <w:r>
        <w:rPr>
          <w:rFonts w:hint="eastAsia" w:ascii="宋体" w:hAnsi="宋体" w:eastAsia="宋体" w:cs="宋体"/>
          <w:sz w:val="21"/>
          <w:szCs w:val="21"/>
        </w:rPr>
        <w:t xml:space="preserve">：</w:t>
      </w:r>
      <w:bookmarkEnd w:id="70"/>
      <w:r/>
      <w:bookmarkEnd w:id="71"/>
      <w:r/>
      <w:bookmarkEnd w:id="72"/>
      <w:r/>
      <w:bookmarkEnd w:id="73"/>
      <w:r/>
      <w:bookmarkEnd w:id="74"/>
      <w:r>
        <w:rPr>
          <w:rFonts w:hint="eastAsia" w:ascii="宋体" w:hAnsi="宋体" w:eastAsia="宋体" w:cs="宋体"/>
          <w:sz w:val="21"/>
          <w:szCs w:val="21"/>
        </w:rPr>
        <w:t xml:space="preserve">系统应可接受中心的校时命令，完成统一精准校时功能。</w:t>
      </w:r>
      <w:r/>
    </w:p>
    <w:p>
      <w:pPr>
        <w:pStyle w:val="969"/>
      </w:pPr>
      <w:r>
        <w:rPr>
          <w:rFonts w:hint="eastAsia"/>
        </w:rPr>
        <w:t xml:space="preserve">系统技术指标要求</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（1）闯红灯捕获率：在标注的适用条件下，闯红灯捕获率应不小于90％。</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（2）记录有效率：在标注的适用条件下，记录有效率应不小于80％。</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（3）闯禁</w:t>
      </w:r>
      <w:r>
        <w:rPr>
          <w:rFonts w:hint="eastAsia" w:ascii="宋体" w:hAnsi="宋体" w:eastAsia="宋体" w:cs="宋体"/>
          <w:sz w:val="21"/>
          <w:szCs w:val="21"/>
          <w:lang w:eastAsia="zh-Hans"/>
        </w:rPr>
        <w:t xml:space="preserve">区</w:t>
      </w:r>
      <w:r>
        <w:rPr>
          <w:rFonts w:hint="eastAsia" w:ascii="宋体" w:hAnsi="宋体" w:eastAsia="宋体" w:cs="宋体"/>
          <w:sz w:val="21"/>
          <w:szCs w:val="21"/>
        </w:rPr>
        <w:t xml:space="preserve">：捕获率应不小于90％，记录有效率应不小于80％。</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（4）逆行：捕获率应不小于80%，记录有效率应不小于80%。</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（5）不按所需行进方向驶入导向车道：捕获率应不小于80%，记录有效率应不小于80%。</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（6）不按规定车道行驶：捕获率应不小于80%，记录有效率应不小于80%。</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（7）超速行驶车辆捕获率：应不小于90%。</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（8）卡口车辆捕获率：不低于99%。</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（9）车型判别：准确度不低于90%。</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（10）车标识别：准确度不低于85%。</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（11）车辆子品牌识别：准确度不低于85%。</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（12）计时误差：系统24h计时误差应不超过1s。</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（13）记录的违法图片上叠加的时间信息至少精确到0.01s。</w:t>
      </w:r>
      <w:r/>
    </w:p>
    <w:p>
      <w:pPr>
        <w:pStyle w:val="969"/>
      </w:pPr>
      <w:r>
        <w:rPr>
          <w:rFonts w:hint="eastAsia"/>
        </w:rPr>
        <w:t xml:space="preserve">主要设备性能要求</w:t>
      </w:r>
      <w:r/>
    </w:p>
    <w:p>
      <w:pPr>
        <w:pStyle w:val="970"/>
      </w:pPr>
      <w:r>
        <w:rPr>
          <w:rFonts w:hint="eastAsia"/>
        </w:rPr>
        <w:t xml:space="preserve">一体化高清抓拍单元（前牌）</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不低于900W像素；</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包含高清智能摄像机、高清镜头 (根据场景实际情况确定镜头大小)、单元防护罩、内置LED补光灯、相机内置网络防雷器、电源适配器、128G存储卡等；</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具备牛眼灯抑制功能；</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传感器类型：≥1” Global shutter CMOS</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图像控制：曝光速度、AGC控制、白平衡方式控制等</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视频压缩标准：H.264/H.265/MJPEG</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最大图像尺寸：≥4096×2160像素；字符叠加时最大可支持4096×2800</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抓拍图片具备智能压缩技术，可以保证在主体目标清晰的情况下压缩图片整体大小，平均压缩率可达到原图大小的30%</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在满足GA/T 1202-2022一级补光标准，补光≤20lx 的前提下，抓拍图片满足 GA/T 832-2014标准中3.6.1要求。配套符合GA/T 1202-2022标准的一级补光灯，设备抓拍车牌、车身颜色、车内前排人脸及衣着均清晰可见。</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两台设备同点位正反向配合使用时（一作为电警，一台作为卡口），针对车尾号牌污损严重的渣土车、货车、挂车或大中型客车，支持通过前后关联抓拍方式形成闯红灯抓拍依据；可对大货车闯红灯车辆进行抓拍。</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摄像机应符合GA35114-A级标准。</w:t>
      </w:r>
      <w:r/>
    </w:p>
    <w:p>
      <w:pPr>
        <w:pStyle w:val="970"/>
      </w:pPr>
      <w:r>
        <w:rPr>
          <w:rFonts w:hint="eastAsia"/>
        </w:rPr>
        <w:t xml:space="preserve">一体化高清抓拍单元（尾牌）-适用于国省干道</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不低于900W像素；</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包含高清智能摄像机、高清镜头 (根据场景实际情况确定镜头大小)、单元防护罩、内置LED补光灯、相机内置网络防雷器、电源适配器、128G存储卡等；</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图像传感器：≥1” Global shutter CMOS</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支持异常车牌检测功能，可对故意遮挡及污损车牌进行判断和识别</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支持闯红灯抓拍功能，在天气晴朗无雾，号牌无遮挡、无污损，白天环境光照度不低于200lx，晚上辅助光照度不高于30lx的条件下测试，白天和晚上闯红灯的捕获率均≥99%</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支持大型货车闯红灯抓拍功能，包括拖车、挂车、罐车、平板货车、集装箱牵引车、渣土车等货车类型</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未叠加字符信息抓图分辨率：≥4096像素×2160像素；叠加字符信息抓图分辨率：4096像素×4312像素</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抓拍图片具备智能压缩技术，可以保证在主体目标清晰的情况下压缩图片整体大小，平均压缩率可达到原图大小的30%</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支持检测并抓拍右转大型车辆未停车让行事件，图片能清晰辨认右转大型车辆停车让行指示牌、违法机动车的车型和车牌；同一事件相邻两张抓拍图片能观察到车辆明显位移。</w:t>
      </w:r>
      <w:r>
        <w:rPr>
          <w:rFonts w:ascii="宋体" w:hAnsi="宋体" w:eastAsia="宋体" w:cs="宋体"/>
          <w:sz w:val="21"/>
          <w:szCs w:val="21"/>
        </w:rPr>
        <w:t xml:space="preserve"> </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两台设备同点位正反向配合使用时（一作为电警，一台作为卡口），针对车尾号牌污损严重的渣土车、货车、挂车或大中型客车，支持通过前后关联抓拍方式形成闯红灯抓拍依据；可对大货车闯红灯车辆进行抓拍。</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摄像机应符合GA35114-A级标准。</w:t>
      </w:r>
      <w:r/>
    </w:p>
    <w:p>
      <w:pPr>
        <w:pStyle w:val="970"/>
      </w:pPr>
      <w:r>
        <w:rPr>
          <w:rFonts w:hint="eastAsia"/>
        </w:rPr>
        <w:t xml:space="preserve">一体化高清抓拍单元（尾牌）-适用于普通路口</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不低于900W像素；</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图像传感器≥1"英寸，双 sensor 或双 GPU 架构</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最低照度，彩色：≤0.005Lux，黑白：≤0.0025Lux</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传感器分辨率≥4096×2160</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内置补光灯，柔光补光距离≥30m</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支持H.265/H.264/MJPEG编码格式</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支持GB/T28181、GA/T1400和Onvif协议，确保兼容性</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具有至少2个RJ45 10M/100M/1000M自适应以太网口、≥4个通用半双工RS485接口，≥2个快接RS485接口、≥1路RS232、≥1路告警输入/≥4路光耦开关量输出/≥1路继电器告警输出、≥1路音频输入、≥1路音频输出、≥1个USB接口、≥1个TF卡接口、≥1个复位按键</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供电方式：AC100~240V</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防护等级：不低于IP65</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工作温度-40~60℃(关补光） -40~40℃(开补光）</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支持联动一级补光装置，适配的补光灯需满足公安部权威机构认证的GA/T1202-2022《交通技术监控成像补光装置通用技术条件》，在有效光照度小于80Lux条件下，夜间车牌、车身颜色、车内人脸及衣着清晰可见、色彩无偏色，主驾驶人脸抓拍率≥99%，副驾驶人脸抓拍率≥99%</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▲设备内置镜头模组支架装置，可以移除鬼影（提供有</w:t>
      </w:r>
      <w:r>
        <w:rPr>
          <w:rFonts w:ascii="宋体" w:hAnsi="宋体" w:eastAsia="宋体" w:cs="宋体"/>
          <w:sz w:val="21"/>
          <w:szCs w:val="21"/>
        </w:rPr>
        <w:t xml:space="preserve">CMA</w:t>
      </w:r>
      <w:r>
        <w:rPr>
          <w:rFonts w:hint="eastAsia" w:ascii="宋体" w:hAnsi="宋体" w:eastAsia="宋体" w:cs="宋体"/>
          <w:sz w:val="21"/>
          <w:szCs w:val="21"/>
        </w:rPr>
        <w:t xml:space="preserve">认证的检测机构出具的检验报告或产品材料（彩页、功能截图或产品文档等）并加盖原厂公章）</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▲设备支持补光灯简易接口设计，可通过2个RJ45接口控制外置补光灯，支持调节补光灯亮度（提供有</w:t>
      </w:r>
      <w:r>
        <w:rPr>
          <w:rFonts w:ascii="宋体" w:hAnsi="宋体" w:eastAsia="宋体" w:cs="宋体"/>
          <w:sz w:val="21"/>
          <w:szCs w:val="21"/>
        </w:rPr>
        <w:t xml:space="preserve">CMA</w:t>
      </w:r>
      <w:r>
        <w:rPr>
          <w:rFonts w:hint="eastAsia" w:ascii="宋体" w:hAnsi="宋体" w:eastAsia="宋体" w:cs="宋体"/>
          <w:sz w:val="21"/>
          <w:szCs w:val="21"/>
        </w:rPr>
        <w:t xml:space="preserve">认证的检测机构出具的检验报告或产品材料（彩页、功能截图或产品文档等）并加盖原厂公章）</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▲支持AI车牌增强功能，开启后可防止车牌过曝，支持蓝牌、黄牌、白牌、黑牌、绿牌、黄绿双拼牌；支持AI车窗增强功能，开启后可去除白天车窗反光和彩条纹（提供有</w:t>
      </w:r>
      <w:r>
        <w:rPr>
          <w:rFonts w:ascii="宋体" w:hAnsi="宋体" w:eastAsia="宋体" w:cs="宋体"/>
          <w:sz w:val="21"/>
          <w:szCs w:val="21"/>
        </w:rPr>
        <w:t xml:space="preserve">CMA</w:t>
      </w:r>
      <w:r>
        <w:rPr>
          <w:rFonts w:hint="eastAsia" w:ascii="宋体" w:hAnsi="宋体" w:eastAsia="宋体" w:cs="宋体"/>
          <w:sz w:val="21"/>
          <w:szCs w:val="21"/>
        </w:rPr>
        <w:t xml:space="preserve">认证的检测机构出具的检验报告或产品材料（彩页、功能截图或产品文档等）并加盖原厂公章）</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支持视场角≥80°视野范围内车辆特征识别，包括车牌、车身颜色、车型等</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设备护罩支持侧面翻盖开合，且釆用双卡扣快装设计，便于维护</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遮阳罩前段凸起可防止低温雨雪天气导致视窗正前方挂冰</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设备遮阳罩具备前后伸缩功能，前后伸缩范围不小于10cm</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支持车辆人行道通行未减速抓拍功能，抓拍图片符合GA/T1244-2015标准的相关要求</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摄像机应符合GA35114-A级标准。</w:t>
      </w:r>
      <w:r/>
    </w:p>
    <w:p>
      <w:pPr>
        <w:pStyle w:val="970"/>
      </w:pPr>
      <w:r>
        <w:rPr>
          <w:rFonts w:hint="eastAsia"/>
        </w:rPr>
        <w:t xml:space="preserve">测速雷达</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天线类型：平板型微带阵列天线</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工作频率：24.15GHz</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频率偏离误差：≤±45MHZ</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波束宽度：水平&lt;6°，垂直&lt;6°</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发射功率：约5mW</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测速距离：单车道18～28m</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测速范围：10km/h～250km/h</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测速准确度：-4km/h～0km/h</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触发一致性：≤±1m</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反应时间：不高于26ms</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工作温度范围： -40℃～ +80℃</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工作湿度范围： 98%@25℃，无凝结</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数据刷新速度：不低于37次/秒</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防护等级：不低于IP65</w:t>
      </w:r>
      <w:r/>
    </w:p>
    <w:p>
      <w:pPr>
        <w:pStyle w:val="970"/>
      </w:pPr>
      <w:r>
        <w:rPr>
          <w:rFonts w:hint="eastAsia"/>
        </w:rPr>
        <w:t xml:space="preserve">补光灯</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光源类型：不少于16颗大功率LED</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覆盖范围：单车道环境补光灯</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最佳补光范围16米～25米</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触发方式： 4V~6V电平量触发（高电平有效）</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触发信号：频率15~250HZ，占空比1%~39%，响应时间小于20US</w:t>
      </w:r>
      <w:r/>
    </w:p>
    <w:p>
      <w:pPr>
        <w:pStyle w:val="970"/>
      </w:pPr>
      <w:r>
        <w:rPr>
          <w:rFonts w:hint="eastAsia"/>
        </w:rPr>
        <w:t xml:space="preserve">智能补光灯</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光源类型：白光LED、海鳗疝气灯管双光源</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LED灯珠数量：≥24颗</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色温：白光＜4000K，红外光</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气体爆闪峰值闪光持续时间：≤1/30ms</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气体爆闪回电时间：＜67ms</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气体闪光次数：＞2000万次（2S闪一次）</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最佳补光距离：16米～30米</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触发信号电平：4V~6V（高电平有效）</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触发频率：0Hz~250 Hz</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触发占空比：1%~39%，当占空比大于等于40%时进入自保护状态</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响应时间：≤20us</w:t>
      </w:r>
      <w:r/>
    </w:p>
    <w:p>
      <w:pPr>
        <w:pStyle w:val="970"/>
      </w:pPr>
      <w:r>
        <w:rPr>
          <w:rFonts w:hint="eastAsia"/>
        </w:rPr>
        <w:t xml:space="preserve">前端存储主机</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支持大货车管控专用抓拍机与普通卡口、电子警察IPC接入、存储、合成、上传等；</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支持对大货车的车头抓拍图片与车尾抓拍图片的匹配合成</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可配置多种字符叠加、图片合成模式</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支持不少于2个远程主机、2个FTP主机上传数据</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网口数量：≥18</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硬盘盘位数量：≥4</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光纤接口数量：≥2</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智能识别：大货车违章处理，支持关联尾牌模糊的大货车车头图片，进行违章取证</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通用功能：心跳，密码保护，NTP校时</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接入路数：≥12</w:t>
      </w:r>
      <w:r/>
    </w:p>
    <w:p>
      <w:pPr>
        <w:pStyle w:val="970"/>
      </w:pPr>
      <w:r>
        <w:rPr>
          <w:rFonts w:hint="eastAsia"/>
        </w:rPr>
        <w:t xml:space="preserve">红灯检测器-适用于国省干道</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≥6路信号灯交流信号输入接口，可扩展22路</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≥4个RS485输出接口</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≥1路100M网口输出</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≥1个5VDC输出接口</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≥5路拨码开关，用来设置波特率、地址和上传模式</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≥16路交通灯状态指示，可扩展22路</w:t>
      </w:r>
      <w:r/>
    </w:p>
    <w:p>
      <w:pPr>
        <w:pStyle w:val="970"/>
      </w:pPr>
      <w:r>
        <w:rPr>
          <w:rFonts w:hint="eastAsia"/>
        </w:rPr>
        <w:t xml:space="preserve">红灯检测器-适用于普通路口</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信号灯交流信号输入接口≥16路；</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RS485输出接口≥4个；</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工作环境温度：-30℃～+70℃。</w:t>
      </w:r>
      <w:r/>
    </w:p>
    <w:p>
      <w:pPr>
        <w:pStyle w:val="970"/>
      </w:pPr>
      <w:r>
        <w:rPr>
          <w:rFonts w:hint="eastAsia"/>
        </w:rPr>
        <w:t xml:space="preserve">高空摄像机</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全景采用2个F1.0大光圈全彩镜头，可输出190°大场景拼接画面；细节内置1个镜头，具备不小于1/1.8靶面尺寸，内置10颗红外补光灯及1颗白光灯，光学变倍不低于40倍；</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支持多种智能资源切换：人员密度检测，Smart事件；全抓拍、道路监控、Smart事件；</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支持AR功能，摄像机的实时视频画面中添加最多500个AR标签，且可实现标签与标签联动的功能；</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支持声光警戒，报警联动白光闪烁报警和声音报警，声音内容可选；</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人员密度检测：全景支持人员密度检测功能，输出实时人数概况及拥堵等级，可根据人数和占空比配置密度等级；</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全抓拍：细节支持人、非机动车、车辆混行检测，可同时对人、非机动车、车辆进行抓拍并可对车牌识别提取；</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道路监控：细节支持车辆检测（支持车牌识别，车型/车身颜色/车牌颜色识别）和混行检测；</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支持点击全景画面联动特写镜头，手动跟踪运动目标；</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支持GB35114安全加密；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摄像机内置不少于3个镜头，可输出至少一路全景视频和一路细节视频，其中全景内置不少于2个镜头，细节内置1个镜头；</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全景内置2个镜头，光圈不小于F1.0，具有不小于1/1.8靶面尺寸，内置4颗补光灯；</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全景通道可输出两个镜头无缝拼接的全景图像，拼接偏差像素不大于4个像素，全景画面水平视场角不小于190°，垂直视场角不小于80°；</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全景路视频图像分辨率不小于3632×1632，细节路视频图像分辨率不小于2560x1440；</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设备全景通道可对设定区域进行布防，当检测到目标时联动细节摄像机可对目标进行跟踪及报警。全景通道区域入侵检测最远距离为50m；</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在设备上方进行喷水操作，水流方向和水平方向夹角不小于42°时，设备视窗应无水流直接接触； </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设备全景通道支持人员密度检测功能，并可输出显示实时人数及拥堵等级，可通过IE浏览器或客户端软件根据人数和占空比配置密度等级。 </w:t>
      </w:r>
      <w:r/>
    </w:p>
    <w:p>
      <w:pPr>
        <w:pStyle w:val="970"/>
      </w:pPr>
      <w:r>
        <w:rPr>
          <w:rFonts w:hint="eastAsia"/>
        </w:rPr>
        <w:t xml:space="preserve">环视摄像机</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自带镜头，另配至少4个图像采集模块，可输出至少1路主视频图像，可将4个辅视频图像进行无缝拼接，实现180°拼接画面显示，拼接后抓拍图片的分辨率为：主视频：≥2560×1440；辅视频：≥5520×2400</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水平视场角不小于180°，垂直视场角不小于100°</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内置不少于3个GPU芯片</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主视频图像：≥2560×1440@25fps，辅视频图像：≥5520×2400@30fps</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主视频支持不小于40倍光学变倍，支持检测当前镜头指向方向与地平面夹角，并可根据夹角变化自动调整倍率</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摄像机全景镜头光圈均不小于F1.0</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摄像机内置除湿器，可对样机内部进行除湿，除去玻璃罩上的水状附着物</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支持远距离跟踪功能，可对距离样机至少700米处的不大于1.7米x0.5米的移动目标进行检测并联动细节通道进行跟踪</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支持参数配置调用功能，全景通道、细节通道可分别配置至少10套前端设备参数，并且可通过调用预置点对前端设备进行切换。</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摄像机应符合GA35114-A级标准。</w:t>
      </w:r>
      <w:r/>
    </w:p>
    <w:p>
      <w:pPr>
        <w:pStyle w:val="970"/>
      </w:pPr>
      <w:r>
        <w:rPr>
          <w:rFonts w:hint="eastAsia"/>
        </w:rPr>
        <w:t xml:space="preserve">远程查看终端</w:t>
      </w:r>
      <w:r/>
    </w:p>
    <w:p>
      <w:pPr>
        <w:ind w:firstLine="420"/>
        <w:spacing w:line="360" w:lineRule="auto"/>
        <w:rPr>
          <w:rFonts w:ascii="宋体" w:hAnsi="宋体" w:eastAsia="宋体" w:cs="宋体"/>
          <w:sz w:val="21"/>
          <w:szCs w:val="21"/>
        </w:rPr>
      </w:pPr>
      <w:r>
        <w:rPr>
          <w:rFonts w:ascii="宋体" w:hAnsi="宋体" w:eastAsia="宋体" w:cs="宋体"/>
          <w:sz w:val="21"/>
          <w:szCs w:val="21"/>
        </w:rPr>
        <w:t xml:space="preserve">配置</w:t>
      </w:r>
      <w:r>
        <w:rPr>
          <w:rFonts w:hint="eastAsia" w:ascii="宋体" w:hAnsi="宋体" w:eastAsia="宋体" w:cs="宋体"/>
          <w:sz w:val="21"/>
          <w:szCs w:val="21"/>
        </w:rPr>
        <w:t xml:space="preserve">≥</w:t>
      </w:r>
      <w:r>
        <w:rPr>
          <w:rFonts w:ascii="宋体" w:hAnsi="宋体" w:eastAsia="宋体" w:cs="宋体"/>
          <w:sz w:val="21"/>
          <w:szCs w:val="21"/>
        </w:rPr>
        <w:t xml:space="preserve">1</w:t>
      </w:r>
      <w:r>
        <w:rPr>
          <w:rFonts w:hint="eastAsia" w:ascii="宋体" w:hAnsi="宋体" w:eastAsia="宋体" w:cs="宋体"/>
          <w:sz w:val="21"/>
          <w:szCs w:val="21"/>
        </w:rPr>
        <w:t xml:space="preserve">颗国产8核C</w:t>
      </w:r>
      <w:r>
        <w:rPr>
          <w:rFonts w:ascii="宋体" w:hAnsi="宋体" w:eastAsia="宋体" w:cs="宋体"/>
          <w:sz w:val="21"/>
          <w:szCs w:val="21"/>
        </w:rPr>
        <w:t xml:space="preserve">PU</w:t>
      </w:r>
      <w:r/>
    </w:p>
    <w:p>
      <w:pPr>
        <w:ind w:firstLine="420"/>
        <w:spacing w:line="360" w:lineRule="auto"/>
        <w:rPr>
          <w:rFonts w:ascii="宋体" w:hAnsi="宋体" w:eastAsia="宋体" w:cs="宋体"/>
          <w:sz w:val="21"/>
          <w:szCs w:val="21"/>
        </w:rPr>
      </w:pPr>
      <w:r>
        <w:rPr>
          <w:rFonts w:ascii="宋体" w:hAnsi="宋体" w:eastAsia="宋体" w:cs="宋体"/>
          <w:sz w:val="21"/>
          <w:szCs w:val="21"/>
        </w:rPr>
        <w:t xml:space="preserve">内存</w:t>
      </w:r>
      <w:r>
        <w:rPr>
          <w:rFonts w:hint="eastAsia" w:ascii="宋体" w:hAnsi="宋体" w:eastAsia="宋体" w:cs="宋体"/>
          <w:sz w:val="21"/>
          <w:szCs w:val="21"/>
        </w:rPr>
        <w:t xml:space="preserve">≥</w:t>
      </w:r>
      <w:r>
        <w:rPr>
          <w:rFonts w:ascii="宋体" w:hAnsi="宋体" w:eastAsia="宋体" w:cs="宋体"/>
          <w:sz w:val="21"/>
          <w:szCs w:val="21"/>
        </w:rPr>
        <w:t xml:space="preserve">16GB</w:t>
      </w:r>
      <w:r/>
    </w:p>
    <w:p>
      <w:pPr>
        <w:pStyle w:val="970"/>
      </w:pPr>
      <w:r>
        <w:rPr>
          <w:rFonts w:hint="eastAsia"/>
        </w:rPr>
        <w:t xml:space="preserve">高清摄像机-非机动车提醒</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采用不低于1/1.8英寸800万像素CMOS智能高清摄像机，分辨率≥3840×2160，帧率≥25帧，内置暖光补光灯。</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支持输出H.265或H.264码流，压缩比高，且处理非常灵活，码流同时支持MJPEG编码，抓拍图片采用JPEG编码及Smart JPEG压缩，图片质量可设。</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支持3D数字降噪功能。</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支持视频触发并实现全结构化：采用AI处理器，加载深度学习算法，支持多目标混合场景应用，实时提取机动车、非机动车、人体、人脸数十种全结构化信息，为业务快速决策提供全方位的特征数据。</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可对非机动车和行人进行人体或人脸抠图并上传</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支持机动车辆抓拍，内置车牌识别、车身颜色识别、车型识别功能，车辆主子品牌识别功能。</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支持非机动车（二轮车、三轮车）抓拍，支持输出骑车人员人脸小图及人体多项属性。</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支持非机动车车牌识别。</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支持非机动车违章：非占机、载人、未戴头盔、逆行、闯红灯等。</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支持行人抓拍，支持输出行人对应的人脸小图，同时检测多类人体属性。</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具有防尘、防水、防浪涌功能。</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内含配件：电源适配器，万向节。</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支持音频接口，可语音对讲或模拟音柱播报。</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摄像机应符合GA35114-A级标准。</w:t>
      </w:r>
      <w:r/>
    </w:p>
    <w:p>
      <w:pPr>
        <w:pStyle w:val="970"/>
      </w:pPr>
      <w:r>
        <w:rPr>
          <w:rFonts w:hint="eastAsia"/>
        </w:rPr>
        <w:t xml:space="preserve">音柱</w:t>
      </w:r>
      <w:r/>
    </w:p>
    <w:p>
      <w:pPr>
        <w:ind w:firstLine="420"/>
        <w:spacing w:line="360" w:lineRule="auto"/>
        <w:rPr>
          <w:rFonts w:ascii="宋体" w:hAnsi="宋体" w:eastAsia="宋体" w:cs="宋体"/>
          <w:sz w:val="21"/>
          <w:szCs w:val="21"/>
        </w:rPr>
      </w:pPr>
      <w:r>
        <w:rPr>
          <w:rFonts w:ascii="宋体" w:hAnsi="宋体" w:eastAsia="宋体" w:cs="宋体"/>
          <w:sz w:val="21"/>
          <w:szCs w:val="21"/>
        </w:rPr>
        <w:t xml:space="preserve">输出音量可调节，485信号播放音柱内置音频文件</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w:t>
      </w:r>
      <w:r>
        <w:rPr>
          <w:rFonts w:ascii="宋体" w:hAnsi="宋体" w:eastAsia="宋体" w:cs="宋体"/>
          <w:sz w:val="21"/>
          <w:szCs w:val="21"/>
        </w:rPr>
        <w:t xml:space="preserve">音频信息自定义，音量大小可调节</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w:t>
      </w:r>
      <w:r>
        <w:rPr>
          <w:rFonts w:ascii="宋体" w:hAnsi="宋体" w:eastAsia="宋体" w:cs="宋体"/>
          <w:sz w:val="21"/>
          <w:szCs w:val="21"/>
        </w:rPr>
        <w:t xml:space="preserve">自定义播放文本,多种人声输出可调</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w:t>
      </w:r>
      <w:r>
        <w:rPr>
          <w:rFonts w:ascii="宋体" w:hAnsi="宋体" w:eastAsia="宋体" w:cs="宋体"/>
          <w:sz w:val="21"/>
          <w:szCs w:val="21"/>
        </w:rPr>
        <w:t xml:space="preserve">通过串口控制固定语句音频输出</w:t>
      </w:r>
      <w:r/>
    </w:p>
    <w:p>
      <w:pPr>
        <w:ind w:firstLine="420"/>
        <w:spacing w:line="360" w:lineRule="auto"/>
        <w:rPr>
          <w:rFonts w:ascii="宋体" w:hAnsi="宋体" w:eastAsia="宋体" w:cs="宋体"/>
          <w:sz w:val="21"/>
          <w:szCs w:val="21"/>
        </w:rPr>
      </w:pPr>
      <w:r>
        <w:rPr>
          <w:rFonts w:ascii="宋体" w:hAnsi="宋体" w:eastAsia="宋体" w:cs="宋体"/>
          <w:sz w:val="21"/>
          <w:szCs w:val="21"/>
        </w:rPr>
        <w:t xml:space="preserve">供电：AC220V/50Hz交流电工作</w:t>
      </w:r>
      <w:r/>
    </w:p>
    <w:p>
      <w:pPr>
        <w:ind w:firstLine="420"/>
        <w:spacing w:line="360" w:lineRule="auto"/>
        <w:rPr>
          <w:rFonts w:ascii="宋体" w:hAnsi="宋体" w:eastAsia="宋体" w:cs="宋体"/>
          <w:sz w:val="21"/>
          <w:szCs w:val="21"/>
        </w:rPr>
      </w:pPr>
      <w:r>
        <w:rPr>
          <w:rFonts w:ascii="宋体" w:hAnsi="宋体" w:eastAsia="宋体" w:cs="宋体"/>
          <w:sz w:val="21"/>
          <w:szCs w:val="21"/>
        </w:rPr>
        <w:t xml:space="preserve">防护等级：</w:t>
      </w:r>
      <w:r>
        <w:rPr>
          <w:rFonts w:hint="eastAsia" w:ascii="宋体" w:hAnsi="宋体" w:eastAsia="宋体" w:cs="宋体"/>
          <w:sz w:val="21"/>
          <w:szCs w:val="21"/>
        </w:rPr>
        <w:t xml:space="preserve">不低于</w:t>
      </w:r>
      <w:r>
        <w:rPr>
          <w:rFonts w:ascii="宋体" w:hAnsi="宋体" w:eastAsia="宋体" w:cs="宋体"/>
          <w:sz w:val="21"/>
          <w:szCs w:val="21"/>
        </w:rPr>
        <w:t xml:space="preserve">IP66</w:t>
      </w:r>
      <w:r/>
    </w:p>
    <w:p>
      <w:pPr>
        <w:ind w:firstLine="420"/>
        <w:spacing w:line="360" w:lineRule="auto"/>
        <w:rPr>
          <w:rFonts w:ascii="宋体" w:hAnsi="宋体" w:eastAsia="宋体" w:cs="宋体"/>
          <w:sz w:val="21"/>
          <w:szCs w:val="21"/>
        </w:rPr>
      </w:pPr>
      <w:r>
        <w:rPr>
          <w:rFonts w:ascii="宋体" w:hAnsi="宋体" w:eastAsia="宋体" w:cs="宋体"/>
          <w:sz w:val="21"/>
          <w:szCs w:val="21"/>
        </w:rPr>
        <w:t xml:space="preserve">总体功耗：</w:t>
      </w:r>
      <w:r>
        <w:rPr>
          <w:rFonts w:hint="eastAsia" w:ascii="宋体" w:hAnsi="宋体" w:eastAsia="宋体" w:cs="宋体"/>
          <w:sz w:val="21"/>
          <w:szCs w:val="21"/>
        </w:rPr>
        <w:t xml:space="preserve">不低于</w:t>
      </w:r>
      <w:r>
        <w:rPr>
          <w:rFonts w:ascii="宋体" w:hAnsi="宋体" w:eastAsia="宋体" w:cs="宋体"/>
          <w:sz w:val="21"/>
          <w:szCs w:val="21"/>
        </w:rPr>
        <w:t xml:space="preserve">20W </w:t>
      </w:r>
      <w:r/>
    </w:p>
    <w:p>
      <w:pPr>
        <w:pStyle w:val="970"/>
      </w:pPr>
      <w:r>
        <w:rPr>
          <w:rFonts w:hint="eastAsia"/>
        </w:rPr>
        <w:t xml:space="preserve">铁骑移动采集设备</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由视频图像采集单元、数据存储处理单元和应用软件等组成。</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具有≥1根4G天线、≥1根Wi-Fi天线、≥1根定位天线、≥1个can口、≥2个RS232接口、≥1个RS485接口、≥1个RJ45百兆网口、≥1个USB接口、TF卡槽等。支持接入不少于4路USB相机。</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支持在移动过程中，对违停车辆进行自动抓拍。</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支持同时开启不低于三个通道算法，可同时进行卡口抓拍和违停抓拍。</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视频分辨率≥1920×1080，视频帧率≥25fps；</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视频应流畅，具备昼夜光线及环境背景变化的适应能力，且能在逆光、强光、路灯照明、汽车前照灯照明等光照条件下清晰成像，清晰度应能满足人工对机动车车型、车身颜色、号牌号码以及现场状况认定的要求。</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支持在录制的视频流、抓拍图片中自动叠加日期、时间、设备编号、防伪码、定位信息、监测点信息、车牌号、违法代码、违法类型等。</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视频流具有原始防伪信息，可查看防伪信息。每幅交通违法行为图片应包含原始防伪信息，防止原始图片在传输、存贮和校对过程中被人为篡改。</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最大可接入512GB的TF卡，支持同时进行不少于四路录像。</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支持通过web、安卓APP查询、导出、回放录像。</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支持卫星导航定位，在取证时，能将所在地的卫星定位信息（经度、纬度等）记录并叠加到视频和图片上。定位模块确定的地理位置与实际位置的偏差不大于5m，位置更新频率不低于1Hz。</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支持机动车辆黑名单比对功能，比对时间≤0.1s。</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支持通过路名地图工具绘制路段信息，并可将路段信息导入样机。样机经过绘制路段时，可叠加路名信息，实现路名定位功能。</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支持一键抓拍功能，手动触发后可自动录像，录像支持预录延录时长15秒。</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支持通过路名地图工具绘制路段，配置各个路段是否进行停车抓拍，当设备行驶到指定路段时，可通过设备自带定位信息判断是否需要启停停车抓拍。</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机动车抓拍性能试验，在天气晴朗无雾、车辆无遮挡条件下进行测试，日间环境光照度不低于200lx。白天捕获率≥99%，白天车牌号识别准确率≥99%。</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机动车违停抓拍性能试验，在天气晴朗无雾、车辆无遮挡条件下进行测试，日间环境光照度不低于200lx。白天捕获率≥99%，白天车牌号识别准确率≥99%。</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应能在DC5V～DC17V范围内正常工作。</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(60±2)℃、2h，试验期间功能应正常。</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(-20±3)℃、2h，试验期间功能应正常。</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非工作状态：(40±2)℃、RH(93+2-3)%、24h；工作状态：(40±2)℃、RH(93+2-3)%、24h；试验期间功能应正常。</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相机部件防护等级不低于IP 67。</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摄像机应符合GA35114-A级标准。</w:t>
      </w:r>
      <w:r/>
    </w:p>
    <w:p>
      <w:pPr>
        <w:ind w:firstLine="420"/>
        <w:spacing w:line="360" w:lineRule="auto"/>
        <w:rPr>
          <w:rFonts w:ascii="宋体" w:hAnsi="宋体" w:eastAsia="宋体" w:cs="宋体"/>
          <w:sz w:val="21"/>
          <w:szCs w:val="21"/>
        </w:rPr>
      </w:pPr>
      <w:r>
        <w:rPr>
          <w:rFonts w:ascii="宋体" w:hAnsi="宋体" w:eastAsia="宋体" w:cs="宋体"/>
          <w:sz w:val="21"/>
          <w:szCs w:val="21"/>
        </w:rPr>
      </w:r>
      <w:r/>
    </w:p>
    <w:p>
      <w:pPr>
        <w:pStyle w:val="970"/>
      </w:pPr>
      <w:r>
        <w:rPr>
          <w:rFonts w:hint="eastAsia"/>
        </w:rPr>
        <w:t xml:space="preserve">工业级交换机</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w:t>
      </w:r>
      <w:r>
        <w:rPr>
          <w:rFonts w:hint="eastAsia" w:ascii="宋体" w:hAnsi="宋体" w:eastAsia="宋体" w:cs="仿宋"/>
          <w:b/>
          <w:bCs/>
          <w:sz w:val="21"/>
          <w:szCs w:val="21"/>
        </w:rPr>
        <w:t xml:space="preserve">5光8电网管型以太网交换机</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配置要求：至少具备5千兆光口及 8个百兆/千兆自适应电口，网管口</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背板带宽：不小于48Gbps；</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转发率：不小于35.7Mpps；</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吞吐量：100%；</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帧丢失率：0%；</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延时：≤18us  ；</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指示灯：具有网络连接状态和数据收发指示灯；</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工作模式：支持全双工或半双工；</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电口：符合IEEE802.3 10Base-T 、IEEE802.3u 100Base-TX, IEEE802.3ab 100Base-T标准；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光口：符合IEEE802.3u 100Base-FX，IEEE802.3z 100Base-X，IEEE802.3ae 10GBase-X标准；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业务功能要求：支持VLAN，QinQ，双层VALN；支持STP/RSTP/MSTP，支持环路自愈；支持端口及流量镜像；端口安全要求可以控制打开和关闭端口、端口和MAC的802.1x认证， IP/ MAC绑定静态、端口隔离；支持QOS业务分类控制和端口速度，双工模式和流量控制、带宽控制；网络管理员分级管理和口令保护；支持网管功能，可兼容接入标准SNMP网管平台；</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供电：交流：220V士20%；</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电磁兼容:内置浪涌和静电保护，三级防雷；</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外形结构：高强度金属型材机壳，壁挂型；</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散热方式：低功耗，无风扇，自然散热；</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MTBF：≥50000h；</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工作温度：-40～85℃；</w:t>
      </w:r>
      <w:r/>
    </w:p>
    <w:p>
      <w:pPr>
        <w:ind w:firstLine="422"/>
        <w:spacing w:line="360" w:lineRule="auto"/>
        <w:rPr>
          <w:rFonts w:ascii="宋体" w:hAnsi="宋体" w:eastAsia="宋体" w:cs="仿宋"/>
          <w:b/>
          <w:sz w:val="21"/>
          <w:szCs w:val="21"/>
        </w:rPr>
      </w:pPr>
      <w:r>
        <w:rPr>
          <w:rFonts w:hint="eastAsia" w:ascii="宋体" w:hAnsi="宋体" w:eastAsia="宋体" w:cs="仿宋"/>
          <w:b/>
          <w:sz w:val="21"/>
          <w:szCs w:val="21"/>
        </w:rPr>
        <w:t xml:space="preserve">2、2光8电型以太网交换机</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配置要求：具备不少于2个千兆光口及8个百兆/千兆自适应电口</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吞吐量：100%；</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帧丢失率：0%；</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延时：≤18us  ；</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电口：百兆速率，符合IEEE802.3 10Base-T 、IEEE802.3u 100Base-TX标准；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光口：千兆速率，符合IEEE802.3u 100Base-FX，IEEE802.3z 1000Base-X标准；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传输距离：≥20km</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业务功能要求：支持VLAN、STP/RSTP/MSTP、端口POE控制、端口安全、 IP/ MAC绑定、QOS业务分类控制等网管功能；支持WEB、CLI方式，可兼容接入标准SNMP网管平台；</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供电：交流220V ±20 ，外置电源适配器；</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电磁兼容:内置浪涌和静电保护；</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外形结构：金属型材机壳，壁挂型；</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散热方式：低功耗，无风扇，自然散热；</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MTBF：≥50000h；</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工作温度：-40～85℃；</w:t>
      </w:r>
      <w:r/>
    </w:p>
    <w:p>
      <w:pPr>
        <w:ind w:firstLine="422"/>
        <w:spacing w:line="360" w:lineRule="auto"/>
        <w:rPr>
          <w:rFonts w:ascii="宋体" w:hAnsi="宋体" w:eastAsia="宋体" w:cs="仿宋"/>
          <w:b/>
          <w:sz w:val="21"/>
          <w:szCs w:val="21"/>
        </w:rPr>
      </w:pPr>
      <w:r>
        <w:rPr>
          <w:rFonts w:hint="eastAsia" w:ascii="宋体" w:hAnsi="宋体" w:eastAsia="宋体" w:cs="仿宋"/>
          <w:b/>
          <w:sz w:val="21"/>
          <w:szCs w:val="21"/>
        </w:rPr>
        <w:t xml:space="preserve">3、1光4电型以太网交换机</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配置要求：至少具备1个千兆光口及 4个百兆/千兆自适应电口</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背板带宽：不小于 10 Gbps；</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吞吐量：100%；</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帧丢失率：0%；</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延时：≤15us；</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指示灯：具有网络连接状态和数据收发指示；</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流量控制：支持IEEE802.3X；</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电口：符合IEEE802.3 10Base-T 、IEEE802.3u 100Base-TX, IEEE802.3ab 1000Base-T标准；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光口：符合IEEE802.3z 1000Base-X标准；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供电： 交流220V 士20%  提供电源适配器；</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电磁兼容:内置浪涌和静电保护，三级防雷；</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外壳：高强度金属型材机壳，壁挂型；</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散热方式：低功耗、无风扇，自然散热；</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工作温度：-40～85℃ ；</w:t>
      </w:r>
      <w:r/>
    </w:p>
    <w:p>
      <w:pPr>
        <w:ind w:firstLine="422"/>
        <w:spacing w:line="360" w:lineRule="auto"/>
      </w:pPr>
      <w:r>
        <w:rPr>
          <w:rFonts w:hint="eastAsia" w:ascii="宋体" w:hAnsi="宋体" w:eastAsia="宋体" w:cs="仿宋"/>
          <w:b/>
          <w:sz w:val="21"/>
          <w:szCs w:val="21"/>
        </w:rPr>
        <w:t xml:space="preserve">4、5口以太网交换机</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配置要求：5个百兆电口</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背板带宽：不小于 1 Gbps；</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吞吐量：100%；</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帧丢失率：0%；</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延时：≤180us；</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指示灯：具有网络连接状态和数据收发指示；</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流量控制：支持IEEE802.3X；</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电口：符合IEEE802.3 10Base-T 、IEEE802.3u 100Base-TX,标准；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供电： 交流220V 士20%  提供电源适配器；</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电磁兼容:内置浪涌和静电保护，三级防雷；</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外壳：高强度金属型材机壳，壁挂型；</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散热方式：低功耗、无风扇，自然散热。</w:t>
      </w:r>
      <w:r/>
    </w:p>
    <w:p>
      <w:pPr>
        <w:pStyle w:val="970"/>
      </w:pPr>
      <w:r>
        <w:rPr>
          <w:rFonts w:hint="eastAsia"/>
        </w:rPr>
        <w:t xml:space="preserve">抱杆箱</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设备箱箱体尺寸不低于550*400*215mm；箱体使用材料为不锈钢板板材质1.5mm,人字尖顶，防护等级IP55。内部配电、防雷单元以及设备放置隔板位置能自由调整，方便现场安装调整。挂杆与壁装公用。门体使用双翻遍工艺，材料为不锈钢板板材质，门板印字可依据客户要求定制。安装底板依据设备安装位置开定位安装孔。抽拉式隔板，设备安放及固定板，开散热孔及过线孔。防盗锁，弹珠型防盗锁芯，外部防撬扣厚度大于2mm。防盗铰链，锌合金材质，压铸工艺，内部固定。</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电源防雷最大持续工作电压：385V AC，最大通流容量：40kA，保护水平（40kA，8/20μs）：2400V，保护模式：L-N-PE，响应时间：≤1ns，防护等级：不低于IP20（要求具备国家级检测报告）</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机箱为全天候防风雨自立式机箱。在机箱中加装电源保护装置，即过流过压保护装置，里面可能放置光端机、防雷模块、电源设备，接线端子、光纤终端盒、维修开关和插座等。</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机箱中应有电源单元。</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机箱内设有防雷电装置，每一根引入线均有相应的防雷电保护装置。机箱中应有通风装置，当机箱内温度过高时，通风装置自动启动排风降温。且进、排风口必须防水渗漏，有防虫吸入滤网。机箱锁要求有防雨外壳。</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机箱应有良好的接地系统，其防雷接地与电子设备工作接地分开。</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供电：电流总量程不低于63A；至少1路220V32A（电流量程可调1A-63A）供电；至少4路220V16A（电流量程可调1A-20A）供电；</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电路监测：不低于5路电流电压检测；电压量程0-350V；电流总量程不低于63A；直流供电DC12V不低于2路（每路独立控制，每路单独故障检测，故障独立告警，具备用电独立自恢复功能）</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其他功能：4G无线通讯功能；以太网通讯功能；定位以及地图展示功能；门禁报警功能；断电检测功能；断网检测功能；防雷失效检测功能；RS485通讯功能；时钟功能以及电池充电功能；</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环境监测：箱体内部温湿度检测，温度量程不低于-40-+125℃，湿度量程0-100%RH</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网络传输：至少包括RJ45以太网，4G无线模块</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断电异常：支持远程中心平台报警</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温度异常：支持远程中心平台报警</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网络异常：支持远程中心平台报警</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温度调节：支持远程控制风扇 </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工作温度范围：≥-10-+70℃</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存放温度范围：≥-20-+85℃</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相对湿度范围：≥5-95%，无结露</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防护等级 ：不低于IP55。</w:t>
      </w:r>
      <w:r/>
    </w:p>
    <w:p>
      <w:pPr>
        <w:pStyle w:val="970"/>
      </w:pPr>
      <w:r>
        <w:rPr>
          <w:rFonts w:hint="eastAsia"/>
        </w:rPr>
        <w:t xml:space="preserve">设备箱</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箱体材料为不锈钢，厚度不低于1.5mm，内部结构立杆不低于2mm,喷塑；箱体尺寸不低于1443*660*415mm。</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机箱防雷单元：电源防雷最大持续工作电压：385V AC，最大通流容量：40kA，保护水平（40kA，8/20μs）：2400V，保护模式：L-N-PE，响应时间：≤1ns，防护等级：不低于IP20（要求具备国家级检测报告）。</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机箱内设有防雷电装置，每一根引入线均有相应的防雷电保护装置。机箱中应有通风装置，当机箱内温度过高时，通风装置自动启动排风降温，机箱锁要求有防雨外壳。</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机箱应有良好的接地系统，其防雷接地与电子设备工作接地分开。</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内部设备安装空间全部采用 19 英寸的标准安装模块。</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具备防盗报警功能，可对箱体内部电路及环境参数进行实时监测，可将实时数据和异常状态传回中心进行判断，并能通过网络进行初步故障处理。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开门方式：前后双开门</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开锁方式：机械锁</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供电：电流总量程不低于63A；不少于1路220V32A（电流量程可调1A-63A）供电；不少于4路220V16A（电流量程可调1A-20A）供电；</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电路监测：不少于5路电流电压检测；电压量程0-350V；直流供电DC12V，不少于2路（每路独立控制，每路单独故障检测，故障独立告警，具备用电独立自恢复功能；）</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其他功能：</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4G无线通讯功能；以太网通讯功能；定位以及地图展示功能；门禁报警功能；断电检测功能；断网检测功能；防雷失效检测功能；RS485通讯功能；时钟功能以及电池充电功能；</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环境监测：箱体内部温湿度检测，温度量程不低于-40-+125℃，湿度量程0-100%RH</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网络传输：至少包括RJ45以太网，4G无线模块</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断电异常：支持远程中心平台报警</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温度异常：支持远程中心平台报警</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网络异常：支持远程中心平台报警</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温度调节：支持远程控制风扇 </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工作温度范围：≥-10-+70℃</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存放温度范围：≥-20-+85℃</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相对湿度范围：≥5-95%，无结露</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防护等级：不低于IP55。</w:t>
      </w:r>
      <w:r/>
    </w:p>
    <w:p>
      <w:pPr>
        <w:pStyle w:val="993"/>
        <w:ind w:firstLine="420"/>
        <w:rPr>
          <w:rFonts w:ascii="宋体" w:hAnsi="宋体" w:eastAsia="宋体" w:cs="宋体"/>
          <w:sz w:val="21"/>
          <w:szCs w:val="21"/>
        </w:rPr>
      </w:pPr>
      <w:r>
        <w:rPr>
          <w:rFonts w:ascii="宋体" w:hAnsi="宋体" w:eastAsia="宋体" w:cs="宋体"/>
          <w:sz w:val="21"/>
          <w:szCs w:val="21"/>
        </w:rPr>
      </w:r>
      <w:r/>
    </w:p>
    <w:p>
      <w:pPr>
        <w:pStyle w:val="993"/>
        <w:ind w:firstLine="420"/>
        <w:rPr>
          <w:rFonts w:ascii="宋体" w:hAnsi="宋体" w:eastAsia="宋体" w:cs="宋体"/>
          <w:sz w:val="21"/>
          <w:szCs w:val="21"/>
        </w:rPr>
      </w:pPr>
      <w:r>
        <w:rPr>
          <w:rFonts w:ascii="宋体" w:hAnsi="宋体" w:eastAsia="宋体" w:cs="宋体"/>
          <w:sz w:val="21"/>
          <w:szCs w:val="21"/>
        </w:rPr>
      </w:r>
      <w:r/>
    </w:p>
    <w:p>
      <w:pPr>
        <w:pStyle w:val="968"/>
      </w:pPr>
      <w:r>
        <w:rPr>
          <w:rFonts w:hint="eastAsia"/>
        </w:rPr>
        <w:t xml:space="preserve">一校一策</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结合《城市儿童友好空间建设导则（实行）》相关要求，积极践行儿童友好理念，坚持以“一米视角”为导向，推进太仓市实验小学高新区小区周边道路交通设施升级改造，建设 方案如下：</w:t>
      </w:r>
      <w:r/>
    </w:p>
    <w:p>
      <w:pPr>
        <w:pStyle w:val="969"/>
      </w:pPr>
      <w:r>
        <w:rPr>
          <w:rFonts w:hint="eastAsia"/>
        </w:rPr>
        <w:t xml:space="preserve">步行交通</w:t>
      </w:r>
      <w:r/>
    </w:p>
    <w:p>
      <w:pPr>
        <w:ind w:firstLine="422"/>
        <w:jc w:val="left"/>
        <w:spacing w:line="360" w:lineRule="auto"/>
        <w:rPr>
          <w:rFonts w:ascii="宋体" w:hAnsi="宋体" w:eastAsia="宋体" w:cs="宋体"/>
          <w:b/>
          <w:bCs/>
          <w:sz w:val="21"/>
          <w:szCs w:val="21"/>
        </w:rPr>
      </w:pPr>
      <w:r>
        <w:rPr>
          <w:rFonts w:hint="eastAsia" w:ascii="宋体" w:hAnsi="宋体" w:eastAsia="宋体" w:cs="宋体"/>
          <w:b/>
          <w:bCs/>
          <w:sz w:val="21"/>
          <w:szCs w:val="21"/>
        </w:rPr>
        <w:t xml:space="preserve">1）人行道</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校园周边道路设置学生步行专用通道，地块出入口处人行道采用红白相间式彩色斑马线铺装，保持平整连续，并设置减速带、隔离桩等减速隔离设施。 </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人行道与非机动车道间设置道板隔离护栏，进一步提升儿童步行路权，保障儿童步行安全。</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儿童友好人行道施划地面标志指引，明确儿童上学步行路径，保障儿童步行路权。（尺寸具体根据路幅确定）</w:t>
      </w:r>
      <w:r/>
    </w:p>
    <w:p>
      <w:pPr>
        <w:ind w:firstLine="422"/>
        <w:jc w:val="left"/>
        <w:spacing w:line="360" w:lineRule="auto"/>
        <w:rPr>
          <w:rFonts w:ascii="宋体" w:hAnsi="宋体" w:eastAsia="宋体" w:cs="宋体"/>
          <w:b/>
          <w:bCs/>
          <w:sz w:val="21"/>
          <w:szCs w:val="21"/>
        </w:rPr>
      </w:pPr>
      <w:r>
        <w:rPr>
          <w:rFonts w:hint="eastAsia" w:ascii="宋体" w:hAnsi="宋体" w:eastAsia="宋体" w:cs="宋体"/>
          <w:b/>
          <w:bCs/>
          <w:sz w:val="21"/>
          <w:szCs w:val="21"/>
        </w:rPr>
        <w:t xml:space="preserve">2）行人过街设施</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学校门口相邻交叉口行人过街横道线式样采用红白相间式彩色斑马线并完善“向左看”、“向右看”地面文字标记。两端人行道落底处施划蓝底白色小脚丫图案。</w:t>
      </w:r>
      <w:r/>
    </w:p>
    <w:p>
      <w:pPr>
        <w:pStyle w:val="969"/>
      </w:pPr>
      <w:r>
        <w:rPr>
          <w:rFonts w:hint="eastAsia"/>
        </w:rPr>
        <w:t xml:space="preserve">非机动车交通</w:t>
      </w:r>
      <w:r/>
    </w:p>
    <w:p>
      <w:pPr>
        <w:ind w:firstLine="422"/>
        <w:jc w:val="left"/>
        <w:spacing w:line="360" w:lineRule="auto"/>
        <w:rPr>
          <w:rFonts w:ascii="宋体" w:hAnsi="宋体" w:eastAsia="宋体" w:cs="宋体"/>
          <w:b/>
          <w:bCs/>
          <w:sz w:val="21"/>
          <w:szCs w:val="21"/>
        </w:rPr>
      </w:pPr>
      <w:r>
        <w:rPr>
          <w:rFonts w:hint="eastAsia" w:ascii="宋体" w:hAnsi="宋体" w:eastAsia="宋体" w:cs="宋体"/>
          <w:b/>
          <w:bCs/>
          <w:sz w:val="21"/>
          <w:szCs w:val="21"/>
        </w:rPr>
        <w:t xml:space="preserve">1）非机动车停车设置</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儿童友好区域内非机动车停车区域地面标线为蓝框蓝字,文字内容为”儿童友好安全接送”,并于迎车方向设置非机动车停车指示标志。</w:t>
      </w:r>
      <w:r/>
    </w:p>
    <w:p>
      <w:pPr>
        <w:ind w:firstLine="422"/>
        <w:jc w:val="left"/>
        <w:spacing w:line="360" w:lineRule="auto"/>
        <w:rPr>
          <w:rFonts w:ascii="宋体" w:hAnsi="宋体" w:eastAsia="宋体" w:cs="宋体"/>
          <w:b/>
          <w:bCs/>
          <w:sz w:val="21"/>
          <w:szCs w:val="21"/>
        </w:rPr>
      </w:pPr>
      <w:r>
        <w:rPr>
          <w:rFonts w:hint="eastAsia" w:ascii="宋体" w:hAnsi="宋体" w:eastAsia="宋体" w:cs="宋体"/>
          <w:b/>
          <w:bCs/>
          <w:sz w:val="21"/>
          <w:szCs w:val="21"/>
        </w:rPr>
        <w:t xml:space="preserve">2）非机动车过街设置</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周边道路建设非机动车安全过街设施，路口非机动车等候区施划红色警示区域，提升非机动车、行人过街安全性。</w:t>
      </w:r>
      <w:r/>
    </w:p>
    <w:p>
      <w:pPr>
        <w:pStyle w:val="969"/>
      </w:pPr>
      <w:r>
        <w:rPr>
          <w:rFonts w:hint="eastAsia"/>
        </w:rPr>
        <w:t xml:space="preserve">机动车交通</w:t>
      </w:r>
      <w:r/>
    </w:p>
    <w:p>
      <w:pPr>
        <w:ind w:firstLine="422"/>
        <w:jc w:val="left"/>
        <w:spacing w:line="360" w:lineRule="auto"/>
        <w:rPr>
          <w:rFonts w:ascii="宋体" w:hAnsi="宋体" w:eastAsia="宋体" w:cs="宋体"/>
          <w:b/>
          <w:bCs/>
          <w:sz w:val="21"/>
          <w:szCs w:val="21"/>
        </w:rPr>
      </w:pPr>
      <w:r>
        <w:rPr>
          <w:rFonts w:hint="eastAsia" w:ascii="宋体" w:hAnsi="宋体" w:eastAsia="宋体" w:cs="宋体"/>
          <w:b/>
          <w:bCs/>
          <w:sz w:val="21"/>
          <w:szCs w:val="21"/>
        </w:rPr>
        <w:t xml:space="preserve">1）充分利用市民公园地下接送系统</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加强儿童友好导视设计，在地库人行、车行出入口周边设置导视标志，提高地下空间接送吸引力。</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利用价格杠杆，提高地下车位利用率。调整收费政策，接送期间地下车位免费停放时长由2小时延长至4小时。 </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改善地下接送空间环境，提高地下接送体验。接送区铺设彩色地坪，提高接送区辨识度；地下连接通道处铺设彩色地坪，两侧墙面设置文明宣传标语；完善通道照明、监控等相关设施，打造安全、有趣的儿童友好学径。</w:t>
      </w:r>
      <w:r/>
    </w:p>
    <w:p>
      <w:pPr>
        <w:ind w:firstLine="422"/>
        <w:jc w:val="left"/>
        <w:spacing w:line="360" w:lineRule="auto"/>
        <w:rPr>
          <w:rFonts w:ascii="宋体" w:hAnsi="宋体" w:eastAsia="宋体" w:cs="宋体"/>
          <w:b/>
          <w:bCs/>
          <w:sz w:val="21"/>
          <w:szCs w:val="21"/>
        </w:rPr>
      </w:pPr>
      <w:r>
        <w:rPr>
          <w:rFonts w:hint="eastAsia" w:ascii="宋体" w:hAnsi="宋体" w:eastAsia="宋体" w:cs="宋体"/>
          <w:b/>
          <w:bCs/>
          <w:sz w:val="21"/>
          <w:szCs w:val="21"/>
        </w:rPr>
        <w:t xml:space="preserve">2）设置实时测速提醒设备</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在学校周边道路设置实时测速提醒设备，提醒驾驶人及时降低车速，减速慢行通过学校路段，进一步保障学校周边道路行人过街安全。</w:t>
      </w:r>
      <w:r/>
    </w:p>
    <w:p>
      <w:pPr>
        <w:pStyle w:val="969"/>
      </w:pPr>
      <w:r>
        <w:rPr>
          <w:rFonts w:hint="eastAsia"/>
        </w:rPr>
        <w:t xml:space="preserve">稳静化设施</w:t>
      </w:r>
      <w:r/>
    </w:p>
    <w:p>
      <w:pPr>
        <w:ind w:firstLine="422"/>
        <w:jc w:val="left"/>
        <w:spacing w:line="360" w:lineRule="auto"/>
        <w:rPr>
          <w:rFonts w:ascii="宋体" w:hAnsi="宋体" w:eastAsia="宋体" w:cs="宋体"/>
          <w:b/>
          <w:bCs/>
          <w:sz w:val="21"/>
          <w:szCs w:val="21"/>
        </w:rPr>
      </w:pPr>
      <w:r>
        <w:rPr>
          <w:rFonts w:hint="eastAsia" w:ascii="宋体" w:hAnsi="宋体" w:eastAsia="宋体" w:cs="宋体"/>
          <w:b/>
          <w:bCs/>
          <w:sz w:val="21"/>
          <w:szCs w:val="21"/>
        </w:rPr>
        <w:t xml:space="preserve">1）交通标志</w:t>
      </w:r>
      <w:r/>
    </w:p>
    <w:p>
      <w:pPr>
        <w:numPr>
          <w:ilvl w:val="0"/>
          <w:numId w:val="19"/>
        </w:numPr>
        <w:ind w:left="0" w:firstLine="420"/>
        <w:spacing w:line="360" w:lineRule="auto"/>
        <w:rPr>
          <w:rFonts w:ascii="宋体" w:hAnsi="宋体" w:eastAsia="宋体" w:cs="宋体"/>
          <w:sz w:val="21"/>
          <w:szCs w:val="21"/>
        </w:rPr>
      </w:pPr>
      <w:r>
        <w:rPr>
          <w:rFonts w:hint="eastAsia" w:ascii="宋体" w:hAnsi="宋体" w:eastAsia="宋体" w:cs="宋体"/>
          <w:sz w:val="21"/>
          <w:szCs w:val="21"/>
        </w:rPr>
        <w:t xml:space="preserve">儿童友好区域提示标志 </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在儿童友好区域路口设置儿童友好区域提示标志。</w:t>
      </w:r>
      <w:r/>
    </w:p>
    <w:p>
      <w:pPr>
        <w:numPr>
          <w:ilvl w:val="0"/>
          <w:numId w:val="19"/>
        </w:numPr>
        <w:ind w:left="0" w:firstLine="420"/>
        <w:spacing w:line="360" w:lineRule="auto"/>
        <w:rPr>
          <w:rFonts w:ascii="宋体" w:hAnsi="宋体" w:eastAsia="宋体" w:cs="宋体"/>
          <w:sz w:val="21"/>
          <w:szCs w:val="21"/>
        </w:rPr>
      </w:pPr>
      <w:r>
        <w:rPr>
          <w:rFonts w:hint="eastAsia" w:ascii="宋体" w:hAnsi="宋体" w:eastAsia="宋体" w:cs="宋体"/>
          <w:sz w:val="21"/>
          <w:szCs w:val="21"/>
        </w:rPr>
        <w:t xml:space="preserve">绿信延长标志 </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在儿童友好区域信号灯路口，根据道路路幅、交通通行量、儿童出行比等要素，对信号灯绿信比进行科学配置，适当延长行人过街信号配时，保障儿童安全有序通过。在信号灯立杆合理位置设置蓝底白字“儿童友好，绿信延长”标志牌，提醒过往车辆有序等待通行。</w:t>
      </w:r>
      <w:r/>
    </w:p>
    <w:p>
      <w:pPr>
        <w:ind w:firstLine="422"/>
        <w:jc w:val="left"/>
        <w:spacing w:line="360" w:lineRule="auto"/>
        <w:rPr>
          <w:rFonts w:ascii="宋体" w:hAnsi="宋体" w:eastAsia="宋体" w:cs="宋体"/>
          <w:b/>
          <w:bCs/>
          <w:sz w:val="21"/>
          <w:szCs w:val="21"/>
        </w:rPr>
      </w:pPr>
      <w:r>
        <w:rPr>
          <w:rFonts w:hint="eastAsia" w:ascii="宋体" w:hAnsi="宋体" w:eastAsia="宋体" w:cs="宋体"/>
          <w:b/>
          <w:bCs/>
          <w:sz w:val="21"/>
          <w:szCs w:val="21"/>
        </w:rPr>
        <w:t xml:space="preserve">2）交通标线</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施划人性化提示标线。人行横道前施划纵向减速标线 +学生图案+“注意儿童”地面文字。对交通参与的双方均进行提示，进一步降低事故风险。</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儿童友好公交停靠区域地面标线为白框篮字，注意前方路况标线为白框黄色实折线。</w:t>
      </w:r>
      <w:r/>
    </w:p>
    <w:p>
      <w:pPr>
        <w:pStyle w:val="993"/>
        <w:ind w:firstLine="420"/>
        <w:rPr>
          <w:rFonts w:ascii="宋体" w:hAnsi="宋体" w:eastAsia="宋体" w:cs="宋体"/>
          <w:sz w:val="21"/>
          <w:szCs w:val="21"/>
        </w:rPr>
      </w:pPr>
      <w:r>
        <w:rPr>
          <w:rFonts w:ascii="宋体" w:hAnsi="宋体" w:eastAsia="宋体" w:cs="宋体"/>
          <w:sz w:val="21"/>
          <w:szCs w:val="21"/>
        </w:rPr>
      </w:r>
      <w:r/>
    </w:p>
    <w:p>
      <w:pPr>
        <w:pStyle w:val="968"/>
      </w:pPr>
      <w:r>
        <w:rPr>
          <w:rFonts w:hint="eastAsia"/>
        </w:rPr>
        <w:t xml:space="preserve">视图融合解析服务</w:t>
      </w:r>
      <w:r/>
    </w:p>
    <w:p>
      <w:pPr>
        <w:pStyle w:val="969"/>
      </w:pPr>
      <w:r>
        <w:rPr>
          <w:rFonts w:hint="eastAsia"/>
        </w:rPr>
        <w:t xml:space="preserve">可视域平台</w:t>
      </w:r>
      <w:r/>
    </w:p>
    <w:p>
      <w:pPr>
        <w:pStyle w:val="970"/>
        <w:rPr>
          <w:lang w:eastAsia="zh-Hans"/>
        </w:rPr>
      </w:pPr>
      <w:r>
        <w:rPr>
          <w:rFonts w:hint="eastAsia"/>
        </w:rPr>
        <w:t xml:space="preserve">系统概述</w:t>
      </w:r>
      <w:r/>
    </w:p>
    <w:p>
      <w:pPr>
        <w:pStyle w:val="1066"/>
        <w:ind w:firstLine="420"/>
        <w:spacing w:line="372" w:lineRule="auto"/>
        <w:widowControl w:val="off"/>
        <w:rPr>
          <w:rFonts w:hAnsi="宋体" w:cs="宋体"/>
          <w:sz w:val="21"/>
          <w:szCs w:val="21"/>
          <w:lang w:eastAsia="zh-Hans"/>
        </w:rPr>
      </w:pPr>
      <w:r>
        <w:rPr>
          <w:rFonts w:hint="eastAsia" w:hAnsi="宋体" w:cs="宋体"/>
          <w:sz w:val="21"/>
          <w:szCs w:val="21"/>
          <w:lang w:eastAsia="zh-Hans"/>
        </w:rPr>
        <w:t xml:space="preserve">随着视频图像智能技术的不断深入应用，各地公安机关在实际建设和应用中也反映出对视频图像前端设备可视域技术标准及管理规范完善的需求。实际的业务需求场景中，用户需要利用可视域准确的把握视频监控的可视范围，实现更加精细化的侦查分析；同时通过可视域还能帮助用户提供区域监控资源配置的合理性分析，实现前端点位精确建设的查缺补漏。</w:t>
      </w:r>
      <w:r/>
    </w:p>
    <w:p>
      <w:pPr>
        <w:pStyle w:val="970"/>
        <w:rPr>
          <w:lang w:eastAsia="zh-Hans"/>
        </w:rPr>
      </w:pPr>
      <w:r>
        <w:rPr>
          <w:rFonts w:hint="eastAsia"/>
        </w:rPr>
        <w:t xml:space="preserve">系统功能</w:t>
      </w:r>
      <w:r/>
    </w:p>
    <w:p>
      <w:pPr>
        <w:pStyle w:val="1066"/>
        <w:ind w:firstLine="420"/>
        <w:spacing w:line="372" w:lineRule="auto"/>
        <w:rPr>
          <w:rFonts w:hAnsi="宋体" w:cs="宋体"/>
          <w:sz w:val="21"/>
          <w:szCs w:val="21"/>
        </w:rPr>
      </w:pPr>
      <w:r>
        <w:rPr>
          <w:rFonts w:hint="eastAsia" w:hAnsi="宋体" w:cs="宋体"/>
          <w:sz w:val="21"/>
          <w:szCs w:val="21"/>
        </w:rPr>
        <w:t xml:space="preserve">1、基础应用</w:t>
      </w:r>
      <w:r/>
    </w:p>
    <w:p>
      <w:pPr>
        <w:pStyle w:val="1066"/>
        <w:ind w:firstLine="420"/>
        <w:spacing w:line="372" w:lineRule="auto"/>
        <w:widowControl w:val="off"/>
        <w:rPr>
          <w:rFonts w:hAnsi="宋体" w:cs="宋体"/>
          <w:sz w:val="21"/>
          <w:szCs w:val="21"/>
        </w:rPr>
      </w:pPr>
      <w:r>
        <w:rPr>
          <w:rFonts w:hint="eastAsia" w:hAnsi="宋体" w:cs="宋体"/>
          <w:sz w:val="21"/>
          <w:szCs w:val="21"/>
        </w:rPr>
        <w:t xml:space="preserve">包括：可视域AR实景应用、标签管理、自定义标签、自定义巡检工具、报警管理、实时事件管理、动态可视域、可视域地图服务等；</w:t>
      </w:r>
      <w:r/>
    </w:p>
    <w:p>
      <w:pPr>
        <w:pStyle w:val="1066"/>
        <w:ind w:firstLine="420"/>
        <w:spacing w:line="372" w:lineRule="auto"/>
        <w:rPr>
          <w:rFonts w:hAnsi="宋体" w:cs="宋体"/>
          <w:sz w:val="21"/>
          <w:szCs w:val="21"/>
        </w:rPr>
      </w:pPr>
      <w:r>
        <w:rPr>
          <w:rFonts w:hint="eastAsia" w:hAnsi="宋体" w:cs="宋体"/>
          <w:sz w:val="21"/>
          <w:szCs w:val="21"/>
        </w:rPr>
        <w:t xml:space="preserve">2、标定工具</w:t>
      </w:r>
      <w:r/>
    </w:p>
    <w:p>
      <w:pPr>
        <w:pStyle w:val="1066"/>
        <w:ind w:firstLine="420"/>
        <w:spacing w:line="372" w:lineRule="auto"/>
        <w:widowControl w:val="off"/>
        <w:rPr>
          <w:rFonts w:hAnsi="宋体" w:cs="宋体"/>
          <w:sz w:val="21"/>
          <w:szCs w:val="21"/>
        </w:rPr>
      </w:pPr>
      <w:r>
        <w:rPr>
          <w:rFonts w:hint="eastAsia" w:hAnsi="宋体" w:cs="宋体"/>
          <w:sz w:val="21"/>
          <w:szCs w:val="21"/>
        </w:rPr>
        <w:t xml:space="preserve">包括：标定设备配置、标定图片抓拍策略配置、太阳检测算法、可视域算法、实时抓拍服务、录像抓拍服务、可视域标定模块、可视域对接模块等；</w:t>
      </w:r>
      <w:r/>
    </w:p>
    <w:p>
      <w:pPr>
        <w:pStyle w:val="1066"/>
        <w:ind w:firstLine="420"/>
        <w:spacing w:line="372" w:lineRule="auto"/>
        <w:rPr>
          <w:rFonts w:hAnsi="宋体" w:cs="宋体"/>
          <w:sz w:val="21"/>
          <w:szCs w:val="21"/>
        </w:rPr>
      </w:pPr>
      <w:r>
        <w:rPr>
          <w:rFonts w:hint="eastAsia" w:hAnsi="宋体" w:cs="宋体"/>
          <w:sz w:val="21"/>
          <w:szCs w:val="21"/>
        </w:rPr>
        <w:t xml:space="preserve">3、功能应用</w:t>
      </w:r>
      <w:r/>
    </w:p>
    <w:p>
      <w:pPr>
        <w:pStyle w:val="1066"/>
        <w:ind w:firstLine="420"/>
        <w:spacing w:line="372" w:lineRule="auto"/>
        <w:widowControl w:val="off"/>
        <w:rPr>
          <w:rFonts w:hAnsi="宋体" w:cs="宋体"/>
          <w:sz w:val="21"/>
          <w:szCs w:val="21"/>
        </w:rPr>
      </w:pPr>
      <w:r>
        <w:rPr>
          <w:rFonts w:hint="eastAsia" w:hAnsi="宋体" w:cs="宋体"/>
          <w:sz w:val="21"/>
          <w:szCs w:val="21"/>
        </w:rPr>
        <w:t xml:space="preserve">包括：可视域上图、重复点位分析、移位分析等；</w:t>
      </w:r>
      <w:r/>
    </w:p>
    <w:p>
      <w:pPr>
        <w:pStyle w:val="1066"/>
        <w:ind w:firstLine="420"/>
        <w:spacing w:line="372" w:lineRule="auto"/>
        <w:rPr>
          <w:rFonts w:hAnsi="宋体" w:cs="宋体"/>
          <w:sz w:val="21"/>
          <w:szCs w:val="21"/>
        </w:rPr>
      </w:pPr>
      <w:r>
        <w:rPr>
          <w:rFonts w:hint="eastAsia" w:hAnsi="宋体" w:cs="宋体"/>
          <w:sz w:val="21"/>
          <w:szCs w:val="21"/>
        </w:rPr>
        <w:t xml:space="preserve">4、网格化管理</w:t>
      </w:r>
      <w:r/>
    </w:p>
    <w:p>
      <w:pPr>
        <w:pStyle w:val="1066"/>
        <w:ind w:firstLine="420"/>
        <w:spacing w:line="372" w:lineRule="auto"/>
        <w:rPr>
          <w:rFonts w:hAnsi="宋体" w:cs="宋体"/>
          <w:sz w:val="21"/>
          <w:szCs w:val="21"/>
        </w:rPr>
      </w:pPr>
      <w:r>
        <w:rPr>
          <w:rFonts w:hint="eastAsia" w:hAnsi="宋体" w:cs="宋体"/>
          <w:sz w:val="21"/>
          <w:szCs w:val="21"/>
        </w:rPr>
        <w:t xml:space="preserve">包括：构建网格、网格配置、网格绘制、自动构建网格等；</w:t>
      </w:r>
      <w:r/>
    </w:p>
    <w:p>
      <w:pPr>
        <w:pStyle w:val="1066"/>
        <w:ind w:firstLine="420"/>
        <w:spacing w:line="372" w:lineRule="auto"/>
        <w:rPr>
          <w:rFonts w:hAnsi="宋体" w:cs="宋体"/>
          <w:sz w:val="21"/>
          <w:szCs w:val="21"/>
        </w:rPr>
      </w:pPr>
      <w:r>
        <w:rPr>
          <w:rFonts w:hint="eastAsia" w:hAnsi="宋体" w:cs="宋体"/>
          <w:sz w:val="21"/>
          <w:szCs w:val="21"/>
        </w:rPr>
        <w:t xml:space="preserve">5、网格化应用</w:t>
      </w:r>
      <w:r/>
    </w:p>
    <w:p>
      <w:pPr>
        <w:pStyle w:val="1066"/>
        <w:ind w:firstLine="420"/>
        <w:spacing w:line="372" w:lineRule="auto"/>
        <w:rPr>
          <w:rFonts w:hAnsi="宋体" w:cs="宋体"/>
          <w:sz w:val="21"/>
          <w:szCs w:val="21"/>
        </w:rPr>
      </w:pPr>
      <w:r>
        <w:rPr>
          <w:rFonts w:hint="eastAsia" w:hAnsi="宋体" w:cs="宋体"/>
          <w:sz w:val="21"/>
          <w:szCs w:val="21"/>
        </w:rPr>
        <w:t xml:space="preserve">包括：网格出入口分析、网格列表查看、网格风险积分联动等；</w:t>
      </w:r>
      <w:r/>
    </w:p>
    <w:p>
      <w:pPr>
        <w:pStyle w:val="969"/>
      </w:pPr>
      <w:r>
        <w:rPr>
          <w:rFonts w:hint="eastAsia"/>
        </w:rPr>
        <w:t xml:space="preserve">全结构化一体人像卡口</w:t>
      </w:r>
      <w:r/>
    </w:p>
    <w:p>
      <w:pPr>
        <w:pStyle w:val="970"/>
      </w:pPr>
      <w:r>
        <w:rPr>
          <w:rFonts w:hint="eastAsia"/>
        </w:rPr>
        <w:t xml:space="preserve">系统功能</w:t>
      </w:r>
      <w:r/>
    </w:p>
    <w:p>
      <w:pPr>
        <w:numPr>
          <w:ilvl w:val="2"/>
          <w:numId w:val="0"/>
        </w:numPr>
        <w:ind w:firstLine="422"/>
        <w:spacing w:line="372" w:lineRule="auto"/>
        <w:tabs>
          <w:tab w:val="left" w:pos="720" w:leader="none"/>
          <w:tab w:val="left" w:pos="3915" w:leader="none"/>
        </w:tabs>
        <w:rPr>
          <w:rFonts w:ascii="宋体" w:hAnsi="宋体" w:eastAsia="宋体" w:cs="宋体"/>
          <w:b/>
          <w:sz w:val="21"/>
          <w:szCs w:val="21"/>
        </w:rPr>
      </w:pPr>
      <w:r>
        <w:rPr>
          <w:rFonts w:hint="eastAsia" w:ascii="宋体" w:hAnsi="宋体" w:eastAsia="宋体" w:cs="宋体"/>
          <w:b/>
          <w:sz w:val="21"/>
          <w:szCs w:val="21"/>
        </w:rPr>
        <w:t xml:space="preserve">系统需无缝接入现有视频监控平台，设备功能包含但不限于以下功能，施工单位进场后，需对设备功能进行深化，以满足业主的要求为准。</w:t>
      </w:r>
      <w:r/>
    </w:p>
    <w:p>
      <w:pPr>
        <w:ind w:firstLine="422"/>
        <w:jc w:val="left"/>
        <w:spacing w:line="372" w:lineRule="auto"/>
        <w:rPr>
          <w:rFonts w:ascii="宋体" w:hAnsi="宋体" w:eastAsia="宋体" w:cs="宋体"/>
          <w:b/>
          <w:bCs/>
          <w:sz w:val="21"/>
          <w:szCs w:val="21"/>
        </w:rPr>
      </w:pPr>
      <w:r>
        <w:rPr>
          <w:rFonts w:hint="eastAsia" w:ascii="宋体" w:hAnsi="宋体" w:eastAsia="宋体" w:cs="宋体"/>
          <w:b/>
          <w:bCs/>
          <w:sz w:val="21"/>
          <w:szCs w:val="21"/>
        </w:rPr>
        <w:t xml:space="preserve">全天候高清晰实时监控</w:t>
      </w:r>
      <w:r/>
    </w:p>
    <w:p>
      <w:pPr>
        <w:ind w:firstLine="420"/>
        <w:jc w:val="left"/>
        <w:spacing w:line="372" w:lineRule="auto"/>
        <w:rPr>
          <w:rFonts w:ascii="宋体" w:hAnsi="宋体" w:eastAsia="宋体" w:cs="宋体"/>
          <w:sz w:val="21"/>
          <w:szCs w:val="21"/>
        </w:rPr>
      </w:pPr>
      <w:r>
        <w:rPr>
          <w:rFonts w:hint="eastAsia" w:ascii="宋体" w:hAnsi="宋体" w:eastAsia="宋体" w:cs="宋体"/>
          <w:sz w:val="21"/>
          <w:szCs w:val="21"/>
        </w:rPr>
        <w:t xml:space="preserve">采用先进的光电技术、图像处理技术、模式识别技术可对机动车辆、非机动车辆及行人等进行7*24小时、全截面、全天候的监控。 </w:t>
      </w:r>
      <w:r/>
    </w:p>
    <w:p>
      <w:pPr>
        <w:ind w:firstLine="422"/>
        <w:jc w:val="left"/>
        <w:spacing w:line="360" w:lineRule="auto"/>
        <w:rPr>
          <w:rFonts w:ascii="宋体" w:hAnsi="宋体" w:eastAsia="宋体" w:cs="宋体"/>
          <w:b/>
          <w:bCs/>
          <w:sz w:val="21"/>
          <w:szCs w:val="21"/>
        </w:rPr>
      </w:pPr>
      <w:r/>
      <w:bookmarkStart w:id="75" w:name="_Toc314392775"/>
      <w:r/>
      <w:bookmarkStart w:id="76" w:name="_Toc381359472"/>
      <w:r/>
      <w:bookmarkStart w:id="77" w:name="_Toc383160692"/>
      <w:r/>
      <w:bookmarkStart w:id="78" w:name="_Toc381359592"/>
      <w:r/>
      <w:bookmarkStart w:id="79" w:name="_Toc381359352"/>
      <w:r>
        <w:rPr>
          <w:rFonts w:hint="eastAsia" w:ascii="宋体" w:hAnsi="宋体" w:eastAsia="宋体" w:cs="宋体"/>
          <w:b/>
          <w:bCs/>
          <w:sz w:val="21"/>
          <w:szCs w:val="21"/>
        </w:rPr>
        <w:t xml:space="preserve">非机动车辆和行人抓拍功能</w:t>
      </w:r>
      <w:bookmarkEnd w:id="75"/>
      <w:r/>
      <w:bookmarkEnd w:id="76"/>
      <w:r/>
      <w:bookmarkEnd w:id="77"/>
      <w:r/>
      <w:bookmarkEnd w:id="78"/>
      <w:r/>
      <w:bookmarkEnd w:id="79"/>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在各种时段、各种环境光及各种天气下，对经过的非机动车辆、行人进行抓拍。记录1张全景图片。记录的非机动车信息主要包括经过地点、行驶方向、经过时间、车辆类型、车身颜色等特征内容，记录的行人信息包括经过地点、经过时间、行走方向及行人的面部特征、衣着主体颜色等内容。</w:t>
      </w:r>
      <w:r/>
    </w:p>
    <w:p>
      <w:pPr>
        <w:ind w:firstLine="422"/>
        <w:jc w:val="left"/>
        <w:spacing w:line="360" w:lineRule="auto"/>
        <w:rPr>
          <w:rFonts w:ascii="宋体" w:hAnsi="宋体" w:eastAsia="宋体" w:cs="宋体"/>
          <w:b/>
          <w:bCs/>
          <w:sz w:val="21"/>
          <w:szCs w:val="21"/>
        </w:rPr>
      </w:pPr>
      <w:r/>
      <w:bookmarkStart w:id="80" w:name="_Toc381359350"/>
      <w:r/>
      <w:bookmarkStart w:id="81" w:name="_Toc314392773"/>
      <w:r/>
      <w:bookmarkStart w:id="82" w:name="_Toc381359470"/>
      <w:r/>
      <w:bookmarkStart w:id="83" w:name="_Toc402441811"/>
      <w:r/>
      <w:bookmarkStart w:id="84" w:name="_Toc381359590"/>
      <w:r>
        <w:rPr>
          <w:rFonts w:hint="eastAsia" w:ascii="宋体" w:hAnsi="宋体" w:eastAsia="宋体" w:cs="宋体"/>
          <w:b/>
          <w:bCs/>
          <w:sz w:val="21"/>
          <w:szCs w:val="21"/>
        </w:rPr>
        <w:t xml:space="preserve">机动车辆抓拍功能</w:t>
      </w:r>
      <w:bookmarkEnd w:id="80"/>
      <w:r/>
      <w:bookmarkEnd w:id="81"/>
      <w:r/>
      <w:bookmarkEnd w:id="82"/>
      <w:r/>
      <w:bookmarkEnd w:id="83"/>
      <w:r/>
      <w:bookmarkEnd w:id="84"/>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在各种时段、各种环境光及各种天气下，对以200km/h内速度行驶的所有机动车辆（包括两轮摩托）进行抓拍。记录1张机动车特写图片，信息主要包括经过地点、行驶方向、经过时间、号牌号码、车标类型、号牌颜色、车身颜色、车辆类型、车速等内容。</w:t>
      </w:r>
      <w:r/>
    </w:p>
    <w:p>
      <w:pPr>
        <w:ind w:firstLine="422"/>
        <w:jc w:val="left"/>
        <w:spacing w:line="360" w:lineRule="auto"/>
        <w:rPr>
          <w:rFonts w:ascii="宋体" w:hAnsi="宋体" w:eastAsia="宋体" w:cs="宋体"/>
          <w:b/>
          <w:bCs/>
          <w:sz w:val="21"/>
          <w:szCs w:val="21"/>
        </w:rPr>
      </w:pPr>
      <w:r>
        <w:rPr>
          <w:rFonts w:hint="eastAsia" w:ascii="宋体" w:hAnsi="宋体" w:eastAsia="宋体" w:cs="宋体"/>
          <w:b/>
          <w:bCs/>
          <w:sz w:val="21"/>
          <w:szCs w:val="21"/>
        </w:rPr>
        <w:t xml:space="preserve">车辆特征识别</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系统支持支持车牌号码识别、车牌颜色识别、车身颜色识别、车型识别、流量统计等智能功能。</w:t>
      </w:r>
      <w:r/>
    </w:p>
    <w:p>
      <w:pPr>
        <w:ind w:firstLine="422"/>
        <w:jc w:val="left"/>
        <w:spacing w:line="360" w:lineRule="auto"/>
        <w:rPr>
          <w:rFonts w:ascii="宋体" w:hAnsi="宋体" w:eastAsia="宋体" w:cs="宋体"/>
          <w:b/>
          <w:bCs/>
          <w:sz w:val="21"/>
          <w:szCs w:val="21"/>
        </w:rPr>
      </w:pPr>
      <w:r/>
      <w:bookmarkStart w:id="85" w:name="_Toc381359353"/>
      <w:r/>
      <w:bookmarkStart w:id="86" w:name="_Toc381359593"/>
      <w:r/>
      <w:bookmarkStart w:id="87" w:name="_Toc381359473"/>
      <w:r/>
      <w:bookmarkStart w:id="88" w:name="_Toc383160693"/>
      <w:r/>
      <w:bookmarkStart w:id="89" w:name="_Toc314392776"/>
      <w:r>
        <w:rPr>
          <w:rFonts w:hint="eastAsia" w:ascii="宋体" w:hAnsi="宋体" w:eastAsia="宋体" w:cs="宋体"/>
          <w:b/>
          <w:bCs/>
          <w:sz w:val="21"/>
          <w:szCs w:val="21"/>
        </w:rPr>
        <w:t xml:space="preserve">自适应补光功能</w:t>
      </w:r>
      <w:bookmarkEnd w:id="85"/>
      <w:r/>
      <w:bookmarkEnd w:id="86"/>
      <w:r/>
      <w:bookmarkEnd w:id="87"/>
      <w:r/>
      <w:bookmarkEnd w:id="88"/>
      <w:r/>
      <w:bookmarkEnd w:id="89"/>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系统补光灯可以自动开启、关闭。也可以选择手动远程打开、调节亮度或者关闭。由于车牌的高反光</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特性，微弱的补光，即可识别车牌，可有效减少光污染。 </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为保证全天候条件下的图片效果及识别结果，系统通过内置补光灯，，保证全天候情况下同时保证车牌、驾驶人脸相、车头车身痕迹的高清晰率。</w:t>
      </w:r>
      <w:r/>
    </w:p>
    <w:p>
      <w:pPr>
        <w:ind w:firstLine="422"/>
        <w:jc w:val="left"/>
        <w:spacing w:line="360" w:lineRule="auto"/>
        <w:rPr>
          <w:rFonts w:ascii="宋体" w:hAnsi="宋体" w:eastAsia="宋体" w:cs="宋体"/>
          <w:b/>
          <w:bCs/>
          <w:sz w:val="21"/>
          <w:szCs w:val="21"/>
        </w:rPr>
      </w:pPr>
      <w:r/>
      <w:bookmarkStart w:id="90" w:name="_Toc381359475"/>
      <w:r/>
      <w:bookmarkStart w:id="91" w:name="_Toc381359595"/>
      <w:r/>
      <w:bookmarkStart w:id="92" w:name="_Toc314392778"/>
      <w:r/>
      <w:bookmarkStart w:id="93" w:name="_Toc381359355"/>
      <w:r/>
      <w:bookmarkStart w:id="94" w:name="_Toc402441817"/>
      <w:r>
        <w:rPr>
          <w:rFonts w:hint="eastAsia" w:ascii="宋体" w:hAnsi="宋体" w:eastAsia="宋体" w:cs="宋体"/>
          <w:b/>
          <w:bCs/>
          <w:sz w:val="21"/>
          <w:szCs w:val="21"/>
        </w:rPr>
        <w:t xml:space="preserve">卡口信息记录处理功能</w:t>
      </w:r>
      <w:bookmarkEnd w:id="90"/>
      <w:r/>
      <w:bookmarkEnd w:id="91"/>
      <w:r/>
      <w:bookmarkEnd w:id="92"/>
      <w:r/>
      <w:bookmarkEnd w:id="93"/>
      <w:r/>
      <w:bookmarkEnd w:id="94"/>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图片格式采用JPEG格式。数据信息包括设备编号、时间、地点、方向、车道、车牌号码、颜色、车型、车身颜色及车辆速度等。</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系统提供前端微卡口子系统数据的异地冗余备份，且在通讯故障情况下不会造成数据丢失。</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系统具备数据预处理功能，通过模式识别等多种技术手段，滤除无效图片，确保记录的卡口信息完整、有效。</w:t>
      </w:r>
      <w:r/>
    </w:p>
    <w:p>
      <w:pPr>
        <w:ind w:firstLine="422"/>
        <w:jc w:val="left"/>
        <w:spacing w:line="360" w:lineRule="auto"/>
        <w:rPr>
          <w:rFonts w:ascii="宋体" w:hAnsi="宋体" w:eastAsia="宋体" w:cs="宋体"/>
          <w:b/>
          <w:bCs/>
          <w:sz w:val="21"/>
          <w:szCs w:val="21"/>
        </w:rPr>
      </w:pPr>
      <w:r>
        <w:rPr>
          <w:rFonts w:hint="eastAsia" w:ascii="宋体" w:hAnsi="宋体" w:eastAsia="宋体" w:cs="宋体"/>
          <w:b/>
          <w:bCs/>
          <w:sz w:val="21"/>
          <w:szCs w:val="21"/>
        </w:rPr>
        <w:t xml:space="preserve">统一布控报警功能</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可与公安部门相关业务系统进行联网，可对黑名单内的车辆和人员进行实时监测报警、统一指挥布控、拦截等。</w:t>
      </w:r>
      <w:r/>
    </w:p>
    <w:p>
      <w:pPr>
        <w:ind w:firstLine="422"/>
        <w:jc w:val="left"/>
        <w:spacing w:line="360" w:lineRule="auto"/>
        <w:rPr>
          <w:rFonts w:ascii="宋体" w:hAnsi="宋体" w:eastAsia="宋体" w:cs="宋体"/>
          <w:b/>
          <w:bCs/>
          <w:sz w:val="21"/>
          <w:szCs w:val="21"/>
        </w:rPr>
      </w:pPr>
      <w:r/>
      <w:bookmarkStart w:id="95" w:name="_Toc381359599"/>
      <w:r/>
      <w:bookmarkStart w:id="96" w:name="_Toc381359359"/>
      <w:r/>
      <w:bookmarkStart w:id="97" w:name="_Toc314392782"/>
      <w:r/>
      <w:bookmarkStart w:id="98" w:name="_Toc313026322"/>
      <w:r/>
      <w:bookmarkStart w:id="99" w:name="_Toc381359479"/>
      <w:r/>
      <w:bookmarkStart w:id="100" w:name="_Toc402441821"/>
      <w:r>
        <w:rPr>
          <w:rFonts w:hint="eastAsia" w:ascii="宋体" w:hAnsi="宋体" w:eastAsia="宋体" w:cs="宋体"/>
          <w:b/>
          <w:bCs/>
          <w:sz w:val="21"/>
          <w:szCs w:val="21"/>
        </w:rPr>
        <w:t xml:space="preserve">高清监控录像功能</w:t>
      </w:r>
      <w:bookmarkEnd w:id="95"/>
      <w:r/>
      <w:bookmarkEnd w:id="96"/>
      <w:r/>
      <w:bookmarkEnd w:id="97"/>
      <w:r/>
      <w:bookmarkEnd w:id="98"/>
      <w:r/>
      <w:bookmarkEnd w:id="99"/>
      <w:r/>
      <w:bookmarkEnd w:id="100"/>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系统支持高清实时视频监控和高清视频录像两大功能。</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系统安装高清全景摄像机后，可以实现监控路口的交通运行状态，对于监测路口出现的交通拥堵、交通事故、交通违法行为等异常交通事件进行全天候高清视频录像，录像记录能清晰的反映事件过程和事件细节，例如事件发生的时间、地点、方向、车辆类型、车辆号牌等信息。</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视频图像可采用前端存储控制器存储和中心磁盘阵列存储冗余的存储方式，当远程通讯断开时，录像存储在前端存储控制器，当通讯恢复后，高清视频录像实时上传到中心进行存储。</w:t>
      </w:r>
      <w:r/>
    </w:p>
    <w:p>
      <w:pPr>
        <w:ind w:firstLine="422"/>
        <w:jc w:val="left"/>
        <w:spacing w:line="360" w:lineRule="auto"/>
        <w:rPr>
          <w:rFonts w:ascii="宋体" w:hAnsi="宋体" w:eastAsia="宋体" w:cs="宋体"/>
          <w:b/>
          <w:bCs/>
          <w:sz w:val="21"/>
          <w:szCs w:val="21"/>
        </w:rPr>
      </w:pPr>
      <w:r/>
      <w:bookmarkStart w:id="101" w:name="_Toc313026325"/>
      <w:r/>
      <w:bookmarkStart w:id="102" w:name="_Toc402441824"/>
      <w:r/>
      <w:bookmarkStart w:id="103" w:name="_Toc314392785"/>
      <w:r/>
      <w:bookmarkStart w:id="104" w:name="_Toc381359482"/>
      <w:r/>
      <w:bookmarkStart w:id="105" w:name="_Toc381359602"/>
      <w:r/>
      <w:bookmarkStart w:id="106" w:name="_Toc381359362"/>
      <w:r>
        <w:rPr>
          <w:rFonts w:hint="eastAsia" w:ascii="宋体" w:hAnsi="宋体" w:eastAsia="宋体" w:cs="宋体"/>
          <w:b/>
          <w:bCs/>
          <w:sz w:val="21"/>
          <w:szCs w:val="21"/>
        </w:rPr>
        <w:t xml:space="preserve">断点续传通讯功能</w:t>
      </w:r>
      <w:bookmarkEnd w:id="101"/>
      <w:r/>
      <w:bookmarkEnd w:id="102"/>
      <w:r/>
      <w:bookmarkEnd w:id="103"/>
      <w:r/>
      <w:bookmarkEnd w:id="104"/>
      <w:r/>
      <w:bookmarkEnd w:id="105"/>
      <w:r/>
      <w:bookmarkEnd w:id="106"/>
      <w:r/>
      <w:r/>
    </w:p>
    <w:p>
      <w:pPr>
        <w:ind w:firstLine="420"/>
        <w:jc w:val="left"/>
        <w:spacing w:line="360" w:lineRule="auto"/>
        <w:rPr>
          <w:rFonts w:ascii="宋体" w:hAnsi="宋体" w:eastAsia="宋体" w:cs="宋体"/>
          <w:sz w:val="21"/>
          <w:szCs w:val="21"/>
        </w:rPr>
      </w:pPr>
      <w:r/>
      <w:bookmarkStart w:id="107" w:name="_Toc309899864"/>
      <w:r/>
      <w:bookmarkStart w:id="108" w:name="_Toc313026326"/>
      <w:r/>
      <w:bookmarkStart w:id="109" w:name="_Toc314392786"/>
      <w:r>
        <w:rPr>
          <w:rFonts w:hint="eastAsia" w:ascii="宋体" w:hAnsi="宋体" w:eastAsia="宋体" w:cs="宋体"/>
          <w:sz w:val="21"/>
          <w:szCs w:val="21"/>
        </w:rPr>
        <w:t xml:space="preserve">系统抓拍的机动车等特征图片数据经过通讯程序向后台存储服务器实时传输，并可实时在中心平台上显示，整个传输过程＜2s。通讯断开情况下，前端数据暂存在高清摄像机内，通讯恢复后断点续传。</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系统应支持多种方式进行通讯，支持定时定点通讯、人工启动和实时传输三种通讯形式。在通讯中断或中心设备出现故障等非正常情况下，仍可采用人工下载数据。</w:t>
      </w:r>
      <w:bookmarkEnd w:id="107"/>
      <w:r/>
      <w:bookmarkEnd w:id="108"/>
      <w:r/>
      <w:bookmarkEnd w:id="109"/>
      <w:r/>
      <w:r/>
    </w:p>
    <w:p>
      <w:pPr>
        <w:ind w:firstLine="422"/>
        <w:jc w:val="left"/>
        <w:spacing w:line="360" w:lineRule="auto"/>
        <w:rPr>
          <w:rFonts w:ascii="宋体" w:hAnsi="宋体" w:eastAsia="宋体" w:cs="宋体"/>
          <w:b/>
          <w:bCs/>
          <w:sz w:val="21"/>
          <w:szCs w:val="21"/>
        </w:rPr>
      </w:pPr>
      <w:r/>
      <w:bookmarkStart w:id="110" w:name="_Toc313026328"/>
      <w:r/>
      <w:bookmarkStart w:id="111" w:name="_Toc381359365"/>
      <w:r/>
      <w:bookmarkStart w:id="112" w:name="_Toc381359485"/>
      <w:r/>
      <w:bookmarkStart w:id="113" w:name="_Toc402441827"/>
      <w:r/>
      <w:bookmarkStart w:id="114" w:name="_Toc381359605"/>
      <w:r/>
      <w:bookmarkStart w:id="115" w:name="_Toc314392788"/>
      <w:r>
        <w:rPr>
          <w:rFonts w:hint="eastAsia" w:ascii="宋体" w:hAnsi="宋体" w:eastAsia="宋体" w:cs="宋体"/>
          <w:b/>
          <w:bCs/>
          <w:sz w:val="21"/>
          <w:szCs w:val="21"/>
        </w:rPr>
        <w:t xml:space="preserve">图像记录防篡改功能</w:t>
      </w:r>
      <w:bookmarkEnd w:id="110"/>
      <w:r/>
      <w:bookmarkEnd w:id="111"/>
      <w:r/>
      <w:bookmarkEnd w:id="112"/>
      <w:r/>
      <w:bookmarkEnd w:id="113"/>
      <w:r/>
      <w:bookmarkEnd w:id="114"/>
      <w:r/>
      <w:bookmarkEnd w:id="115"/>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遵循GA/T832-2014要求，前端卡口高清摄像机对采集的图片进行防篡改和加密处理，通过加入原始防伪信息，防止原始图片在传输、存贮和校对过程中被人为篡改，保证数据的有效性。</w:t>
      </w:r>
      <w:r/>
    </w:p>
    <w:p>
      <w:pPr>
        <w:pStyle w:val="970"/>
      </w:pPr>
      <w:r>
        <w:rPr>
          <w:rFonts w:hint="eastAsia"/>
        </w:rPr>
        <w:t xml:space="preserve">主要设备参数</w:t>
      </w:r>
      <w:r/>
    </w:p>
    <w:p>
      <w:pPr>
        <w:numPr>
          <w:ilvl w:val="255"/>
          <w:numId w:val="0"/>
        </w:numPr>
        <w:ind w:left="440"/>
        <w:spacing w:line="360" w:lineRule="auto"/>
        <w:rPr>
          <w:rFonts w:ascii="宋体" w:hAnsi="宋体" w:eastAsia="宋体" w:cs="宋体"/>
          <w:b/>
          <w:bCs/>
          <w:sz w:val="21"/>
          <w:szCs w:val="21"/>
        </w:rPr>
      </w:pPr>
      <w:r>
        <w:rPr>
          <w:rFonts w:hint="eastAsia" w:ascii="宋体" w:hAnsi="宋体" w:eastAsia="宋体" w:cs="宋体"/>
          <w:b/>
          <w:bCs/>
          <w:sz w:val="21"/>
          <w:szCs w:val="21"/>
        </w:rPr>
        <w:t xml:space="preserve">1、双目全结构化一体机</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全</w:t>
      </w:r>
      <w:r>
        <w:rPr>
          <w:rFonts w:hint="eastAsia" w:ascii="宋体" w:hAnsi="宋体" w:eastAsia="宋体" w:cs="宋体"/>
          <w:sz w:val="21"/>
          <w:szCs w:val="21"/>
        </w:rPr>
        <w:t xml:space="preserve">结构化模式：a)抓拍人脸：支持性别、年龄、年龄段、戴眼镜、戴口罩、表情、戴帽子等9种属性识别；b)抓拍人体：支持运动方向、上衣颜色、下装颜色、性别、年龄段、戴眼镜、背包、拎东西、戴帽子、戴口罩、发型、上衣类型、下装类型等13种属性识别；c)抓拍非机动车：支持非机动车牌识别并抓拍，支持非机动车类型、骑车类型、骑车人数、戴头盔、性别、戴眼镜、年龄段、背包、拎东西、发型 、上衣颜色、下衣颜色、上衣类型、下装类型；d)抓拍机动车：支持车牌识别并抓拍，支持车身颜色、车型识别、车辆行驶方向、车牌颜色、车牌类型等属性识别</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道路监控模式：a)车辆检测：支持车牌识别并抓拍，车牌号码/车身颜色/车辆类型/车辆品牌 b)混行检测：检测正向或逆向行驶的车辆以及行人和非机动车，自动对车辆牌照进行识别，可以抓拍无车牌的车辆图片</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Smart事件模式： 支持越界侦测，区域入侵侦测，进入/离开区域侦测，徘徊侦测，人员聚集侦测，快速运动侦测，停车侦测，物品遗留/拿取侦测</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 内置微云台功能：支持远程电动调节，水平最大调节范围0°~180°，垂直最大调节范围-5°~30°</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 图像相关：不低于400万像素（2560 × 1440），并在此分辨率下可输出30 fps实时图像</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系统功能：开放型网络视频接口，ISAPI，GB28181-2016，ISUP5.0，视图库，GB35114</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安全服务：支持三级用户权限管理，支持授权的用户和密码，支持IP地址过滤；支持GB35114安全加密</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传感器类型：通道1：≥1/1.8" Progressive Scan CMOS</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通道2：≥1/1.8" Progressive Scan CMOS</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最大图像尺寸：通道1：≥2560 × 1440、通道2：≥2560 × 1440</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最低照度：通道1：彩色：≤0.0005 Lux、黑白：≤0.0001 Lux </w:t>
      </w:r>
      <w:r/>
    </w:p>
    <w:p>
      <w:pPr>
        <w:ind w:firstLine="1470"/>
        <w:jc w:val="left"/>
        <w:spacing w:line="360" w:lineRule="auto"/>
        <w:rPr>
          <w:rFonts w:ascii="宋体" w:hAnsi="宋体" w:eastAsia="宋体" w:cs="宋体"/>
          <w:sz w:val="21"/>
          <w:szCs w:val="21"/>
        </w:rPr>
      </w:pPr>
      <w:r>
        <w:rPr>
          <w:rFonts w:hint="eastAsia" w:ascii="宋体" w:hAnsi="宋体" w:eastAsia="宋体" w:cs="宋体"/>
          <w:sz w:val="21"/>
          <w:szCs w:val="21"/>
        </w:rPr>
        <w:t xml:space="preserve">通道2：彩色：≤0.0005 Lux、黑白：≤0.0001 Lux </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宽动态：不低于120 dB </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焦距&amp;视场角：通道1：8~32 mm，水平视场角：40.3°~14.5°，垂直视场角：22.1°~8.2°，对角视场角：46.9°~16.5°</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通道2：8~32mm，水平视场角：40.3°~14.5°，垂直视场角：22.1°~8.2°，对角视场角：46.9°~16.5° </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水平范围：通道1：水平0°~180°、通道2：水平0°~180°</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垂直范围：通道1：垂直-5°~30°、通道2：垂直-5°~30°</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水平速度：0.1°~15°/s</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垂直速度：0.1°~15°/s </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设备通道1和通道2的主码流均支持2560×1440@25fps。</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设备内置双镜头，具有2个CMOS图像传感器，靶面尺寸均不小于1/1.8英寸。</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双镜头PT云台旋转角度均支持水平调节角度：0°～180°，垂直调节角度：-5°～30°。</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设备内置4个电机，双通道均支持PT一体化云台，通道1和通道2的云台应可独立控制，可通过IE浏览器或客户端远程调节PT位置以实现监控场景的切换。</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通道1和通道2均满足最低照度彩色不大于0.0002 lx，黑白不大于0.0001 lx。</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设备的2个镜头均支持电动变倍、自动/电动聚焦，自动调节光圈功能。</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支持H.264、H.265、MJPEG设置选项，可将H.265、H.264格式设置为Baseline/Main/High Profile</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在分辨率1920x1080 @ 25fps，码流设置为1Mbps时，视频图像传输延时不大于60ms。</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内置不少于2颗GPU芯片</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设备内置8颗混合补光灯，通道1通道2均具有4颗混合补光灯，各含一组近光灯和一组远光灯，支持自动和手动亮度调节模式；手动模式下可独立配置双通道的混合补光灯组的红外和白光补光灯亮度值。</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设备可识别距离样机不小于80m的人体轮廓。</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内置鳞镜式补光灯，补光灯开启后，灯光均匀无波纹、圆环状、麻点状、条纹状和不规则亮斑。</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设备具有至少2路音频输入接口，至少1路音频输出接口，至少3路报警输入接口，至少2路报警输出接口</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设备防护等级不低于IP67，工作温度：-30 °C~60 °C。</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可通过IE浏览器或客户端分别检查通道1和通道2的PT云台控制功能，自检命令下发后，设备镜头可上、下、左、右完成自检，并反馈自检结果。</w:t>
      </w:r>
      <w:r/>
    </w:p>
    <w:p>
      <w:pPr>
        <w:numPr>
          <w:ilvl w:val="255"/>
          <w:numId w:val="0"/>
        </w:numPr>
        <w:ind w:left="440"/>
        <w:spacing w:line="360" w:lineRule="auto"/>
        <w:rPr>
          <w:rFonts w:ascii="宋体" w:hAnsi="宋体" w:eastAsia="宋体" w:cs="宋体"/>
          <w:b/>
          <w:bCs/>
          <w:sz w:val="21"/>
          <w:szCs w:val="21"/>
        </w:rPr>
      </w:pPr>
      <w:r>
        <w:rPr>
          <w:rFonts w:hint="eastAsia" w:ascii="宋体" w:hAnsi="宋体" w:eastAsia="宋体" w:cs="宋体"/>
          <w:b/>
          <w:bCs/>
          <w:sz w:val="21"/>
          <w:szCs w:val="21"/>
        </w:rPr>
        <w:t xml:space="preserve">2、全结构化一体机</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不低于800万像素</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内置不少于1个CPU、GPU、NPU—体化芯片</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最低照度，彩色：≤0.0002Lux，黑白：≤0.0001Lux</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内置传感器分辨率≥3840×2160</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传感器靶面≥1/1.8"，内置电动变焦镜头，焦距8-32mm</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内置内置红外和白光补光，补光红外≥50米,白光≥30米</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支持H.265/H.264/MJPEG编码格式</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支持GB/T28181、GA/T1400和Onvif协议，确保兼容性</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摄像机应符合GA35114-A级标准。</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具有≥1个RJ45为10M/100M自适应网络接口、≥1路音频输入、≥1路音频输出、≥2路告警输入、≥1路告警输出，≥1路RS485接口，≥1个 MicroSD卡槽、1个复位键</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防护等级：不低于IP67</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支持多角度人脸检测功能，支持检出水平转动角不超过±90°，俯仰角不超过±60°，倾斜角不超过±45°姿态角度的人脸抓拍</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设备支持混合目标检测， 包括人脸、人体、车辆和非机动车4 种运动目标； 支持对目标进行跟踪、优选、抓拍及属性分析，支持将人脸与人体、车牌与车辆进行关联。</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可对检测到的人脸进行属性分析：包括年龄段、性别、口罩、眼镜，准确率≥95%；</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可识别不低于5种车牌颜色、不低于14种车牌类型、不低于12种车身颜色、不低于24种车型、不低于250种车标识别、不低于5600种车辆的品牌、二级子款、年款和车辆类型等信息</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支持异常车牌、非占机、机占非、逆行、压线、倒车等交通违法行为的检测抓拍，平均捕获率≥99%，平均准确率≥99%</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在同一个视频画面中，最多可同时检测100个运动人脸目标，可检测、跟踪、抓拍≥60个运动人脸目标，支持对运动人脸进行检测、跟踪、抓拍、评分、筛选，输出最优的人脸抓拍图，最佳人脸抓拍模式支持单张或多张目标快照输出，人脸抓拍率≥99%，支持对最佳人脸抓拍图片筛选去重，重复率≤1%</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在同一个视频画面中，最多可同时检测100个运动人体目标，支持人体检测、跟踪、抓拍≥60个运动人体目标，支持正面、背面双向抓拍，抓拍率≥99%，支持最佳人体全貌抓拍，人体抓拍重复率≤1%</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支持对经过监控画面中的行人进行（自上而下，自下而上）的人流量统计，支持双向通行的人数统计，准确率≥90%，支持报表统计，支持日报表、周报表、月报表、年报表</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▲支持智能算法模块动态加载，加载过程中，视频业务不中断；采用开放架构，支持快速集成智能算法或应用APP，智能算法或APP可以独立升级（提供有</w:t>
      </w:r>
      <w:r>
        <w:rPr>
          <w:rFonts w:ascii="宋体" w:hAnsi="宋体" w:eastAsia="宋体" w:cs="宋体"/>
          <w:sz w:val="21"/>
          <w:szCs w:val="21"/>
        </w:rPr>
        <w:t xml:space="preserve">CMA</w:t>
      </w:r>
      <w:r>
        <w:rPr>
          <w:rFonts w:hint="eastAsia" w:ascii="宋体" w:hAnsi="宋体" w:eastAsia="宋体" w:cs="宋体"/>
          <w:sz w:val="21"/>
          <w:szCs w:val="21"/>
        </w:rPr>
        <w:t xml:space="preserve">认证的检测机构出具的检验报告或产品材料（彩页、功能截图或产品文档等）并加盖原厂公章）</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支持防入侵检测联动告警设置选项，具有网卡混杂模式检查、系统敏感文件检查、非法超级账户检测、僵尸网络检测、Rootkit检测、程序白名单、挖矿恶意进程检测等设置选项</w:t>
      </w:r>
      <w:r/>
    </w:p>
    <w:p>
      <w:pPr>
        <w:numPr>
          <w:ilvl w:val="255"/>
          <w:numId w:val="0"/>
        </w:numPr>
        <w:ind w:left="440"/>
        <w:spacing w:line="360" w:lineRule="auto"/>
        <w:rPr>
          <w:rFonts w:ascii="宋体" w:hAnsi="宋体" w:eastAsia="宋体" w:cs="宋体"/>
          <w:b/>
          <w:bCs/>
          <w:sz w:val="21"/>
          <w:szCs w:val="21"/>
        </w:rPr>
      </w:pPr>
      <w:r>
        <w:rPr>
          <w:rFonts w:hint="eastAsia" w:ascii="宋体" w:hAnsi="宋体" w:eastAsia="宋体" w:cs="宋体"/>
          <w:b/>
          <w:bCs/>
          <w:sz w:val="21"/>
          <w:szCs w:val="21"/>
        </w:rPr>
        <w:t xml:space="preserve">3、抱杆箱</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设备箱箱体尺寸不低于550*400*215mm；箱体使用材料为不锈钢板板材质1.5mm,人字尖顶，防护等级IP55。内部配电、防雷单元以及设备放置隔板位置能自由调整，方便现场安装调整。挂杆与壁装公用。门体使用双翻遍工艺，材料为不锈钢板板材质，门板印字可依据客户要求定制。安装底板依据设备安装位置开定位安装孔。抽拉式隔板，设备安放及固定板，开散热孔及过线孔。防盗锁，弹珠型防盗锁芯，外部防撬扣厚度大于2mm。防盗铰链，锌合金材质，压铸工艺，内部固定。</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电源防雷最大持续工作电压：385V AC，最大通流容量：40kA，保护水平（40kA，8/20μs）：2400V，保护模式：L-N-PE，响应时间：≤1ns，防护等级：不低于IP20（要求具备国家级检测报告）</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机箱为全天候防风雨自立式机箱。在机箱中加装电源保护装置，即过流过压保护装置，里面可能放置光端机、防雷模块、电源设备，接线端子、光纤终端盒、维修开关和插座等。</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机箱中应有电源单元。</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机箱内设有防雷电装置，每一根引入线均有相应的防雷电保护装置。机箱中应有通风装置，当机箱内温度过高时，通风装置自动启动排风降温。且进、排风口必须防水渗漏，有防虫吸入滤网。机箱锁要求有防雨外壳。</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机箱应有良好的接地系统，其防雷接地与电子设备工作接地分开。</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供电：电流总量程不低于63A；至少1路220V32A（电流量程可调1A-63A）供电；至少4路220V16A（电流量程可调1A-20A）供电；</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电路监测：不低于5路电流电压检测；电压量程0-350V；电流总量程不低于63A；直流供电DC12V不低于2路（每路独立控制，每路单独故障检测，故障独立告警，具备用电独立自恢复功能）</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其他功能：4G无线通讯功能；以太网通讯功能；定位以及地图展示功能；门禁报警功能；断电检测功能；断网检测功能；防雷失效检测功能；RS485通讯功能；时钟功能以及电池充电功能；</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环境监测：箱体内部温湿度检测，温度量程不低于-40-+125℃，湿度量程0-100%RH</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网络传输：至少包括RJ45以太网，4G无线模块</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断电异常：支持远程中心平台报警</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温度异常：支持远程中心平台报警</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网络异常：支持远程中心平台报警</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温度调节：支持远程控制风扇 </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工作温度范围：≥-10-+70℃</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存放温度范围：≥-20-+85℃</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相对湿度范围：≥5-95%，无结露</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防护等级 ：不低于IP55</w:t>
      </w:r>
      <w:r/>
    </w:p>
    <w:p>
      <w:pPr>
        <w:numPr>
          <w:ilvl w:val="255"/>
          <w:numId w:val="0"/>
        </w:numPr>
        <w:ind w:left="440"/>
        <w:spacing w:line="360" w:lineRule="auto"/>
        <w:rPr>
          <w:rFonts w:ascii="宋体" w:hAnsi="宋体" w:eastAsia="宋体" w:cs="宋体"/>
          <w:b/>
          <w:bCs/>
          <w:sz w:val="21"/>
          <w:szCs w:val="21"/>
        </w:rPr>
      </w:pPr>
      <w:r>
        <w:rPr>
          <w:rFonts w:hint="eastAsia" w:ascii="宋体" w:hAnsi="宋体" w:eastAsia="宋体" w:cs="宋体"/>
          <w:b/>
          <w:bCs/>
          <w:sz w:val="21"/>
          <w:szCs w:val="21"/>
        </w:rPr>
        <w:t xml:space="preserve">4、视频云存储存储节点</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不少于48盘位，机架式网络存储设备，满配不低于10TB企业级硬盘，支持硬盘热插拔</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CPU：不低于海光三代，双64位多核处理器</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内存：≥32GB</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接口：≥6个千兆数据网口，≥1个千兆管理口</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支持视频流、图片流直存；</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支持ONVIF、GB/T 28181、RTSP等标准协议；</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采用全对称式架构对外提供存储服务的唯一IP；</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支持纠删码数据保护技术，具备设备级和磁盘级容错模式，实现历史数据不丢失、实时业务不中断；</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支持云存储节点在线无缝扩容，容量和性能线性增长；</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支持云存储节点间的容量及业务负载均衡；</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支持存储空间按需分配，分配的存储空间在线扩大或缩小，不影响读写业务；</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支持多种存储覆盖策略，周期覆盖、容量覆盖、不覆盖；</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支持按资源池和按单点位单周期管理数据生命周期；</w:t>
      </w:r>
      <w:r/>
    </w:p>
    <w:p>
      <w:pPr>
        <w:pStyle w:val="1052"/>
        <w:spacing w:after="0" w:line="360" w:lineRule="auto"/>
        <w:rPr>
          <w:rFonts w:ascii="宋体" w:hAnsi="宋体" w:eastAsia="宋体" w:cs="宋体"/>
          <w:sz w:val="21"/>
          <w:szCs w:val="21"/>
        </w:rPr>
      </w:pPr>
      <w:r>
        <w:rPr>
          <w:rFonts w:hint="eastAsia" w:ascii="宋体" w:hAnsi="宋体" w:eastAsia="宋体" w:cs="宋体"/>
          <w:sz w:val="21"/>
          <w:szCs w:val="21"/>
        </w:rPr>
        <w:t xml:space="preserve">支持同一点位产生多种不同大小、类型图片数据，按规则自动分流到不同存储资源池，实现不同类型、不同大小数据的生命周期管理；</w:t>
      </w:r>
      <w:r/>
    </w:p>
    <w:p>
      <w:pPr>
        <w:pStyle w:val="1052"/>
        <w:spacing w:after="0" w:line="360" w:lineRule="auto"/>
        <w:rPr>
          <w:rFonts w:ascii="宋体" w:hAnsi="宋体" w:eastAsia="宋体" w:cs="宋体"/>
          <w:sz w:val="21"/>
          <w:szCs w:val="21"/>
        </w:rPr>
      </w:pPr>
      <w:r>
        <w:rPr>
          <w:rFonts w:hint="eastAsia" w:ascii="宋体" w:hAnsi="宋体" w:eastAsia="宋体" w:cs="宋体"/>
          <w:sz w:val="21"/>
          <w:szCs w:val="21"/>
        </w:rPr>
        <w:t xml:space="preserve">支持视频检索功能，按照监控点编号、录像类型、时间组合等条件查询；</w:t>
      </w:r>
      <w:r/>
    </w:p>
    <w:p>
      <w:pPr>
        <w:pStyle w:val="1052"/>
        <w:spacing w:after="0" w:line="360" w:lineRule="auto"/>
        <w:rPr>
          <w:rFonts w:ascii="宋体" w:hAnsi="宋体" w:eastAsia="宋体" w:cs="宋体"/>
          <w:sz w:val="21"/>
          <w:szCs w:val="21"/>
        </w:rPr>
      </w:pPr>
      <w:r>
        <w:rPr>
          <w:rFonts w:hint="eastAsia" w:ascii="宋体" w:hAnsi="宋体" w:eastAsia="宋体" w:cs="宋体"/>
          <w:sz w:val="21"/>
          <w:szCs w:val="21"/>
        </w:rPr>
        <w:t xml:space="preserve">支持视频回放功能：正序/倒序回放、定位回放、高倍速回放、关键帧回放等功能；</w:t>
      </w:r>
      <w:r/>
    </w:p>
    <w:p>
      <w:pPr>
        <w:pStyle w:val="1052"/>
        <w:spacing w:after="0" w:line="360" w:lineRule="auto"/>
        <w:rPr>
          <w:rFonts w:ascii="宋体" w:hAnsi="宋体" w:eastAsia="宋体" w:cs="宋体"/>
          <w:sz w:val="21"/>
          <w:szCs w:val="21"/>
        </w:rPr>
      </w:pPr>
      <w:r>
        <w:rPr>
          <w:rFonts w:hint="eastAsia" w:ascii="宋体" w:hAnsi="宋体" w:eastAsia="宋体" w:cs="宋体"/>
          <w:sz w:val="21"/>
          <w:szCs w:val="21"/>
        </w:rPr>
        <w:t xml:space="preserve">支持视频锁定、视频封面、视频备份等视频功能；</w:t>
      </w:r>
      <w:r/>
    </w:p>
    <w:p>
      <w:pPr>
        <w:pStyle w:val="1052"/>
        <w:spacing w:after="0" w:line="360" w:lineRule="auto"/>
        <w:rPr>
          <w:rFonts w:ascii="宋体" w:hAnsi="宋体" w:eastAsia="宋体" w:cs="宋体"/>
          <w:sz w:val="21"/>
          <w:szCs w:val="21"/>
        </w:rPr>
      </w:pPr>
      <w:r>
        <w:rPr>
          <w:rFonts w:hint="eastAsia" w:ascii="宋体" w:hAnsi="宋体" w:eastAsia="宋体" w:cs="宋体"/>
          <w:sz w:val="21"/>
          <w:szCs w:val="21"/>
        </w:rPr>
        <w:t xml:space="preserve">支持图片上传，下载，锁定功能；</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支持集群管理功能，包括集群单元弹性扩容、负载均衡、故障迁移等；支持集群节点生命周期管理，支持集群节点服务启动/停止，集群节点服务组建、扩展、删除</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对云系统运行中压力进行统计分析，包括：异常情况、告警情况、容量使用情况；支持对云系统运行中状态进行统计分析，包括：服务器状态、磁盘运行状态、存储使用空间、RAID组运行状态、监控点在线/离线数量和在线/离线比例等</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一套云存储系统可对外提供多种类型数据混合存储，同时支持分布式流式存储，分布式对象存储、分布式文件存储、分布式块存储；</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支持一套云存储系统包含16,24,36,48,64,72盘位多种型号设备</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负载均衡：节点离线、磁盘离线、节点过载、扩容存储节点，自动调整录像、图片、结构化、对象、HDFS业务，实现集群均衡负载；域内节点部分带缓存加速盘，部分不带缓存加速盘，图片数据可自动路由存储缓存加速盘</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按照存储节点、存储卷的可用剩余容量进行业务均衡；支持云内所有节点根据负载情况自动负载均衡，系统定期进行均衡负载，自动进行系统资源分配；支持双层负载均衡，支持存储节点级和硬盘级均按照负载和容量进行均衡</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云系统支持虚拟化存储空间，可以按需分配，分配的存储空间支持在线扩大和缩小；系统支持资源池空间弹性伸缩，不影响读写业务；系统支持周期在线动态扩大或缩小，存储周期内的业务数据不丢失，业务不受影响；支持在线扩大或缩小存储容量时，同时调整存储周期，业务不受影响</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支持硬盘热插拔设备在读写数据时，热插拔设备内的任意块硬盘，设备正常运行不宕机，硬盘不损坏，数据不丢失，业务不中断</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支持底层数据块Erasure Code技术容错，数据恢复以数据块为单位，无需全硬盘恢复；具备数据自愈功能。当硬盘损坏后，系统自动进行数据恢复，保证数据不丢失，业务不中断</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存储系统支持全对称架构，无独立的元数据管理节点。集群支持在线无缝扩容，系统性能线性增长。集群（3台及以上）任意节点宕机仅剩1台时，系统通过唯一入口IP可访问管理平台，以及数据存储服务</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系统支持按照24/36/48等盘位、不同性能、不同CPU架构的存储节点混合组网，当出现磁盘或节点故障时，系统可根据CPU利用率、节点连接数、节点吞吐量、节点综合负载等策略提供最优重构速度，最高重构速度可达4TB/h</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一套存储系统同时支持CMR硬盘节点与SMR硬盘节点混合组网，一台存储节点同时支持CMR和SMR硬盘混合插入</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支持存储实时视频、视频片段、图片及伴生的智能结构化数据，支持根据结构化数据的类型检索视频，检索条件包括前端点位ID、时间段、自定义二级标签、视频目标类型（包含人、机动车、非机动车等）</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支持对接入的H.264、H.265视频流进行智能压缩存储。数据压缩后，编码格式不变、帧率不变、分辨率不变；同时支持按资源池或按单点位设置压缩、不压缩策略；且支持压缩后数据仍满足Erasure Code（N+M模式）数据保护机制，当任意节点故障数量小于等于M台时，所有历史数据可正常访问</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云存储系统同时支持按照资源池为单位进行点位的生命周期批量管理策略和单独对每个点位通道设置生命周期管理策略，支持两种策略之间互相切换，支持周期策略调整后历史数据也即时生效</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单集群支持多CPU架构(X86架构、ARM架构)存储设备混合组网、部署，可同时支持CentOS操作系统、麒麟操作系统、OpenEuler操作系统、自研存储操作系统的混合部署、扩容、调度；支持将不同CPU架构的存储资源虚拟化成统一存储资源池，读写业务在多CPU架构存储节点间动态负载均衡</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图片流直存，抓拍图片无需经过任何转发服务器/虚拟机即可实现前端数据直接存储至云存储系统；支持设置资源池自动分流策略，策略包含按图片大小、图片类型(类型包含人脸、人体、车辆、电动车等)。支持将同一点位产生的多种不同大小、不同类型的图片数据按策略自动分池存储到不同存储资源池中</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系统支持多级加速：支持对不同规格图片数据分级加速存储，小图支持SSD缓存加速，大图支持内存加速；系统支持自定义设置内存加速缓存大小、SSD缓存加速池容量大小，可最高针对4096 KB 图片加速提取</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系统支持手动、自动对智能事件关联的多个录像片段设置录像标签。支持标签与其关联的录像片段同生命周期管理；支持通过按标签内容查询、回放、下载录像片段数据；支持对标签关联的录像片段进行锁定、备份</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支持指定本地视频和图片数据备份到公有云，用户可在图形化页面直接配置公有云地址，数据可按对象方式自动复制到公有云，且支持配置本地删除操作不同步到公有云，无须单独配置备份软件</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支持图形化页面对图片数据进行处理，包括图片预览、压缩、裁剪、旋转、缩放、格式转换、马赛克、归一化及打文字水印，并支持通过图形化页面下载处理成功的图片数据</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全对称部署模式，集群所有节点服务角色对等，无需独立元数据服务器，且单集群可同时管理3EB存储空间、1024台存储节点；系统支持单机（1台）、HA（2台）、集群（3台及以上）部署模式。支持在线扩容、升级，且扩容、升级过程中实时读写业务不中断、数据不丢失，扩容后历史数据无需迁移；支持分布式对称架构与非对称架构相互自由切换</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一套云存储系统同时支持 iSCSI 协议（IP-SAN）、FC 协议（FC-SAN）、NFS/CIFS 协议（NAS）、亚马逊S3协议、阿里OSS协议等异构接入第三方存储，通过虚拟化功能将存储资源统一管理和分配、流直存方式实现视音频数据直写、存储资源池生命周期自主管理。同时支持对存储资源自动分配，当异构服务器宕机，业务和异构存储资源漂移到集群内正常异构服务器，业务不中断、数据不丢失</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系统支持媒体数据智能处理能力，其中视频文件数据支持在线点播、格式转换(支持将ps流转换为MP4前置/后置索引、TS、ASF、ES、FLV、AVI格式;支持将AVI、3gpp、MP4、es、ts、rtp、hik、svac等视频文件格式转换为PS封装的H.264、H.265编码格式)、视频文件封面。支持多画面合成，对多路（4路、6路、8路）视频画面按时间同步合成显示到同一画面（一路码流）。图片数据支持在线裁减、压缩、马赛克、缩放、水印等处理能力，处理后图片数据格式不变</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支持查看硬盘体检报告、硬盘深度体检和磁盘档案；支持下载单个硬盘或批量硬盘的报告，支持按时间显示硬盘的坏扇区、温度、振动变化趋势的曲线图；</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支持硬盘体检报告打印输出；支持查看硬盘体检的历史记录、硬盘健康状态，并对硬盘健康状态进行分级分类，包括健康（良好、正常）、亚健康（警告、即将损坏）、故障（错误、损坏）等；</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可对系统中的磁盘进行周期性体检、对有风险的磁盘做深度体检，并给出处理意见，对有损坏风险的磁盘，可使用RAID技术进行数据处理； </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支持磁盘故障预测，通过对硬盘SMART信息进行周期性检测，监测会导致硬盘故障的关键指标，通过分析关键指标的变化趋势实现硬盘故障预测</w:t>
      </w:r>
      <w:r/>
    </w:p>
    <w:p>
      <w:pPr>
        <w:ind w:firstLine="420"/>
        <w:rPr>
          <w:rFonts w:ascii="宋体" w:hAnsi="宋体" w:eastAsia="宋体" w:cs="宋体"/>
          <w:sz w:val="21"/>
          <w:szCs w:val="21"/>
        </w:rPr>
      </w:pPr>
      <w:r>
        <w:rPr>
          <w:rFonts w:ascii="宋体" w:hAnsi="宋体" w:eastAsia="宋体" w:cs="宋体"/>
          <w:sz w:val="21"/>
          <w:szCs w:val="21"/>
        </w:rPr>
      </w:r>
      <w:r/>
    </w:p>
    <w:p>
      <w:pPr>
        <w:pStyle w:val="967"/>
      </w:pPr>
      <w:r>
        <w:rPr>
          <w:rFonts w:hint="eastAsia"/>
        </w:rPr>
        <w:t xml:space="preserve">数字基座扩能</w:t>
      </w:r>
      <w:bookmarkEnd w:id="0"/>
      <w:r/>
      <w:r/>
    </w:p>
    <w:p>
      <w:pPr>
        <w:pStyle w:val="968"/>
        <w:rPr>
          <w:lang w:eastAsia="zh-Hans"/>
        </w:rPr>
      </w:pPr>
      <w:r/>
      <w:bookmarkStart w:id="116" w:name="_Toc70623873"/>
      <w:r/>
      <w:bookmarkStart w:id="117" w:name="_Toc120383871"/>
      <w:r/>
      <w:bookmarkStart w:id="118" w:name="_Toc825429813"/>
      <w:r>
        <w:rPr>
          <w:rFonts w:hint="eastAsia"/>
          <w:lang w:eastAsia="zh-Hans"/>
        </w:rPr>
        <w:t xml:space="preserve">云计算</w:t>
      </w:r>
      <w:bookmarkEnd w:id="116"/>
      <w:r>
        <w:rPr>
          <w:rFonts w:hint="eastAsia"/>
          <w:lang w:eastAsia="zh-Hans"/>
        </w:rPr>
        <w:t xml:space="preserve">系统</w:t>
      </w:r>
      <w:bookmarkEnd w:id="117"/>
      <w:r/>
      <w:bookmarkEnd w:id="118"/>
      <w:r>
        <w:rPr>
          <w:rFonts w:hint="eastAsia"/>
          <w:lang w:eastAsia="zh-Hans"/>
        </w:rPr>
        <w:t xml:space="preserve">扩容</w:t>
      </w:r>
      <w:r/>
    </w:p>
    <w:p>
      <w:pPr>
        <w:pStyle w:val="969"/>
        <w:rPr>
          <w:lang w:eastAsia="zh-Hans"/>
        </w:rPr>
      </w:pPr>
      <w:r>
        <w:rPr>
          <w:rFonts w:hint="eastAsia"/>
        </w:rPr>
        <w:t xml:space="preserve">系统概述</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云计算系统提供一系列基础服务资源，整合各计算框架，实现按需开放的统一计算资源框架，面向业务提供实时、敏捷、智能、安全的计算服务。是用于向应用系统提供统一的全云化部署环境，实现资源的灵活动态调度，支撑业务稳定运行。本次方案在原有云平台基础上，不新增管理节点，部署3台国产化计算节点，扩容计算资源及全闪存储资源，满足本次业务扩容需求。</w:t>
      </w:r>
      <w:r/>
    </w:p>
    <w:p>
      <w:pPr>
        <w:pStyle w:val="969"/>
        <w:rPr>
          <w:lang w:eastAsia="zh-Hans"/>
        </w:rPr>
      </w:pPr>
      <w:r>
        <w:rPr>
          <w:rFonts w:hint="eastAsia"/>
          <w:lang w:eastAsia="zh-Hans"/>
        </w:rPr>
        <w:t xml:space="preserve">方案配置</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根据计算资源信息量预测，感知网在现有云平台基础上（利用率超</w:t>
      </w:r>
      <w:r>
        <w:rPr>
          <w:rFonts w:hint="eastAsia" w:ascii="宋体" w:hAnsi="宋体" w:eastAsia="宋体" w:cs="宋体"/>
          <w:sz w:val="21"/>
          <w:szCs w:val="21"/>
        </w:rPr>
        <w:t xml:space="preserve">80%</w:t>
      </w:r>
      <w:r>
        <w:rPr>
          <w:rFonts w:hint="eastAsia" w:ascii="宋体" w:hAnsi="宋体" w:eastAsia="宋体" w:cs="宋体"/>
          <w:sz w:val="21"/>
          <w:szCs w:val="21"/>
          <w:lang w:eastAsia="zh-Hans"/>
        </w:rPr>
        <w:t xml:space="preserve">），需要扩容</w:t>
      </w:r>
      <w:r>
        <w:rPr>
          <w:rFonts w:hint="eastAsia" w:ascii="宋体" w:hAnsi="宋体" w:eastAsia="宋体" w:cs="宋体"/>
          <w:sz w:val="21"/>
          <w:szCs w:val="21"/>
        </w:rPr>
        <w:t xml:space="preserve">1016VCPU，2432GB内存，82TB存储，并提供SSD能力高性能全闪存储能力，对存储、计算资源进行统一管理。</w:t>
      </w:r>
      <w:r/>
    </w:p>
    <w:p>
      <w:pPr>
        <w:pStyle w:val="969"/>
        <w:rPr>
          <w:lang w:eastAsia="zh-Hans"/>
        </w:rPr>
      </w:pPr>
      <w:r>
        <w:rPr>
          <w:rFonts w:hint="eastAsia"/>
        </w:rPr>
        <w:t xml:space="preserve">主要设备参数</w:t>
      </w:r>
      <w:r/>
    </w:p>
    <w:p>
      <w:pPr>
        <w:pStyle w:val="970"/>
      </w:pPr>
      <w:r>
        <w:rPr>
          <w:rFonts w:hint="eastAsia"/>
        </w:rPr>
        <w:t xml:space="preserve">云计算服务器</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1</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服务器外形：机架式服务器</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2</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高度：2U</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★3</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CPU：</w:t>
      </w:r>
      <w:r>
        <w:rPr>
          <w:rFonts w:hint="eastAsia" w:ascii="宋体" w:hAnsi="宋体" w:eastAsia="宋体" w:cs="宋体"/>
          <w:sz w:val="21"/>
          <w:szCs w:val="21"/>
        </w:rPr>
        <w:t xml:space="preserve">至少</w:t>
      </w:r>
      <w:r>
        <w:rPr>
          <w:rFonts w:hint="eastAsia" w:ascii="宋体" w:hAnsi="宋体" w:eastAsia="宋体" w:cs="宋体"/>
          <w:sz w:val="21"/>
          <w:szCs w:val="21"/>
          <w:lang w:eastAsia="zh-Hans"/>
        </w:rPr>
        <w:t xml:space="preserve">2颗</w:t>
      </w:r>
      <w:r>
        <w:rPr>
          <w:rFonts w:hint="eastAsia" w:ascii="宋体" w:hAnsi="宋体" w:eastAsia="宋体" w:cs="宋体"/>
          <w:sz w:val="21"/>
          <w:szCs w:val="21"/>
        </w:rPr>
        <w:t xml:space="preserve">国产A</w:t>
      </w:r>
      <w:r>
        <w:rPr>
          <w:rFonts w:ascii="宋体" w:hAnsi="宋体" w:eastAsia="宋体" w:cs="宋体"/>
          <w:sz w:val="21"/>
          <w:szCs w:val="21"/>
        </w:rPr>
        <w:t xml:space="preserve">RM架构</w:t>
      </w:r>
      <w:r>
        <w:rPr>
          <w:rFonts w:hint="eastAsia" w:ascii="宋体" w:hAnsi="宋体" w:eastAsia="宋体" w:cs="宋体"/>
          <w:sz w:val="21"/>
          <w:szCs w:val="21"/>
          <w:lang w:eastAsia="zh-Hans"/>
        </w:rPr>
        <w:t xml:space="preserve">处理器，单颗处理器核数≥64，主频≥2.6GHz，末级缓存容量≥64MB,单颗处理器线程≥64，单颗处理器功耗≤200瓦，支持内存最高速率≥2933MT/s，单颗处理器支持内存通道数≥8，支持位宽≥64bit</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4</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内存：配置≥16*64GB DDR4 RDIMM内存，支持≥32个内存插槽，最大可支持4TB内存容量，内存最高速率≥2933MT/s。支持ECC等内存保护技术，支持内存故障隔离，在内存产生CE故障时，内存地址被隔离成功，服务器正常运行，业务系统不中断</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5</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存储：配置≥2块480GB 2.5寸 SSD硬盘；配置缓存2GB磁盘阵列卡，带掉电保护，支持RAID 0/1/10/5/50/6/60</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6</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板载网络：配置≥4*GE，≥4*10GE（含光模块）</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7</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电源：支持热插拔，支持N+1冗余，电源额定功率≥900W</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8</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风扇：≥4个热插拔的风扇，支持单风扇失效</w:t>
      </w:r>
      <w:r/>
    </w:p>
    <w:p>
      <w:pPr>
        <w:ind w:firstLine="422"/>
        <w:spacing w:line="360" w:lineRule="auto"/>
        <w:rPr>
          <w:rFonts w:ascii="宋体" w:hAnsi="宋体" w:eastAsia="宋体" w:cs="宋体"/>
          <w:b/>
          <w:bCs/>
          <w:sz w:val="21"/>
          <w:szCs w:val="21"/>
          <w:lang w:eastAsia="zh-Hans"/>
        </w:rPr>
      </w:pPr>
      <w:r>
        <w:rPr>
          <w:rFonts w:hint="eastAsia" w:ascii="宋体" w:hAnsi="宋体" w:eastAsia="宋体" w:cs="宋体"/>
          <w:b/>
          <w:bCs/>
          <w:sz w:val="21"/>
          <w:szCs w:val="21"/>
          <w:lang w:eastAsia="zh-Hans"/>
        </w:rPr>
        <w:t xml:space="preserve">BMC管理：</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1</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集成系统管理处理器支持：自动服务器重启、风扇监视和控制、电源监控、温度监控、启动/关闭、按序重启、本地固件更新、错误日志，可通过可视化工具提供系统未来状况的可视显示； </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2</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具有图形管理界面及其他高级管理功能；</w:t>
      </w:r>
      <w:r/>
    </w:p>
    <w:p>
      <w:pPr>
        <w:ind w:firstLine="420"/>
        <w:spacing w:line="360" w:lineRule="auto"/>
        <w:rPr>
          <w:rFonts w:ascii="宋体" w:hAnsi="宋体" w:eastAsia="宋体" w:cs="宋体"/>
          <w:sz w:val="21"/>
          <w:szCs w:val="21"/>
        </w:rPr>
      </w:pPr>
      <w:r>
        <w:rPr>
          <w:rFonts w:hint="eastAsia" w:ascii="宋体" w:hAnsi="宋体" w:eastAsia="宋体" w:cs="宋体"/>
          <w:sz w:val="21"/>
          <w:szCs w:val="21"/>
          <w:lang w:eastAsia="zh-Hans"/>
        </w:rPr>
        <w:t xml:space="preserve">3</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配置独立的远程管理控制端口，支持远程监控图形界面, 可实现与操作系统无关的远程对服务器的完全控制，包括远程的开机、关机、重启、虚拟软驱、虚拟光驱等操作；</w:t>
      </w:r>
      <w:r/>
    </w:p>
    <w:p>
      <w:pPr>
        <w:pStyle w:val="970"/>
      </w:pPr>
      <w:r>
        <w:rPr>
          <w:rFonts w:hint="eastAsia"/>
        </w:rPr>
        <w:t xml:space="preserve">云软件扩容</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1</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提供云主机服务，用户申请该服务时可以选择虚拟机所在位置，CPU、内存规格，虚拟机操作系统、磁盘容量、网络、安全组、登录认证方式、申请数量，同时，用户可以在申请虚拟机时为虚拟机指定非管理员账号（linux下的非root，windows下的非administrator）的用户名、密码</w:t>
      </w:r>
      <w:r>
        <w:rPr>
          <w:rFonts w:hint="eastAsia" w:ascii="宋体" w:hAnsi="宋体" w:eastAsia="宋体" w:cs="宋体"/>
          <w:sz w:val="21"/>
          <w:szCs w:val="21"/>
        </w:rPr>
        <w:t xml:space="preserve">（提供有</w:t>
      </w:r>
      <w:r>
        <w:rPr>
          <w:rFonts w:ascii="宋体" w:hAnsi="宋体" w:eastAsia="宋体" w:cs="宋体"/>
          <w:sz w:val="21"/>
          <w:szCs w:val="21"/>
        </w:rPr>
        <w:t xml:space="preserve">CMA</w:t>
      </w:r>
      <w:r>
        <w:rPr>
          <w:rFonts w:hint="eastAsia" w:ascii="宋体" w:hAnsi="宋体" w:eastAsia="宋体" w:cs="宋体"/>
          <w:sz w:val="21"/>
          <w:szCs w:val="21"/>
        </w:rPr>
        <w:t xml:space="preserve">认证的检测机构出具的检验报告或产品材料（彩页、功能截图或产品文档等）并加盖原厂公章）</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2</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云主机生命周期管理，用户申请云主机后，可以通过管理平台对云主机执行开机、关机、重启、删除、远程登录、磁盘快照、整机快照、克隆、重置密码、在线克隆（无需中断业务）、离线克隆、挂载光驱等，也可以根据云主机名称、私有IP、弹性IP、ID、运行状态以及自定义标签等快速查找、过滤云主机</w:t>
      </w:r>
      <w:r>
        <w:rPr>
          <w:rFonts w:hint="eastAsia" w:ascii="宋体" w:hAnsi="宋体" w:eastAsia="宋体" w:cs="宋体"/>
          <w:sz w:val="21"/>
          <w:szCs w:val="21"/>
        </w:rPr>
        <w:t xml:space="preserve">（提供有</w:t>
      </w:r>
      <w:r>
        <w:rPr>
          <w:rFonts w:ascii="宋体" w:hAnsi="宋体" w:eastAsia="宋体" w:cs="宋体"/>
          <w:sz w:val="21"/>
          <w:szCs w:val="21"/>
        </w:rPr>
        <w:t xml:space="preserve">CMA</w:t>
      </w:r>
      <w:r>
        <w:rPr>
          <w:rFonts w:hint="eastAsia" w:ascii="宋体" w:hAnsi="宋体" w:eastAsia="宋体" w:cs="宋体"/>
          <w:sz w:val="21"/>
          <w:szCs w:val="21"/>
        </w:rPr>
        <w:t xml:space="preserve">认证的检测机构出具的检验报告或产品材料（彩页、功能截图或产品文档等）并加盖原厂公章）</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3</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支持虚拟机弹性伸缩服务，用户可以自助配置业务系统在特定的时间或者按固定的周期，或者根据业务系统的业务压力自动的增加或者删除业务系统内的虚拟机。提供云基础设施虚拟化服务管理能力</w:t>
      </w:r>
      <w:r>
        <w:rPr>
          <w:rFonts w:hint="eastAsia" w:ascii="宋体" w:hAnsi="宋体" w:eastAsia="宋体" w:cs="宋体"/>
          <w:sz w:val="21"/>
          <w:szCs w:val="21"/>
        </w:rPr>
        <w:t xml:space="preserve">（提供有</w:t>
      </w:r>
      <w:r>
        <w:rPr>
          <w:rFonts w:ascii="宋体" w:hAnsi="宋体" w:eastAsia="宋体" w:cs="宋体"/>
          <w:sz w:val="21"/>
          <w:szCs w:val="21"/>
        </w:rPr>
        <w:t xml:space="preserve">CMA</w:t>
      </w:r>
      <w:r>
        <w:rPr>
          <w:rFonts w:hint="eastAsia" w:ascii="宋体" w:hAnsi="宋体" w:eastAsia="宋体" w:cs="宋体"/>
          <w:sz w:val="21"/>
          <w:szCs w:val="21"/>
        </w:rPr>
        <w:t xml:space="preserve">认证的检测机构出具的检验报告或产品材料（彩页、功能截图或产品文档等）并加盖原厂公章）</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4</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虚拟机镜像支持私有镜像。私有镜像可以通过两种方式获得，在云平台通过已有虚拟机来转换为私有镜像或者通过平台自行上传镜像文件。支持常见的VMDK、QCOW2、VHD、ZVHD、ISO等格式镜像上传</w:t>
      </w:r>
      <w:r>
        <w:rPr>
          <w:rFonts w:hint="eastAsia" w:ascii="宋体" w:hAnsi="宋体" w:eastAsia="宋体" w:cs="宋体"/>
          <w:sz w:val="21"/>
          <w:szCs w:val="21"/>
        </w:rPr>
        <w:t xml:space="preserve">（提供有</w:t>
      </w:r>
      <w:r>
        <w:rPr>
          <w:rFonts w:ascii="宋体" w:hAnsi="宋体" w:eastAsia="宋体" w:cs="宋体"/>
          <w:sz w:val="21"/>
          <w:szCs w:val="21"/>
        </w:rPr>
        <w:t xml:space="preserve">CMA</w:t>
      </w:r>
      <w:r>
        <w:rPr>
          <w:rFonts w:hint="eastAsia" w:ascii="宋体" w:hAnsi="宋体" w:eastAsia="宋体" w:cs="宋体"/>
          <w:sz w:val="21"/>
          <w:szCs w:val="21"/>
        </w:rPr>
        <w:t xml:space="preserve">认证的检测机构出具的检验报告或产品材料（彩页、功能截图或产品文档等）并加盖原厂公章）</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5</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虚拟私有云（VPC）服务，用户可以通过虚拟私有云自由的创建自己的虚拟网络。用户可以自行创建自己要的多个网段，指定每个要创建的网络的网段、掩码、DNS等，也可以指定这个网络内的路由规则以及NAT规则</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6</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VPN服务、云专线服务、二层桥接服务。可以通过VPN以及专线方式打通云平台中VPC网络和远端网络地址，用户可以通过云管界面申请VPN和专线服务来打通云内VPC子网和远端子网。也支持通过云管理平台配置二层桥接服务让云平台内虚拟机和云外虚拟机使用同一个网段的IP地址</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7</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支持云解析服务（DNS服务），支持内网域名解析功能，可以将域名与私网IP相关联，为云上资源提供域名解析服务。用户可以通过管理平台自主申请、配置DNS</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8</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支持安全组服务，可以对进出虚拟机端口的网络报文进行安全过滤规则设置。虚拟机端口与安全组关联后，安全组规则可对进出虚拟机端口的网络报文进行过滤，只有规则允许的报文可通过</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9</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用户通过管理平台为物理机或者虚拟机申请弹性IP以及配置弹性IP可用带宽(QoS)。用户可以将申请到的弹性IP绑定到如下对象：物理机、虚拟负载均衡、虚拟机、虚拟机的虚拟IP（VIP），也可以绑定到虚拟机的指定的网卡或者某个特定的内网IP地址上</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10</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虚拟负载均衡服务，用户可以通过管理平台自助申请负载均衡器，以及配置负载均衡器虚地址（VSIP）、绑定的公网IP等，虚拟负载均衡支持配置四层、七层监听策略以及健康检查策略等，同时，负载均衡服务可以不依赖硬件设备来提供</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11</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云硬盘服务。用户可以通过管理平台为虚拟机或者物理机申请磁盘，用户可以将申请到的磁盘空间分配给一台或者多台虚拟机/物理机使用，在操作系统支持的情况下，可以对已经在使用的云硬盘进行在线/离线扩容</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12</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支持从各种数据源创建云硬盘（系统盘&amp;数据盘），包括从镜像创建云硬盘，从已有云硬盘创建云硬盘，从备份创建云硬盘，从快照创建云硬盘。</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13</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支持快照服务，用户可以通过管理平台为自己的虚拟机/虚拟机磁盘/物理机磁盘创建快照，并自助完成快照恢复</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14</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云硬盘的管理，用户可以查看系统中已有的硬盘列表，可以查看磁盘名称、状态、容量、挂载到的服务器、创建时间等基本信息；支持快速搜索磁盘，可以通过磁盘名称或者磁盘是否挂载等条件搜索目标磁盘/磁盘组</w:t>
      </w:r>
      <w:r/>
    </w:p>
    <w:p>
      <w:pPr>
        <w:pStyle w:val="970"/>
      </w:pPr>
      <w:r>
        <w:rPr>
          <w:rFonts w:hint="eastAsia"/>
        </w:rPr>
        <w:t xml:space="preserve">管理平台扩容</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1</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支持向租户提供自服务Portal，租户登录时支持双因素认证保证安全性，租户可通过自服务Portal申请所需要的云服务</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2</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支持向管理员提供云运营管理和云运维能力。运营管理实现对云服务的管理功能；运维管理实现对云服务的监控功能</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3</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提供虚拟数据中心（VDC）管理能力，支持5级VDC管理，匹配用户的组织架构。每个VDC有独立的资源访问权限，有独立的云服务管理权限</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4</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支持对VDC使用的资源做配额限制，包括但不限于虚拟机、裸金属、镜像、云硬盘、对象存储、VPC、弹性IP、虚拟防火墙、VPN、虚拟负载均衡等服务</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5</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简易审批和图形化定义审批两种流程，简易审批最大支持5层；图形化审批中，运营管理员和VDC管理员可通过拖拉拽的方式定义审批流程，支持串行、并行、会签等流程，可自定义每个流程步骤的参数表单，指定每一级的审批人，还可以审批用户组的方式批量指定审批人，满足不同企业的不同业务审批流程诉求</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6</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云平台下物理资源和虚拟资源的统一监控管理。物理资源管理包括监控服务器、网络设备（交换机、路由器、防火墙、负载均衡等）、存储设备的位置信息、告警信息以及性能信息等。虚拟资源管理包括可按VDC统计服务使用情况、按资源池统计资源总量、云内虚拟网元对象性能监控信息（包括虚拟负载均衡的连接数等监控）等</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7</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支持统一密码管理、统一证书管理、统一巡检、统一许可、统一备份管理</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8</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支持容量、资源/设备统计、资源利用率、告警统计报表。支持报表自定义呈现，管理员可对已有指标进行重新组合、过滤以实现自助式业务分析</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9</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支持自定义多种不同的大屏展示内容，自定义内容包括容量、性能、资源统计、告警等对象。可定义每个内容的不同呈现形式，包括柱状图、饼图、仪表盘等</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10</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用户自定义运维脚本，包括shell、python、bat等。支持将运维脚本批量下发到指定虚拟机、裸金属、计算/管理节点并执行，简化重复性大的运维管理工作。支持将不同脚本按照一定逻辑、流程编排成运维任务，管理员可以选择定时执行、周期执行、手动执行等多种方式调度运维任务，以完成更复杂的运维动作</w:t>
      </w:r>
      <w:r/>
    </w:p>
    <w:p>
      <w:pPr>
        <w:pStyle w:val="970"/>
      </w:pPr>
      <w:r>
        <w:rPr>
          <w:rFonts w:hint="eastAsia"/>
        </w:rPr>
        <w:t xml:space="preserve">网管软件</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1</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支持大规模设备管理能力，可最多管理20000台网元</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2</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支持多种设备的管理，包括交换机、路由器、防火墙、WLAN、服务器、存储、操作系统、数据库、WEB应用、摄像头、GPON设备</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3</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系统使用B/S架构，支持使用WEB浏览器进行界面展示</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4</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系统提供分权分域功能，为不同的用户、角色分配不同的设备管理范围和操作权限</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5</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系统应支持本地、RADIUS和LDAP用户认证管理，实现用户的集中管理</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6</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系统提供系统日志、操作日志、安全日志</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7</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系统提供三种北向接口（SNMP、FTP及Restful接口），可通过北向接口向上层系统提供告警、性能以及资源数据</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8</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系统应支持多种南向接口类型，包括SNMP、STelnet、FTP（服务端）、SFTP（客户端/服务端）、IPMI、HTTP（客户端）/HTTPS（REST/Redfish客户端、服务端）、LwM2M、WebSocket、SocketPing、ICMP、WebPing、WebTrace、SSDP接口，方便管理多种设备类型</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9</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支持将添加后的资源（如服务器、网络设备、存储设备等）进行分类和分组管理，用户通过配置不同的分组类型和分组将资源划分为不同类型以及不同分组</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10</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直观展示网络设备之间或者服务器设备之间的链路连接，并支持对链路进行发现、监控和配置</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11</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提供统一的设备远程上下电平台，对接入的服务器和存储设备可实现一键式上下电操作</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12</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支持过滤显示拓扑视图、查看全景图等功能，用户可以及时监控所关注的拓扑节点状态和了解拓扑视图全貌</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13</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支持用户在拓扑视图上添加图形、文本和容器等对拓扑对象进行可视化的组织、标记和描述，以方便运维管理</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14</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支持刷新、导出拓扑视图，用户可以获取拓扑对象的最新状态，并查找和二次编辑拓扑对象，实现拓扑变化情况可视化管理</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15</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支持创建自定义拓扑，用户可以将自己重点关注或管辖范围内的网元添加到自定义拓扑，以进行精准监控，实现高效运维</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16</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系统应提供多领域、多厂商数据采集能力，包括从下层第三方系统采集网元的告警信息，并将告警集中显示在告警面板中</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17</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提供多样化的告警过滤方式，帮助运维人员快速筛选所关注的告警，提高监控效率</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18</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支持灵活的告警规则配置，将海量的告警进行关联和压缩，减少告警噪声，实现精准监控</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19</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提供紧急、严重、次要、提示四个等级来表达告警的紧急程度，帮助运维人员快速识别告警的重要程度，以采取相应的处理策略</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20</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系统支持对设备的关键性能指标进行监控，并对采集到的性能数据进行统计，方便用户对设备性能进行管理</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21</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支持通过设置不同的性能阈值，生成4级不同级别的告警：紧急、重要、次要、提示</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22</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支持查看指定设备、指定指标的历史性能数据，以了解设备历史性能趋势</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23</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支持监控设备的实时性能数据，了解设备的运行状态，以便确认设备是否存在异常，支持将查询结果导出到excel文件</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24</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支持用户拖拽式自定义报表内容，运用钻取、旋转、切片等操作，实现业务数据的灵活展现和统计汇总，提供自助式数据同比、环比、TOPN等分析功能</w:t>
      </w:r>
      <w:r/>
    </w:p>
    <w:p>
      <w:pPr>
        <w:pStyle w:val="970"/>
      </w:pPr>
      <w:r>
        <w:rPr>
          <w:rFonts w:hint="eastAsia"/>
        </w:rPr>
        <w:t xml:space="preserve">分布式全闪存储</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1</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采用全对称分布式架构，无独立元数据节点。随着存储节点数的增加，分布式存储性能和容量也随着近线性增长</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2</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支持X86架构存储节点和ARM架构存储节点共集群。支持X86架构存储节点和arm架构存储节点共池</w:t>
      </w:r>
      <w:r>
        <w:rPr>
          <w:rFonts w:hint="eastAsia" w:ascii="宋体" w:hAnsi="宋体" w:eastAsia="宋体" w:cs="宋体"/>
          <w:sz w:val="21"/>
          <w:szCs w:val="21"/>
        </w:rPr>
        <w:t xml:space="preserve">（提供有</w:t>
      </w:r>
      <w:r>
        <w:rPr>
          <w:rFonts w:ascii="宋体" w:hAnsi="宋体" w:eastAsia="宋体" w:cs="宋体"/>
          <w:sz w:val="21"/>
          <w:szCs w:val="21"/>
        </w:rPr>
        <w:t xml:space="preserve">CMA</w:t>
      </w:r>
      <w:r>
        <w:rPr>
          <w:rFonts w:hint="eastAsia" w:ascii="宋体" w:hAnsi="宋体" w:eastAsia="宋体" w:cs="宋体"/>
          <w:sz w:val="21"/>
          <w:szCs w:val="21"/>
        </w:rPr>
        <w:t xml:space="preserve">认证的检测机构出具的检验报告或产品材料（彩页、功能截图或产品文档等）并加盖原厂公章）</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3</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单节点故障情况下，IO归零时长小于10秒。当节点故障时，自动调整EC配比，确保新数据可靠性不降级（N+M配比中，M不变）。可支持4节点同时故障，业务不中断，数据不丢失</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4</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支持横向扩展能力，扩容过程服务不中断</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5</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支持3副本、EC的数据保护模式，且支持+2/+3/+4灵活EC配比。支持22+2的大比例EC配比</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6</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支持数据快速重构，当磁盘或存储节点故障时，系统能自动进行数据重建，在无人工干预条件下，数据重建速度能满足：每TB&lt;15分钟</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7</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支持存储池间，卷在线迁移</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8</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支持标准SCSI和iSCSI协议访问存储池</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9</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支持端到端数据完整性校验(DIF)，数据静默错误可自动校验并修复</w:t>
      </w:r>
      <w:r>
        <w:rPr>
          <w:rFonts w:hint="eastAsia" w:ascii="宋体" w:hAnsi="宋体" w:eastAsia="宋体" w:cs="宋体"/>
          <w:sz w:val="21"/>
          <w:szCs w:val="21"/>
        </w:rPr>
        <w:t xml:space="preserve">（提供有</w:t>
      </w:r>
      <w:r>
        <w:rPr>
          <w:rFonts w:ascii="宋体" w:hAnsi="宋体" w:eastAsia="宋体" w:cs="宋体"/>
          <w:sz w:val="21"/>
          <w:szCs w:val="21"/>
        </w:rPr>
        <w:t xml:space="preserve">CMA</w:t>
      </w:r>
      <w:r>
        <w:rPr>
          <w:rFonts w:hint="eastAsia" w:ascii="宋体" w:hAnsi="宋体" w:eastAsia="宋体" w:cs="宋体"/>
          <w:sz w:val="21"/>
          <w:szCs w:val="21"/>
        </w:rPr>
        <w:t xml:space="preserve">认证的检测机构出具的检验报告或产品材料（彩页、功能截图或产品文档等）并加盖原厂公章）</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10</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支持在扩容时，可对EC N+M的N进行动态扩列，并且可配置扩容后EC的N+M配比，扩容后由硬盘池内节点数决定EC冗余配比，最大支持设置扩N+M为22+2</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11</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支持卷的IOPS、带宽的上限设置，可设置卷的总IOPS和带宽，也可以设置每单位容量的IOPS与带宽</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12</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支持用户自定义性能图表并指定对象，对CPU利用率、内存利用率、带宽、IOPS、时延、卷容量利用率、存储池利用率等进行统计</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rPr>
        <w:t xml:space="preserve">13）</w:t>
      </w:r>
      <w:r>
        <w:rPr>
          <w:rFonts w:hint="eastAsia" w:ascii="宋体" w:hAnsi="宋体" w:eastAsia="宋体" w:cs="宋体"/>
          <w:sz w:val="21"/>
          <w:szCs w:val="21"/>
          <w:lang w:eastAsia="zh-Hans"/>
        </w:rPr>
        <w:t xml:space="preserve">支持设置多个性能指标(带宽、IOPS、时延)的阈值，在性能指标超过指定阈值后上报告警</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1</w:t>
      </w:r>
      <w:r>
        <w:rPr>
          <w:rFonts w:hint="eastAsia" w:ascii="宋体" w:hAnsi="宋体" w:eastAsia="宋体" w:cs="宋体"/>
          <w:sz w:val="21"/>
          <w:szCs w:val="21"/>
        </w:rPr>
        <w:t xml:space="preserve">4）</w:t>
      </w:r>
      <w:r>
        <w:rPr>
          <w:rFonts w:hint="eastAsia" w:ascii="宋体" w:hAnsi="宋体" w:eastAsia="宋体" w:cs="宋体"/>
          <w:sz w:val="21"/>
          <w:szCs w:val="21"/>
          <w:lang w:eastAsia="zh-Hans"/>
        </w:rPr>
        <w:t xml:space="preserve">支持磁盘亚健康管理功能：定期检查硬盘的SMART信息，判断磁盘亚健康情况(硬盘扇区重映射数超过门限、读错误率统计超标)，主动隔离并告警。支持慢盘检测，并在磁盘损坏前进行隔离并告警</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1</w:t>
      </w:r>
      <w:r>
        <w:rPr>
          <w:rFonts w:hint="eastAsia" w:ascii="宋体" w:hAnsi="宋体" w:eastAsia="宋体" w:cs="宋体"/>
          <w:sz w:val="21"/>
          <w:szCs w:val="21"/>
        </w:rPr>
        <w:t xml:space="preserve">5）</w:t>
      </w:r>
      <w:r>
        <w:rPr>
          <w:rFonts w:hint="eastAsia" w:ascii="宋体" w:hAnsi="宋体" w:eastAsia="宋体" w:cs="宋体"/>
          <w:sz w:val="21"/>
          <w:szCs w:val="21"/>
          <w:lang w:eastAsia="zh-Hans"/>
        </w:rPr>
        <w:t xml:space="preserve">支持SSD磨损寿命识别，提前告警及隔离处理。</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1</w:t>
      </w:r>
      <w:r>
        <w:rPr>
          <w:rFonts w:hint="eastAsia" w:ascii="宋体" w:hAnsi="宋体" w:eastAsia="宋体" w:cs="宋体"/>
          <w:sz w:val="21"/>
          <w:szCs w:val="21"/>
        </w:rPr>
        <w:t xml:space="preserve">6）</w:t>
      </w:r>
      <w:r>
        <w:rPr>
          <w:rFonts w:hint="eastAsia" w:ascii="宋体" w:hAnsi="宋体" w:eastAsia="宋体" w:cs="宋体"/>
          <w:sz w:val="21"/>
          <w:szCs w:val="21"/>
          <w:lang w:eastAsia="zh-Hans"/>
        </w:rPr>
        <w:t xml:space="preserve">支持网络亚健康管理功能：支持针对节点的存储网络出现丢包、错包、时延大、速率不匹配故障现象可提供故障告警并自动尝试修复</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rPr>
        <w:t xml:space="preserve">17）</w:t>
      </w:r>
      <w:r>
        <w:rPr>
          <w:rFonts w:hint="eastAsia" w:ascii="宋体" w:hAnsi="宋体" w:eastAsia="宋体" w:cs="宋体"/>
          <w:sz w:val="21"/>
          <w:szCs w:val="21"/>
          <w:lang w:eastAsia="zh-Hans"/>
        </w:rPr>
        <w:t xml:space="preserve">支持存储节点亚健康功能：如果存储节点服务时延过高或出现内存使用率过高，发出告警并提供处理方案</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1</w:t>
      </w:r>
      <w:r>
        <w:rPr>
          <w:rFonts w:hint="eastAsia" w:ascii="宋体" w:hAnsi="宋体" w:eastAsia="宋体" w:cs="宋体"/>
          <w:sz w:val="21"/>
          <w:szCs w:val="21"/>
        </w:rPr>
        <w:t xml:space="preserve">8）</w:t>
      </w:r>
      <w:r>
        <w:rPr>
          <w:rFonts w:hint="eastAsia" w:ascii="宋体" w:hAnsi="宋体" w:eastAsia="宋体" w:cs="宋体"/>
          <w:sz w:val="21"/>
          <w:szCs w:val="21"/>
          <w:lang w:eastAsia="zh-Hans"/>
        </w:rPr>
        <w:t xml:space="preserve">支持磁盘漫游功能，同一存储节点内属于同一个存储池的任意个存储磁盘槽位可以交换位置，以防止维护时的误操作</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★1</w:t>
      </w:r>
      <w:r>
        <w:rPr>
          <w:rFonts w:hint="eastAsia" w:ascii="宋体" w:hAnsi="宋体" w:eastAsia="宋体" w:cs="宋体"/>
          <w:sz w:val="21"/>
          <w:szCs w:val="21"/>
        </w:rPr>
        <w:t xml:space="preserve">9）</w:t>
      </w:r>
      <w:r>
        <w:rPr>
          <w:rFonts w:hint="eastAsia" w:ascii="宋体" w:hAnsi="宋体" w:eastAsia="宋体" w:cs="宋体"/>
          <w:sz w:val="21"/>
          <w:szCs w:val="21"/>
          <w:lang w:eastAsia="zh-Hans"/>
        </w:rPr>
        <w:t xml:space="preserve">CPU：</w:t>
      </w:r>
      <w:r>
        <w:rPr>
          <w:rFonts w:hint="eastAsia" w:ascii="宋体" w:hAnsi="宋体" w:eastAsia="宋体" w:cs="宋体"/>
          <w:sz w:val="21"/>
          <w:szCs w:val="21"/>
        </w:rPr>
        <w:t xml:space="preserve">至少</w:t>
      </w:r>
      <w:r>
        <w:rPr>
          <w:rFonts w:hint="eastAsia" w:ascii="宋体" w:hAnsi="宋体" w:eastAsia="宋体" w:cs="宋体"/>
          <w:sz w:val="21"/>
          <w:szCs w:val="21"/>
          <w:lang w:eastAsia="zh-Hans"/>
        </w:rPr>
        <w:t xml:space="preserve">2颗</w:t>
      </w:r>
      <w:r>
        <w:rPr>
          <w:rFonts w:hint="eastAsia" w:ascii="宋体" w:hAnsi="宋体" w:eastAsia="宋体" w:cs="宋体"/>
          <w:sz w:val="21"/>
          <w:szCs w:val="21"/>
        </w:rPr>
        <w:t xml:space="preserve">国产A</w:t>
      </w:r>
      <w:r>
        <w:rPr>
          <w:rFonts w:ascii="宋体" w:hAnsi="宋体" w:eastAsia="宋体" w:cs="宋体"/>
          <w:sz w:val="21"/>
          <w:szCs w:val="21"/>
        </w:rPr>
        <w:t xml:space="preserve">RM架构</w:t>
      </w:r>
      <w:r>
        <w:rPr>
          <w:rFonts w:hint="eastAsia" w:ascii="宋体" w:hAnsi="宋体" w:eastAsia="宋体" w:cs="宋体"/>
          <w:sz w:val="21"/>
          <w:szCs w:val="21"/>
          <w:lang w:eastAsia="zh-Hans"/>
        </w:rPr>
        <w:t xml:space="preserve">处理器，单颗处理器核数≥32，主频≥2.6GHz，末级缓存容量≥32MB,单颗处理器线程≥32，单颗处理器功耗≤120瓦，支持内存最高速率≥2933MT/s，单颗处理器支持内存通道数≥4，支持位宽≥64bit</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rPr>
        <w:t xml:space="preserve">20）</w:t>
      </w:r>
      <w:r>
        <w:rPr>
          <w:rFonts w:hint="eastAsia" w:ascii="宋体" w:hAnsi="宋体" w:eastAsia="宋体" w:cs="宋体"/>
          <w:sz w:val="21"/>
          <w:szCs w:val="21"/>
          <w:lang w:eastAsia="zh-Hans"/>
        </w:rPr>
        <w:t xml:space="preserve">内存：≥8*32GB DDR4内存条</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rPr>
        <w:t xml:space="preserve">21）</w:t>
      </w:r>
      <w:r>
        <w:rPr>
          <w:rFonts w:hint="eastAsia" w:ascii="宋体" w:hAnsi="宋体" w:eastAsia="宋体" w:cs="宋体"/>
          <w:sz w:val="21"/>
          <w:szCs w:val="21"/>
          <w:lang w:eastAsia="zh-Hans"/>
        </w:rPr>
        <w:t xml:space="preserve">硬盘：≥2块480GB 2.5寸 SSD硬盘，≥12块3.84TB 3.5寸 SAS硬盘</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2</w:t>
      </w:r>
      <w:r>
        <w:rPr>
          <w:rFonts w:hint="eastAsia" w:ascii="宋体" w:hAnsi="宋体" w:eastAsia="宋体" w:cs="宋体"/>
          <w:sz w:val="21"/>
          <w:szCs w:val="21"/>
        </w:rPr>
        <w:t xml:space="preserve">2）</w:t>
      </w:r>
      <w:r>
        <w:rPr>
          <w:rFonts w:hint="eastAsia" w:ascii="宋体" w:hAnsi="宋体" w:eastAsia="宋体" w:cs="宋体"/>
          <w:sz w:val="21"/>
          <w:szCs w:val="21"/>
          <w:lang w:eastAsia="zh-Hans"/>
        </w:rPr>
        <w:t xml:space="preserve">RAID卡：≥2G Raid 0／5卡（带超级电容）</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eastAsia="zh-Hans"/>
        </w:rPr>
        <w:t xml:space="preserve">网卡：≥4*10GE（含光模块）</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2</w:t>
      </w:r>
      <w:r>
        <w:rPr>
          <w:rFonts w:hint="eastAsia" w:ascii="宋体" w:hAnsi="宋体" w:eastAsia="宋体" w:cs="宋体"/>
          <w:sz w:val="21"/>
          <w:szCs w:val="21"/>
        </w:rPr>
        <w:t xml:space="preserve">4）</w:t>
      </w:r>
      <w:r>
        <w:rPr>
          <w:rFonts w:hint="eastAsia" w:ascii="宋体" w:hAnsi="宋体" w:eastAsia="宋体" w:cs="宋体"/>
          <w:sz w:val="21"/>
          <w:szCs w:val="21"/>
          <w:lang w:eastAsia="zh-Hans"/>
        </w:rPr>
        <w:t xml:space="preserve">电源：≥2块900W电源</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eastAsia="zh-Hans"/>
        </w:rPr>
        <w:t xml:space="preserve">软件：含配套分布式存储软件系统</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2</w:t>
      </w:r>
      <w:r>
        <w:rPr>
          <w:rFonts w:hint="eastAsia" w:ascii="宋体" w:hAnsi="宋体" w:eastAsia="宋体" w:cs="宋体"/>
          <w:sz w:val="21"/>
          <w:szCs w:val="21"/>
        </w:rPr>
        <w:t xml:space="preserve">6）</w:t>
      </w:r>
      <w:r>
        <w:rPr>
          <w:rFonts w:hint="eastAsia" w:ascii="宋体" w:hAnsi="宋体" w:eastAsia="宋体" w:cs="宋体"/>
          <w:sz w:val="21"/>
          <w:szCs w:val="21"/>
          <w:lang w:eastAsia="zh-Hans"/>
        </w:rPr>
        <w:t xml:space="preserve">提供3年原厂维保和硬盘不返还服务</w:t>
      </w:r>
      <w:r/>
    </w:p>
    <w:p>
      <w:pPr>
        <w:pStyle w:val="1066"/>
        <w:ind w:firstLine="420"/>
        <w:rPr>
          <w:rFonts w:hAnsi="宋体" w:cs="宋体"/>
          <w:sz w:val="21"/>
          <w:szCs w:val="21"/>
          <w:lang w:eastAsia="zh-Hans"/>
        </w:rPr>
      </w:pPr>
      <w:r>
        <w:rPr>
          <w:rFonts w:hAnsi="宋体" w:cs="宋体"/>
          <w:sz w:val="21"/>
          <w:szCs w:val="21"/>
          <w:lang w:eastAsia="zh-Hans"/>
        </w:rPr>
      </w:r>
      <w:r/>
    </w:p>
    <w:p>
      <w:pPr>
        <w:pStyle w:val="968"/>
        <w:rPr>
          <w:lang w:eastAsia="zh-Hans"/>
        </w:rPr>
      </w:pPr>
      <w:r>
        <w:rPr>
          <w:rFonts w:hint="eastAsia"/>
        </w:rPr>
        <w:t xml:space="preserve">大数据</w:t>
      </w:r>
      <w:r>
        <w:rPr>
          <w:rFonts w:hint="eastAsia"/>
          <w:lang w:eastAsia="zh-Hans"/>
        </w:rPr>
        <w:t xml:space="preserve">系统扩容</w:t>
      </w:r>
      <w:r/>
    </w:p>
    <w:p>
      <w:pPr>
        <w:pStyle w:val="969"/>
        <w:rPr>
          <w:lang w:eastAsia="zh-Hans"/>
        </w:rPr>
      </w:pPr>
      <w:r>
        <w:rPr>
          <w:rFonts w:hint="eastAsia"/>
        </w:rPr>
        <w:t xml:space="preserve">系统概述</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本项目既要强调技术先进，更要突出与业务应用的契合度，满足兼容性、轻量性、敏捷性、重负载、适配性等要求，在原有大数据能力下，扩容比对碰撞引擎组件，为数据治理、慧眼平台升级等应用提供数据存储、分析、计算等支撑。本方案以Hadoop大数据组件以及MPP DB行列并行数据库为基础，辅以数据汇聚工具，数据治理工具，数据共享交换平台完成数据的汇聚、治理、整合和共享。</w:t>
      </w:r>
      <w:r/>
    </w:p>
    <w:p>
      <w:pPr>
        <w:pStyle w:val="969"/>
        <w:rPr>
          <w:lang w:eastAsia="zh-Hans"/>
        </w:rPr>
      </w:pPr>
      <w:r>
        <w:rPr>
          <w:rFonts w:hint="eastAsia"/>
          <w:lang w:eastAsia="zh-Hans"/>
        </w:rPr>
        <w:t xml:space="preserve">方案配置</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感知网大数据集群3台HBase、Hive、Spark、Flink节点使用率超过80%，为满足新建治安视图和轨迹数据存储，需新增3台Flink节点和3台Hive节点。</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公安网需要增加clickHouse组件。计算方法：24块1.8TB SAS配置4组RAID5单台节点可用物理容量20*1.8*0.9=32.4TB（0.9为TiB系数），每台节点按照磁盘使用率80%默认两副本+索引系数2.1可得容量=32.4*0.8/2.1=12.3TB。</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公安网大数据集群6台Flink计算节点CPU计算资源充足，按照内存分配率80%计算（需求2304GB）测算需求2880GB，6台节点当前每台256GB，每台节点增补384GB内存（12根32GB），6台一共需求72根（冗余8根后期灵活调整）。</w:t>
      </w:r>
      <w:r/>
    </w:p>
    <w:p>
      <w:pPr>
        <w:pStyle w:val="969"/>
        <w:rPr>
          <w:lang w:eastAsia="zh-Hans"/>
        </w:rPr>
      </w:pPr>
      <w:r>
        <w:rPr>
          <w:rFonts w:hint="eastAsia"/>
        </w:rPr>
        <w:t xml:space="preserve">主要设备参数</w:t>
      </w:r>
      <w:r/>
    </w:p>
    <w:p>
      <w:pPr>
        <w:pStyle w:val="970"/>
      </w:pPr>
      <w:r>
        <w:rPr>
          <w:rFonts w:hint="eastAsia"/>
        </w:rPr>
        <w:t xml:space="preserve">比对碰撞引擎节点</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处理器：</w:t>
      </w:r>
      <w:r>
        <w:rPr>
          <w:rFonts w:hint="eastAsia" w:ascii="宋体" w:hAnsi="宋体" w:eastAsia="宋体" w:cs="宋体"/>
          <w:sz w:val="21"/>
          <w:szCs w:val="21"/>
        </w:rPr>
        <w:t xml:space="preserve">至少</w:t>
      </w:r>
      <w:r>
        <w:rPr>
          <w:rFonts w:hint="eastAsia" w:ascii="宋体" w:hAnsi="宋体" w:eastAsia="宋体" w:cs="宋体"/>
          <w:sz w:val="21"/>
          <w:szCs w:val="21"/>
          <w:lang w:eastAsia="zh-Hans"/>
        </w:rPr>
        <w:t xml:space="preserve">2颗</w:t>
      </w:r>
      <w:r>
        <w:rPr>
          <w:rFonts w:hint="eastAsia" w:ascii="宋体" w:hAnsi="宋体" w:eastAsia="宋体" w:cs="宋体"/>
          <w:sz w:val="21"/>
          <w:szCs w:val="21"/>
        </w:rPr>
        <w:t xml:space="preserve">国产A</w:t>
      </w:r>
      <w:r>
        <w:rPr>
          <w:rFonts w:ascii="宋体" w:hAnsi="宋体" w:eastAsia="宋体" w:cs="宋体"/>
          <w:sz w:val="21"/>
          <w:szCs w:val="21"/>
        </w:rPr>
        <w:t xml:space="preserve">RM架构</w:t>
      </w:r>
      <w:r>
        <w:rPr>
          <w:rFonts w:hint="eastAsia" w:ascii="宋体" w:hAnsi="宋体" w:eastAsia="宋体" w:cs="宋体"/>
          <w:sz w:val="21"/>
          <w:szCs w:val="21"/>
          <w:lang w:eastAsia="zh-Hans"/>
        </w:rPr>
        <w:t xml:space="preserve">处理器，单颗处理器核数≥32，主频≥2.6GHz</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内存：≥16*32GB</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硬盘：硬盘配置：≥2块480G SSD盘；≥24块1.8TB SAS盘</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RAID卡：配置2G缓存 Raid磁盘阵列卡</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网口：≥4*GE网口，≥2*10GE网口（含光模块）</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电源：配置双冗余热插拔电源，额定功率≥900W</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3年质保服务、3年介质不返还服务</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环境温度：长期工作环境温度支持5-40度</w:t>
      </w:r>
      <w:r/>
    </w:p>
    <w:p>
      <w:pPr>
        <w:ind w:firstLine="422"/>
        <w:spacing w:line="372" w:lineRule="auto"/>
        <w:rPr>
          <w:rFonts w:ascii="宋体" w:hAnsi="宋体" w:eastAsia="宋体" w:cs="宋体"/>
          <w:b/>
          <w:bCs/>
          <w:sz w:val="21"/>
          <w:szCs w:val="21"/>
          <w:lang w:eastAsia="zh-Hans"/>
        </w:rPr>
      </w:pPr>
      <w:r>
        <w:rPr>
          <w:rFonts w:hint="eastAsia" w:ascii="宋体" w:hAnsi="宋体" w:eastAsia="宋体" w:cs="宋体"/>
          <w:b/>
          <w:bCs/>
          <w:sz w:val="21"/>
          <w:szCs w:val="21"/>
          <w:lang w:eastAsia="zh-Hans"/>
        </w:rPr>
        <w:t xml:space="preserve">BMC管理：</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1</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集成系统管理处理器支持：自动服务器重启、风扇监视和控制、电源监控、温度监控、启动/关闭、按序重启、本地固件更新、错误日志，可通过可视化工具提供系统未来状况的可视显示</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2</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具有图形管理界面及其他高级管理功能</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3</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配置独立的远程管理控制端口，支持远程监控图形界面, 可实现与操作系统无关的远程对服务器的完全控制，包括远程的开机、关机、重启、虚拟软驱、虚拟光驱等操作</w:t>
      </w:r>
      <w:r/>
    </w:p>
    <w:p>
      <w:pPr>
        <w:pStyle w:val="970"/>
      </w:pPr>
      <w:r>
        <w:rPr>
          <w:rFonts w:hint="eastAsia"/>
        </w:rPr>
        <w:t xml:space="preserve">大数据存储节点扩容</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处理器：</w:t>
      </w:r>
      <w:r>
        <w:rPr>
          <w:rFonts w:hint="eastAsia" w:ascii="宋体" w:hAnsi="宋体" w:eastAsia="宋体" w:cs="宋体"/>
          <w:sz w:val="21"/>
          <w:szCs w:val="21"/>
        </w:rPr>
        <w:t xml:space="preserve">至少</w:t>
      </w:r>
      <w:r>
        <w:rPr>
          <w:rFonts w:hint="eastAsia" w:ascii="宋体" w:hAnsi="宋体" w:eastAsia="宋体" w:cs="宋体"/>
          <w:sz w:val="21"/>
          <w:szCs w:val="21"/>
          <w:lang w:eastAsia="zh-Hans"/>
        </w:rPr>
        <w:t xml:space="preserve">2颗</w:t>
      </w:r>
      <w:r>
        <w:rPr>
          <w:rFonts w:hint="eastAsia" w:ascii="宋体" w:hAnsi="宋体" w:eastAsia="宋体" w:cs="宋体"/>
          <w:sz w:val="21"/>
          <w:szCs w:val="21"/>
        </w:rPr>
        <w:t xml:space="preserve">国产A</w:t>
      </w:r>
      <w:r>
        <w:rPr>
          <w:rFonts w:ascii="宋体" w:hAnsi="宋体" w:eastAsia="宋体" w:cs="宋体"/>
          <w:sz w:val="21"/>
          <w:szCs w:val="21"/>
        </w:rPr>
        <w:t xml:space="preserve">RM架构</w:t>
      </w:r>
      <w:r>
        <w:rPr>
          <w:rFonts w:hint="eastAsia" w:ascii="宋体" w:hAnsi="宋体" w:eastAsia="宋体" w:cs="宋体"/>
          <w:sz w:val="21"/>
          <w:szCs w:val="21"/>
          <w:lang w:eastAsia="zh-Hans"/>
        </w:rPr>
        <w:t xml:space="preserve">处理器，单颗处理器核数≥32，主频≥2.6GHz</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内存：≥16*32GB</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硬盘：硬盘配置：≥2块480G SSD盘；≥24块1.8TB SAS盘</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RAID卡：配置2G缓存 Raid磁盘阵列卡</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网口：≥4*GE网口，≥2*10GE网口（含光模块）</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电源：配置双冗余热插拔电源，额定功率≥900W</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3年质保服务、3年介质不返还服务</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环境温度：长期工作环境温度支持5-40度</w:t>
      </w:r>
      <w:r/>
    </w:p>
    <w:p>
      <w:pPr>
        <w:ind w:firstLine="422"/>
        <w:spacing w:line="372" w:lineRule="auto"/>
        <w:rPr>
          <w:rFonts w:ascii="宋体" w:hAnsi="宋体" w:eastAsia="宋体" w:cs="宋体"/>
          <w:b/>
          <w:bCs/>
          <w:sz w:val="21"/>
          <w:szCs w:val="21"/>
          <w:lang w:eastAsia="zh-Hans"/>
        </w:rPr>
      </w:pPr>
      <w:r>
        <w:rPr>
          <w:rFonts w:hint="eastAsia" w:ascii="宋体" w:hAnsi="宋体" w:eastAsia="宋体" w:cs="宋体"/>
          <w:b/>
          <w:bCs/>
          <w:sz w:val="21"/>
          <w:szCs w:val="21"/>
          <w:lang w:eastAsia="zh-Hans"/>
        </w:rPr>
        <w:t xml:space="preserve">BMC管理：</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1</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集成系统管理处理器支持：自动服务器重启、风扇监视和控制、电源监控、温度监控、启动/关闭、按序重启、本地固件更新、错误日志，可通过可视化工具提供系统未来状况的可视显示</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2</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具有图形管理界面及其他高级管理功能</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3</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配置独立的远程管理控制端口，支持远程监控图形界面, 可实现与操作系统无关的远程对服务器的完全控制，包括远程的开机、关机、重启、虚拟软驱、虚拟光驱等操作</w:t>
      </w:r>
      <w:r/>
    </w:p>
    <w:p>
      <w:pPr>
        <w:pStyle w:val="970"/>
        <w:spacing w:line="372" w:lineRule="auto"/>
      </w:pPr>
      <w:r>
        <w:rPr>
          <w:rFonts w:hint="eastAsia"/>
        </w:rPr>
        <w:t xml:space="preserve">大数据软件</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1</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基于 Apache 开源社区进行增强，可提供HDFS、MapReduce、Hive、Spark、Solr、HBase、Hive，Storm 等组件</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2</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满足自主可控要求，支持多种常见国产操作系统（欧拉OS、中标麒麟、银河麒麟、统信UOS等）</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3</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大数据平台支持全组件IPv6协议</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4</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大数据平台支持X86、ARM单集群内混合部署</w:t>
      </w:r>
      <w:r>
        <w:rPr>
          <w:rFonts w:hint="eastAsia" w:ascii="宋体" w:hAnsi="宋体" w:eastAsia="宋体" w:cs="宋体"/>
          <w:sz w:val="21"/>
          <w:szCs w:val="21"/>
        </w:rPr>
        <w:t xml:space="preserve">（提供有</w:t>
      </w:r>
      <w:r>
        <w:rPr>
          <w:rFonts w:ascii="宋体" w:hAnsi="宋体" w:eastAsia="宋体" w:cs="宋体"/>
          <w:sz w:val="21"/>
          <w:szCs w:val="21"/>
        </w:rPr>
        <w:t xml:space="preserve">CMA</w:t>
      </w:r>
      <w:r>
        <w:rPr>
          <w:rFonts w:hint="eastAsia" w:ascii="宋体" w:hAnsi="宋体" w:eastAsia="宋体" w:cs="宋体"/>
          <w:sz w:val="21"/>
          <w:szCs w:val="21"/>
        </w:rPr>
        <w:t xml:space="preserve">认证的检测机构出具的检验报告或产品材料（彩页、功能截图或产品文档等）并加盖原厂公章）</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5</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支持同一节点部署多个同类实例（如HBase等），提升资源利用率</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6</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支持滚动升级能力，业务不中断。支持一次升级少量节点、循环滚动，直至集群所有节点完成升级</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7</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支持自动健康检查与巡检，可实现一键式系统运行、健康度巡检和审计，保障系统的正常运行，降低系统运维成本</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8</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提供HDFS分布式文件系统，大数据平台的HDFS组件，提供访问HDFS的REST接口，通过REST接口可实现创建、删除、上传、下载文件等操作。支持HDFS组件上节点均衡调度、单节点内磁盘均衡调度等策略</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9</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在大规模集群场景下，HDFS支持DN分组，保证集群性能不受影响</w:t>
      </w:r>
      <w:r>
        <w:rPr>
          <w:rFonts w:hint="eastAsia" w:ascii="宋体" w:hAnsi="宋体" w:eastAsia="宋体" w:cs="宋体"/>
          <w:sz w:val="21"/>
          <w:szCs w:val="21"/>
        </w:rPr>
        <w:t xml:space="preserve">（提供有</w:t>
      </w:r>
      <w:r>
        <w:rPr>
          <w:rFonts w:ascii="宋体" w:hAnsi="宋体" w:eastAsia="宋体" w:cs="宋体"/>
          <w:sz w:val="21"/>
          <w:szCs w:val="21"/>
        </w:rPr>
        <w:t xml:space="preserve">CMA</w:t>
      </w:r>
      <w:r>
        <w:rPr>
          <w:rFonts w:hint="eastAsia" w:ascii="宋体" w:hAnsi="宋体" w:eastAsia="宋体" w:cs="宋体"/>
          <w:sz w:val="21"/>
          <w:szCs w:val="21"/>
        </w:rPr>
        <w:t xml:space="preserve">认证的检测机构出具的检验报告或产品材料（彩页、功能截图或产品文档等）并加盖原厂公章）</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10</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满足灵活的数据全文检索诉求，提供ElasticSearch组件，实现数据实时检索，用户可根据需要自主选择</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11</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为保障数据存储安全，大数据平台支持标准加密算法AES、支持国密算法SM4，并支持自定义加密算法</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12</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大数据平台支持系统级安全加固，支持Kerberos认证，支持认证鉴权，支持表和列加密以及数据加密，支持全系统的审计能力</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13</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支持大数据集群运维管理平台用户和组件用户统一管理和认证，用户访问组件的WebUI时，支持安全认证管理</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14</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支持运维管理平台用户和组件用户统一管理和认证，用户访问平台各个组件的WebUI时支持单点登录，只需要登录认证一次即可访问其它组件的WebUI</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15</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提供图形化集群健康巡检工具，能够检查集群相关节点、服务的健康状态，可提前发现集群中潜在的问题，并生成健康检查报告，方便快速了解系统的健康状况</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16</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3年软件维保服务。承诺和现有大数据平台兼容</w:t>
      </w:r>
      <w:r/>
    </w:p>
    <w:p>
      <w:pPr>
        <w:pStyle w:val="970"/>
        <w:spacing w:line="372" w:lineRule="auto"/>
      </w:pPr>
      <w:r>
        <w:rPr>
          <w:rFonts w:hint="eastAsia"/>
        </w:rPr>
        <w:t xml:space="preserve">内存条配件增补</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rPr>
        <w:t xml:space="preserve">不低于</w:t>
      </w:r>
      <w:r>
        <w:rPr>
          <w:rFonts w:hint="eastAsia" w:ascii="宋体" w:hAnsi="宋体" w:eastAsia="宋体" w:cs="宋体"/>
          <w:sz w:val="21"/>
          <w:szCs w:val="21"/>
          <w:lang w:eastAsia="zh-Hans"/>
        </w:rPr>
        <w:t xml:space="preserve">32GB DDR4 3200MHz 2Bank内存条</w:t>
      </w:r>
      <w:r/>
    </w:p>
    <w:p>
      <w:pPr>
        <w:pStyle w:val="970"/>
        <w:spacing w:line="372" w:lineRule="auto"/>
      </w:pPr>
      <w:r>
        <w:rPr>
          <w:rFonts w:hint="eastAsia"/>
        </w:rPr>
        <w:t xml:space="preserve">万兆交换机</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1）交换容量≥</w:t>
      </w:r>
      <w:r>
        <w:rPr>
          <w:rFonts w:ascii="宋体" w:hAnsi="宋体" w:eastAsia="宋体" w:cs="宋体"/>
          <w:sz w:val="21"/>
          <w:szCs w:val="21"/>
        </w:rPr>
        <w:t xml:space="preserve">2</w:t>
      </w:r>
      <w:r>
        <w:rPr>
          <w:rFonts w:hint="eastAsia" w:ascii="宋体" w:hAnsi="宋体" w:eastAsia="宋体" w:cs="宋体"/>
          <w:sz w:val="21"/>
          <w:szCs w:val="21"/>
        </w:rPr>
        <w:t xml:space="preserve">.</w:t>
      </w:r>
      <w:r>
        <w:rPr>
          <w:rFonts w:ascii="宋体" w:hAnsi="宋体" w:eastAsia="宋体" w:cs="宋体"/>
          <w:sz w:val="21"/>
          <w:szCs w:val="21"/>
        </w:rPr>
        <w:t xml:space="preserve">16</w:t>
      </w:r>
      <w:r>
        <w:rPr>
          <w:rFonts w:hint="eastAsia" w:ascii="宋体" w:hAnsi="宋体" w:eastAsia="宋体" w:cs="宋体"/>
          <w:sz w:val="21"/>
          <w:szCs w:val="21"/>
        </w:rPr>
        <w:t xml:space="preserve">Tbps，包转发率≥</w:t>
      </w:r>
      <w:r>
        <w:rPr>
          <w:rFonts w:ascii="宋体" w:hAnsi="宋体" w:eastAsia="宋体" w:cs="宋体"/>
          <w:sz w:val="21"/>
          <w:szCs w:val="21"/>
        </w:rPr>
        <w:t xml:space="preserve">9</w:t>
      </w:r>
      <w:r>
        <w:rPr>
          <w:rFonts w:hint="eastAsia" w:ascii="宋体" w:hAnsi="宋体" w:eastAsia="宋体" w:cs="宋体"/>
          <w:sz w:val="21"/>
          <w:szCs w:val="21"/>
        </w:rPr>
        <w:t xml:space="preserve">00Mpps</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2）至少48个10G SFP+端口,≥6个QSFP28端口</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3）≥8</w:t>
      </w:r>
      <w:r>
        <w:rPr>
          <w:rFonts w:ascii="宋体" w:hAnsi="宋体" w:eastAsia="宋体" w:cs="宋体"/>
          <w:sz w:val="21"/>
          <w:szCs w:val="21"/>
        </w:rPr>
        <w:t xml:space="preserve">GB</w:t>
      </w:r>
      <w:r>
        <w:rPr>
          <w:rFonts w:hint="eastAsia" w:ascii="宋体" w:hAnsi="宋体" w:eastAsia="宋体" w:cs="宋体"/>
          <w:sz w:val="21"/>
          <w:szCs w:val="21"/>
        </w:rPr>
        <w:t xml:space="preserve">缓存</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4）支持ERPS以太环保护协议</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5）支持RIP、OSPF、ISIS、BGP等IPv4动态路由协议</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6）支持Vxlan，且支持BGP EVPN特性</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7）支持FCoE/PFC/ETS/DCBX</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8）0ECN 支持 Vxlan Overlay 场景</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9）支持无丢包缓存自动配置；支持AI ECN；支持动态负载均衡</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10）支持VxLAN OAM: VxLAN ping, VxLAN tracert</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11）单台实配：双电源、10GE多模模块≥48</w:t>
      </w:r>
      <w:r/>
    </w:p>
    <w:p>
      <w:pPr>
        <w:pStyle w:val="970"/>
        <w:spacing w:line="372" w:lineRule="auto"/>
      </w:pPr>
      <w:r>
        <w:rPr>
          <w:rFonts w:hint="eastAsia"/>
        </w:rPr>
        <w:t xml:space="preserve">千兆交换机</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1）交换容量≥1.28Tbps，包转发率≥462Mpps</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2）至少48个10M/100M/1GE Base-T 以太网端口，至少4个10GE SFP+</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▲3）CPU芯片要求国产化（提供有</w:t>
      </w:r>
      <w:r>
        <w:rPr>
          <w:rFonts w:ascii="宋体" w:hAnsi="宋体" w:eastAsia="宋体" w:cs="宋体"/>
          <w:sz w:val="21"/>
          <w:szCs w:val="21"/>
        </w:rPr>
        <w:t xml:space="preserve">CMA</w:t>
      </w:r>
      <w:r>
        <w:rPr>
          <w:rFonts w:hint="eastAsia" w:ascii="宋体" w:hAnsi="宋体" w:eastAsia="宋体" w:cs="宋体"/>
          <w:sz w:val="21"/>
          <w:szCs w:val="21"/>
        </w:rPr>
        <w:t xml:space="preserve">认证的检测机构出具的检验报告或产品材料（彩页、功能截图或产品文档等））</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4）内存支持不低于4GB，保证系统可靠运行</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5）支持静态路由、RIP v1/v2、OSPF、BGP、ISIS、RIPng、OSPFv3、ISISv6、BGP4+</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6）支持交换机基于UCL用户组方式，用户组内的用户，不论是有线还是无线用户，也不论用户在何处登录，获得任何IP地址，用户都拥有相同的访问权限</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7）支持MAC表项≥256K，支持ARP表项规格≥128k，支持IPv4 路由表≥512K，支持IPv6 路由表≥64K</w:t>
      </w:r>
      <w:r/>
    </w:p>
    <w:p>
      <w:pPr>
        <w:numPr>
          <w:ilvl w:val="0"/>
          <w:numId w:val="20"/>
        </w:num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支持CPU黑名单功能，支持共计溯源惩罚</w:t>
      </w:r>
      <w:r/>
    </w:p>
    <w:p>
      <w:pPr>
        <w:pStyle w:val="1066"/>
        <w:ind w:firstLine="420"/>
        <w:rPr>
          <w:rFonts w:hAnsi="宋体" w:cs="宋体"/>
          <w:sz w:val="21"/>
          <w:szCs w:val="21"/>
        </w:rPr>
      </w:pPr>
      <w:r>
        <w:rPr>
          <w:rFonts w:hAnsi="宋体" w:cs="宋体"/>
          <w:sz w:val="21"/>
          <w:szCs w:val="21"/>
        </w:rPr>
      </w:r>
      <w:r/>
    </w:p>
    <w:p>
      <w:pPr>
        <w:pStyle w:val="968"/>
        <w:rPr>
          <w:lang w:eastAsia="zh-Hans"/>
        </w:rPr>
      </w:pPr>
      <w:r/>
      <w:bookmarkStart w:id="119" w:name="_Toc101428479"/>
      <w:r/>
      <w:bookmarkStart w:id="120" w:name="_Toc120383889"/>
      <w:r/>
      <w:bookmarkStart w:id="121" w:name="_Toc869100813"/>
      <w:r>
        <w:rPr>
          <w:rFonts w:hint="eastAsia"/>
          <w:lang w:eastAsia="zh-Hans"/>
        </w:rPr>
        <w:t xml:space="preserve">图片存储系统</w:t>
      </w:r>
      <w:bookmarkEnd w:id="119"/>
      <w:r/>
      <w:bookmarkEnd w:id="120"/>
      <w:r/>
      <w:bookmarkEnd w:id="121"/>
      <w:r>
        <w:rPr>
          <w:rFonts w:hint="eastAsia"/>
          <w:lang w:eastAsia="zh-Hans"/>
        </w:rPr>
        <w:t xml:space="preserve">扩容</w:t>
      </w:r>
      <w:r/>
    </w:p>
    <w:p>
      <w:pPr>
        <w:pStyle w:val="969"/>
        <w:rPr>
          <w:lang w:eastAsia="zh-Hans"/>
        </w:rPr>
      </w:pPr>
      <w:r>
        <w:rPr>
          <w:rFonts w:hint="eastAsia"/>
        </w:rPr>
        <w:t xml:space="preserve">系统概述</w:t>
      </w:r>
      <w:r/>
    </w:p>
    <w:p>
      <w:pPr>
        <w:ind w:firstLine="420"/>
        <w:spacing w:line="365" w:lineRule="auto"/>
        <w:rPr>
          <w:rFonts w:ascii="宋体" w:hAnsi="宋体" w:eastAsia="宋体" w:cs="宋体"/>
          <w:sz w:val="21"/>
          <w:szCs w:val="21"/>
        </w:rPr>
      </w:pPr>
      <w:r>
        <w:rPr>
          <w:rFonts w:hint="eastAsia" w:ascii="宋体" w:hAnsi="宋体" w:eastAsia="宋体" w:cs="宋体"/>
          <w:sz w:val="21"/>
          <w:szCs w:val="21"/>
        </w:rPr>
        <w:t xml:space="preserve">本项目图片存储系统涉及智能感知网建设，在智能感知网内完成全量大小图的存储。</w:t>
      </w:r>
      <w:r/>
    </w:p>
    <w:p>
      <w:pPr>
        <w:pStyle w:val="969"/>
        <w:rPr>
          <w:lang w:eastAsia="zh-Hans"/>
        </w:rPr>
      </w:pPr>
      <w:r>
        <w:rPr>
          <w:rFonts w:hint="eastAsia"/>
          <w:lang w:eastAsia="zh-Hans"/>
        </w:rPr>
        <w:t xml:space="preserve">方案配置</w:t>
      </w:r>
      <w:r/>
    </w:p>
    <w:p>
      <w:pPr>
        <w:ind w:firstLine="420"/>
        <w:spacing w:line="368" w:lineRule="auto"/>
        <w:rPr>
          <w:rFonts w:ascii="宋体" w:hAnsi="宋体" w:eastAsia="宋体" w:cs="宋体"/>
          <w:sz w:val="21"/>
          <w:szCs w:val="21"/>
        </w:rPr>
      </w:pPr>
      <w:r>
        <w:rPr>
          <w:rFonts w:hint="eastAsia" w:ascii="宋体" w:hAnsi="宋体" w:eastAsia="宋体" w:cs="宋体"/>
          <w:sz w:val="21"/>
          <w:szCs w:val="21"/>
        </w:rPr>
        <w:t xml:space="preserve">本期建设图片存储在原有存储集群上进行扩容，满足新建外场图片接入需求。目前感知网有20节点图片存储、公安网有4节点图片。目前感知网图片存储已使用70%，可用空间约0.9P，公安网图片存储可用空间1P。按照本次建设前端，大图存储180天、小图存储360天，测算本期还需提供1.9PB可用空间图片存储，需建设4台图片存储节点，单节点配置不低于0.7PB SATA硬盘。</w:t>
      </w:r>
      <w:r/>
    </w:p>
    <w:p>
      <w:pPr>
        <w:pStyle w:val="969"/>
        <w:rPr>
          <w:lang w:eastAsia="zh-Hans"/>
        </w:rPr>
      </w:pPr>
      <w:r>
        <w:rPr>
          <w:rFonts w:hint="eastAsia"/>
        </w:rPr>
        <w:t xml:space="preserve">主要设备参数</w:t>
      </w:r>
      <w:r/>
    </w:p>
    <w:p>
      <w:pPr>
        <w:pStyle w:val="970"/>
      </w:pPr>
      <w:r>
        <w:rPr>
          <w:rFonts w:hint="eastAsia"/>
        </w:rPr>
        <w:t xml:space="preserve">图片存储</w:t>
      </w:r>
      <w:r/>
    </w:p>
    <w:p>
      <w:pPr>
        <w:ind w:firstLine="420"/>
        <w:spacing w:line="368" w:lineRule="auto"/>
        <w:rPr>
          <w:rFonts w:ascii="宋体" w:hAnsi="宋体" w:eastAsia="宋体" w:cs="宋体"/>
          <w:sz w:val="21"/>
          <w:szCs w:val="21"/>
        </w:rPr>
      </w:pPr>
      <w:r>
        <w:rPr>
          <w:rFonts w:hint="eastAsia" w:ascii="宋体" w:hAnsi="宋体" w:eastAsia="宋体" w:cs="宋体"/>
          <w:sz w:val="21"/>
          <w:szCs w:val="21"/>
        </w:rPr>
        <w:t xml:space="preserve">CPU：数量≥2、主频不低于2.2GHz、物理核数不低于24C</w:t>
      </w:r>
      <w:r/>
    </w:p>
    <w:p>
      <w:pPr>
        <w:ind w:firstLine="420"/>
        <w:spacing w:line="368" w:lineRule="auto"/>
        <w:rPr>
          <w:rFonts w:ascii="宋体" w:hAnsi="宋体" w:eastAsia="宋体" w:cs="宋体"/>
          <w:sz w:val="21"/>
          <w:szCs w:val="21"/>
        </w:rPr>
      </w:pPr>
      <w:r>
        <w:rPr>
          <w:rFonts w:hint="eastAsia" w:ascii="宋体" w:hAnsi="宋体" w:eastAsia="宋体" w:cs="宋体"/>
          <w:sz w:val="21"/>
          <w:szCs w:val="21"/>
        </w:rPr>
        <w:t xml:space="preserve">内存：数量≥4、类型 DDR4 RDIMM、频率不低于3200MT/S、容量不低于64GB</w:t>
      </w:r>
      <w:r/>
    </w:p>
    <w:p>
      <w:pPr>
        <w:ind w:firstLine="420"/>
        <w:spacing w:line="368" w:lineRule="auto"/>
        <w:rPr>
          <w:rFonts w:ascii="宋体" w:hAnsi="宋体" w:eastAsia="宋体" w:cs="宋体"/>
          <w:sz w:val="21"/>
          <w:szCs w:val="21"/>
        </w:rPr>
      </w:pPr>
      <w:r>
        <w:rPr>
          <w:rFonts w:hint="eastAsia" w:ascii="宋体" w:hAnsi="宋体" w:eastAsia="宋体" w:cs="宋体"/>
          <w:sz w:val="21"/>
          <w:szCs w:val="21"/>
        </w:rPr>
        <w:t xml:space="preserve">硬盘：数量≥2、类型 SSD-SATA、转速、容量不低于480GB;数量≥36、类型 HDD-SATA、转速7.2K、容量不低于18TB</w:t>
      </w:r>
      <w:r/>
    </w:p>
    <w:p>
      <w:pPr>
        <w:ind w:firstLine="420"/>
        <w:spacing w:line="368" w:lineRule="auto"/>
        <w:rPr>
          <w:rFonts w:ascii="宋体" w:hAnsi="宋体" w:eastAsia="宋体" w:cs="宋体"/>
          <w:sz w:val="21"/>
          <w:szCs w:val="21"/>
        </w:rPr>
      </w:pPr>
      <w:r>
        <w:rPr>
          <w:rFonts w:hint="eastAsia" w:ascii="宋体" w:hAnsi="宋体" w:eastAsia="宋体" w:cs="宋体"/>
          <w:sz w:val="21"/>
          <w:szCs w:val="21"/>
        </w:rPr>
        <w:t xml:space="preserve">NVME盘：≥2*12*1.6TB PCle*Gen4 X4 NVMe U.2 3.5in MU P5620 SSD UCC通用硬盘模块(CTO&amp;BTO)</w:t>
      </w:r>
      <w:r/>
    </w:p>
    <w:p>
      <w:pPr>
        <w:ind w:firstLine="420"/>
        <w:spacing w:line="368" w:lineRule="auto"/>
        <w:rPr>
          <w:rFonts w:ascii="宋体" w:hAnsi="宋体" w:eastAsia="宋体" w:cs="宋体"/>
          <w:sz w:val="21"/>
          <w:szCs w:val="21"/>
        </w:rPr>
      </w:pPr>
      <w:r>
        <w:rPr>
          <w:rFonts w:hint="eastAsia" w:ascii="宋体" w:hAnsi="宋体" w:eastAsia="宋体" w:cs="宋体"/>
          <w:sz w:val="21"/>
          <w:szCs w:val="21"/>
        </w:rPr>
        <w:t xml:space="preserve">Raid卡：数量≥1、缓存≥2GB、Raid级别RAID O,RAID 1,RAID 10,RAID 5,RAID 6,RAID 5O,RAID 60</w:t>
      </w:r>
      <w:r/>
    </w:p>
    <w:p>
      <w:pPr>
        <w:ind w:firstLine="420"/>
        <w:spacing w:line="368" w:lineRule="auto"/>
        <w:rPr>
          <w:rFonts w:ascii="宋体" w:hAnsi="宋体" w:eastAsia="宋体" w:cs="宋体"/>
          <w:sz w:val="21"/>
          <w:szCs w:val="21"/>
        </w:rPr>
      </w:pPr>
      <w:r>
        <w:rPr>
          <w:rFonts w:hint="eastAsia" w:ascii="宋体" w:hAnsi="宋体" w:eastAsia="宋体" w:cs="宋体"/>
          <w:sz w:val="21"/>
          <w:szCs w:val="21"/>
        </w:rPr>
        <w:t xml:space="preserve">至少4端口1GE电接口OCP 3.0网卡</w:t>
      </w:r>
      <w:r/>
    </w:p>
    <w:p>
      <w:pPr>
        <w:ind w:firstLine="420"/>
        <w:spacing w:line="368" w:lineRule="auto"/>
        <w:rPr>
          <w:rFonts w:ascii="宋体" w:hAnsi="宋体" w:eastAsia="宋体" w:cs="宋体"/>
          <w:sz w:val="21"/>
          <w:szCs w:val="21"/>
        </w:rPr>
      </w:pPr>
      <w:r>
        <w:rPr>
          <w:rFonts w:hint="eastAsia" w:ascii="宋体" w:hAnsi="宋体" w:eastAsia="宋体" w:cs="宋体"/>
          <w:sz w:val="21"/>
          <w:szCs w:val="21"/>
        </w:rPr>
        <w:t xml:space="preserve">至少4端口10GE光接口网卡(SFP+)</w:t>
      </w:r>
      <w:r/>
    </w:p>
    <w:p>
      <w:pPr>
        <w:ind w:firstLine="420"/>
        <w:spacing w:line="368" w:lineRule="auto"/>
        <w:rPr>
          <w:rFonts w:ascii="宋体" w:hAnsi="宋体" w:eastAsia="宋体" w:cs="宋体"/>
          <w:sz w:val="21"/>
          <w:szCs w:val="21"/>
        </w:rPr>
      </w:pPr>
      <w:r>
        <w:rPr>
          <w:rFonts w:hint="eastAsia" w:ascii="宋体" w:hAnsi="宋体" w:eastAsia="宋体" w:cs="宋体"/>
          <w:sz w:val="21"/>
          <w:szCs w:val="21"/>
        </w:rPr>
        <w:t xml:space="preserve">至少2*1600W交流&amp;240V高压直流电源模块</w:t>
      </w:r>
      <w:r/>
    </w:p>
    <w:p>
      <w:pPr>
        <w:ind w:firstLine="420"/>
        <w:spacing w:line="368" w:lineRule="auto"/>
        <w:rPr>
          <w:rFonts w:ascii="宋体" w:hAnsi="宋体" w:eastAsia="宋体" w:cs="宋体"/>
          <w:sz w:val="21"/>
          <w:szCs w:val="21"/>
        </w:rPr>
      </w:pPr>
      <w:r>
        <w:rPr>
          <w:rFonts w:hint="eastAsia" w:ascii="宋体" w:hAnsi="宋体" w:eastAsia="宋体" w:cs="宋体"/>
          <w:sz w:val="21"/>
          <w:szCs w:val="21"/>
        </w:rPr>
        <w:t xml:space="preserve">至少4*高性能风扇模块</w:t>
      </w:r>
      <w:r/>
    </w:p>
    <w:p>
      <w:pPr>
        <w:ind w:firstLine="420"/>
        <w:spacing w:line="368" w:lineRule="auto"/>
        <w:rPr>
          <w:rFonts w:ascii="宋体" w:hAnsi="宋体" w:eastAsia="宋体" w:cs="宋体"/>
          <w:sz w:val="21"/>
          <w:szCs w:val="21"/>
        </w:rPr>
      </w:pPr>
      <w:r>
        <w:rPr>
          <w:rFonts w:hint="eastAsia" w:ascii="宋体" w:hAnsi="宋体" w:eastAsia="宋体" w:cs="宋体"/>
          <w:sz w:val="21"/>
          <w:szCs w:val="21"/>
        </w:rPr>
        <w:t xml:space="preserve">至少3*专家日服务</w:t>
      </w:r>
      <w:r/>
    </w:p>
    <w:p>
      <w:pPr>
        <w:pStyle w:val="970"/>
      </w:pPr>
      <w:r>
        <w:rPr>
          <w:rFonts w:hint="eastAsia"/>
        </w:rPr>
        <w:t xml:space="preserve">服务器</w:t>
      </w:r>
      <w:r/>
    </w:p>
    <w:p>
      <w:pPr>
        <w:ind w:firstLine="420"/>
        <w:spacing w:line="368" w:lineRule="auto"/>
        <w:rPr>
          <w:rFonts w:ascii="宋体" w:hAnsi="宋体" w:eastAsia="宋体" w:cs="宋体"/>
          <w:sz w:val="21"/>
          <w:szCs w:val="21"/>
        </w:rPr>
      </w:pPr>
      <w:r>
        <w:rPr>
          <w:rFonts w:hint="eastAsia" w:ascii="宋体" w:hAnsi="宋体" w:eastAsia="宋体" w:cs="宋体"/>
          <w:sz w:val="21"/>
          <w:szCs w:val="21"/>
        </w:rPr>
        <w:t xml:space="preserve">CPU：数量≥2、主频不低于2.2GHZ、物理核数不低于24C</w:t>
      </w:r>
      <w:r/>
    </w:p>
    <w:p>
      <w:pPr>
        <w:ind w:firstLine="420"/>
        <w:spacing w:line="368" w:lineRule="auto"/>
        <w:rPr>
          <w:rFonts w:ascii="宋体" w:hAnsi="宋体" w:eastAsia="宋体" w:cs="宋体"/>
          <w:sz w:val="21"/>
          <w:szCs w:val="21"/>
        </w:rPr>
      </w:pPr>
      <w:r>
        <w:rPr>
          <w:rFonts w:hint="eastAsia" w:ascii="宋体" w:hAnsi="宋体" w:eastAsia="宋体" w:cs="宋体"/>
          <w:sz w:val="21"/>
          <w:szCs w:val="21"/>
        </w:rPr>
        <w:t xml:space="preserve">内存：数量≥16、类型 DDR4 RDIMM、频率不低于3200MT/S、容量不低于32GB</w:t>
      </w:r>
      <w:r/>
    </w:p>
    <w:p>
      <w:pPr>
        <w:ind w:firstLine="420"/>
        <w:spacing w:line="368" w:lineRule="auto"/>
        <w:rPr>
          <w:rFonts w:ascii="宋体" w:hAnsi="宋体" w:eastAsia="宋体" w:cs="宋体"/>
          <w:sz w:val="21"/>
          <w:szCs w:val="21"/>
        </w:rPr>
      </w:pPr>
      <w:r>
        <w:rPr>
          <w:rFonts w:hint="eastAsia" w:ascii="宋体" w:hAnsi="宋体" w:eastAsia="宋体" w:cs="宋体"/>
          <w:sz w:val="21"/>
          <w:szCs w:val="21"/>
        </w:rPr>
        <w:t xml:space="preserve">GPU卡：≥6*MLU370-S8</w:t>
      </w:r>
      <w:r/>
    </w:p>
    <w:p>
      <w:pPr>
        <w:ind w:firstLine="420"/>
        <w:spacing w:line="368" w:lineRule="auto"/>
        <w:rPr>
          <w:rFonts w:ascii="宋体" w:hAnsi="宋体" w:eastAsia="宋体" w:cs="宋体"/>
          <w:sz w:val="21"/>
          <w:szCs w:val="21"/>
        </w:rPr>
      </w:pPr>
      <w:r>
        <w:rPr>
          <w:rFonts w:hint="eastAsia" w:ascii="宋体" w:hAnsi="宋体" w:eastAsia="宋体" w:cs="宋体"/>
          <w:sz w:val="21"/>
          <w:szCs w:val="21"/>
        </w:rPr>
        <w:t xml:space="preserve">硬盘：数量≥4、类型 SSD-SATA、转速、容量≥1.92TB</w:t>
      </w:r>
      <w:r/>
    </w:p>
    <w:p>
      <w:pPr>
        <w:ind w:firstLine="420"/>
        <w:spacing w:line="368" w:lineRule="auto"/>
        <w:rPr>
          <w:rFonts w:ascii="宋体" w:hAnsi="宋体" w:eastAsia="宋体" w:cs="宋体"/>
          <w:sz w:val="21"/>
          <w:szCs w:val="21"/>
        </w:rPr>
      </w:pPr>
      <w:r>
        <w:rPr>
          <w:rFonts w:hint="eastAsia" w:ascii="宋体" w:hAnsi="宋体" w:eastAsia="宋体" w:cs="宋体"/>
          <w:sz w:val="21"/>
          <w:szCs w:val="21"/>
        </w:rPr>
        <w:t xml:space="preserve">Raid卡：数量≥1、Raid级别RAID O,RAID 1,RAID 10,RAID 5</w:t>
      </w:r>
      <w:r/>
    </w:p>
    <w:p>
      <w:pPr>
        <w:ind w:firstLine="420"/>
        <w:spacing w:line="368" w:lineRule="auto"/>
        <w:rPr>
          <w:rFonts w:ascii="宋体" w:hAnsi="宋体" w:eastAsia="宋体" w:cs="宋体"/>
          <w:sz w:val="21"/>
          <w:szCs w:val="21"/>
        </w:rPr>
      </w:pPr>
      <w:r>
        <w:rPr>
          <w:rFonts w:hint="eastAsia" w:ascii="宋体" w:hAnsi="宋体" w:eastAsia="宋体" w:cs="宋体"/>
          <w:sz w:val="21"/>
          <w:szCs w:val="21"/>
        </w:rPr>
        <w:t xml:space="preserve">至少2端口10GE光接口OCP 3.0网卡</w:t>
      </w:r>
      <w:r/>
    </w:p>
    <w:p>
      <w:pPr>
        <w:ind w:firstLine="420"/>
        <w:spacing w:line="368" w:lineRule="auto"/>
        <w:rPr>
          <w:rFonts w:ascii="宋体" w:hAnsi="宋体" w:eastAsia="宋体" w:cs="宋体"/>
          <w:sz w:val="21"/>
          <w:szCs w:val="21"/>
        </w:rPr>
      </w:pPr>
      <w:r>
        <w:rPr>
          <w:rFonts w:hint="eastAsia" w:ascii="宋体" w:hAnsi="宋体" w:eastAsia="宋体" w:cs="宋体"/>
          <w:sz w:val="21"/>
          <w:szCs w:val="21"/>
        </w:rPr>
        <w:t xml:space="preserve">至少2*1600W交流&amp;240V高压直流电源模块</w:t>
      </w:r>
      <w:r/>
    </w:p>
    <w:p>
      <w:pPr>
        <w:ind w:firstLine="420"/>
        <w:spacing w:line="368" w:lineRule="auto"/>
        <w:rPr>
          <w:rFonts w:ascii="宋体" w:hAnsi="宋体" w:eastAsia="宋体" w:cs="宋体"/>
          <w:sz w:val="21"/>
          <w:szCs w:val="21"/>
        </w:rPr>
      </w:pPr>
      <w:r>
        <w:rPr>
          <w:rFonts w:hint="eastAsia" w:ascii="宋体" w:hAnsi="宋体" w:eastAsia="宋体" w:cs="宋体"/>
          <w:sz w:val="21"/>
          <w:szCs w:val="21"/>
        </w:rPr>
        <w:t xml:space="preserve">至少6*风扇模块</w:t>
      </w:r>
      <w:r/>
    </w:p>
    <w:p>
      <w:pPr>
        <w:pStyle w:val="970"/>
      </w:pPr>
      <w:r>
        <w:rPr>
          <w:rFonts w:hint="eastAsia"/>
        </w:rPr>
        <w:t xml:space="preserve">高性能接入服务器</w:t>
      </w:r>
      <w:r/>
    </w:p>
    <w:p>
      <w:pPr>
        <w:ind w:firstLine="420"/>
        <w:spacing w:line="368" w:lineRule="auto"/>
        <w:rPr>
          <w:rFonts w:ascii="宋体" w:hAnsi="宋体" w:eastAsia="宋体" w:cs="宋体"/>
          <w:sz w:val="21"/>
          <w:szCs w:val="21"/>
        </w:rPr>
      </w:pPr>
      <w:r>
        <w:rPr>
          <w:rFonts w:ascii="宋体" w:hAnsi="宋体" w:eastAsia="宋体" w:cs="宋体"/>
          <w:sz w:val="21"/>
          <w:szCs w:val="21"/>
        </w:rPr>
        <w:t xml:space="preserve">CPU：</w:t>
      </w:r>
      <w:r>
        <w:rPr>
          <w:rFonts w:hint="eastAsia" w:ascii="宋体" w:hAnsi="宋体" w:eastAsia="宋体" w:cs="宋体"/>
          <w:sz w:val="21"/>
          <w:szCs w:val="21"/>
        </w:rPr>
        <w:t xml:space="preserve">至少</w:t>
      </w:r>
      <w:r>
        <w:rPr>
          <w:rFonts w:hint="eastAsia" w:ascii="宋体" w:hAnsi="宋体" w:eastAsia="宋体" w:cs="宋体"/>
          <w:sz w:val="21"/>
          <w:szCs w:val="21"/>
          <w:lang w:eastAsia="zh-Hans"/>
        </w:rPr>
        <w:t xml:space="preserve">2颗</w:t>
      </w:r>
      <w:r>
        <w:rPr>
          <w:rFonts w:hint="eastAsia" w:ascii="宋体" w:hAnsi="宋体" w:eastAsia="宋体" w:cs="宋体"/>
          <w:sz w:val="21"/>
          <w:szCs w:val="21"/>
        </w:rPr>
        <w:t xml:space="preserve">国产A</w:t>
      </w:r>
      <w:r>
        <w:rPr>
          <w:rFonts w:ascii="宋体" w:hAnsi="宋体" w:eastAsia="宋体" w:cs="宋体"/>
          <w:sz w:val="21"/>
          <w:szCs w:val="21"/>
        </w:rPr>
        <w:t xml:space="preserve">RM架构</w:t>
      </w:r>
      <w:r>
        <w:rPr>
          <w:rFonts w:hint="eastAsia" w:ascii="宋体" w:hAnsi="宋体" w:eastAsia="宋体" w:cs="宋体"/>
          <w:sz w:val="21"/>
          <w:szCs w:val="21"/>
          <w:lang w:eastAsia="zh-Hans"/>
        </w:rPr>
        <w:t xml:space="preserve">处理器，单颗处理器核数≥</w:t>
      </w:r>
      <w:r>
        <w:rPr>
          <w:rFonts w:ascii="宋体" w:hAnsi="宋体" w:eastAsia="宋体" w:cs="宋体"/>
          <w:sz w:val="21"/>
          <w:szCs w:val="21"/>
          <w:lang w:eastAsia="zh-Hans"/>
        </w:rPr>
        <w:t xml:space="preserve">64</w:t>
      </w:r>
      <w:r>
        <w:rPr>
          <w:rFonts w:ascii="宋体" w:hAnsi="宋体" w:eastAsia="宋体" w:cs="宋体"/>
          <w:sz w:val="21"/>
          <w:szCs w:val="21"/>
        </w:rPr>
        <w:t xml:space="preserve">,</w:t>
      </w:r>
      <w:r>
        <w:rPr>
          <w:rFonts w:hint="eastAsia" w:ascii="宋体" w:hAnsi="宋体" w:eastAsia="宋体" w:cs="宋体"/>
          <w:sz w:val="21"/>
          <w:szCs w:val="21"/>
        </w:rPr>
        <w:t xml:space="preserve">主频≥</w:t>
      </w:r>
      <w:r>
        <w:rPr>
          <w:rFonts w:ascii="宋体" w:hAnsi="宋体" w:eastAsia="宋体" w:cs="宋体"/>
          <w:sz w:val="21"/>
          <w:szCs w:val="21"/>
        </w:rPr>
        <w:t xml:space="preserve">2.6GHZ</w:t>
      </w:r>
      <w:r/>
    </w:p>
    <w:p>
      <w:pPr>
        <w:ind w:firstLine="420"/>
        <w:spacing w:line="368" w:lineRule="auto"/>
        <w:rPr>
          <w:rFonts w:ascii="宋体" w:hAnsi="宋体" w:eastAsia="宋体" w:cs="宋体"/>
          <w:sz w:val="21"/>
          <w:szCs w:val="21"/>
        </w:rPr>
      </w:pPr>
      <w:r>
        <w:rPr>
          <w:rFonts w:hint="eastAsia" w:ascii="宋体" w:hAnsi="宋体" w:eastAsia="宋体" w:cs="宋体"/>
          <w:sz w:val="21"/>
          <w:szCs w:val="21"/>
        </w:rPr>
        <w:t xml:space="preserve">内存：</w:t>
      </w:r>
      <w:r>
        <w:rPr>
          <w:rFonts w:ascii="宋体" w:hAnsi="宋体" w:eastAsia="宋体" w:cs="宋体"/>
          <w:sz w:val="21"/>
          <w:szCs w:val="21"/>
        </w:rPr>
        <w:t xml:space="preserve">8*32G内存</w:t>
      </w:r>
      <w:r/>
    </w:p>
    <w:p>
      <w:pPr>
        <w:ind w:firstLine="420"/>
        <w:spacing w:line="368" w:lineRule="auto"/>
        <w:rPr>
          <w:rFonts w:ascii="宋体" w:hAnsi="宋体" w:eastAsia="宋体" w:cs="宋体"/>
          <w:sz w:val="21"/>
          <w:szCs w:val="21"/>
        </w:rPr>
      </w:pPr>
      <w:r>
        <w:rPr>
          <w:rFonts w:hint="eastAsia" w:ascii="宋体" w:hAnsi="宋体" w:eastAsia="宋体" w:cs="宋体"/>
          <w:sz w:val="21"/>
          <w:szCs w:val="21"/>
        </w:rPr>
        <w:t xml:space="preserve">硬盘：固态</w:t>
      </w:r>
      <w:r>
        <w:rPr>
          <w:rFonts w:ascii="宋体" w:hAnsi="宋体" w:eastAsia="宋体" w:cs="宋体"/>
          <w:sz w:val="21"/>
          <w:szCs w:val="21"/>
        </w:rPr>
        <w:t xml:space="preserve"> 2*480G SATA;4*960G SATA</w:t>
      </w:r>
      <w:r/>
    </w:p>
    <w:p>
      <w:pPr>
        <w:ind w:firstLine="420"/>
        <w:spacing w:line="368" w:lineRule="auto"/>
        <w:rPr>
          <w:rFonts w:ascii="宋体" w:hAnsi="宋体" w:eastAsia="宋体" w:cs="宋体"/>
          <w:sz w:val="21"/>
          <w:szCs w:val="21"/>
        </w:rPr>
      </w:pPr>
      <w:r>
        <w:rPr>
          <w:rFonts w:ascii="宋体" w:hAnsi="宋体" w:eastAsia="宋体" w:cs="宋体"/>
          <w:sz w:val="21"/>
          <w:szCs w:val="21"/>
        </w:rPr>
        <w:t xml:space="preserve">Riser：3*16X SLOT(PCIE X8);RAID表卡-PCIE4.0 X8 4Gcache</w:t>
      </w:r>
      <w:r/>
    </w:p>
    <w:p>
      <w:pPr>
        <w:ind w:firstLine="420"/>
        <w:spacing w:line="368" w:lineRule="auto"/>
        <w:rPr>
          <w:rFonts w:ascii="宋体" w:hAnsi="宋体" w:eastAsia="宋体" w:cs="宋体"/>
          <w:sz w:val="21"/>
          <w:szCs w:val="21"/>
        </w:rPr>
      </w:pPr>
      <w:r>
        <w:rPr>
          <w:rFonts w:hint="eastAsia" w:ascii="宋体" w:hAnsi="宋体" w:eastAsia="宋体" w:cs="宋体"/>
          <w:sz w:val="21"/>
          <w:szCs w:val="21"/>
        </w:rPr>
        <w:t xml:space="preserve">网卡：</w:t>
      </w:r>
      <w:r>
        <w:rPr>
          <w:rFonts w:ascii="宋体" w:hAnsi="宋体" w:eastAsia="宋体" w:cs="宋体"/>
          <w:sz w:val="21"/>
          <w:szCs w:val="21"/>
        </w:rPr>
        <w:t xml:space="preserve">2*25G，4*10G SFP+光模块</w:t>
      </w:r>
      <w:r/>
    </w:p>
    <w:p>
      <w:pPr>
        <w:pStyle w:val="968"/>
        <w:rPr>
          <w:lang w:eastAsia="zh-Hans"/>
        </w:rPr>
      </w:pPr>
      <w:r>
        <w:rPr>
          <w:rFonts w:hint="eastAsia"/>
        </w:rPr>
        <w:t xml:space="preserve">轻量云建设</w:t>
      </w:r>
      <w:r/>
    </w:p>
    <w:p>
      <w:pPr>
        <w:pStyle w:val="969"/>
        <w:rPr>
          <w:lang w:eastAsia="zh-Hans"/>
        </w:rPr>
      </w:pPr>
      <w:r>
        <w:rPr>
          <w:rFonts w:hint="eastAsia"/>
        </w:rPr>
        <w:t xml:space="preserve">系统概述</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本次轻量云基于国产化技术路线进行建设。依托基于国产化安全可靠芯片的硬件、轻量云平台等软件，构建从芯片到平台软件全面符合信息技术应用创新体系的资源池，实现信息系统从硬件到软件的自主研发、生产、升级、运维的全程可控。</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在本次建设方案中，采用轻量云作为云平台用于物理数据中心整合；通过云平台和数据中心管理软件协同运作，达到多数据中心融合、提升整体IT效率的目的。</w:t>
      </w:r>
      <w:r/>
    </w:p>
    <w:p>
      <w:pPr>
        <w:pStyle w:val="969"/>
        <w:rPr>
          <w:lang w:eastAsia="zh-Hans"/>
        </w:rPr>
      </w:pPr>
      <w:r>
        <w:rPr>
          <w:rFonts w:hint="eastAsia"/>
          <w:lang w:eastAsia="zh-Hans"/>
        </w:rPr>
        <w:t xml:space="preserve">方案配置</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公安网现有超融合虚拟化平台（3台融合计算节点、1台计算节点），整体利用率80%。调研本期公安网建设需求，在原有虚拟化平台能力基础上，扩容国产化计算资源，达到共享共用、统一管理的需求。本期项目将在太仓公安网现有超融合虚拟化平台基础上弹性扩容，提供不低于300cpu、704G内存、33T的整体计算能力。单台配置不低于128CPU计算能力，配置三台轻量云节点及配套软件可满足计算需求。</w:t>
      </w:r>
      <w:r/>
    </w:p>
    <w:p>
      <w:pPr>
        <w:pStyle w:val="969"/>
        <w:rPr>
          <w:lang w:eastAsia="zh-Hans"/>
        </w:rPr>
      </w:pPr>
      <w:r>
        <w:rPr>
          <w:rFonts w:hint="eastAsia"/>
        </w:rPr>
        <w:t xml:space="preserve">主要设备参数</w:t>
      </w:r>
      <w:r/>
    </w:p>
    <w:p>
      <w:pPr>
        <w:pStyle w:val="970"/>
      </w:pPr>
      <w:r>
        <w:rPr>
          <w:rFonts w:hint="eastAsia"/>
        </w:rPr>
        <w:t xml:space="preserve">轻量云节点</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规格：2U 机架</w:t>
      </w:r>
      <w:r/>
    </w:p>
    <w:p>
      <w:pPr>
        <w:ind w:firstLine="420"/>
        <w:spacing w:line="360" w:lineRule="auto"/>
        <w:rPr>
          <w:rFonts w:ascii="宋体" w:hAnsi="宋体" w:eastAsia="宋体" w:cs="宋体"/>
          <w:sz w:val="21"/>
          <w:szCs w:val="21"/>
        </w:rPr>
      </w:pPr>
      <w:r>
        <w:rPr>
          <w:rFonts w:hint="eastAsia" w:ascii="宋体" w:hAnsi="宋体" w:eastAsia="宋体" w:cs="宋体"/>
          <w:sz w:val="21"/>
          <w:szCs w:val="21"/>
          <w:lang w:eastAsia="zh-Hans"/>
        </w:rPr>
        <w:t xml:space="preserve">★</w:t>
      </w:r>
      <w:r>
        <w:rPr>
          <w:rFonts w:hint="eastAsia" w:ascii="宋体" w:hAnsi="宋体" w:eastAsia="宋体" w:cs="宋体"/>
          <w:sz w:val="21"/>
          <w:szCs w:val="21"/>
        </w:rPr>
        <w:t xml:space="preserve">处理器：至少</w:t>
      </w:r>
      <w:r>
        <w:rPr>
          <w:rFonts w:hint="eastAsia" w:ascii="宋体" w:hAnsi="宋体" w:eastAsia="宋体" w:cs="宋体"/>
          <w:sz w:val="21"/>
          <w:szCs w:val="21"/>
          <w:lang w:eastAsia="zh-Hans"/>
        </w:rPr>
        <w:t xml:space="preserve">2颗</w:t>
      </w:r>
      <w:r>
        <w:rPr>
          <w:rFonts w:hint="eastAsia" w:ascii="宋体" w:hAnsi="宋体" w:eastAsia="宋体" w:cs="宋体"/>
          <w:sz w:val="21"/>
          <w:szCs w:val="21"/>
        </w:rPr>
        <w:t xml:space="preserve">国产A</w:t>
      </w:r>
      <w:r>
        <w:rPr>
          <w:rFonts w:ascii="宋体" w:hAnsi="宋体" w:eastAsia="宋体" w:cs="宋体"/>
          <w:sz w:val="21"/>
          <w:szCs w:val="21"/>
        </w:rPr>
        <w:t xml:space="preserve">RM架构</w:t>
      </w:r>
      <w:r>
        <w:rPr>
          <w:rFonts w:hint="eastAsia" w:ascii="宋体" w:hAnsi="宋体" w:eastAsia="宋体" w:cs="宋体"/>
          <w:sz w:val="21"/>
          <w:szCs w:val="21"/>
          <w:lang w:eastAsia="zh-Hans"/>
        </w:rPr>
        <w:t xml:space="preserve">处理器，单颗处理器核数≥32</w:t>
      </w:r>
      <w:r>
        <w:rPr>
          <w:rFonts w:hint="eastAsia" w:ascii="宋体" w:hAnsi="宋体" w:eastAsia="宋体" w:cs="宋体"/>
          <w:sz w:val="21"/>
          <w:szCs w:val="21"/>
        </w:rPr>
        <w:t xml:space="preserve">，主频≥2.6GHz</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内存：≥1024GB（≥16*64GB）</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硬盘：≥2块2*600G SAS盘；≥12块1.92TB  SSD盘</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RAID卡：配置磁盘阵列卡</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网口：≥4*GE网口，≥4*10GE网口</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电源：配置双冗余热插拔电源，额定功率≥900W</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环境温度：长期工作环境温度支持5-40度</w:t>
      </w:r>
      <w:r/>
    </w:p>
    <w:p>
      <w:pPr>
        <w:ind w:firstLine="422"/>
        <w:spacing w:line="372" w:lineRule="auto"/>
        <w:rPr>
          <w:rFonts w:ascii="宋体" w:hAnsi="宋体" w:eastAsia="宋体" w:cs="宋体"/>
          <w:b/>
          <w:bCs/>
          <w:sz w:val="21"/>
          <w:szCs w:val="21"/>
        </w:rPr>
      </w:pPr>
      <w:r>
        <w:rPr>
          <w:rFonts w:hint="eastAsia" w:ascii="宋体" w:hAnsi="宋体" w:eastAsia="宋体" w:cs="宋体"/>
          <w:b/>
          <w:bCs/>
          <w:sz w:val="21"/>
          <w:szCs w:val="21"/>
        </w:rPr>
        <w:t xml:space="preserve">BMC管理：</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集成系统管理处理器支持：自动服务器重启、风扇监视和控制、电源监控、温度监控、启动/关闭、按序重启、本地固件更新、错误日志，可通过可视化工具提供系统未来状况的可视显示</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具有图形管理界面及其他高级管理功能</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配置独立的远程管理控制端口，支持远程监控图形界面, 可实现与操作系统无关的远程对服务器的完全控制，包括远程的开机、关机、重启、虚拟软驱、虚拟光驱等操作，同时BMC管理模块是服务器厂家自研产品</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扩展能力：单集群最高可支持扩展至1024个节点。支持在单个集群内按节点维度划分多个资源池，资源池数量最大支持128个</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EC：支持EC（Erasure Code）算法实现数据冗余存储，支持4+2,6+2,8+2多种冗余配置</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平滑扩容：支持两节点下的在线平滑扩容，步长为1个节点，无需停机</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DIF：解决字节跳变、读偏、写偏等静默数据错误问题，提升数据可靠性</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超融合系统软件：拥有完全的自主知识产权，超融合系统软件非OEM产品</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分布式存储软件：包含分布式存储软件，必须具有国产软件自主知识产权，具有自主研发能力，保障后续产品的连续性</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虚拟化平台软件：必须具有国产软件自主知识产权，具有自主研发能力，保障后续产品的连续性</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容器：包含容器引擎，自主可控，单一界面提供虚拟化资源和容器资源，包括容器集群、容器镜像、应用模板、应用实例、K8S资源的可视化管理，为防止多次升级影响业务，支持跨社区版本升级K8S集群，升级过程中不重启业务Pod，以保证客户业务不中断；支持通过节点池管理K8S工作节点，可通过节点池伸缩工作节点、可批量设置节点标签和注解</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报表统计：支持报表统计，支持周期性自动生成报表，预置容量、资源性能，告警等30多种典型业务场景的报表。支持用户自定义报表统计内容</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维保：含三年原厂维保，介质保留服务以及规划实施服务</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承诺和现有虚拟化软件兼容，统一管理</w:t>
      </w:r>
      <w:r/>
    </w:p>
    <w:p>
      <w:pPr>
        <w:pStyle w:val="970"/>
      </w:pPr>
      <w:r>
        <w:rPr>
          <w:rFonts w:hint="eastAsia"/>
        </w:rPr>
        <w:t xml:space="preserve">虚拟化软件扩容</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▲1）虚拟化支持双架构部署，可通过一套平台对x86和ARM架构服务器进行统一管理。（提供有</w:t>
      </w:r>
      <w:r>
        <w:rPr>
          <w:rFonts w:ascii="宋体" w:hAnsi="宋体" w:eastAsia="宋体" w:cs="宋体"/>
          <w:sz w:val="21"/>
          <w:szCs w:val="21"/>
        </w:rPr>
        <w:t xml:space="preserve">CMA</w:t>
      </w:r>
      <w:r>
        <w:rPr>
          <w:rFonts w:hint="eastAsia" w:ascii="宋体" w:hAnsi="宋体" w:eastAsia="宋体" w:cs="宋体"/>
          <w:sz w:val="21"/>
          <w:szCs w:val="21"/>
        </w:rPr>
        <w:t xml:space="preserve">认证的检测机构出具的检验报告或产品材料（彩页、功能截图或产品文档等）并加盖原厂公章）</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▲2）支持虚拟机规格的在线或离线调整，包括CPU、内存、硬盘、网卡等资源，支持重启生效（提供有</w:t>
      </w:r>
      <w:r>
        <w:rPr>
          <w:rFonts w:ascii="宋体" w:hAnsi="宋体" w:eastAsia="宋体" w:cs="宋体"/>
          <w:sz w:val="21"/>
          <w:szCs w:val="21"/>
        </w:rPr>
        <w:t xml:space="preserve">CMA</w:t>
      </w:r>
      <w:r>
        <w:rPr>
          <w:rFonts w:hint="eastAsia" w:ascii="宋体" w:hAnsi="宋体" w:eastAsia="宋体" w:cs="宋体"/>
          <w:sz w:val="21"/>
          <w:szCs w:val="21"/>
        </w:rPr>
        <w:t xml:space="preserve">认证的检测机构出具的检验报告或产品材料（彩页、功能截图或产品文档等）并加盖原厂公章）</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▲3）X86和ARM服务器双栈部署时，均可提供虚拟机基本生命周期管理功能，支持删除、移动、克隆、迁移、VNC登录、快照、导出、重启、关闭、强制重启、强制关闭等操作（提供有</w:t>
      </w:r>
      <w:r>
        <w:rPr>
          <w:rFonts w:ascii="宋体" w:hAnsi="宋体" w:eastAsia="宋体" w:cs="宋体"/>
          <w:sz w:val="21"/>
          <w:szCs w:val="21"/>
        </w:rPr>
        <w:t xml:space="preserve">CMA</w:t>
      </w:r>
      <w:r>
        <w:rPr>
          <w:rFonts w:hint="eastAsia" w:ascii="宋体" w:hAnsi="宋体" w:eastAsia="宋体" w:cs="宋体"/>
          <w:sz w:val="21"/>
          <w:szCs w:val="21"/>
        </w:rPr>
        <w:t xml:space="preserve">认证的检测机构出具的检验报告或产品材料（彩页、功能截图或产品文档等）并加盖原厂公章）</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4）支持虚拟机HA，允许配置集群内HA预留的主机数量，以保证在虚拟机故障时有足够的资源进行切换，支持配置存储故障后是HA虚拟机还是不处理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5）可通过模板创建虚拟机时，用户可指定虚拟机的CPU、内存规格以及主机名、账户密码、虚拟机IP等信息</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▲6）支持GPU设备、SSD设备直通给虚拟机，软硬结合提升虚拟机的相关图形处理，存储IO等高性能要求（提供有</w:t>
      </w:r>
      <w:r>
        <w:rPr>
          <w:rFonts w:ascii="宋体" w:hAnsi="宋体" w:eastAsia="宋体" w:cs="宋体"/>
          <w:sz w:val="21"/>
          <w:szCs w:val="21"/>
        </w:rPr>
        <w:t xml:space="preserve">CMA</w:t>
      </w:r>
      <w:r>
        <w:rPr>
          <w:rFonts w:hint="eastAsia" w:ascii="宋体" w:hAnsi="宋体" w:eastAsia="宋体" w:cs="宋体"/>
          <w:sz w:val="21"/>
          <w:szCs w:val="21"/>
        </w:rPr>
        <w:t xml:space="preserve">认证的检测机构出具的检验报告或产品材料（彩页、功能截图或产品文档等）并加盖原厂公章）</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7）支持通过文件夹对虚拟机进行分组，不同类型的虚拟机实现逻辑分组管理，方便运维，文件夹深度最多可以支持5层，并可以对分组虚拟机批量进行关闭、启动、克隆等操作</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8）虚拟化平台使用存储设备时，支持本地存储、IP-SAN、FC-SAN、NAS等不同类型的存储设备。支持这些存储资源的添加、删除、查询、扫描</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9）为提升数据安全性，对接远端存储时，要求指定对接存储时的CHAP信息，支持配置对接存储的存储IP以及端口号</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▲10）支持配置虚拟交换机，可通过设置安全组、DHCP隔离、广播抑制等能力保障虚拟机网络安全（提供有</w:t>
      </w:r>
      <w:r>
        <w:rPr>
          <w:rFonts w:ascii="宋体" w:hAnsi="宋体" w:eastAsia="宋体" w:cs="宋体"/>
          <w:sz w:val="21"/>
          <w:szCs w:val="21"/>
        </w:rPr>
        <w:t xml:space="preserve">CMA</w:t>
      </w:r>
      <w:r>
        <w:rPr>
          <w:rFonts w:hint="eastAsia" w:ascii="宋体" w:hAnsi="宋体" w:eastAsia="宋体" w:cs="宋体"/>
          <w:sz w:val="21"/>
          <w:szCs w:val="21"/>
        </w:rPr>
        <w:t xml:space="preserve">认证的检测机构出具的检验报告或产品材料（彩页、功能截图或产品文档等）并加盖原厂公章）</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11）支持SR-IOV直通，网络传输绕过软件模拟层，直接分配到虚拟机，降低了软件模拟层中的I/O开销</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12）支持虚拟交换机级别的用户态交换技术(OVS+DPDK），可实现高性能网络转发，提高数据处理性能和吞吐量，提高数据平面应用程序的工作效率</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13）虚拟交换机采用主从VLAN实现相同端口组的虚拟机网络设备之间的相互通信或隔离，以满足减少VLAN ID大量消耗和降低网络维护难度的诉求（MUX VLAN）</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14）支持intel不同代次的CPU的节点间进行互相热迁移的技术，以解决在异构CPU上进行热迁移时存在的兼容性问题</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15）支持主流的x86和ARM架构的操作系统，包括Redhat、Ubuntu、CentOS、中标麒麟、统信UOS、Fedora 、OpenSUSE等主流Linux OS</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16）虚拟化套件高级版许可-每CPU</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17）虚拟化套件高级版-3年软件订阅与保障年费</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18）承诺和现有虚拟化平台兼容</w:t>
      </w:r>
      <w:r/>
    </w:p>
    <w:p>
      <w:pPr>
        <w:pStyle w:val="1066"/>
        <w:ind w:firstLine="420"/>
        <w:rPr>
          <w:rFonts w:hAnsi="宋体" w:cs="宋体"/>
          <w:sz w:val="21"/>
          <w:szCs w:val="21"/>
        </w:rPr>
      </w:pPr>
      <w:r>
        <w:rPr>
          <w:rFonts w:hAnsi="宋体" w:cs="宋体"/>
          <w:sz w:val="21"/>
          <w:szCs w:val="21"/>
        </w:rPr>
      </w:r>
      <w:r/>
    </w:p>
    <w:p>
      <w:pPr>
        <w:pStyle w:val="968"/>
      </w:pPr>
      <w:r>
        <w:rPr>
          <w:rFonts w:hint="eastAsia"/>
        </w:rPr>
        <w:t xml:space="preserve">智能算力底座建设</w:t>
      </w:r>
      <w:r/>
    </w:p>
    <w:p>
      <w:pPr>
        <w:pStyle w:val="969"/>
        <w:rPr>
          <w:lang w:eastAsia="zh-Hans"/>
        </w:rPr>
      </w:pPr>
      <w:r>
        <w:rPr>
          <w:rFonts w:hint="eastAsia"/>
        </w:rPr>
        <w:t xml:space="preserve">系统概述</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集约化智能算力中心建设，是为公安提供统一、共享的国产自主可控AI算力资源，完成场景化AI应用模型的快速创建部署，将最新的AI+智能技术赋能各部门的业务领域，节约AI算力基础设施的投资和运营成本。实现人工智能共性技术、资源和服务的开放共享，算力资源的统一调度。本次智能算力资源主要服务AI业务层建设，目前主要分为：AI解析平台、治安防控AI能力升级、联合创新AI场景等。</w:t>
      </w:r>
      <w:r/>
    </w:p>
    <w:p>
      <w:pPr>
        <w:pStyle w:val="969"/>
        <w:rPr>
          <w:lang w:eastAsia="zh-Hans"/>
        </w:rPr>
      </w:pPr>
      <w:r>
        <w:rPr>
          <w:rFonts w:hint="eastAsia"/>
          <w:lang w:eastAsia="zh-Hans"/>
        </w:rPr>
        <w:t xml:space="preserve">方案配置</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AI解析平台：包括AI算法仓、视频结构化解析、交通冲突点分析、AI信号灯故障检测等。本次建设需硬件增加9台AI服务器，每台配置不少于4张Atlas300V Pro解析卡。</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治安防控AI能力升级：主要用于视频、图片动态解析、人脸特征值聚类、检索等工作，服务视图侦查、扬帆应用等。本次升级涉及1万路人脸+人体图片动态解析共需32张智能卡；以图搜图与结构化搜图共需要24张智能卡；结合太仓目前人口规模，需要对2000万人脸和4000万人体进行聚档，需28张智能卡。</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人工智能联合创新场景作为太仓市公安局人工智能算法和应用孵化中心，提供算力底座，本次按照不低于7P浮点计算能力、8P整点计算能力配置。</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经测算，感知网共需17台（每台4张智能卡）、公安网共需13台（每台4张智能卡），每张卡可提供140T（INT8）算力。</w:t>
      </w:r>
      <w:r/>
    </w:p>
    <w:p>
      <w:pPr>
        <w:pStyle w:val="969"/>
        <w:rPr>
          <w:lang w:eastAsia="zh-Hans"/>
        </w:rPr>
      </w:pPr>
      <w:r>
        <w:rPr>
          <w:rFonts w:hint="eastAsia"/>
        </w:rPr>
        <w:t xml:space="preserve">主要设备参数</w:t>
      </w:r>
      <w:r/>
    </w:p>
    <w:p>
      <w:pPr>
        <w:pStyle w:val="970"/>
      </w:pPr>
      <w:r>
        <w:rPr>
          <w:rFonts w:hint="eastAsia"/>
        </w:rPr>
        <w:t xml:space="preserve">人像解析服务器</w:t>
      </w:r>
      <w:r/>
    </w:p>
    <w:p>
      <w:pPr>
        <w:ind w:firstLine="420"/>
        <w:spacing w:line="360" w:lineRule="auto"/>
        <w:rPr>
          <w:rFonts w:ascii="宋体" w:hAnsi="宋体" w:eastAsia="宋体" w:cs="宋体"/>
          <w:sz w:val="21"/>
          <w:szCs w:val="21"/>
        </w:rPr>
      </w:pPr>
      <w:r>
        <w:rPr>
          <w:rFonts w:hint="eastAsia" w:ascii="宋体" w:hAnsi="宋体" w:eastAsia="宋体" w:cs="宋体"/>
          <w:sz w:val="21"/>
          <w:szCs w:val="21"/>
          <w:lang w:eastAsia="zh-Hans"/>
        </w:rPr>
        <w:t xml:space="preserve">★</w:t>
      </w:r>
      <w:r>
        <w:rPr>
          <w:rFonts w:hint="eastAsia" w:ascii="宋体" w:hAnsi="宋体" w:eastAsia="宋体" w:cs="宋体"/>
          <w:sz w:val="21"/>
          <w:szCs w:val="21"/>
        </w:rPr>
        <w:t xml:space="preserve">处理器：至少</w:t>
      </w:r>
      <w:r>
        <w:rPr>
          <w:rFonts w:hint="eastAsia" w:ascii="宋体" w:hAnsi="宋体" w:eastAsia="宋体" w:cs="宋体"/>
          <w:sz w:val="21"/>
          <w:szCs w:val="21"/>
          <w:lang w:eastAsia="zh-Hans"/>
        </w:rPr>
        <w:t xml:space="preserve">2颗</w:t>
      </w:r>
      <w:r>
        <w:rPr>
          <w:rFonts w:hint="eastAsia" w:ascii="宋体" w:hAnsi="宋体" w:eastAsia="宋体" w:cs="宋体"/>
          <w:sz w:val="21"/>
          <w:szCs w:val="21"/>
        </w:rPr>
        <w:t xml:space="preserve">国产A</w:t>
      </w:r>
      <w:r>
        <w:rPr>
          <w:rFonts w:ascii="宋体" w:hAnsi="宋体" w:eastAsia="宋体" w:cs="宋体"/>
          <w:sz w:val="21"/>
          <w:szCs w:val="21"/>
        </w:rPr>
        <w:t xml:space="preserve">RM架构</w:t>
      </w:r>
      <w:r>
        <w:rPr>
          <w:rFonts w:hint="eastAsia" w:ascii="宋体" w:hAnsi="宋体" w:eastAsia="宋体" w:cs="宋体"/>
          <w:sz w:val="21"/>
          <w:szCs w:val="21"/>
          <w:lang w:eastAsia="zh-Hans"/>
        </w:rPr>
        <w:t xml:space="preserve">处理器，单颗处理器核数≥32</w:t>
      </w:r>
      <w:r>
        <w:rPr>
          <w:rFonts w:hint="eastAsia" w:ascii="宋体" w:hAnsi="宋体" w:eastAsia="宋体" w:cs="宋体"/>
          <w:sz w:val="21"/>
          <w:szCs w:val="21"/>
        </w:rPr>
        <w:t xml:space="preserve">，主频≥2.6GHz</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内存：≥512GB</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硬盘：≥2块480G SSD盘；≥6块1.92TB SSD硬盘</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▲算力卡：≥4块Atlas 300V Pro 视频解析卡(单卡≥140 TOPS INT8，内存≥48GB，支持≥128路1080P 30FPS 或 16路4K 60FPS的H264/H265硬件解码能力) （提供有</w:t>
      </w:r>
      <w:r>
        <w:rPr>
          <w:rFonts w:ascii="宋体" w:hAnsi="宋体" w:eastAsia="宋体" w:cs="宋体"/>
          <w:sz w:val="21"/>
          <w:szCs w:val="21"/>
        </w:rPr>
        <w:t xml:space="preserve">CMA</w:t>
      </w:r>
      <w:r>
        <w:rPr>
          <w:rFonts w:hint="eastAsia" w:ascii="宋体" w:hAnsi="宋体" w:eastAsia="宋体" w:cs="宋体"/>
          <w:sz w:val="21"/>
          <w:szCs w:val="21"/>
        </w:rPr>
        <w:t xml:space="preserve">认证的检测机构出具的检验报告或产品材料（彩页、功能截图或产品文档等））</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RAID卡：配置2G缓存 Raid磁盘阵列卡</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网口：≥4*GE网口，≥2*10GE网口（含光模块）</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电源：配置双冗余热插拔电源，额定功率≥900W</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服务：3年质保服务、3年介质不返还服务</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环境温度：长期工作环境温度支持5-40度</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BMC管理：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1）集成系统管理处理器支持：自动服务器重启、风扇监视和控制、电源监控、温度监控、启动/关闭、按序重启、本地固件更新、错误日志，可通过可视化工具提供系统未来状况的可视显示</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2）具有图形管理界面及其他高级管理功能</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3）配置独立的远程管理控制端口，支持远程监控图形界面, 可实现与操作系统无关的远程对服务器的完全控制，包括远程的开机、关机、重启、虚拟软驱、虚拟光驱等操作</w:t>
      </w:r>
      <w:r/>
    </w:p>
    <w:p>
      <w:pPr>
        <w:pStyle w:val="970"/>
      </w:pPr>
      <w:r>
        <w:rPr>
          <w:rFonts w:hint="eastAsia"/>
        </w:rPr>
        <w:t xml:space="preserve">图片解析服务器</w:t>
      </w:r>
      <w:r/>
    </w:p>
    <w:p>
      <w:pPr>
        <w:ind w:firstLine="420"/>
        <w:spacing w:line="360" w:lineRule="auto"/>
        <w:rPr>
          <w:rFonts w:ascii="宋体" w:hAnsi="宋体" w:eastAsia="宋体" w:cs="宋体"/>
          <w:sz w:val="21"/>
          <w:szCs w:val="21"/>
        </w:rPr>
      </w:pPr>
      <w:r>
        <w:rPr>
          <w:rFonts w:hint="eastAsia" w:ascii="宋体" w:hAnsi="宋体" w:eastAsia="宋体" w:cs="宋体"/>
          <w:sz w:val="21"/>
          <w:szCs w:val="21"/>
          <w:lang w:eastAsia="zh-Hans"/>
        </w:rPr>
        <w:t xml:space="preserve">★</w:t>
      </w:r>
      <w:r>
        <w:rPr>
          <w:rFonts w:hint="eastAsia" w:ascii="宋体" w:hAnsi="宋体" w:eastAsia="宋体" w:cs="宋体"/>
          <w:sz w:val="21"/>
          <w:szCs w:val="21"/>
        </w:rPr>
        <w:t xml:space="preserve">处理器：至少</w:t>
      </w:r>
      <w:r>
        <w:rPr>
          <w:rFonts w:hint="eastAsia" w:ascii="宋体" w:hAnsi="宋体" w:eastAsia="宋体" w:cs="宋体"/>
          <w:sz w:val="21"/>
          <w:szCs w:val="21"/>
          <w:lang w:eastAsia="zh-Hans"/>
        </w:rPr>
        <w:t xml:space="preserve">2颗</w:t>
      </w:r>
      <w:r>
        <w:rPr>
          <w:rFonts w:hint="eastAsia" w:ascii="宋体" w:hAnsi="宋体" w:eastAsia="宋体" w:cs="宋体"/>
          <w:sz w:val="21"/>
          <w:szCs w:val="21"/>
        </w:rPr>
        <w:t xml:space="preserve">国产A</w:t>
      </w:r>
      <w:r>
        <w:rPr>
          <w:rFonts w:ascii="宋体" w:hAnsi="宋体" w:eastAsia="宋体" w:cs="宋体"/>
          <w:sz w:val="21"/>
          <w:szCs w:val="21"/>
        </w:rPr>
        <w:t xml:space="preserve">RM架构</w:t>
      </w:r>
      <w:r>
        <w:rPr>
          <w:rFonts w:hint="eastAsia" w:ascii="宋体" w:hAnsi="宋体" w:eastAsia="宋体" w:cs="宋体"/>
          <w:sz w:val="21"/>
          <w:szCs w:val="21"/>
          <w:lang w:eastAsia="zh-Hans"/>
        </w:rPr>
        <w:t xml:space="preserve">处理器，单颗处理器核数≥</w:t>
      </w:r>
      <w:r>
        <w:rPr>
          <w:rFonts w:ascii="宋体" w:hAnsi="宋体" w:eastAsia="宋体" w:cs="宋体"/>
          <w:sz w:val="21"/>
          <w:szCs w:val="21"/>
          <w:lang w:eastAsia="zh-Hans"/>
        </w:rPr>
        <w:t xml:space="preserve">48</w:t>
      </w:r>
      <w:r>
        <w:rPr>
          <w:rFonts w:hint="eastAsia" w:ascii="宋体" w:hAnsi="宋体" w:eastAsia="宋体" w:cs="宋体"/>
          <w:sz w:val="21"/>
          <w:szCs w:val="21"/>
        </w:rPr>
        <w:t xml:space="preserve">，主频≥2.6GHz</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内存：≥64GB</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硬盘：≥2块960G SSD盘；≥2块4000GB SATA硬盘</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▲算力卡：≥4块Atlas 300V Pro 视频解析卡(单卡≥140 TOPS INT8，内存≥48GB，支持≥128路1080P 30FPS 或 16路4K 60FPS的H264/H265硬件解码能力) （提供有</w:t>
      </w:r>
      <w:r>
        <w:rPr>
          <w:rFonts w:ascii="宋体" w:hAnsi="宋体" w:eastAsia="宋体" w:cs="宋体"/>
          <w:sz w:val="21"/>
          <w:szCs w:val="21"/>
        </w:rPr>
        <w:t xml:space="preserve">CMA</w:t>
      </w:r>
      <w:r>
        <w:rPr>
          <w:rFonts w:hint="eastAsia" w:ascii="宋体" w:hAnsi="宋体" w:eastAsia="宋体" w:cs="宋体"/>
          <w:sz w:val="21"/>
          <w:szCs w:val="21"/>
        </w:rPr>
        <w:t xml:space="preserve">认证的检测机构出具的检验报告或产品材料（彩页、功能截图或产品文档等））</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RAID卡：配置2G缓存 Raid磁盘阵列卡</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网口：≥4*GE网口，≥4*10GE网口（含光模块）</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电源：配置双冗余热插拔电源，额定功率≥900W</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服务：3年质保服务、3年介质不返还服务</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环境温度：长期工作环境温度支持5-40度</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BMC管理：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1）集成系统管理处理器支持：自动服务器重启、风扇监视和控制、电源监控、温度监控、启动/关闭、按序重启、本地固件更新、错误日志，可通过可视化工具提供系统未来状况的可视显示</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2）具有图形管理界面及其他高级管理功能</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3）配置独立的远程管理控制端口，支持远程监控图形界面, 可实现与操作系统无关的远程对服务器的完全控制，包括远程的开机、关机、重启、虚拟软驱、虚拟光驱等操作</w:t>
      </w:r>
      <w:r/>
    </w:p>
    <w:p>
      <w:pPr>
        <w:pStyle w:val="970"/>
      </w:pPr>
      <w:r>
        <w:rPr>
          <w:rFonts w:hint="eastAsia"/>
        </w:rPr>
        <w:t xml:space="preserve">视频分析服务器</w:t>
      </w:r>
      <w:r/>
    </w:p>
    <w:p>
      <w:pPr>
        <w:ind w:firstLine="420"/>
        <w:spacing w:line="360" w:lineRule="auto"/>
        <w:rPr>
          <w:rFonts w:ascii="宋体" w:hAnsi="宋体" w:eastAsia="宋体" w:cs="宋体"/>
          <w:sz w:val="21"/>
          <w:szCs w:val="21"/>
        </w:rPr>
      </w:pPr>
      <w:r>
        <w:rPr>
          <w:rFonts w:hint="eastAsia" w:ascii="宋体" w:hAnsi="宋体" w:eastAsia="宋体" w:cs="宋体"/>
          <w:sz w:val="21"/>
          <w:szCs w:val="21"/>
          <w:lang w:eastAsia="zh-Hans"/>
        </w:rPr>
        <w:t xml:space="preserve">★</w:t>
      </w:r>
      <w:r>
        <w:rPr>
          <w:rFonts w:hint="eastAsia" w:ascii="宋体" w:hAnsi="宋体" w:eastAsia="宋体" w:cs="宋体"/>
          <w:sz w:val="21"/>
          <w:szCs w:val="21"/>
        </w:rPr>
        <w:t xml:space="preserve">处理器：至少</w:t>
      </w:r>
      <w:r>
        <w:rPr>
          <w:rFonts w:hint="eastAsia" w:ascii="宋体" w:hAnsi="宋体" w:eastAsia="宋体" w:cs="宋体"/>
          <w:sz w:val="21"/>
          <w:szCs w:val="21"/>
          <w:lang w:eastAsia="zh-Hans"/>
        </w:rPr>
        <w:t xml:space="preserve">2颗</w:t>
      </w:r>
      <w:r>
        <w:rPr>
          <w:rFonts w:hint="eastAsia" w:ascii="宋体" w:hAnsi="宋体" w:eastAsia="宋体" w:cs="宋体"/>
          <w:sz w:val="21"/>
          <w:szCs w:val="21"/>
        </w:rPr>
        <w:t xml:space="preserve">国产A</w:t>
      </w:r>
      <w:r>
        <w:rPr>
          <w:rFonts w:ascii="宋体" w:hAnsi="宋体" w:eastAsia="宋体" w:cs="宋体"/>
          <w:sz w:val="21"/>
          <w:szCs w:val="21"/>
        </w:rPr>
        <w:t xml:space="preserve">RM架构</w:t>
      </w:r>
      <w:r>
        <w:rPr>
          <w:rFonts w:hint="eastAsia" w:ascii="宋体" w:hAnsi="宋体" w:eastAsia="宋体" w:cs="宋体"/>
          <w:sz w:val="21"/>
          <w:szCs w:val="21"/>
          <w:lang w:eastAsia="zh-Hans"/>
        </w:rPr>
        <w:t xml:space="preserve">处理器，单颗处理器核数≥</w:t>
      </w:r>
      <w:r>
        <w:rPr>
          <w:rFonts w:ascii="宋体" w:hAnsi="宋体" w:eastAsia="宋体" w:cs="宋体"/>
          <w:sz w:val="21"/>
          <w:szCs w:val="21"/>
          <w:lang w:eastAsia="zh-Hans"/>
        </w:rPr>
        <w:t xml:space="preserve">48</w:t>
      </w:r>
      <w:r>
        <w:rPr>
          <w:rFonts w:hint="eastAsia" w:ascii="宋体" w:hAnsi="宋体" w:eastAsia="宋体" w:cs="宋体"/>
          <w:sz w:val="21"/>
          <w:szCs w:val="21"/>
        </w:rPr>
        <w:t xml:space="preserve">，主频≥2.6GHz</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内存：≥64GB</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硬盘：≥2块960G SSD盘；≥2块4000GB SATA硬盘</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▲算力卡：≥4块Atlas 300V Pro 视频解析卡(单卡≥140 TOPS INT8，内存≥48GB，支持≥128路1080P 30FPS 或 16路4K 60FPS的H264/H265硬件解码能力) （提供有</w:t>
      </w:r>
      <w:r>
        <w:rPr>
          <w:rFonts w:ascii="宋体" w:hAnsi="宋体" w:eastAsia="宋体" w:cs="宋体"/>
          <w:sz w:val="21"/>
          <w:szCs w:val="21"/>
        </w:rPr>
        <w:t xml:space="preserve">CMA</w:t>
      </w:r>
      <w:r>
        <w:rPr>
          <w:rFonts w:hint="eastAsia" w:ascii="宋体" w:hAnsi="宋体" w:eastAsia="宋体" w:cs="宋体"/>
          <w:sz w:val="21"/>
          <w:szCs w:val="21"/>
        </w:rPr>
        <w:t xml:space="preserve">认证的检测机构出具的检验报告或产品材料（彩页、功能截图或产品文档等））</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RAID卡：配置2G缓存 Raid磁盘阵列卡</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网口：≥4*GE网口，≥4*10GE网口（含光模块）</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电源：配置双冗余热插拔电源，额定功率≥900W</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服务：3年质保服务、3年介质不返还服务</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环境温度：长期工作环境温度支持5-40度</w:t>
      </w:r>
      <w:r/>
    </w:p>
    <w:p>
      <w:pPr>
        <w:ind w:firstLine="422"/>
        <w:spacing w:line="372" w:lineRule="auto"/>
        <w:rPr>
          <w:rFonts w:ascii="宋体" w:hAnsi="宋体" w:eastAsia="宋体" w:cs="宋体"/>
          <w:b/>
          <w:bCs/>
          <w:sz w:val="21"/>
          <w:szCs w:val="21"/>
        </w:rPr>
      </w:pPr>
      <w:r>
        <w:rPr>
          <w:rFonts w:hint="eastAsia" w:ascii="宋体" w:hAnsi="宋体" w:eastAsia="宋体" w:cs="宋体"/>
          <w:b/>
          <w:bCs/>
          <w:sz w:val="21"/>
          <w:szCs w:val="21"/>
        </w:rPr>
        <w:t xml:space="preserve">BMC管理：</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1）集成系统管理处理器支持：自动服务器重启、风扇监视和控制、电源监控、温度监控、启动/关闭、按序重启、本地固件更新、错误日志，可通过可视化工具提供系统未来状况的可视显示</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2）具有图形管理界面及其他高级管理功能</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3）配置独立的远程管理控制端口，支持远程监控图形界面, 可实现与操作系统无关的远程对服务器的完全控制，包括远程的开机、关机、重启、虚拟软驱、虚拟光驱等操作</w:t>
      </w:r>
      <w:r/>
    </w:p>
    <w:p>
      <w:pPr>
        <w:pStyle w:val="970"/>
        <w:spacing w:line="372" w:lineRule="auto"/>
      </w:pPr>
      <w:r>
        <w:rPr>
          <w:rFonts w:hint="eastAsia"/>
        </w:rPr>
        <w:t xml:space="preserve">万兆交换机</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1）交换容量≥4.8Tbps，包转发率≥2000Mpps</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2）至少48个10G SFP+端口,≥6个QSFP28端口</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▲3）CPU为国产自研芯片（提供有</w:t>
      </w:r>
      <w:r>
        <w:rPr>
          <w:rFonts w:ascii="宋体" w:hAnsi="宋体" w:eastAsia="宋体" w:cs="宋体"/>
          <w:sz w:val="21"/>
          <w:szCs w:val="21"/>
        </w:rPr>
        <w:t xml:space="preserve">CMA</w:t>
      </w:r>
      <w:r>
        <w:rPr>
          <w:rFonts w:hint="eastAsia" w:ascii="宋体" w:hAnsi="宋体" w:eastAsia="宋体" w:cs="宋体"/>
          <w:sz w:val="21"/>
          <w:szCs w:val="21"/>
        </w:rPr>
        <w:t xml:space="preserve">认证的检测机构出具的检验报告或产品材料（彩页、功能截图或产品文档等）并加盖原厂公章）</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4）支持ERPS以太环保护协议</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5）支持RIP、OSPF、ISIS、BGP等IPv4动态路由协议</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6）支持Vxlan，且支持BGP EVPN特性</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7）支持FCoE/PFC/ETS/DCBX</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8）ECN 支持 Vxlan Overlay 场景</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▲9）支持无丢包缓存自动配置；支持AI ECN；支持动态负载均衡（提供有</w:t>
      </w:r>
      <w:r>
        <w:rPr>
          <w:rFonts w:ascii="宋体" w:hAnsi="宋体" w:eastAsia="宋体" w:cs="宋体"/>
          <w:sz w:val="21"/>
          <w:szCs w:val="21"/>
        </w:rPr>
        <w:t xml:space="preserve">CMA</w:t>
      </w:r>
      <w:r>
        <w:rPr>
          <w:rFonts w:hint="eastAsia" w:ascii="宋体" w:hAnsi="宋体" w:eastAsia="宋体" w:cs="宋体"/>
          <w:sz w:val="21"/>
          <w:szCs w:val="21"/>
        </w:rPr>
        <w:t xml:space="preserve">认证的检测机构出具的检验报告或产品材料（彩页、功能截图或产品文档等）并加盖原厂公章）</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10）支持VxLAN OAM: VxLAN ping, VxLAN tracert</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11）单台实配：双电源、10GE多模模块≥48</w:t>
      </w:r>
      <w:r/>
    </w:p>
    <w:p>
      <w:pPr>
        <w:pStyle w:val="970"/>
        <w:spacing w:line="372" w:lineRule="auto"/>
      </w:pPr>
      <w:r>
        <w:rPr>
          <w:rFonts w:hint="eastAsia"/>
        </w:rPr>
        <w:t xml:space="preserve">千兆交换机</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1）交换容量≥1.28Tbps，包转发率≥462Mpps</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2）至少48个10M/100M/1GE Base-T 以太网端口，至少4个10GE SFP+</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▲3）CPU芯片要求国产化（提供有</w:t>
      </w:r>
      <w:r>
        <w:rPr>
          <w:rFonts w:ascii="宋体" w:hAnsi="宋体" w:eastAsia="宋体" w:cs="宋体"/>
          <w:sz w:val="21"/>
          <w:szCs w:val="21"/>
        </w:rPr>
        <w:t xml:space="preserve">CMA</w:t>
      </w:r>
      <w:r>
        <w:rPr>
          <w:rFonts w:hint="eastAsia" w:ascii="宋体" w:hAnsi="宋体" w:eastAsia="宋体" w:cs="宋体"/>
          <w:sz w:val="21"/>
          <w:szCs w:val="21"/>
        </w:rPr>
        <w:t xml:space="preserve">认证的检测机构出具的检验报告或产品材料（彩页、功能截图或产品文档等）并加盖原厂公章）</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4）内存支持不低于4GB，保证系统可靠运行</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5）支持静态路由、RIP v1/v2、OSPF、BGP、ISIS、RIPng、OSPFv3、ISISv6、BGP4+</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6）支持交换机基于UCL用户组方式，用户组内的用户，不论是有线还是无线用户，也不论用户在何处登录，获得任何IP地址，用户都拥有相同的访问权限</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7）支持MAC表项≥256K，支持ARP表项规格≥128k，支持IPv4 路由表≥512K，支持IPv6 路由表≥64K</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8）支持CPU黑名单功能，支持共计溯源惩罚</w:t>
      </w:r>
      <w:r/>
    </w:p>
    <w:p>
      <w:pPr>
        <w:pStyle w:val="970"/>
      </w:pPr>
      <w:r>
        <w:rPr>
          <w:rFonts w:hint="eastAsia"/>
        </w:rPr>
        <w:t xml:space="preserve">人像比对布控服务器</w:t>
      </w:r>
      <w:r/>
    </w:p>
    <w:p>
      <w:pPr>
        <w:ind w:firstLine="420"/>
        <w:spacing w:line="360" w:lineRule="auto"/>
        <w:rPr>
          <w:rFonts w:ascii="宋体" w:hAnsi="宋体" w:eastAsia="宋体" w:cs="宋体"/>
          <w:sz w:val="21"/>
          <w:szCs w:val="21"/>
        </w:rPr>
      </w:pPr>
      <w:r>
        <w:rPr>
          <w:rFonts w:hint="eastAsia" w:ascii="宋体" w:hAnsi="宋体" w:eastAsia="宋体" w:cs="宋体"/>
          <w:sz w:val="21"/>
          <w:szCs w:val="21"/>
          <w:lang w:eastAsia="zh-Hans"/>
        </w:rPr>
        <w:t xml:space="preserve">★</w:t>
      </w:r>
      <w:r>
        <w:rPr>
          <w:rFonts w:hint="eastAsia" w:ascii="宋体" w:hAnsi="宋体" w:eastAsia="宋体" w:cs="宋体"/>
          <w:sz w:val="21"/>
          <w:szCs w:val="21"/>
        </w:rPr>
        <w:t xml:space="preserve">处理器：至少</w:t>
      </w:r>
      <w:r>
        <w:rPr>
          <w:rFonts w:hint="eastAsia" w:ascii="宋体" w:hAnsi="宋体" w:eastAsia="宋体" w:cs="宋体"/>
          <w:sz w:val="21"/>
          <w:szCs w:val="21"/>
          <w:lang w:eastAsia="zh-Hans"/>
        </w:rPr>
        <w:t xml:space="preserve">2颗</w:t>
      </w:r>
      <w:r>
        <w:rPr>
          <w:rFonts w:hint="eastAsia" w:ascii="宋体" w:hAnsi="宋体" w:eastAsia="宋体" w:cs="宋体"/>
          <w:sz w:val="21"/>
          <w:szCs w:val="21"/>
        </w:rPr>
        <w:t xml:space="preserve">国产A</w:t>
      </w:r>
      <w:r>
        <w:rPr>
          <w:rFonts w:ascii="宋体" w:hAnsi="宋体" w:eastAsia="宋体" w:cs="宋体"/>
          <w:sz w:val="21"/>
          <w:szCs w:val="21"/>
        </w:rPr>
        <w:t xml:space="preserve">RM架构</w:t>
      </w:r>
      <w:r>
        <w:rPr>
          <w:rFonts w:hint="eastAsia" w:ascii="宋体" w:hAnsi="宋体" w:eastAsia="宋体" w:cs="宋体"/>
          <w:sz w:val="21"/>
          <w:szCs w:val="21"/>
          <w:lang w:eastAsia="zh-Hans"/>
        </w:rPr>
        <w:t xml:space="preserve">处理器，单颗处理器核数≥32</w:t>
      </w:r>
      <w:r>
        <w:rPr>
          <w:rFonts w:hint="eastAsia" w:ascii="宋体" w:hAnsi="宋体" w:eastAsia="宋体" w:cs="宋体"/>
          <w:sz w:val="21"/>
          <w:szCs w:val="21"/>
        </w:rPr>
        <w:t xml:space="preserve">，主频≥2.6GHz</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内存：≥512GB</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硬盘：≥2块480G SSD盘；≥5块3.84TB SSD硬盘；≥3块8TB SATA硬盘</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算力卡：≥4块Atlas 300V Pro 视频解析卡(单卡≥140 TOPS INT8，内存≥48GB，支持≥128路1080P 30FPS 或 16路4K 60FPS的H264/H265硬件解码能力)</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RAID卡：配置2G缓存 Raid磁盘阵列卡</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网口：≥4*GE网口，≥2*10GE网口（含光模块）</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电源：配置双冗余热插拔电源，额定功率≥900W</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服务：3年质保服务、3年介质不返还服务</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环境温度：长期工作环境温度支持5-40度</w:t>
      </w:r>
      <w:r/>
    </w:p>
    <w:p>
      <w:pPr>
        <w:ind w:firstLine="422"/>
        <w:spacing w:line="372" w:lineRule="auto"/>
        <w:rPr>
          <w:rFonts w:ascii="宋体" w:hAnsi="宋体" w:eastAsia="宋体" w:cs="宋体"/>
          <w:b/>
          <w:bCs/>
          <w:sz w:val="21"/>
          <w:szCs w:val="21"/>
        </w:rPr>
      </w:pPr>
      <w:r>
        <w:rPr>
          <w:rFonts w:hint="eastAsia" w:ascii="宋体" w:hAnsi="宋体" w:eastAsia="宋体" w:cs="宋体"/>
          <w:b/>
          <w:bCs/>
          <w:sz w:val="21"/>
          <w:szCs w:val="21"/>
        </w:rPr>
        <w:t xml:space="preserve">BMC管理：</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1）集成系统管理处理器支持：自动服务器重启、风扇监视和控制、电源监控、温度监控、启动/关闭、按序重启、本地固件更新、错误日志，可通过可视化工具提供系统未来状况的可视显示</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2）具有图形管理界面及其他高级管理功能</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3）配置独立的远程管理控制端口，支持远程监控图形界面, 可实现与操作系统无关的远程对服务器的完全控制，包括远程的开机、关机、重启、虚拟软驱、虚拟光驱等操作</w:t>
      </w:r>
      <w:r/>
    </w:p>
    <w:p>
      <w:pPr>
        <w:pStyle w:val="970"/>
      </w:pPr>
      <w:r>
        <w:rPr>
          <w:rFonts w:hint="eastAsia"/>
        </w:rPr>
        <w:t xml:space="preserve">大数据解析聚类节点</w:t>
      </w:r>
      <w:r/>
    </w:p>
    <w:p>
      <w:pPr>
        <w:ind w:firstLine="420"/>
        <w:spacing w:line="372" w:lineRule="auto"/>
        <w:rPr>
          <w:rFonts w:ascii="宋体" w:hAnsi="宋体" w:eastAsia="宋体" w:cs="宋体"/>
          <w:sz w:val="21"/>
          <w:szCs w:val="21"/>
        </w:rPr>
      </w:pPr>
      <w:r>
        <w:rPr>
          <w:rFonts w:hint="eastAsia" w:ascii="宋体" w:hAnsi="宋体" w:eastAsia="宋体" w:cs="宋体"/>
          <w:sz w:val="21"/>
          <w:szCs w:val="21"/>
          <w:lang w:eastAsia="zh-Hans"/>
        </w:rPr>
        <w:t xml:space="preserve">★</w:t>
      </w:r>
      <w:r>
        <w:rPr>
          <w:rFonts w:hint="eastAsia" w:ascii="宋体" w:hAnsi="宋体" w:eastAsia="宋体" w:cs="宋体"/>
          <w:sz w:val="21"/>
          <w:szCs w:val="21"/>
        </w:rPr>
        <w:t xml:space="preserve">处理器：至少</w:t>
      </w:r>
      <w:r>
        <w:rPr>
          <w:rFonts w:hint="eastAsia" w:ascii="宋体" w:hAnsi="宋体" w:eastAsia="宋体" w:cs="宋体"/>
          <w:sz w:val="21"/>
          <w:szCs w:val="21"/>
          <w:lang w:eastAsia="zh-Hans"/>
        </w:rPr>
        <w:t xml:space="preserve">2颗</w:t>
      </w:r>
      <w:r>
        <w:rPr>
          <w:rFonts w:hint="eastAsia" w:ascii="宋体" w:hAnsi="宋体" w:eastAsia="宋体" w:cs="宋体"/>
          <w:sz w:val="21"/>
          <w:szCs w:val="21"/>
        </w:rPr>
        <w:t xml:space="preserve">国产A</w:t>
      </w:r>
      <w:r>
        <w:rPr>
          <w:rFonts w:ascii="宋体" w:hAnsi="宋体" w:eastAsia="宋体" w:cs="宋体"/>
          <w:sz w:val="21"/>
          <w:szCs w:val="21"/>
        </w:rPr>
        <w:t xml:space="preserve">RM架构</w:t>
      </w:r>
      <w:r>
        <w:rPr>
          <w:rFonts w:hint="eastAsia" w:ascii="宋体" w:hAnsi="宋体" w:eastAsia="宋体" w:cs="宋体"/>
          <w:sz w:val="21"/>
          <w:szCs w:val="21"/>
          <w:lang w:eastAsia="zh-Hans"/>
        </w:rPr>
        <w:t xml:space="preserve">处理器，单颗处理器核数≥32</w:t>
      </w:r>
      <w:r>
        <w:rPr>
          <w:rFonts w:hint="eastAsia" w:ascii="宋体" w:hAnsi="宋体" w:eastAsia="宋体" w:cs="宋体"/>
          <w:sz w:val="21"/>
          <w:szCs w:val="21"/>
        </w:rPr>
        <w:t xml:space="preserve">，主频≥2.6GHz</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内存：≥512GB</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硬盘：≥2块480G SSD盘；≥5块3.84TB SSD硬盘；≥3块8TB SATA硬盘</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算力卡：≥4块Atlas 300V Pro 视频解析卡(单卡≥140 TOPS INT8，内存≥48GB，支持≥128路1080P 30FPS 或 16路4K 60FPS的H264/H265硬件解码能力)</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RAID卡：配置2G缓存 Raid磁盘阵列卡</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网口：≥4*GE网口，≥2*10GE网口（含光模块）</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电源：配置双冗余热插拔电源，额定功率≥900W</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服务：3年质保服务、3年介质不返还服务</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环境温度：长期工作环境温度支持5-40度</w:t>
      </w:r>
      <w:r/>
    </w:p>
    <w:p>
      <w:pPr>
        <w:ind w:firstLine="422"/>
        <w:spacing w:line="372" w:lineRule="auto"/>
        <w:rPr>
          <w:rFonts w:ascii="宋体" w:hAnsi="宋体" w:eastAsia="宋体" w:cs="宋体"/>
          <w:b/>
          <w:bCs/>
          <w:sz w:val="21"/>
          <w:szCs w:val="21"/>
        </w:rPr>
      </w:pPr>
      <w:r>
        <w:rPr>
          <w:rFonts w:hint="eastAsia" w:ascii="宋体" w:hAnsi="宋体" w:eastAsia="宋体" w:cs="宋体"/>
          <w:b/>
          <w:bCs/>
          <w:sz w:val="21"/>
          <w:szCs w:val="21"/>
        </w:rPr>
        <w:t xml:space="preserve">BMC管理：</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1）集成系统管理处理器支持：自动服务器重启、风扇监视和控制、电源监控、温度监控、启动/关闭、按序重启、本地固件更新、错误日志，可通过可视化工具提供系统未来状况的可视显示</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2）具有图形管理界面及其他高级管理功能</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3）配置独立的远程管理控制端口，支持远程监控图形界面, 可实现与操作系统无关的远程对服务器的完全控制，包括远程的开机、关机、重启、虚拟软驱、虚拟光驱等操作</w:t>
      </w:r>
      <w:r/>
    </w:p>
    <w:p>
      <w:pPr>
        <w:pStyle w:val="970"/>
      </w:pPr>
      <w:r>
        <w:rPr>
          <w:rFonts w:hint="eastAsia"/>
        </w:rPr>
        <w:t xml:space="preserve">万兆交换机</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1）交换容量≥4.8Tbps，包转发率≥2000Mpps</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2）48个10G SFP+端口,≥6个QSFP28端口</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▲3）CPU为国产自研芯片（提供有</w:t>
      </w:r>
      <w:r>
        <w:rPr>
          <w:rFonts w:ascii="宋体" w:hAnsi="宋体" w:eastAsia="宋体" w:cs="宋体"/>
          <w:sz w:val="21"/>
          <w:szCs w:val="21"/>
        </w:rPr>
        <w:t xml:space="preserve">CMA</w:t>
      </w:r>
      <w:r>
        <w:rPr>
          <w:rFonts w:hint="eastAsia" w:ascii="宋体" w:hAnsi="宋体" w:eastAsia="宋体" w:cs="宋体"/>
          <w:sz w:val="21"/>
          <w:szCs w:val="21"/>
        </w:rPr>
        <w:t xml:space="preserve">认证的检测机构出具的检验报告或产品材料（彩页、功能截图或产品文档等））</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4）支持ERPS以太环保护协议</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5）支持RIP、OSPF、ISIS、BGP等IPv4动态路由协议</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6）支持Vxlan，且支持BGP EVPN特性</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7）支持FCoE/PFC/ETS/DCBX</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8）ECN 支持 Vxlan Overlay 场景</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▲9）支持无丢包缓存自动配置；支持AI ECN；支持动态负载均衡（提供有</w:t>
      </w:r>
      <w:r>
        <w:rPr>
          <w:rFonts w:ascii="宋体" w:hAnsi="宋体" w:eastAsia="宋体" w:cs="宋体"/>
          <w:sz w:val="21"/>
          <w:szCs w:val="21"/>
        </w:rPr>
        <w:t xml:space="preserve">CMA</w:t>
      </w:r>
      <w:r>
        <w:rPr>
          <w:rFonts w:hint="eastAsia" w:ascii="宋体" w:hAnsi="宋体" w:eastAsia="宋体" w:cs="宋体"/>
          <w:sz w:val="21"/>
          <w:szCs w:val="21"/>
        </w:rPr>
        <w:t xml:space="preserve">认证的检测机构出具的检验报告或产品材料（彩页、功能截图或产品文档等））</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10）支持VxLAN OAM: VxLAN ping, VxLAN tracert</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11）单台实配：双电源、10GE多模模块≥48</w:t>
      </w:r>
      <w:r/>
    </w:p>
    <w:p>
      <w:pPr>
        <w:pStyle w:val="970"/>
      </w:pPr>
      <w:r>
        <w:rPr>
          <w:rFonts w:hint="eastAsia"/>
        </w:rPr>
        <w:t xml:space="preserve">千兆交换机</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1）交换容量≥1.28Tbps，包转发率≥462Mpps</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2）至少48个10M/100M/1GE Base-T 以太网端口，至少4个10GE SFP+</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▲3）CPU芯片要求国产化（提供有</w:t>
      </w:r>
      <w:r>
        <w:rPr>
          <w:rFonts w:ascii="宋体" w:hAnsi="宋体" w:eastAsia="宋体" w:cs="宋体"/>
          <w:sz w:val="21"/>
          <w:szCs w:val="21"/>
        </w:rPr>
        <w:t xml:space="preserve">CMA</w:t>
      </w:r>
      <w:r>
        <w:rPr>
          <w:rFonts w:hint="eastAsia" w:ascii="宋体" w:hAnsi="宋体" w:eastAsia="宋体" w:cs="宋体"/>
          <w:sz w:val="21"/>
          <w:szCs w:val="21"/>
        </w:rPr>
        <w:t xml:space="preserve">认证的检测机构出具的检验报告或产品材料（彩页、功能截图或产品文档等））</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4）内存支持不低于4GB，保证系统可靠运行</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5）支持静态路由、RIP v1/v2、OSPF、BGP、ISIS、RIPng、OSPFv3、ISISv6、BGP4+</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6）支持交换机基于UCL用户组方式，用户组内的用户，不论是有线还是无线用户，也不论用户在何处登录，获得任何IP地址，用户都拥有相同的访问权限</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7）支持MAC表项≥256K，支持ARP表项规格≥128k，支持IPv4 路由表≥512K，支持IPv6 路由表≥64K</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8）支持CPU黑名单功能，支持共计溯源惩罚</w:t>
      </w:r>
      <w:r/>
    </w:p>
    <w:p>
      <w:pPr>
        <w:pStyle w:val="970"/>
        <w:spacing w:line="372" w:lineRule="auto"/>
      </w:pPr>
      <w:r>
        <w:rPr>
          <w:rFonts w:hint="eastAsia"/>
        </w:rPr>
        <w:t xml:space="preserve">训练服务器（核心产品）</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标准4U机架服务器</w:t>
      </w:r>
      <w:r/>
    </w:p>
    <w:p>
      <w:pPr>
        <w:ind w:firstLine="420"/>
        <w:spacing w:line="372" w:lineRule="auto"/>
        <w:rPr>
          <w:rFonts w:ascii="宋体" w:hAnsi="宋体" w:eastAsia="宋体" w:cs="宋体"/>
          <w:sz w:val="21"/>
          <w:szCs w:val="21"/>
        </w:rPr>
      </w:pPr>
      <w:r>
        <w:rPr>
          <w:rFonts w:hint="eastAsia" w:ascii="宋体" w:hAnsi="宋体" w:eastAsia="宋体" w:cs="宋体"/>
          <w:sz w:val="21"/>
          <w:szCs w:val="21"/>
          <w:lang w:eastAsia="zh-Hans"/>
        </w:rPr>
        <w:t xml:space="preserve">★</w:t>
      </w:r>
      <w:r>
        <w:rPr>
          <w:rFonts w:hint="eastAsia" w:ascii="宋体" w:hAnsi="宋体" w:eastAsia="宋体" w:cs="宋体"/>
          <w:sz w:val="21"/>
          <w:szCs w:val="21"/>
        </w:rPr>
        <w:t xml:space="preserve">CPU：至少</w:t>
      </w:r>
      <w:r>
        <w:rPr>
          <w:rFonts w:ascii="宋体" w:hAnsi="宋体" w:eastAsia="宋体" w:cs="宋体"/>
          <w:sz w:val="21"/>
          <w:szCs w:val="21"/>
          <w:lang w:eastAsia="zh-Hans"/>
        </w:rPr>
        <w:t xml:space="preserve">4</w:t>
      </w:r>
      <w:r>
        <w:rPr>
          <w:rFonts w:hint="eastAsia" w:ascii="宋体" w:hAnsi="宋体" w:eastAsia="宋体" w:cs="宋体"/>
          <w:sz w:val="21"/>
          <w:szCs w:val="21"/>
          <w:lang w:eastAsia="zh-Hans"/>
        </w:rPr>
        <w:t xml:space="preserve">颗</w:t>
      </w:r>
      <w:r>
        <w:rPr>
          <w:rFonts w:hint="eastAsia" w:ascii="宋体" w:hAnsi="宋体" w:eastAsia="宋体" w:cs="宋体"/>
          <w:sz w:val="21"/>
          <w:szCs w:val="21"/>
        </w:rPr>
        <w:t xml:space="preserve">国产A</w:t>
      </w:r>
      <w:r>
        <w:rPr>
          <w:rFonts w:ascii="宋体" w:hAnsi="宋体" w:eastAsia="宋体" w:cs="宋体"/>
          <w:sz w:val="21"/>
          <w:szCs w:val="21"/>
        </w:rPr>
        <w:t xml:space="preserve">RM架构</w:t>
      </w:r>
      <w:r>
        <w:rPr>
          <w:rFonts w:hint="eastAsia" w:ascii="宋体" w:hAnsi="宋体" w:eastAsia="宋体" w:cs="宋体"/>
          <w:sz w:val="21"/>
          <w:szCs w:val="21"/>
          <w:lang w:eastAsia="zh-Hans"/>
        </w:rPr>
        <w:t xml:space="preserve">处理器，单颗处理器核数≥</w:t>
      </w:r>
      <w:r>
        <w:rPr>
          <w:rFonts w:ascii="宋体" w:hAnsi="宋体" w:eastAsia="宋体" w:cs="宋体"/>
          <w:sz w:val="21"/>
          <w:szCs w:val="21"/>
          <w:lang w:eastAsia="zh-Hans"/>
        </w:rPr>
        <w:t xml:space="preserve">48</w:t>
      </w:r>
      <w:r>
        <w:rPr>
          <w:rFonts w:hint="eastAsia" w:ascii="宋体" w:hAnsi="宋体" w:eastAsia="宋体" w:cs="宋体"/>
          <w:sz w:val="21"/>
          <w:szCs w:val="21"/>
        </w:rPr>
        <w:t xml:space="preserve">；单颗CPU主频≥2.6GH</w:t>
      </w:r>
      <w:r>
        <w:rPr>
          <w:rFonts w:ascii="宋体" w:hAnsi="宋体" w:eastAsia="宋体" w:cs="宋体"/>
          <w:sz w:val="21"/>
          <w:szCs w:val="21"/>
        </w:rPr>
        <w:t xml:space="preserve"> </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单台理论峰值计算能力不低于2.5 PFLOPS（FP16）、0.65 PFLOPS(FP32)</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内存：内存配置容量不少于1024GB；设备支持最大配置≥32根DDR4，支持RDIMM，速率≥3200MHz/s</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存储：本次配置≥2*960G SATA SSD，2*3.84T NVME SSD；配置磁盘阵列卡，支持RAID 0/1/10</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▲AI处理器：整机配置≥8颗AI处理器，单颗AI处理器提供不小于313T FLOPS FP16、78T FLOPS FP32算力，单颗AI处理器HBM内存≥64GB，处理器直出200G RoCE网络（提供有</w:t>
      </w:r>
      <w:r>
        <w:rPr>
          <w:rFonts w:ascii="宋体" w:hAnsi="宋体" w:eastAsia="宋体" w:cs="宋体"/>
          <w:sz w:val="21"/>
          <w:szCs w:val="21"/>
        </w:rPr>
        <w:t xml:space="preserve">CMA</w:t>
      </w:r>
      <w:r>
        <w:rPr>
          <w:rFonts w:hint="eastAsia" w:ascii="宋体" w:hAnsi="宋体" w:eastAsia="宋体" w:cs="宋体"/>
          <w:sz w:val="21"/>
          <w:szCs w:val="21"/>
        </w:rPr>
        <w:t xml:space="preserve">认证的检测机构出具的检验报告或产品材料（彩页、功能截图或产品文档等）并加盖原厂公章）</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≥8个200Gbps高速网口(包含互联所用设备，无阻塞全通)</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▲≥8颗AI处理器采用fullmesh连接，8路AI处理器互联带宽最大不低于380GB/s（提供有</w:t>
      </w:r>
      <w:r>
        <w:rPr>
          <w:rFonts w:ascii="宋体" w:hAnsi="宋体" w:eastAsia="宋体" w:cs="宋体"/>
          <w:sz w:val="21"/>
          <w:szCs w:val="21"/>
        </w:rPr>
        <w:t xml:space="preserve">CMA</w:t>
      </w:r>
      <w:r>
        <w:rPr>
          <w:rFonts w:hint="eastAsia" w:ascii="宋体" w:hAnsi="宋体" w:eastAsia="宋体" w:cs="宋体"/>
          <w:sz w:val="21"/>
          <w:szCs w:val="21"/>
        </w:rPr>
        <w:t xml:space="preserve">认证的检测机构出具的检验报告或产品材料（彩页、功能截图或产品文档等）并加盖原厂公章）</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网络：提供≥4*25GE光口；≥8*200GE 高速网口</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电源模块支持热插拔，2+2冗余备份；</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提供至少8个热插拔的风扇，支持单风扇失效；</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带外管理：提供千兆以太网口，支持IPMI、远程Web终端，可远程对服务器完全控制，包括远程的开关机、重启、更新Firmware, 虚拟KVM, 虚拟光驱等；支持中文BIOS界面</w:t>
      </w:r>
      <w:r/>
    </w:p>
    <w:p>
      <w:pPr>
        <w:pStyle w:val="970"/>
        <w:spacing w:line="372" w:lineRule="auto"/>
      </w:pPr>
      <w:r>
        <w:rPr>
          <w:rFonts w:hint="eastAsia"/>
        </w:rPr>
        <w:t xml:space="preserve">推理服务器</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标准4U机架服务器</w:t>
      </w:r>
      <w:r/>
    </w:p>
    <w:p>
      <w:pPr>
        <w:ind w:firstLine="420"/>
        <w:spacing w:line="372" w:lineRule="auto"/>
        <w:rPr>
          <w:rFonts w:ascii="宋体" w:hAnsi="宋体" w:eastAsia="宋体" w:cs="宋体"/>
          <w:sz w:val="21"/>
          <w:szCs w:val="21"/>
        </w:rPr>
      </w:pPr>
      <w:r>
        <w:rPr>
          <w:rFonts w:hint="eastAsia" w:ascii="宋体" w:hAnsi="宋体" w:eastAsia="宋体" w:cs="宋体"/>
          <w:sz w:val="21"/>
          <w:szCs w:val="21"/>
          <w:lang w:eastAsia="zh-Hans"/>
        </w:rPr>
        <w:t xml:space="preserve">★</w:t>
      </w:r>
      <w:r>
        <w:rPr>
          <w:rFonts w:hint="eastAsia" w:ascii="宋体" w:hAnsi="宋体" w:eastAsia="宋体" w:cs="宋体"/>
          <w:sz w:val="21"/>
          <w:szCs w:val="21"/>
        </w:rPr>
        <w:t xml:space="preserve">CPU：至少</w:t>
      </w:r>
      <w:r>
        <w:rPr>
          <w:rFonts w:hint="eastAsia" w:ascii="宋体" w:hAnsi="宋体" w:eastAsia="宋体" w:cs="宋体"/>
          <w:sz w:val="21"/>
          <w:szCs w:val="21"/>
          <w:lang w:eastAsia="zh-Hans"/>
        </w:rPr>
        <w:t xml:space="preserve">2颗</w:t>
      </w:r>
      <w:r>
        <w:rPr>
          <w:rFonts w:hint="eastAsia" w:ascii="宋体" w:hAnsi="宋体" w:eastAsia="宋体" w:cs="宋体"/>
          <w:sz w:val="21"/>
          <w:szCs w:val="21"/>
        </w:rPr>
        <w:t xml:space="preserve">国产A</w:t>
      </w:r>
      <w:r>
        <w:rPr>
          <w:rFonts w:ascii="宋体" w:hAnsi="宋体" w:eastAsia="宋体" w:cs="宋体"/>
          <w:sz w:val="21"/>
          <w:szCs w:val="21"/>
        </w:rPr>
        <w:t xml:space="preserve">RM架构</w:t>
      </w:r>
      <w:r>
        <w:rPr>
          <w:rFonts w:hint="eastAsia" w:ascii="宋体" w:hAnsi="宋体" w:eastAsia="宋体" w:cs="宋体"/>
          <w:sz w:val="21"/>
          <w:szCs w:val="21"/>
          <w:lang w:eastAsia="zh-Hans"/>
        </w:rPr>
        <w:t xml:space="preserve">处理器，单颗处理器核数≥</w:t>
      </w:r>
      <w:r>
        <w:rPr>
          <w:rFonts w:ascii="宋体" w:hAnsi="宋体" w:eastAsia="宋体" w:cs="宋体"/>
          <w:sz w:val="21"/>
          <w:szCs w:val="21"/>
          <w:lang w:eastAsia="zh-Hans"/>
        </w:rPr>
        <w:t xml:space="preserve">48</w:t>
      </w:r>
      <w:r>
        <w:rPr>
          <w:rFonts w:hint="eastAsia" w:ascii="宋体" w:hAnsi="宋体" w:eastAsia="宋体" w:cs="宋体"/>
          <w:sz w:val="21"/>
          <w:szCs w:val="21"/>
        </w:rPr>
        <w:t xml:space="preserve">；单颗CPU主频≥2.6GHz</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单台理论峰值计算能力不低于2.2 PFLOPS（FP16）、4.4 POPS （INT8）</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内存：内存配置容量不少于1024GB；设备支持最大配置≥32根DDR4，支持RDIMM，速率≥3200MHz/s</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存储：本次配置≥2*960G SATA SSD，2*3.84T NVME SSD；配置磁盘阵列卡，支持RAID 0/1/10</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▲AI处理器：整机配置≥8颗AI处理器，单颗AI处理器提供不小于280T FLOPS FP16，单颗AI处理器HBM内存≥32GB，处理器直出200G RoCE网络，≥8个200Gbps高速网口（提供有</w:t>
      </w:r>
      <w:r>
        <w:rPr>
          <w:rFonts w:ascii="宋体" w:hAnsi="宋体" w:eastAsia="宋体" w:cs="宋体"/>
          <w:sz w:val="21"/>
          <w:szCs w:val="21"/>
        </w:rPr>
        <w:t xml:space="preserve">CMA</w:t>
      </w:r>
      <w:r>
        <w:rPr>
          <w:rFonts w:hint="eastAsia" w:ascii="宋体" w:hAnsi="宋体" w:eastAsia="宋体" w:cs="宋体"/>
          <w:sz w:val="21"/>
          <w:szCs w:val="21"/>
        </w:rPr>
        <w:t xml:space="preserve">认证的检测机构出具的检验报告或产品材料（彩页、功能截图或产品文档等）并加盖原厂公章）</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网络：提供≥4*25GE光口；≥8*200GE 高速网口</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电源模块支持热插拔，2+2冗余备份</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提供至少8个热插拔的风扇，支持单风扇失效</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带外管理：提供千兆以太网口，支持IPMI、远程Web终端，可远程对服务器完全控制，包括远程的开关机、重启、更新Firmware, 虚拟KVM, 虚拟光驱等；支持中文BIOS界面</w:t>
      </w:r>
      <w:r/>
    </w:p>
    <w:p>
      <w:pPr>
        <w:pStyle w:val="970"/>
        <w:spacing w:line="372" w:lineRule="auto"/>
      </w:pPr>
      <w:r>
        <w:rPr>
          <w:rFonts w:hint="eastAsia"/>
        </w:rPr>
        <w:t xml:space="preserve">训练互联交换机</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▲1）交换容量≥25.6Tbps，包转发率≥8000Mpps（提供有</w:t>
      </w:r>
      <w:r>
        <w:rPr>
          <w:rFonts w:ascii="宋体" w:hAnsi="宋体" w:eastAsia="宋体" w:cs="宋体"/>
          <w:sz w:val="21"/>
          <w:szCs w:val="21"/>
        </w:rPr>
        <w:t xml:space="preserve">CMA</w:t>
      </w:r>
      <w:r>
        <w:rPr>
          <w:rFonts w:hint="eastAsia" w:ascii="宋体" w:hAnsi="宋体" w:eastAsia="宋体" w:cs="宋体"/>
          <w:sz w:val="21"/>
          <w:szCs w:val="21"/>
        </w:rPr>
        <w:t xml:space="preserve">认证的检测机构出具的检验报告或产品材料（彩页、功能截图或产品文档等）并加盖原厂公章）</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2）插卡数量≥4，高度≤4U，端口缓存≥65MB，电源2+2备份，风扇框4+1备份</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3）最大可以支持128个100GE QSFP28或者32个400GE QSFP-DD</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▲4）CPU为国产自研芯片（提供有</w:t>
      </w:r>
      <w:r>
        <w:rPr>
          <w:rFonts w:ascii="宋体" w:hAnsi="宋体" w:eastAsia="宋体" w:cs="宋体"/>
          <w:sz w:val="21"/>
          <w:szCs w:val="21"/>
        </w:rPr>
        <w:t xml:space="preserve">CMA</w:t>
      </w:r>
      <w:r>
        <w:rPr>
          <w:rFonts w:hint="eastAsia" w:ascii="宋体" w:hAnsi="宋体" w:eastAsia="宋体" w:cs="宋体"/>
          <w:sz w:val="21"/>
          <w:szCs w:val="21"/>
        </w:rPr>
        <w:t xml:space="preserve">认证的检测机构出具的检验报告或产品材料（彩页、功能截图或产品文档等）并加盖原厂公章）</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5）支持M-LAG或vPC等类似技术，支持DLDP</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6）支持BFD for OSPF、BGP、IS-IS和Static Route</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7）支持IGMP,PIM-SM,PIM-DM等协议</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8）支持PFC死锁预防</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9）支持Telemetry、Netstream、sFlow</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10）支持AI ECN：识别流量模型，动态调节ECN门限 </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11）支持NSLB：AI网络加速功能，提升应用性能 </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12）支持全网路径探测，支持Ansible自动化配置</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13）单台实配：配置至少8端口400GE QSFP-DD接口卡*2，配置400GBase-SR8光模块-QSFP-DD-400G-多模模块*16</w:t>
      </w:r>
      <w:r/>
    </w:p>
    <w:p>
      <w:pPr>
        <w:numPr>
          <w:ilvl w:val="0"/>
          <w:numId w:val="21"/>
        </w:num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维保：标准维保3年</w:t>
      </w:r>
      <w:r/>
    </w:p>
    <w:p>
      <w:pPr>
        <w:pStyle w:val="968"/>
        <w:spacing w:line="372" w:lineRule="auto"/>
      </w:pPr>
      <w:r>
        <w:rPr>
          <w:rFonts w:hint="eastAsia"/>
        </w:rPr>
        <w:t xml:space="preserve">专用设备</w:t>
      </w:r>
      <w:r/>
    </w:p>
    <w:p>
      <w:pPr>
        <w:pStyle w:val="969"/>
        <w:spacing w:line="372" w:lineRule="auto"/>
      </w:pPr>
      <w:r>
        <w:rPr>
          <w:rFonts w:hint="eastAsia"/>
        </w:rPr>
        <w:t xml:space="preserve">接处警排队调度机</w:t>
      </w:r>
      <w:r/>
    </w:p>
    <w:p>
      <w:pPr>
        <w:pStyle w:val="970"/>
        <w:spacing w:line="372" w:lineRule="auto"/>
        <w:rPr>
          <w:lang w:eastAsia="zh-Hans"/>
        </w:rPr>
      </w:pPr>
      <w:r>
        <w:rPr>
          <w:rFonts w:hint="eastAsia"/>
        </w:rPr>
        <w:t xml:space="preserve">系统概述</w:t>
      </w:r>
      <w:r/>
    </w:p>
    <w:p>
      <w:pPr>
        <w:ind w:firstLine="420"/>
        <w:spacing w:line="372" w:lineRule="auto"/>
        <w:rPr>
          <w:rFonts w:ascii="宋体" w:hAnsi="宋体" w:eastAsia="宋体" w:cs="宋体"/>
          <w:sz w:val="21"/>
          <w:szCs w:val="21"/>
        </w:rPr>
      </w:pPr>
      <w:r>
        <w:rPr>
          <w:rFonts w:hint="eastAsia" w:ascii="宋体" w:hAnsi="宋体" w:eastAsia="宋体" w:cs="宋体"/>
          <w:sz w:val="21"/>
          <w:szCs w:val="21"/>
          <w:lang w:val="zh-CN"/>
        </w:rPr>
        <w:t xml:space="preserve">接处警业务直接关系到能否有效保障市民人身安全及财产安全，对接处警系统的稳定性、可靠性要求非常高，</w:t>
      </w:r>
      <w:r>
        <w:rPr>
          <w:rFonts w:hint="eastAsia" w:ascii="宋体" w:hAnsi="宋体" w:eastAsia="宋体" w:cs="宋体"/>
          <w:sz w:val="21"/>
          <w:szCs w:val="21"/>
        </w:rPr>
        <w:t xml:space="preserve">因此作为接处警核心硬件的排队调度机，其稳定性尤为重要，太仓市公安局之前采购了一套排队调度机，目前运行整体稳定，但由于排队机为单机架构，一旦设备出现故障将会影响接处警系统的正常运行，存在一定的风险，因此，本次计划采购一套排队调度机与现有设备组成“双机并行”架构，单一设备故障不会影响整体接处警业务，提升系统的整体稳定性。</w:t>
      </w:r>
      <w:r/>
    </w:p>
    <w:p>
      <w:pPr>
        <w:pStyle w:val="970"/>
        <w:spacing w:line="372" w:lineRule="auto"/>
        <w:rPr>
          <w:lang w:eastAsia="zh-Hans"/>
        </w:rPr>
      </w:pPr>
      <w:r>
        <w:rPr>
          <w:rFonts w:hint="eastAsia"/>
          <w:lang w:eastAsia="zh-Hans"/>
        </w:rPr>
        <w:t xml:space="preserve">方案配置</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本次建设采购一套排队调度机，与现有在用排队机通过网络直连，同时，对从目前排队机的两个汇接局增加两条E1线路，连接至新建排队机上，正常状态下两台排队调度机进行负荷分担；当其中一台排队调度机发生硬件、网络等故障而无法提供服务时，由另一个排队调度机接管所有用户的业务请求。</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将目前一半接警坐席的模拟话机接到新建排队机上，两台排队机通过网络同时与接警台、录音服务器、CTI服务器以及接处警业务服务联通。实现话务和业务的双机运行。</w:t>
      </w:r>
      <w:r/>
    </w:p>
    <w:p>
      <w:pPr>
        <w:pStyle w:val="970"/>
        <w:spacing w:line="372" w:lineRule="auto"/>
        <w:rPr>
          <w:lang w:eastAsia="zh-Hans"/>
        </w:rPr>
      </w:pPr>
      <w:r>
        <w:rPr>
          <w:rFonts w:hint="eastAsia"/>
          <w:lang w:eastAsia="zh-Hans"/>
        </w:rPr>
        <w:t xml:space="preserve">主要设备参数</w:t>
      </w:r>
      <w:r/>
    </w:p>
    <w:p>
      <w:pPr>
        <w:numPr>
          <w:ilvl w:val="255"/>
          <w:numId w:val="0"/>
        </w:numPr>
        <w:ind w:left="440"/>
        <w:spacing w:line="372" w:lineRule="auto"/>
        <w:rPr>
          <w:rFonts w:ascii="宋体" w:hAnsi="宋体" w:eastAsia="宋体" w:cs="宋体"/>
          <w:b/>
          <w:bCs/>
          <w:sz w:val="21"/>
          <w:szCs w:val="21"/>
        </w:rPr>
      </w:pPr>
      <w:r>
        <w:rPr>
          <w:rFonts w:hint="eastAsia" w:ascii="宋体" w:hAnsi="宋体" w:eastAsia="宋体" w:cs="宋体"/>
          <w:b/>
          <w:bCs/>
          <w:sz w:val="21"/>
          <w:szCs w:val="21"/>
        </w:rPr>
        <w:t xml:space="preserve">1、ATCA机箱</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1）ATCA机箱包含背板、19英寸上架机箱，≥14个槽位（16U高度）；</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2）每槽位不低于350W散热，上下两个可插拔风扇框，前下部进风，后上部出风，抽拉式散热方式；</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3）标准≥40G背板，差分速率≥10.3125Gbps；</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4）支持多冗余模块电源 220V 输入，最大可以扩充至4个电源模块；</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5）前面板≥14个标准ATCA单板槽位，后框≥14个标准ATCA后板槽位；</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6）ATCA平台的主处理器、交换网络、电源等必须采用热备份结构，具有告警、故障自动诊断、倒换等功能;</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7）标配≥5寸液晶触控管理面板，动态显示机箱温度、风扇状态、电源负载运行情况及主控板CPU/RAM使用率等功能；</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8）≥2个半高管理控制板槽位，具备人体感应开启亮屏幕功能</w:t>
      </w:r>
      <w:r/>
    </w:p>
    <w:p>
      <w:pPr>
        <w:numPr>
          <w:ilvl w:val="255"/>
          <w:numId w:val="0"/>
        </w:numPr>
        <w:ind w:left="440"/>
        <w:spacing w:line="372" w:lineRule="auto"/>
        <w:rPr>
          <w:rFonts w:ascii="宋体" w:hAnsi="宋体" w:eastAsia="宋体" w:cs="宋体"/>
          <w:b/>
          <w:bCs/>
          <w:sz w:val="21"/>
          <w:szCs w:val="21"/>
        </w:rPr>
      </w:pPr>
      <w:r>
        <w:rPr>
          <w:rFonts w:hint="eastAsia" w:ascii="宋体" w:hAnsi="宋体" w:eastAsia="宋体" w:cs="宋体"/>
          <w:b/>
          <w:bCs/>
          <w:sz w:val="21"/>
          <w:szCs w:val="21"/>
        </w:rPr>
        <w:t xml:space="preserve">2、AC电源</w:t>
      </w:r>
      <w:r/>
    </w:p>
    <w:p>
      <w:pPr>
        <w:numPr>
          <w:ilvl w:val="0"/>
          <w:numId w:val="22"/>
        </w:num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电源模块效率大于93%，输入电压范围宽至85～300VAC，输出功率：不低于3000W（176～290VAC）；</w:t>
      </w:r>
      <w:r/>
    </w:p>
    <w:p>
      <w:pPr>
        <w:numPr>
          <w:ilvl w:val="0"/>
          <w:numId w:val="22"/>
        </w:num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支持在线热插拔功能，全数字化控制，支持智能电表；</w:t>
      </w:r>
      <w:r/>
    </w:p>
    <w:p>
      <w:pPr>
        <w:numPr>
          <w:ilvl w:val="0"/>
          <w:numId w:val="22"/>
        </w:num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安规（通过TUV、CE、UL、FCC认证获得CB证书）/电磁兼容EMC/防雷认证；</w:t>
      </w:r>
      <w:r/>
    </w:p>
    <w:p>
      <w:pPr>
        <w:numPr>
          <w:ilvl w:val="255"/>
          <w:numId w:val="0"/>
        </w:numPr>
        <w:ind w:left="440"/>
        <w:spacing w:line="372" w:lineRule="auto"/>
        <w:rPr>
          <w:rFonts w:ascii="宋体" w:hAnsi="宋体" w:eastAsia="宋体" w:cs="宋体"/>
          <w:b/>
          <w:bCs/>
          <w:sz w:val="21"/>
          <w:szCs w:val="21"/>
        </w:rPr>
      </w:pPr>
      <w:r>
        <w:rPr>
          <w:rFonts w:hint="eastAsia" w:ascii="宋体" w:hAnsi="宋体" w:eastAsia="宋体" w:cs="宋体"/>
          <w:b/>
          <w:bCs/>
          <w:sz w:val="21"/>
          <w:szCs w:val="21"/>
        </w:rPr>
        <w:t xml:space="preserve">3、管理控制板</w:t>
      </w:r>
      <w:r/>
    </w:p>
    <w:p>
      <w:pPr>
        <w:numPr>
          <w:ilvl w:val="0"/>
          <w:numId w:val="23"/>
        </w:num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半高小板设计，支持热插拔，支持1＋1冗余配置；</w:t>
      </w:r>
      <w:r/>
    </w:p>
    <w:p>
      <w:pPr>
        <w:numPr>
          <w:ilvl w:val="0"/>
          <w:numId w:val="23"/>
        </w:num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IPMB/I2C总线，IPMI智能型协议接口，可管理的部分包括智能风扇控制板、以及插入机箱中的业务板、交换板；</w:t>
      </w:r>
      <w:r/>
    </w:p>
    <w:p>
      <w:pPr>
        <w:numPr>
          <w:ilvl w:val="0"/>
          <w:numId w:val="23"/>
        </w:num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参数采集与指示：采集计算刀片温度、框内温度、风扇运行、电源电压、CPU和内存占比等动态展示；</w:t>
      </w:r>
      <w:r/>
    </w:p>
    <w:p>
      <w:pPr>
        <w:numPr>
          <w:ilvl w:val="0"/>
          <w:numId w:val="23"/>
        </w:num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屏幕控制功能：人体红外感应息屏控制。</w:t>
      </w:r>
      <w:r/>
    </w:p>
    <w:p>
      <w:pPr>
        <w:numPr>
          <w:ilvl w:val="255"/>
          <w:numId w:val="0"/>
        </w:numPr>
        <w:ind w:left="440"/>
        <w:spacing w:line="372" w:lineRule="auto"/>
        <w:rPr>
          <w:rFonts w:ascii="宋体" w:hAnsi="宋体" w:eastAsia="宋体" w:cs="宋体"/>
          <w:b/>
          <w:bCs/>
          <w:sz w:val="21"/>
          <w:szCs w:val="21"/>
        </w:rPr>
      </w:pPr>
      <w:r>
        <w:rPr>
          <w:rFonts w:hint="eastAsia" w:ascii="宋体" w:hAnsi="宋体" w:eastAsia="宋体" w:cs="宋体"/>
          <w:b/>
          <w:bCs/>
          <w:sz w:val="21"/>
          <w:szCs w:val="21"/>
        </w:rPr>
        <w:t xml:space="preserve">4、交换板卡</w:t>
      </w:r>
      <w:r/>
    </w:p>
    <w:p>
      <w:pPr>
        <w:numPr>
          <w:ilvl w:val="0"/>
          <w:numId w:val="24"/>
        </w:num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不低于千兆网络交换接口板，内置于ATCA标准机框的任何NODE槽位；</w:t>
      </w:r>
      <w:r/>
    </w:p>
    <w:p>
      <w:pPr>
        <w:numPr>
          <w:ilvl w:val="0"/>
          <w:numId w:val="24"/>
        </w:num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兼容PICMG 3.0规范，支持热插拔，支持1＋1冗余配置，提供ATCA接口连接千兆网络信号，千兆接口定义符合ATCA标准规范；</w:t>
      </w:r>
      <w:r/>
    </w:p>
    <w:p>
      <w:pPr>
        <w:numPr>
          <w:ilvl w:val="0"/>
          <w:numId w:val="24"/>
        </w:num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前面板提供至少2个千兆SFP光接口和至少8个千兆电口接口；</w:t>
      </w:r>
      <w:r/>
    </w:p>
    <w:p>
      <w:pPr>
        <w:numPr>
          <w:ilvl w:val="255"/>
          <w:numId w:val="0"/>
        </w:numPr>
        <w:ind w:left="440"/>
        <w:spacing w:line="372" w:lineRule="auto"/>
        <w:rPr>
          <w:rFonts w:ascii="宋体" w:hAnsi="宋体" w:eastAsia="宋体" w:cs="宋体"/>
          <w:b/>
          <w:bCs/>
          <w:sz w:val="21"/>
          <w:szCs w:val="21"/>
        </w:rPr>
      </w:pPr>
      <w:r>
        <w:rPr>
          <w:rFonts w:hint="eastAsia" w:ascii="宋体" w:hAnsi="宋体" w:eastAsia="宋体" w:cs="宋体"/>
          <w:b/>
          <w:bCs/>
          <w:sz w:val="21"/>
          <w:szCs w:val="21"/>
        </w:rPr>
        <w:t xml:space="preserve">5、主控板</w:t>
      </w:r>
      <w:r/>
    </w:p>
    <w:p>
      <w:pPr>
        <w:numPr>
          <w:ilvl w:val="0"/>
          <w:numId w:val="25"/>
        </w:num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主控板采用冗余备份功能，内置于ATCA标准机框的任何NODE槽位；</w:t>
      </w:r>
      <w:r/>
    </w:p>
    <w:p>
      <w:pPr>
        <w:numPr>
          <w:ilvl w:val="0"/>
          <w:numId w:val="25"/>
        </w:num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主控板配置：≥32G内存，≥512G 硬盘,前面板至少两个千兆电口,至少一个显示接口,至少两个USB接口,至少一个ConSole接口；</w:t>
      </w:r>
      <w:r/>
    </w:p>
    <w:p>
      <w:pPr>
        <w:numPr>
          <w:ilvl w:val="0"/>
          <w:numId w:val="25"/>
        </w:num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完备的软交换功能，集语音、业务数据、管理数据等为一体，提供通信资源管理、座席管理、集群管理、系统管理维护、监视和配置等业务功能；</w:t>
      </w:r>
      <w:r/>
    </w:p>
    <w:p>
      <w:pPr>
        <w:numPr>
          <w:ilvl w:val="0"/>
          <w:numId w:val="25"/>
        </w:num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软交换平台具备终端注册、呼叫控制、呼叫选路、会话资源管理、媒体控制、语音会议管理等功能；</w:t>
      </w:r>
      <w:r/>
    </w:p>
    <w:p>
      <w:pPr>
        <w:numPr>
          <w:ilvl w:val="0"/>
          <w:numId w:val="25"/>
        </w:num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通过SIP中继接入PSTN，具备来电显示功能,可以配置环路中继、数字中继等接入；</w:t>
      </w:r>
      <w:r/>
    </w:p>
    <w:p>
      <w:pPr>
        <w:numPr>
          <w:ilvl w:val="255"/>
          <w:numId w:val="0"/>
        </w:numPr>
        <w:ind w:left="440"/>
        <w:spacing w:line="372" w:lineRule="auto"/>
        <w:rPr>
          <w:rFonts w:ascii="宋体" w:hAnsi="宋体" w:eastAsia="宋体" w:cs="宋体"/>
          <w:b/>
          <w:bCs/>
          <w:sz w:val="21"/>
          <w:szCs w:val="21"/>
        </w:rPr>
      </w:pPr>
      <w:r>
        <w:rPr>
          <w:rFonts w:hint="eastAsia" w:ascii="宋体" w:hAnsi="宋体" w:eastAsia="宋体" w:cs="宋体"/>
          <w:b/>
          <w:bCs/>
          <w:sz w:val="21"/>
          <w:szCs w:val="21"/>
        </w:rPr>
        <w:t xml:space="preserve">6、数字中继接口板</w:t>
      </w:r>
      <w:r/>
    </w:p>
    <w:p>
      <w:pPr>
        <w:numPr>
          <w:ilvl w:val="0"/>
          <w:numId w:val="26"/>
        </w:num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提供至少4个数字中继接口，内置于ATCA标准机框的任何NODE槽位；</w:t>
      </w:r>
      <w:r/>
    </w:p>
    <w:p>
      <w:pPr>
        <w:numPr>
          <w:ilvl w:val="0"/>
          <w:numId w:val="26"/>
        </w:num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E1接口满足ITU-T G.703, G.704, G.706, G.823, G.732等规范；</w:t>
      </w:r>
      <w:r/>
    </w:p>
    <w:p>
      <w:pPr>
        <w:numPr>
          <w:ilvl w:val="0"/>
          <w:numId w:val="26"/>
        </w:num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提供全面标准的信令系统，支持随路信令（CAS）和公共信道信令（CCS）；</w:t>
      </w:r>
      <w:r/>
    </w:p>
    <w:p>
      <w:pPr>
        <w:numPr>
          <w:ilvl w:val="0"/>
          <w:numId w:val="26"/>
        </w:num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支持中国7号信令、1号信令、ISDN-PRI DSS1信令、Q.SIG信令，软件可以定义信令协议接口，支持网管配置功能；</w:t>
      </w:r>
      <w:r/>
    </w:p>
    <w:p>
      <w:pPr>
        <w:numPr>
          <w:ilvl w:val="255"/>
          <w:numId w:val="0"/>
        </w:numPr>
        <w:ind w:left="440"/>
        <w:spacing w:line="372" w:lineRule="auto"/>
        <w:rPr>
          <w:rFonts w:ascii="宋体" w:hAnsi="宋体" w:eastAsia="宋体" w:cs="宋体"/>
          <w:b/>
          <w:bCs/>
          <w:sz w:val="21"/>
          <w:szCs w:val="21"/>
        </w:rPr>
      </w:pPr>
      <w:r>
        <w:rPr>
          <w:rFonts w:hint="eastAsia" w:ascii="宋体" w:hAnsi="宋体" w:eastAsia="宋体" w:cs="宋体"/>
          <w:b/>
          <w:bCs/>
          <w:sz w:val="21"/>
          <w:szCs w:val="21"/>
        </w:rPr>
        <w:t xml:space="preserve">7、模拟接口板</w:t>
      </w:r>
      <w:r/>
    </w:p>
    <w:p>
      <w:pPr>
        <w:numPr>
          <w:ilvl w:val="0"/>
          <w:numId w:val="27"/>
        </w:num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不低于32路模拟话机接口板，内置于ATCA标准机框的任何NODE槽位；</w:t>
      </w:r>
      <w:r/>
    </w:p>
    <w:p>
      <w:pPr>
        <w:numPr>
          <w:ilvl w:val="0"/>
          <w:numId w:val="27"/>
        </w:num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支持SIP协议和MGCP协议，呼叫控制满足： SIP/UDP和SIP/TCP（RFC3261）、IMS平台（3GPP）、MGCP（RFC3435）；</w:t>
      </w:r>
      <w:r/>
    </w:p>
    <w:p>
      <w:pPr>
        <w:numPr>
          <w:ilvl w:val="0"/>
          <w:numId w:val="27"/>
        </w:num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语音编解码：G.711、G.729A/B、G.723.1；</w:t>
      </w:r>
      <w:r/>
    </w:p>
    <w:p>
      <w:pPr>
        <w:numPr>
          <w:ilvl w:val="0"/>
          <w:numId w:val="27"/>
        </w:num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来电显示（Bellcore/Telcordia、ETSI、BT、DTMF）、呼叫转接、呼叫转移、呼叫安全加密（HTTPS、SSH、TLS、SRTP)；</w:t>
      </w:r>
      <w:r/>
    </w:p>
    <w:p>
      <w:pPr>
        <w:numPr>
          <w:ilvl w:val="0"/>
          <w:numId w:val="27"/>
        </w:num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用户线双音频接收、传送符合YD/T954-1998 5.4.2.2频偏±2.0%以内可靠接收频偏±3.0%以上保证不接收(-4~-23)dBm:可靠接收双频电平差不大于6dB可靠接收≤-31dBm:保证不接收时长:≥(30~40)ms。</w:t>
      </w:r>
      <w:r/>
    </w:p>
    <w:p>
      <w:pPr>
        <w:ind w:firstLine="0"/>
        <w:spacing w:line="360" w:lineRule="auto"/>
        <w:rPr>
          <w:rFonts w:ascii="宋体" w:hAnsi="宋体" w:eastAsia="宋体" w:cs="宋体"/>
          <w:sz w:val="21"/>
          <w:szCs w:val="21"/>
        </w:rPr>
      </w:pPr>
      <w:r>
        <w:rPr>
          <w:rFonts w:ascii="宋体" w:hAnsi="宋体" w:eastAsia="宋体" w:cs="宋体"/>
          <w:sz w:val="21"/>
          <w:szCs w:val="21"/>
        </w:rPr>
      </w:r>
      <w:r/>
    </w:p>
    <w:p>
      <w:pPr>
        <w:pStyle w:val="969"/>
        <w:spacing w:line="372" w:lineRule="auto"/>
      </w:pPr>
      <w:r>
        <w:rPr>
          <w:rFonts w:hint="eastAsia"/>
        </w:rPr>
        <w:t xml:space="preserve">视频结构化</w:t>
      </w:r>
      <w:r/>
    </w:p>
    <w:p>
      <w:pPr>
        <w:pStyle w:val="970"/>
        <w:spacing w:line="372" w:lineRule="auto"/>
        <w:rPr>
          <w:lang w:eastAsia="zh-Hans"/>
        </w:rPr>
      </w:pPr>
      <w:r>
        <w:rPr>
          <w:rFonts w:hint="eastAsia"/>
        </w:rPr>
        <w:t xml:space="preserve">系统概述</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视频结构化是指将视频中的非结构化数据通过特定的技术手段，提取出视频中的关键信息，并将其转化为结构化数据的过程。这个过程涉及到对视频内容的深入分析，包括但不限于人、车、物、颜色、数字等属性特征，并将这些特征以结构化的形式存储在数据库中。视频结构化的应用场景广泛，特别是在‌社会治安监控、‌交通管理、‌智能安防等领域有着重要的作用。通过视频结构化，可以实现对视频资料的快速检索、‌目标跟踪、‌行为分析等功能，极大地提高了视频监控系统的智能化水平。          </w:t>
      </w:r>
      <w:r/>
    </w:p>
    <w:p>
      <w:pPr>
        <w:pStyle w:val="970"/>
        <w:rPr>
          <w:lang w:eastAsia="zh-Hans"/>
        </w:rPr>
      </w:pPr>
      <w:r>
        <w:rPr>
          <w:rFonts w:hint="eastAsia"/>
        </w:rPr>
        <w:t xml:space="preserve">主要设备参数</w:t>
      </w:r>
      <w:r/>
    </w:p>
    <w:p>
      <w:pPr>
        <w:ind w:firstLine="422"/>
        <w:rPr>
          <w:rFonts w:ascii="宋体" w:hAnsi="宋体" w:eastAsia="宋体" w:cs="宋体"/>
          <w:b/>
          <w:bCs/>
          <w:sz w:val="21"/>
          <w:szCs w:val="21"/>
        </w:rPr>
      </w:pPr>
      <w:r>
        <w:rPr>
          <w:rFonts w:hint="eastAsia" w:ascii="宋体" w:hAnsi="宋体" w:eastAsia="宋体" w:cs="宋体"/>
          <w:b/>
          <w:bCs/>
          <w:sz w:val="21"/>
          <w:szCs w:val="21"/>
        </w:rPr>
        <w:t xml:space="preserve">轻量化智能终端</w:t>
      </w:r>
      <w:r/>
    </w:p>
    <w:p>
      <w:pPr>
        <w:numPr>
          <w:ilvl w:val="0"/>
          <w:numId w:val="28"/>
        </w:numPr>
        <w:ind w:left="0"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设备配置要求：</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内置国产化AI加速芯片，高性能不低于8核CPU，主频不低于2.3GHz，内存不低于16GB，硬盘不低于512G；</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支持不低于32Tops@int8 算力配置；</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支持至少32路H.264/H.265 1080P@30fps实时视频解码和12路视频编码；</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支持至少2*千兆网络，支持 4G/5G、wifi 扩展；</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支持无风扇散热，满足-20~60C宽温应用；</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设备须便携，须提供外观图，支持mSATA和TF存储扩展，支持M.2扩展；</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支持不少于2*GPIO；支持不少于1个USB typeC Debug接口；</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支持电源/系统/M.2/硬盘4个状态指示灯；</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支持不少于2*USB3.0/1*HDMI/RS232/RS485接口；</w:t>
      </w:r>
      <w:r/>
    </w:p>
    <w:p>
      <w:pPr>
        <w:numPr>
          <w:ilvl w:val="0"/>
          <w:numId w:val="28"/>
        </w:numPr>
        <w:ind w:left="0"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设备功能要求</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支持TCP/IP/HTTP/RTSP等协议接入；</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设备最大接入带宽不少于256Mbps、最大存储带宽不少于256Mbps、最大转发带宽不少于256Mbps；</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支持接入视频通道路数不少于32路；</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可在设备管理界面显示设备在线状态、IP、接入协议、通道名称；</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支持通过RTSP和HLS传输协议取流和播放；</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支持将资源树通道添加到收藏夹；支持资源树的模糊查询以及精确查询；支持动态调整资源树；</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支持视频流解析和图片流解析，支持智能分析任务启/停；</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视频流分析支持不低于32路200W；图片流分析支持不低于32张/s；</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支持不低于查询150万条抓拍记录；</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最大支持30个人脸库，最大支持10万条人脸数据；</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支持不低于32倍数离线视频解析；</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支持离线文件边写边解析，多个侦查员同时在线审看解析结果。支持按文件和按目录解析；支持USB/硬盘/NFS等多种方式导入文件；</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支持自适应变速解析；</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支持多通道分时解析功能，支持多种策略调度（帧分析、时长分析），支持弹性伸缩、抢占、限流等多种策略；</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支持侧脸，低头人脸抓拍，支持人脸性别、年龄、是否戴口罩、是否带帽子、是否带眼镜属性检测； </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车牌检测，可识别车牌号、车牌颜色、车牌类型，车牌颜色支持蓝牌、黑牌、黄牌、白牌、绿牌、黄绿、渐变绿，车牌类型包括（大型汽车号牌、小型汽车号牌、使馆汽车号牌、领馆汽车号牌、境外汽车号牌、外籍汽车号牌、低速车号牌、拖拉机号牌、挂车号牌、教练汽车号牌等）；（提供界面截图）</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车辆检索,支持按车辆类型、车辆品牌、车身颜色进行二次检索，车辆类型包括（押运车、皮卡车、轿车、大型卧铺客车、越野车、大型货车、公交车、重型罐式货车、轻客、微面、手扶拖拉机等），车辆品牌包括（大众、宝马、别克、本田、标致、丰田、福特、日产、奥迪、马自达、雪佛兰、雪铁龙、现代、奇瑞等），车身颜色包括（黑色、白色、灰色、红色、蓝色、黄色、橙色、棕色、绿色、紫色、青色、粉色、金色、银色）； </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支持车牌号码模糊查询；</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支持非机动车检索、支持按非机动车种类、是否载人、是否戴头盔、是否带蓬进行二次检索、非机动车种类包括（自行车、摩托车、三轮车、电动车等）； </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支持人员性别、年龄检测； </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支持人员上身、下身颜色检测，颜色包括白色、橙色、粉色、黑色、红色、黄色、灰色、蓝色、绿色、紫色、棕色、青色、透明色、黄绿色、渐变绿、金色、银色等；（提供界面截图）</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支持对人脸、人员、车辆、非机动车进行结构化数据分析并可通过相关特征属性进行检索以及以图搜图；</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背影寻人：在线索有限的情况下，也可以通过上传目标的背影图片进行搜索，目标的照片不要求正面，可以是侧面或背面，此时使用背影寻人功能；（提供界面截图）</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人员检索：可通过获取到的目标的一张模糊的人员照片，通过人员搜索以获取到更多人员/人脸照片，人员搜索可以通过上传人员照片以图搜图，检索结果可进行相似度等多种排序，同时支持对搜索结果进行操作；（提供界面截图）</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支持解析目标关联视频回看；</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支持案件目标频次分析；</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支持人脸、人员、车辆、非机动车添加目标库，目标图片自动置顶，图片所属案件名称、目标名称、出现时间及研判信息可自定义手动编辑；</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支持在线视频回放观看；</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支持人脸布控及车辆布控，人脸布控支持黑名单、白名单布控；</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布控时可支持在线视频区域入侵、物品拿取、进入区域、离开区域、快速移动、徘徊侦测、单绊线检测、双绊线检测等通用行为分析；（提供界面截图）</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支持在线视频区域人员密度、进出人数统计、人形检测、陌生人闯入检测；（提供界面截图） </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支持移动侦测、视频丢失、视频遮挡等视频检测；</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支持系统日志按照主类型、子类型、开始时间、结束时间查询；</w:t>
      </w:r>
      <w:r/>
    </w:p>
    <w:p>
      <w:pPr>
        <w:numPr>
          <w:ilvl w:val="0"/>
          <w:numId w:val="28"/>
        </w:numPr>
        <w:ind w:left="0"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硬盘解析下载模块</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支持嵌入式操作系统文件系统解析、文件恢复、智能数据碎片重组及提取； </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须支持FAT、NTFS、EXT、EXFAT等非嵌入式文件系统扫描重组解析及提取；</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须支持对嵌入式文件系统及常规FAT32/NTFS/EXT/HFS+等文件系统中的MP4/MOV/3GP碎片扫描重组及提取；</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须支持自动识别监控及其他视频设备品牌功能；</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支持监控自有文件系统碎片扫描重组解析及提取；</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支持字节级别深度扫描并且解析每帧视频信息；</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支持全盘物理扫描提取，快速查找现有视频和丢失的视频；支持剩余空间扫描提取，专注查找丢失的视频；</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支持区域空间扫描提取，快速检索TB级监控硬盘 ；</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须支持监控厂家私有硬盘视频数据存储文件系统解析，包括：美迪视讯、水星安防、翰林威视、百视迪、禾力讯、迈视、凯安视、虎鹰威视、宏威视界、世友、海视泰、赢视、海瑞视讯、朗明视、海康、大华、中维世纪、宇视、汉邦、TP-LINK、科达、天地伟业、久安、同为、美电贝尔等不低于100种品牌； </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支持“通道-时间段”的选择方式进行精确下载选择；文件下载支持下载到本机、导出到外接移动设备功能；</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高速下载功能，硬盘下载速度最快可达100MB/s；</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支持快速解析及深度解析； </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支持报表统计信息；</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支持加载上次任务继续扫描解析功能；</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支持扫描过程中实时显示日志功能；</w:t>
      </w:r>
      <w:r/>
    </w:p>
    <w:p>
      <w:pPr>
        <w:numPr>
          <w:ilvl w:val="0"/>
          <w:numId w:val="28"/>
        </w:numPr>
        <w:ind w:left="0"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支持相机、行车记录仪、执法仪、无人机系统模块</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相机（索尼、佳能、松下、尼康、阿莱、JVC、柯达、富士、柯尼卡、卡西欧、三洋等）、行车记录仪（360、盯盯拍、惠普、海思、米家、小米、RF、凌度、捷渡、第一现场、趴趴狗、联想等）、执法仪（警翼、警辉、飞利浦、华德安、执法1号、爱国者、执法先锋、警摄、法翼、群华、摄徒等）、无人机系统（大疆、哈博森、昊翔、科卫泰、亿航、派诺特、畅影、美嘉欣、零度智控、华科尔等）等解析； </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支持格式化，初始化，删除，坏道，部分覆盖，帧丢失，音视频播放不了等故障类型；支持自动匹配编码及自动生成解析算法和17种CheckSum验证方法； </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支持颜色图标区分每个音视频文件损坏百分率； </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支持自主选择十多种品牌；添加样本即可支持其他所有存放音视频设备；</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实时显示软件运行过程及速度、位置、剩余时间等信息；</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支持镜像文件，硬盘，SD卡，U盘等设备类型；</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支持加载任务信息；支持停止后继续扫描及导出；</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支持H264/AVC/H265/HEVC等编码格式；  </w:t>
      </w:r>
      <w:r/>
    </w:p>
    <w:p>
      <w:pPr>
        <w:numPr>
          <w:ilvl w:val="0"/>
          <w:numId w:val="28"/>
        </w:numPr>
        <w:ind w:left="0"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视频修复模块</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支持已封装音视频修复，裸流自动修复封装；支持故障类型：音视频文件播放不了，播放卡顿，播放花屏；支持视频修复类型：MP4,MOV,3GP,AVI,MXF,MTS,TS,MPG,H264裸流,H265裸流等； </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实时显示软件运行过程及速度、位置、剩余时间等信息；支持编码类型：H264/AVC/H265/HEVC；</w:t>
      </w:r>
      <w:r/>
    </w:p>
    <w:p>
      <w:pPr>
        <w:pStyle w:val="1066"/>
        <w:ind w:firstLine="420"/>
        <w:rPr>
          <w:rFonts w:hAnsi="宋体" w:cs="宋体"/>
          <w:sz w:val="21"/>
          <w:szCs w:val="21"/>
        </w:rPr>
      </w:pPr>
      <w:r>
        <w:rPr>
          <w:rFonts w:hAnsi="宋体" w:cs="宋体"/>
          <w:sz w:val="21"/>
          <w:szCs w:val="21"/>
        </w:rPr>
      </w:r>
      <w:r/>
    </w:p>
    <w:p>
      <w:pPr>
        <w:pStyle w:val="969"/>
      </w:pPr>
      <w:r>
        <w:rPr>
          <w:rFonts w:hint="eastAsia"/>
        </w:rPr>
        <w:t xml:space="preserve">交管业务培训设备</w:t>
      </w:r>
      <w:r/>
    </w:p>
    <w:p>
      <w:pPr>
        <w:pStyle w:val="970"/>
        <w:rPr>
          <w:lang w:eastAsia="zh-Hans"/>
        </w:rPr>
      </w:pPr>
      <w:r>
        <w:rPr>
          <w:rFonts w:hint="eastAsia"/>
        </w:rPr>
        <w:t xml:space="preserve">系统概述</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该设备是一款结合部局执法规</w:t>
      </w:r>
      <w:r>
        <w:rPr>
          <w:rFonts w:hint="eastAsia" w:ascii="宋体" w:hAnsi="宋体" w:eastAsia="宋体" w:cs="宋体"/>
          <w:sz w:val="21"/>
          <w:szCs w:val="21"/>
        </w:rPr>
        <w:t xml:space="preserve">范化建设重点工作任务以及实战大练兵、大比武的部署要求，专门面向基层交警辅警的多维定制培训产品，是集“学--练--考”于一体的智能培训系统，系统需具备示范、学习、训练和考试四大功能模块。在微课程中，民警可通过扫描二维码进入微课堂进行训练和考试，试题将以游戏方式进行呈现，运用不同的教学模式，帮助民警更好的消化吸收，提升学习的积极性。在多角色训练中，学员可选择角色进行绑定，在课程生成时，各学员可根据角色分开训练，系统会根据各角色的训练情况生成考试成绩，可在评分详情中查看各自角色的得分情况。            </w:t>
      </w:r>
      <w:r/>
    </w:p>
    <w:p>
      <w:pPr>
        <w:pStyle w:val="970"/>
        <w:rPr>
          <w:lang w:eastAsia="zh-Hans"/>
        </w:rPr>
      </w:pPr>
      <w:r>
        <w:rPr>
          <w:rFonts w:hint="eastAsia"/>
        </w:rPr>
        <w:t xml:space="preserve">主要设备参数</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图像采集模块：不低于210万像素高清图像传感器，采用先进自动人物聚焦算法，遥控云台、支持VISCA、Pelco-D、UVC1.5控制协议；</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拾音模块：采用全双工语音通话清晰技术，内置高灵敏度MIC，支持HIFI模式、2.4G无线传输、3.5mm音频输出接口；</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硬件软件安全优化模块：内置不低于32位ARM高性能处理器内核，提高软件安全性和性能优化、系统数据安全保护程序；</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移动控制端：不低于10英寸高清大屏、运存不低于3GB，存储不低于32GB、WIFI版；</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音频输出模块：不低于2.1声道多媒体音箱；</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网络模块：不低于5G双频双千兆智能路由器；</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移动支架：一体屏移动支架，最大沉重不低于200kg；</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含学习支撑系统软件，支持：训练系统管理端应用、训练系统学员端应用；</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含课程培训素材，包括：新警察必学课程素材、辅警必学课程素材、柔性执法课程素材、阻碍执行职务应对处置课程素材、交通违法行为查处课程素材、执勤执法现场安全防护课程素材等。</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维护期间软件免费升级，课程免费更新；维保期内设备出现故障免费维修（人为因素故障不在免费保修范围内）。</w:t>
      </w:r>
      <w:r/>
    </w:p>
    <w:p>
      <w:pPr>
        <w:pStyle w:val="1066"/>
        <w:ind w:firstLine="0"/>
        <w:rPr>
          <w:rFonts w:hAnsi="宋体" w:cs="宋体"/>
          <w:sz w:val="21"/>
          <w:szCs w:val="21"/>
        </w:rPr>
      </w:pPr>
      <w:r>
        <w:rPr>
          <w:rFonts w:hAnsi="宋体" w:cs="宋体"/>
          <w:sz w:val="21"/>
          <w:szCs w:val="21"/>
        </w:rPr>
      </w:r>
      <w:r/>
    </w:p>
    <w:p>
      <w:pPr>
        <w:pStyle w:val="968"/>
        <w:spacing w:line="372" w:lineRule="auto"/>
      </w:pPr>
      <w:r>
        <w:rPr>
          <w:rFonts w:hint="eastAsia"/>
        </w:rPr>
        <w:t xml:space="preserve">低代码软件平台</w:t>
      </w:r>
      <w:r/>
    </w:p>
    <w:p>
      <w:pPr>
        <w:pStyle w:val="969"/>
        <w:spacing w:line="372" w:lineRule="auto"/>
        <w:rPr>
          <w:lang w:eastAsia="zh-Hans"/>
        </w:rPr>
      </w:pPr>
      <w:r>
        <w:rPr>
          <w:rFonts w:hint="eastAsia"/>
        </w:rPr>
        <w:t xml:space="preserve">系统概述</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低代码是针对软件开发的“效率革命”，同时具有低门槛和低成本优势，</w:t>
      </w:r>
      <w:r>
        <w:rPr>
          <w:rFonts w:hint="eastAsia" w:ascii="宋体" w:hAnsi="宋体" w:eastAsia="宋体" w:cs="宋体"/>
          <w:sz w:val="21"/>
          <w:szCs w:val="21"/>
          <w:lang w:eastAsia="zh-Hans"/>
        </w:rPr>
        <w:t xml:space="preserve">在服务开发者、</w:t>
      </w:r>
      <w:r>
        <w:rPr>
          <w:rFonts w:hint="eastAsia" w:ascii="宋体" w:hAnsi="宋体" w:eastAsia="宋体" w:cs="宋体"/>
          <w:sz w:val="21"/>
          <w:szCs w:val="21"/>
        </w:rPr>
        <w:t xml:space="preserve">加速应用交付</w:t>
      </w:r>
      <w:r>
        <w:rPr>
          <w:rFonts w:hint="eastAsia" w:ascii="宋体" w:hAnsi="宋体" w:eastAsia="宋体" w:cs="宋体"/>
          <w:sz w:val="21"/>
          <w:szCs w:val="21"/>
          <w:lang w:eastAsia="zh-Hans"/>
        </w:rPr>
        <w:t xml:space="preserve">方面有着显著优势</w:t>
      </w:r>
      <w:r>
        <w:rPr>
          <w:rFonts w:hint="eastAsia" w:ascii="宋体" w:hAnsi="宋体" w:eastAsia="宋体" w:cs="宋体"/>
          <w:sz w:val="21"/>
          <w:szCs w:val="21"/>
        </w:rPr>
        <w:t xml:space="preserve">，已经成为加速数字化转型、适应未来发展的关键技术。</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在公安体系内部，之前“立项-招投标-项目启动-项目开发”的模式影响了应用的上线速度，引入低代码开发工具，可使得业务部门和技术部门的协作更加紧密。业务人员提出需求后，技术部门人员提供开发服务，共同推动项目的进展。</w:t>
      </w:r>
      <w:r/>
    </w:p>
    <w:p>
      <w:pPr>
        <w:pStyle w:val="969"/>
        <w:spacing w:line="372" w:lineRule="auto"/>
        <w:rPr>
          <w:lang w:eastAsia="zh-Hans"/>
        </w:rPr>
      </w:pPr>
      <w:r>
        <w:rPr>
          <w:rFonts w:hint="eastAsia"/>
        </w:rPr>
        <w:t xml:space="preserve">主要设备参数</w:t>
      </w:r>
      <w:r/>
    </w:p>
    <w:p>
      <w:pPr>
        <w:pStyle w:val="970"/>
        <w:spacing w:line="372" w:lineRule="auto"/>
      </w:pPr>
      <w:r>
        <w:rPr>
          <w:rFonts w:hint="eastAsia"/>
        </w:rPr>
        <w:t xml:space="preserve">国产化操作系统</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符合操作系统安全可靠测评要求，符合信创要求。</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操作系统产品基于统一版本的内核设计开发，同时支持不同硬件平台，内核版本（Linux kernel）不低于4.19。</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支持KVM、Docker、LXC等虚拟化方式。</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支持NTFS、XFS、GFS2、Ext3、Ext4等文件系统。</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支持FCoE、iSCSI，支持Ceph块设备，内置支持快速块设备作为慢速块设备缓存以加速IO。</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支持swap压缩以减少IO并提高性能。</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支持SSH、SPICE、RDP、VNC协议。</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系统默认集成安全管控工具，支持自研内核统一访问控制的安全框架，内置式一体化安全体系，支持多策略融合的强制访问控制机制，须包括SELINUX、APPARMOR等。</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支持多种中文输入法，兼容国内主流的自主数据库（如人大金仓、达梦、神舟通用等）、自主中间件（如中创、东方通、金蝶等）。</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支持RPM软件包管理工具DNF；为保证软件与操作系统兼容性，提供自主研发的rpm到deb软件包格式转换工具和模块。</w:t>
      </w:r>
      <w:r/>
    </w:p>
    <w:p>
      <w:pPr>
        <w:pStyle w:val="970"/>
        <w:spacing w:line="372" w:lineRule="auto"/>
      </w:pPr>
      <w:r>
        <w:rPr>
          <w:rFonts w:hint="eastAsia"/>
        </w:rPr>
        <w:t xml:space="preserve">中间件</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自主可控，拥有完全自主知识产权，具备云原生成熟度3级认证，符合项目支持信创建设要求。</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支持集群部署，提供集群管理工具，具备自动配置Java EE应用集群相关的专有技术积累。</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内置类加载冲突检测工具，可以检测出应用部署和运行过程中哪些类存在类加载冲突问题，并能自动生成冲突检测报告，方便快速定位和解决应用类加载问题。具备JavaEE 应用类加载冲突分析方法和装置专有技术积累。</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监控服务可以选择监视信息的回放时间段，方便运维人员了解过去某段时间的系统和应用的监控情况。具备应用服务器集群的监控系统及监控方法专有技术积累。</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在不停止应用服务器运行的情况下，支持动态更新license以及集中管理替换license，避免更新license对业务正常运行的影响。</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为避免用户误操作，支持应用回收站功能，卸载的应用部署包将移到回收站里。</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内置快照功能，能够对服务器及应用程序的运行时信息进行捕获。同时需具备应用服务器快照分析系统专有技术积累。 </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中间件集群部署多个中间件节点，可随节点数量增加，中间件的服务能力呈线性递增。</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在全支持信创环境下通过集群横向扩张可满足至少五十万在线用户访问能力，并且长时间运行稳定。</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符合GB/T 18336-2015《信息技术 安全技术 信息技术安全评估准则》和《中间件安全技术要求和测试评价方法》。</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证明产品代码中不存在资源未释放、内存泄露、硬编码、空指针调用、死代码、错误处理、死循环、废弃的函数、数值溢出、无用的控制流语句等编码规范问题。</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为保障产品安全性，应对产品进行安全功能测试和渗透测试。为确保测试全面，安全功能测试应覆盖标识和鉴别、访问控制、安全审计、数据完整性、数据保密性、软件容错、会话管理、安全漏洞、外部接口几个方面的测试指标。</w:t>
      </w:r>
      <w:r/>
    </w:p>
    <w:p>
      <w:pPr>
        <w:pStyle w:val="970"/>
        <w:spacing w:line="372" w:lineRule="auto"/>
      </w:pPr>
      <w:r>
        <w:rPr>
          <w:rFonts w:hint="eastAsia"/>
        </w:rPr>
        <w:t xml:space="preserve">低代码软件</w:t>
      </w:r>
      <w:r/>
    </w:p>
    <w:p>
      <w:pPr>
        <w:numPr>
          <w:ilvl w:val="0"/>
          <w:numId w:val="29"/>
        </w:numPr>
        <w:ind w:left="0" w:firstLine="422"/>
        <w:spacing w:line="372" w:lineRule="auto"/>
        <w:rPr>
          <w:rFonts w:ascii="宋体" w:hAnsi="宋体" w:eastAsia="宋体" w:cs="宋体"/>
          <w:b/>
          <w:bCs/>
          <w:sz w:val="21"/>
          <w:szCs w:val="21"/>
        </w:rPr>
      </w:pPr>
      <w:r/>
      <w:bookmarkStart w:id="122" w:name="_Toc29656"/>
      <w:r>
        <w:rPr>
          <w:rFonts w:hint="eastAsia" w:ascii="宋体" w:hAnsi="宋体" w:eastAsia="宋体" w:cs="宋体"/>
          <w:b/>
          <w:bCs/>
          <w:sz w:val="21"/>
          <w:szCs w:val="21"/>
        </w:rPr>
        <w:t xml:space="preserve">功能</w:t>
      </w:r>
      <w:bookmarkEnd w:id="122"/>
      <w:r>
        <w:rPr>
          <w:rFonts w:hint="eastAsia" w:ascii="宋体" w:hAnsi="宋体" w:eastAsia="宋体" w:cs="宋体"/>
          <w:b/>
          <w:bCs/>
          <w:sz w:val="21"/>
          <w:szCs w:val="21"/>
        </w:rPr>
        <w:t xml:space="preserve">指标</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要求低代码软件平台统一类型、语法、存储等语言的基本要素，抹平软件开发中前端和后端之间的壁垒，其功能需包含四大模块：</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1）可视化设计器：</w:t>
      </w:r>
      <w:bookmarkStart w:id="123" w:name="_Hlk114653312"/>
      <w:r>
        <w:rPr>
          <w:rFonts w:hint="eastAsia" w:ascii="宋体" w:hAnsi="宋体" w:eastAsia="宋体" w:cs="宋体"/>
          <w:sz w:val="21"/>
          <w:szCs w:val="21"/>
        </w:rPr>
        <w:t xml:space="preserve">通过设计抽象，针对数据、页面、逻辑和流程四个应用开发的关键要素，实现针对数据、页面、逻辑和流程的相关设计器。</w:t>
      </w:r>
      <w:bookmarkEnd w:id="123"/>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2）应用一站式管理：基于运维实践的自动化的部署、运维体系，可提供应用高可用、多运行时环境隔离、开发平台和运行平台隔离等稳定性保障能力。应用可直接运行在智能开发平台之上，无部署运维的成本。同时智能开发平台对应用提供一站式管理功能，包括应用创建配置编辑、预览、发布、升级，运行时实例监控运维管理、资源管理、依赖管理、集成管理等。</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3）资产中心：提供平台基础组件和用户自定义扩展组件能力，定义扩展组件的语言规范，提供简单易用的可视化编辑工具。应用、页面、基础组件、扩展组件、接口、模型、流程等不同粒度软件资产均可以单独剥离，发布到资产中心，达到复用的效果。</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4）集成能力：支持通过API、连接器、微前端等方式集成公安内部的服务，实现应用组装。支持集成公安已有软件生态，包括数据库、BI产品、AI产品、文件存储、认证源等。</w:t>
      </w:r>
      <w:r/>
    </w:p>
    <w:p>
      <w:pPr>
        <w:numPr>
          <w:ilvl w:val="0"/>
          <w:numId w:val="29"/>
        </w:numPr>
        <w:ind w:left="0" w:firstLine="422"/>
        <w:spacing w:line="372" w:lineRule="auto"/>
        <w:rPr>
          <w:rFonts w:ascii="宋体" w:hAnsi="宋体" w:eastAsia="宋体" w:cs="宋体"/>
          <w:b/>
          <w:bCs/>
          <w:sz w:val="21"/>
          <w:szCs w:val="21"/>
        </w:rPr>
      </w:pPr>
      <w:r/>
      <w:bookmarkStart w:id="124" w:name="_Toc11378"/>
      <w:r>
        <w:rPr>
          <w:rFonts w:hint="eastAsia" w:ascii="宋体" w:hAnsi="宋体" w:eastAsia="宋体" w:cs="宋体"/>
          <w:b/>
          <w:bCs/>
          <w:sz w:val="21"/>
          <w:szCs w:val="21"/>
        </w:rPr>
        <w:t xml:space="preserve">性能</w:t>
      </w:r>
      <w:bookmarkEnd w:id="124"/>
      <w:r>
        <w:rPr>
          <w:rFonts w:hint="eastAsia" w:ascii="宋体" w:hAnsi="宋体" w:eastAsia="宋体" w:cs="宋体"/>
          <w:b/>
          <w:bCs/>
          <w:sz w:val="21"/>
          <w:szCs w:val="21"/>
        </w:rPr>
        <w:t xml:space="preserve">指标</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能够支持日常不低于100个并发用户，当系统最大并发用户时，业务流程性能达到优化水平，在网络速度和终端配置有保证的前提下，操作不应该感觉明显时滞。当数据量或业务量增加时，系统应具有良好的可伸缩性以满足对系统功能、性能的要求。</w:t>
      </w:r>
      <w:r/>
    </w:p>
    <w:p>
      <w:pPr>
        <w:pStyle w:val="970"/>
        <w:spacing w:line="372" w:lineRule="auto"/>
      </w:pPr>
      <w:r>
        <w:rPr>
          <w:rFonts w:hint="eastAsia"/>
        </w:rPr>
        <w:t xml:space="preserve">国产化数据库</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产品需为集中式关系型数据库，符合信创要求。具有跨操作系统平台的能力，Linux、麒麟、UOS等操作系统等，支持INTEL、鲲鹏、飞腾等处理器。</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数据库产品通过中国信息安全测评中心或国家保密科技测评中心的安全可靠评测，获得安全可靠等级“I级”。</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数据库支持备份恢复功能，支持逻辑备份、物理备份功能。逻辑备份支持按照多个级别的压缩比进行备份，支持按照指定字符集编码进行转储，支持按照指定条件转储指定部分的数据，支持加密、并行处理等功能。物理备份支持联机热备，支持全量备份、增量备份，差异备份、并支持并行处理、zlib、pglz压缩算法，支持按照多个级别的压缩比进行备份，支持进行备份集的合并，支持设置备份的留存策略，支持PITR指定时间点恢复。逻辑和物理备份均支持本地和远程备份。</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支持HA故障转移集群和主备同步技术，支持共享存储集群。</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支持读写分离以及故障转移功能，支持主从、一主多从、级联复制等架构，从库能设置延迟复制和优选提交复制。</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集群在确保RPO=0的前提下，可以实现RTO≤10s。</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支持空间数据功能，支持丰富的原生几何数据类型，包括点、线、面、多点、多线、多面、几何集合等；支持EWKT、EWKB和Canonical格式的几何对象；支持2D/3D坐标系、坐标系转换和球体长度计算；支持空间数据分析函数和聚合函数，包括Area、Length、Distance、Extent、ST_3DLineInterpolatePoint等；支持二元谓词如如Union和Difference，空间操作符如Contains、Within、Overlaps、Touches等。</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过程性语言支持自治事务，包括存储过程、自定义函数、触发器以及匿名块。存储过程支持自治事务的嵌套调用。</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支持系统性能监控动态视图，TOP SQL信息、内存管理信息、事务信息、线程信息、操作历史等信息。</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支持基于成本的全局优化功能，实现基于成本的查询机制，能够选择合适的查询计划；数据库内核支持并行查询技术，且能够完全自动化启动并行查询，无需人工启动或干预。</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内置内存引擎，是真正的存储引擎，可通过简单操作语句直接指定是否启用内存引擎。能够实现在同一个实例中内存表跟普通的磁盘表的共存，内存表支持ACID、常用SQL语法、存储过程和数据持久化等功能特性，针对内存表支持使用PREPARE语句的查询原生编译。</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提供专业的迁移工具，支持B/S部署模式，允许设置不同的用户、角色，可多人同时登录执行迁移相关工作。迁移工具需具备评估、自动转换、迁移、数据校验等核心能力，至少支持Oracle、MySQL、SQL SERVER、DB2、JDBC、Kafka作为数据源；支持对数据库结构信息、存储过程以及应用SQL进行兼容性评估分析，生成的评估报告，可预估迁移人工改造工作量、</w:t>
      </w:r>
      <w:r>
        <w:rPr>
          <w:rFonts w:hint="eastAsia" w:ascii="宋体" w:hAnsi="宋体" w:eastAsia="宋体" w:cs="宋体"/>
          <w:sz w:val="21"/>
          <w:szCs w:val="21"/>
        </w:rPr>
        <w:t xml:space="preserve">可以提供SQL语句的改造建议、支持通过扫描MyBatis的mapper文件进行兼容性评估；支持数据库对象DDL自动转换、包括存储过程和自定义函数的自动改写、编码转换、特殊字符自动处理等；迁移完毕后，可针对表验包括数据行数和数据内容的一致性；迁移工具需提供全图形化操作界面，在评估或迁移任务有进度条和百分比显示、提供图形界面设置单批次数据迁移抽取的行的数量、并行度、自定义迁移规则、集中批量的迁移规则定义为迁移模板；迁移工具需支持全量迁移、增量迁移。同时支持目标数据库到到源数据库的反向增量迁移；支持在线手工改写。</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可支持不止一种的多版本并发控制（MVCC）机制，同一行的数据记录经过事务的修改，新老数据记录根据所选的机制不同，可存放在表的同一页面中，或者新数据存在表数据页中、老数据存放在专用的回滚空间中. 多种MVCC机制可以更好的适应不同的业务场景。</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支持表压缩功能，能够分别支持行存表压缩和列存表压缩。</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TPC-C测试在数据库集群环境下7*24小时内无故障，运行成功率99.99%。</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对于简单sql，可跳过执行器执行框架，并且直接调用存储接口，加速简单查询的执行速度。</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支持全密态等值查询功能，全密态数据库提供数据整个生命周期中的隐私保护，涵盖网络传输、数据存储以及数据运行态，密态等值查询通过技术手段实现数据库密文查询和计算，实现数据拥有者与数据管理者读取能力分离。支持动态数据脱敏，在不改变源数据的前提下，通过在脱敏策略上配置针对的用户场景（FILTER）、指定的敏感列标签（LABEL）和对应的脱敏方式（MASKING FUNCTION）来灵活地进行隐私数据保护。</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支持自主访问控制、基于安全标签的强制访问控制、用户角色三权分立、审计、加密、身份识别与验证等安全功能</w:t>
      </w:r>
      <w:r/>
    </w:p>
    <w:p>
      <w:pPr>
        <w:pStyle w:val="1066"/>
        <w:ind w:firstLine="420"/>
        <w:rPr>
          <w:rFonts w:hAnsi="宋体" w:cs="宋体"/>
          <w:sz w:val="21"/>
          <w:szCs w:val="21"/>
        </w:rPr>
      </w:pPr>
      <w:r>
        <w:rPr>
          <w:rFonts w:hAnsi="宋体" w:cs="宋体"/>
          <w:sz w:val="21"/>
          <w:szCs w:val="21"/>
        </w:rPr>
      </w:r>
      <w:r/>
    </w:p>
    <w:p>
      <w:pPr>
        <w:pStyle w:val="968"/>
      </w:pPr>
      <w:r>
        <w:rPr>
          <w:rFonts w:hint="eastAsia"/>
        </w:rPr>
        <w:t xml:space="preserve">市公安局视频综合平台升级</w:t>
      </w:r>
      <w:r/>
    </w:p>
    <w:p>
      <w:pPr>
        <w:pStyle w:val="969"/>
        <w:rPr>
          <w:lang w:eastAsia="zh-Hans"/>
        </w:rPr>
      </w:pPr>
      <w:r>
        <w:rPr>
          <w:rFonts w:hint="eastAsia"/>
        </w:rPr>
        <w:t xml:space="preserve">系统概述</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本次平台升级是由多个子系统应用组成，通过统一集成框架实现多个业务系统的统一登录、统一入口、统一展现，实现用户和权限的统一管理分配。</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平台业务组成可归纳为如下个方面：</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提供通用服务功能，包括集成核心服务、校时服务、权限等。</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通过视频技术与智能采集、智能分析及大数据分析技术的融合，实现包括车辆、人体、人脸、移动终端信息采集以及人体动态特征采集的大数据分析、查询、布控、比对。（其中车辆、人脸、人体解析能为平台预留功能拓展入口）</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提供基础视频应用，通过集成联网共享、DAC、电视墙组件等，实现视频预览、回放、视频预案等服务，实现视频资源全面监控与集中统一管理。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提供数据统计服务管理，以数据可视化方式直观呈现系统数据采集成效和现状。 </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提供地图应用模块，实现视频数据的时空关系分析和可视化应用。</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提供丰富的应用终端，包括PC端的BS和CS客户端以及移动客户端，以具备可扩展性的框架提供实用的视频应用等工具，满足公安日常视频业务应用。</w:t>
      </w:r>
      <w:r/>
    </w:p>
    <w:p>
      <w:pPr>
        <w:pStyle w:val="969"/>
        <w:rPr>
          <w:lang w:eastAsia="zh-Hans"/>
        </w:rPr>
      </w:pPr>
      <w:r>
        <w:rPr>
          <w:rFonts w:hint="eastAsia"/>
        </w:rPr>
        <w:t xml:space="preserve">建设指标</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支持本级至少300个用户并发；</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支持本级至少10W路视频监控接入,本级并发取流不做限制；</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至少300路中心存储录像回放；</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支持下级汇聚的至少10W路监控点位数、至少10W路本级向上级点位推送，至少20个下级平台接入、级联点位并发取流不做限制；</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支持至少150路跨网视频分发；</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支持管理本级至少27台电视墙，目前服务器配置最大管理至少40台，可弹性拓展；</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支持本级至少10W路视频运维；</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支持人脸 、人体、车辆、技战法、算法拓展、支持其它应用拓展功能；</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对外可提供API；</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支持35114平台拓展能力；</w:t>
      </w:r>
      <w:r/>
    </w:p>
    <w:p>
      <w:pPr>
        <w:pStyle w:val="969"/>
        <w:rPr>
          <w:lang w:eastAsia="zh-Hans"/>
        </w:rPr>
      </w:pPr>
      <w:r>
        <w:rPr>
          <w:rFonts w:hint="eastAsia"/>
        </w:rPr>
        <w:t xml:space="preserve">主要设备参数</w:t>
      </w:r>
      <w:r/>
    </w:p>
    <w:p>
      <w:pPr>
        <w:pStyle w:val="970"/>
      </w:pPr>
      <w:r>
        <w:rPr>
          <w:rFonts w:hint="eastAsia"/>
        </w:rPr>
        <w:t xml:space="preserve">核心服务器</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处理器：至少</w:t>
      </w:r>
      <w:r>
        <w:rPr>
          <w:rFonts w:hint="eastAsia" w:ascii="宋体" w:hAnsi="宋体" w:eastAsia="宋体" w:cs="宋体"/>
          <w:sz w:val="21"/>
          <w:szCs w:val="21"/>
          <w:lang w:eastAsia="zh-Hans"/>
        </w:rPr>
        <w:t xml:space="preserve">2颗</w:t>
      </w:r>
      <w:r>
        <w:rPr>
          <w:rFonts w:hint="eastAsia" w:ascii="宋体" w:hAnsi="宋体" w:eastAsia="宋体" w:cs="宋体"/>
          <w:sz w:val="21"/>
          <w:szCs w:val="21"/>
        </w:rPr>
        <w:t xml:space="preserve">国产A</w:t>
      </w:r>
      <w:r>
        <w:rPr>
          <w:rFonts w:ascii="宋体" w:hAnsi="宋体" w:eastAsia="宋体" w:cs="宋体"/>
          <w:sz w:val="21"/>
          <w:szCs w:val="21"/>
        </w:rPr>
        <w:t xml:space="preserve">RM架构</w:t>
      </w:r>
      <w:r>
        <w:rPr>
          <w:rFonts w:hint="eastAsia" w:ascii="宋体" w:hAnsi="宋体" w:eastAsia="宋体" w:cs="宋体"/>
          <w:sz w:val="21"/>
          <w:szCs w:val="21"/>
          <w:lang w:eastAsia="zh-Hans"/>
        </w:rPr>
        <w:t xml:space="preserve">处理器，单颗处理器核数≥32</w:t>
      </w:r>
      <w:r>
        <w:rPr>
          <w:rFonts w:hint="eastAsia" w:ascii="宋体" w:hAnsi="宋体" w:eastAsia="宋体" w:cs="宋体"/>
          <w:sz w:val="21"/>
          <w:szCs w:val="21"/>
        </w:rPr>
        <w:t xml:space="preserve">，主频≥2.6GHz；</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内存：≥256GB；</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硬盘：≥2块600G SAS盘；</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RAID卡： Raid磁盘阵列卡；</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网口：≥4*GE网口，≥2*10GE网口（含光模块）；</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电源：配置双冗余热插拔电源，额定功率≥900W；</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服务：3年质保服务、3年介质不返还服务。</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环境温度：长期工作环境温度支持5-40度；</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BMC管理：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1）集成系统管理处理器支持：自动服务器重启、风扇监视和控制、电源监控、温度监控、启动/关闭、按序重启、本地固件更新、错误日志，可通过可视化工具提供系统未来状况的可视显示；</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2）具有图形管理界面及其他高级管理功能；</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3）配置独立的远程管理控制端口，支持远程监控图形界面, 可实现与操作系统无关的远程对服务器的完全控制，包括远程的开机、关机、重启、虚拟软驱、虚拟光驱等操作</w:t>
      </w:r>
      <w:r/>
    </w:p>
    <w:p>
      <w:pPr>
        <w:pStyle w:val="970"/>
      </w:pPr>
      <w:r>
        <w:rPr>
          <w:rFonts w:hint="eastAsia"/>
        </w:rPr>
        <w:t xml:space="preserve">日志服务器</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处理器：至少</w:t>
      </w:r>
      <w:r>
        <w:rPr>
          <w:rFonts w:hint="eastAsia" w:ascii="宋体" w:hAnsi="宋体" w:eastAsia="宋体" w:cs="宋体"/>
          <w:sz w:val="21"/>
          <w:szCs w:val="21"/>
          <w:lang w:eastAsia="zh-Hans"/>
        </w:rPr>
        <w:t xml:space="preserve">2颗</w:t>
      </w:r>
      <w:r>
        <w:rPr>
          <w:rFonts w:hint="eastAsia" w:ascii="宋体" w:hAnsi="宋体" w:eastAsia="宋体" w:cs="宋体"/>
          <w:sz w:val="21"/>
          <w:szCs w:val="21"/>
        </w:rPr>
        <w:t xml:space="preserve">国产A</w:t>
      </w:r>
      <w:r>
        <w:rPr>
          <w:rFonts w:ascii="宋体" w:hAnsi="宋体" w:eastAsia="宋体" w:cs="宋体"/>
          <w:sz w:val="21"/>
          <w:szCs w:val="21"/>
        </w:rPr>
        <w:t xml:space="preserve">RM架构</w:t>
      </w:r>
      <w:r>
        <w:rPr>
          <w:rFonts w:hint="eastAsia" w:ascii="宋体" w:hAnsi="宋体" w:eastAsia="宋体" w:cs="宋体"/>
          <w:sz w:val="21"/>
          <w:szCs w:val="21"/>
          <w:lang w:eastAsia="zh-Hans"/>
        </w:rPr>
        <w:t xml:space="preserve">处理器，单颗处理器核数≥32</w:t>
      </w:r>
      <w:r>
        <w:rPr>
          <w:rFonts w:hint="eastAsia" w:ascii="宋体" w:hAnsi="宋体" w:eastAsia="宋体" w:cs="宋体"/>
          <w:sz w:val="21"/>
          <w:szCs w:val="21"/>
        </w:rPr>
        <w:t xml:space="preserve">，主频≥2.6GHz；</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内存：≥64GB；</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硬盘：≥2块960G SSD盘；</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RAID卡： Raid磁盘阵列卡；</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网口：≥4*GE网口，≥2*10GE网口（含光模块）；</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电源：配置双冗余热插拔电源，额定功率≥900W；</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服务：3年质保服务、3年介质不返还服务。</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环境温度：长期工作环境温度支持5-40度；</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BMC管理：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1）集成系统管理处理器支持：自动服务器重启、风扇监视和控制、电源监控、温度监控、启动/关闭、按序重启、本地固件更新、错误日志，可通过可视化工具提供系统未来状况的可视显示；</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2）具有图形管理界面及其他高级管理功能；</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3）配置独立的远程管理控制端口，支持远程监控图形界面, 可实现与操作系统无关的远程对服务器的完全控制，包括远程的开机、关机、重启、虚拟软驱、虚拟光驱等操作</w:t>
      </w:r>
      <w:r/>
    </w:p>
    <w:p>
      <w:pPr>
        <w:pStyle w:val="970"/>
      </w:pPr>
      <w:r>
        <w:rPr>
          <w:rFonts w:hint="eastAsia"/>
        </w:rPr>
        <w:t xml:space="preserve">全文检索服务器</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处理器：至少</w:t>
      </w:r>
      <w:r>
        <w:rPr>
          <w:rFonts w:hint="eastAsia" w:ascii="宋体" w:hAnsi="宋体" w:eastAsia="宋体" w:cs="宋体"/>
          <w:sz w:val="21"/>
          <w:szCs w:val="21"/>
          <w:lang w:eastAsia="zh-Hans"/>
        </w:rPr>
        <w:t xml:space="preserve">2颗</w:t>
      </w:r>
      <w:r>
        <w:rPr>
          <w:rFonts w:hint="eastAsia" w:ascii="宋体" w:hAnsi="宋体" w:eastAsia="宋体" w:cs="宋体"/>
          <w:sz w:val="21"/>
          <w:szCs w:val="21"/>
        </w:rPr>
        <w:t xml:space="preserve">国产A</w:t>
      </w:r>
      <w:r>
        <w:rPr>
          <w:rFonts w:ascii="宋体" w:hAnsi="宋体" w:eastAsia="宋体" w:cs="宋体"/>
          <w:sz w:val="21"/>
          <w:szCs w:val="21"/>
        </w:rPr>
        <w:t xml:space="preserve">RM架构</w:t>
      </w:r>
      <w:r>
        <w:rPr>
          <w:rFonts w:hint="eastAsia" w:ascii="宋体" w:hAnsi="宋体" w:eastAsia="宋体" w:cs="宋体"/>
          <w:sz w:val="21"/>
          <w:szCs w:val="21"/>
          <w:lang w:eastAsia="zh-Hans"/>
        </w:rPr>
        <w:t xml:space="preserve">处理器，单颗处理器核数≥32</w:t>
      </w:r>
      <w:r>
        <w:rPr>
          <w:rFonts w:hint="eastAsia" w:ascii="宋体" w:hAnsi="宋体" w:eastAsia="宋体" w:cs="宋体"/>
          <w:sz w:val="21"/>
          <w:szCs w:val="21"/>
        </w:rPr>
        <w:t xml:space="preserve">，主频≥2.6GHz；</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内存：≥64GB；</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硬盘：≥2块960G SSD盘；</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RAID卡： Raid磁盘阵列卡；</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网口：≥4*GE网口，≥2*10GE网口（含光模块）；</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电源：配置双冗余热插拔电源，额定功率≥900W；</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服务：3年质保服务、3年介质不返还服务。</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环境温度：长期工作环境温度支持5-40度；</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BMC管理：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1）集成系统管理处理器支持：自动服务器重启、风扇监视和控制、电源监控、温度监控、启动/关闭、按序重启、本地固件更新、错误日志，可通过可视化工具提供系统未来状况的可视显示；</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2）具有图形管理界面及其他高级管理功能；</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3）配置独立的远程管理控制端口，支持远程监控图形界面, 可实现与操作系统无关的远程对服务器的完全控制，包括远程的开机、关机、重启、虚拟软驱、虚拟光驱等操作</w:t>
      </w:r>
      <w:r/>
    </w:p>
    <w:p>
      <w:pPr>
        <w:pStyle w:val="970"/>
      </w:pPr>
      <w:r>
        <w:rPr>
          <w:rFonts w:hint="eastAsia"/>
        </w:rPr>
        <w:t xml:space="preserve">基础应用服务器</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处理器：至少</w:t>
      </w:r>
      <w:r>
        <w:rPr>
          <w:rFonts w:hint="eastAsia" w:ascii="宋体" w:hAnsi="宋体" w:eastAsia="宋体" w:cs="宋体"/>
          <w:sz w:val="21"/>
          <w:szCs w:val="21"/>
          <w:lang w:eastAsia="zh-Hans"/>
        </w:rPr>
        <w:t xml:space="preserve">2颗</w:t>
      </w:r>
      <w:r>
        <w:rPr>
          <w:rFonts w:hint="eastAsia" w:ascii="宋体" w:hAnsi="宋体" w:eastAsia="宋体" w:cs="宋体"/>
          <w:sz w:val="21"/>
          <w:szCs w:val="21"/>
        </w:rPr>
        <w:t xml:space="preserve">国产A</w:t>
      </w:r>
      <w:r>
        <w:rPr>
          <w:rFonts w:ascii="宋体" w:hAnsi="宋体" w:eastAsia="宋体" w:cs="宋体"/>
          <w:sz w:val="21"/>
          <w:szCs w:val="21"/>
        </w:rPr>
        <w:t xml:space="preserve">RM架构</w:t>
      </w:r>
      <w:r>
        <w:rPr>
          <w:rFonts w:hint="eastAsia" w:ascii="宋体" w:hAnsi="宋体" w:eastAsia="宋体" w:cs="宋体"/>
          <w:sz w:val="21"/>
          <w:szCs w:val="21"/>
          <w:lang w:eastAsia="zh-Hans"/>
        </w:rPr>
        <w:t xml:space="preserve">处理器，单颗处理器核数≥32</w:t>
      </w:r>
      <w:r>
        <w:rPr>
          <w:rFonts w:hint="eastAsia" w:ascii="宋体" w:hAnsi="宋体" w:eastAsia="宋体" w:cs="宋体"/>
          <w:sz w:val="21"/>
          <w:szCs w:val="21"/>
        </w:rPr>
        <w:t xml:space="preserve">，主频≥2.6GHz；</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内存：≥256GB；</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硬盘：≥2块600G SAS盘；</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RAID卡： Raid磁盘阵列卡；</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网口：≥4*GE网口，≥2*10GE网口（含光模块）；</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电源：配置双冗余热插拔电源，额定功率≥900W；</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服务：3年质保服务、3年介质不返还服务。</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环境温度：长期工作环境温度支持5-40度；</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BMC管理：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1）集成系统管理处理器支持：自动服务器重启、风扇监视和控制、电源监控、温度监控、启动/关闭、按序重启、本地固件更新、错误日志，可通过可视化工具提供系统未来状况的可视显示；</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2）具有图形管理界面及其他高级管理功能；</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3）配置独立的远程管理控制端口，支持远程监控图形界面, 可实现与操作系统无关的远程对服务器的完全控制，包括远程的开机、关机、重启、虚拟软驱、虚拟光驱等操作</w:t>
      </w:r>
      <w:r/>
    </w:p>
    <w:p>
      <w:pPr>
        <w:pStyle w:val="970"/>
      </w:pPr>
      <w:r>
        <w:rPr>
          <w:rFonts w:hint="eastAsia"/>
        </w:rPr>
        <w:t xml:space="preserve">接入-联网服务器</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处理器：至少</w:t>
      </w:r>
      <w:r>
        <w:rPr>
          <w:rFonts w:hint="eastAsia" w:ascii="宋体" w:hAnsi="宋体" w:eastAsia="宋体" w:cs="宋体"/>
          <w:sz w:val="21"/>
          <w:szCs w:val="21"/>
          <w:lang w:eastAsia="zh-Hans"/>
        </w:rPr>
        <w:t xml:space="preserve">2颗</w:t>
      </w:r>
      <w:r>
        <w:rPr>
          <w:rFonts w:hint="eastAsia" w:ascii="宋体" w:hAnsi="宋体" w:eastAsia="宋体" w:cs="宋体"/>
          <w:sz w:val="21"/>
          <w:szCs w:val="21"/>
        </w:rPr>
        <w:t xml:space="preserve">国产A</w:t>
      </w:r>
      <w:r>
        <w:rPr>
          <w:rFonts w:ascii="宋体" w:hAnsi="宋体" w:eastAsia="宋体" w:cs="宋体"/>
          <w:sz w:val="21"/>
          <w:szCs w:val="21"/>
        </w:rPr>
        <w:t xml:space="preserve">RM架构</w:t>
      </w:r>
      <w:r>
        <w:rPr>
          <w:rFonts w:hint="eastAsia" w:ascii="宋体" w:hAnsi="宋体" w:eastAsia="宋体" w:cs="宋体"/>
          <w:sz w:val="21"/>
          <w:szCs w:val="21"/>
          <w:lang w:eastAsia="zh-Hans"/>
        </w:rPr>
        <w:t xml:space="preserve">处理器，单颗处理器核数≥32</w:t>
      </w:r>
      <w:r>
        <w:rPr>
          <w:rFonts w:hint="eastAsia" w:ascii="宋体" w:hAnsi="宋体" w:eastAsia="宋体" w:cs="宋体"/>
          <w:sz w:val="21"/>
          <w:szCs w:val="21"/>
        </w:rPr>
        <w:t xml:space="preserve">，主频≥2.6GHz；</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内存：≥256GB；</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硬盘：≥2块600G SAS盘；</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RAID卡： Raid磁盘阵列卡；</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网口：≥4*GE网口，≥2*10GE网口（含光模块）；</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电源：配置双冗余热插拔电源，额定功率≥900W；</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服务：3年质保服务、3年介质不返还服务。</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环境温度：长期工作环境温度支持5-40度；</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BMC管理：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1）集成系统管理处理器支持：自动服务器重启、风扇监视和控制、电源监控、温度监控、启动/关闭、按序重启、本地固件更新、错误日志，可通过可视化工具提供系统未来状况的可视显示；</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2）具有图形管理界面及其他高级管理功能；</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3）配置独立的远程管理控制端口，支持远程监控图形界面, 可实现与操作系统无关的远程对服务器的完全控制，包括远程的开机、关机、重启、虚拟软驱、虚拟光驱等操作</w:t>
      </w:r>
      <w:r/>
    </w:p>
    <w:p>
      <w:pPr>
        <w:pStyle w:val="970"/>
      </w:pPr>
      <w:r>
        <w:rPr>
          <w:rFonts w:hint="eastAsia"/>
        </w:rPr>
        <w:t xml:space="preserve">资源管理调度服务器</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处理器：至少</w:t>
      </w:r>
      <w:r>
        <w:rPr>
          <w:rFonts w:hint="eastAsia" w:ascii="宋体" w:hAnsi="宋体" w:eastAsia="宋体" w:cs="宋体"/>
          <w:sz w:val="21"/>
          <w:szCs w:val="21"/>
          <w:lang w:eastAsia="zh-Hans"/>
        </w:rPr>
        <w:t xml:space="preserve">2颗</w:t>
      </w:r>
      <w:r>
        <w:rPr>
          <w:rFonts w:hint="eastAsia" w:ascii="宋体" w:hAnsi="宋体" w:eastAsia="宋体" w:cs="宋体"/>
          <w:sz w:val="21"/>
          <w:szCs w:val="21"/>
        </w:rPr>
        <w:t xml:space="preserve">国产A</w:t>
      </w:r>
      <w:r>
        <w:rPr>
          <w:rFonts w:ascii="宋体" w:hAnsi="宋体" w:eastAsia="宋体" w:cs="宋体"/>
          <w:sz w:val="21"/>
          <w:szCs w:val="21"/>
        </w:rPr>
        <w:t xml:space="preserve">RM架构</w:t>
      </w:r>
      <w:r>
        <w:rPr>
          <w:rFonts w:hint="eastAsia" w:ascii="宋体" w:hAnsi="宋体" w:eastAsia="宋体" w:cs="宋体"/>
          <w:sz w:val="21"/>
          <w:szCs w:val="21"/>
          <w:lang w:eastAsia="zh-Hans"/>
        </w:rPr>
        <w:t xml:space="preserve">处理器，单颗处理器核数≥32</w:t>
      </w:r>
      <w:r>
        <w:rPr>
          <w:rFonts w:hint="eastAsia" w:ascii="宋体" w:hAnsi="宋体" w:eastAsia="宋体" w:cs="宋体"/>
          <w:sz w:val="21"/>
          <w:szCs w:val="21"/>
        </w:rPr>
        <w:t xml:space="preserve">，主频≥2.6GHz；</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内存：≥256GB；</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硬盘：≥2块600G SAS盘；</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RAID卡： Raid磁盘阵列卡；</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网口：≥4*GE网口，≥2*10GE网口（含光模块）；</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电源：配置双冗余热插拔电源，额定功率≥900W；</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服务：3年质保服务、3年介质不返还服务。</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环境温度：长期工作环境温度支持5-40度；</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BMC管理：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1）集成系统管理处理器支持：自动服务器重启、风扇监视和控制、电源监控、温度监控、启动/关闭、按序重启、本地固件更新、错误日志，可通过可视化工具提供系统未来状况的可视显示；</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2）具有图形管理界面及其他高级管理功能；</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3）配置独立的远程管理控制端口，支持远程监控图形界面, 可实现与操作系统无关的远程对服务器的完全控制，包括远程的开机、关机、重启、虚拟软驱、虚拟光驱等操作</w:t>
      </w:r>
      <w:r/>
    </w:p>
    <w:p>
      <w:pPr>
        <w:pStyle w:val="970"/>
      </w:pPr>
      <w:r>
        <w:rPr>
          <w:rFonts w:hint="eastAsia"/>
        </w:rPr>
        <w:t xml:space="preserve">媒体服务器</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处理器：至少</w:t>
      </w:r>
      <w:r>
        <w:rPr>
          <w:rFonts w:hint="eastAsia" w:ascii="宋体" w:hAnsi="宋体" w:eastAsia="宋体" w:cs="宋体"/>
          <w:sz w:val="21"/>
          <w:szCs w:val="21"/>
          <w:lang w:eastAsia="zh-Hans"/>
        </w:rPr>
        <w:t xml:space="preserve">2颗</w:t>
      </w:r>
      <w:r>
        <w:rPr>
          <w:rFonts w:hint="eastAsia" w:ascii="宋体" w:hAnsi="宋体" w:eastAsia="宋体" w:cs="宋体"/>
          <w:sz w:val="21"/>
          <w:szCs w:val="21"/>
        </w:rPr>
        <w:t xml:space="preserve">国产A</w:t>
      </w:r>
      <w:r>
        <w:rPr>
          <w:rFonts w:ascii="宋体" w:hAnsi="宋体" w:eastAsia="宋体" w:cs="宋体"/>
          <w:sz w:val="21"/>
          <w:szCs w:val="21"/>
        </w:rPr>
        <w:t xml:space="preserve">RM架构</w:t>
      </w:r>
      <w:r>
        <w:rPr>
          <w:rFonts w:hint="eastAsia" w:ascii="宋体" w:hAnsi="宋体" w:eastAsia="宋体" w:cs="宋体"/>
          <w:sz w:val="21"/>
          <w:szCs w:val="21"/>
          <w:lang w:eastAsia="zh-Hans"/>
        </w:rPr>
        <w:t xml:space="preserve">处理器，单颗处理器核数≥32</w:t>
      </w:r>
      <w:r>
        <w:rPr>
          <w:rFonts w:hint="eastAsia" w:ascii="宋体" w:hAnsi="宋体" w:eastAsia="宋体" w:cs="宋体"/>
          <w:sz w:val="21"/>
          <w:szCs w:val="21"/>
        </w:rPr>
        <w:t xml:space="preserve">，主频≥2.6GHz；</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内存：≥128GB；</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硬盘：≥2块600G SAS盘；</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RAID卡： Raid磁盘阵列卡；</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网口：≥4*GE网口，≥2*10GE网口（含光模块）；</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电源：配置双冗余热插拔电源，额定功率≥900W；</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服务：3年质保服务、3年介质不返还服务。</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环境温度：长期工作环境温度支持5-40度；</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BMC管理：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1）集成系统管理处理器支持：自动服务器重启、风扇监视和控制、电源监控、温度监控、启动/关闭、按序重启、本地固件更新、错误日志，可通过可视化工具提供系统未来状况的可视显示；</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2）具有图形管理界面及其他高级管理功能；</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3）配置独立的远程管理控制端口，支持远程监控图形界面, 可实现与操作系统无关的远程对服务器的完全控制，包括远程的开机、关机、重启、虚拟软驱、虚拟光驱等操作</w:t>
      </w:r>
      <w:r/>
    </w:p>
    <w:p>
      <w:pPr>
        <w:pStyle w:val="970"/>
      </w:pPr>
      <w:r>
        <w:rPr>
          <w:rFonts w:hint="eastAsia"/>
        </w:rPr>
        <w:t xml:space="preserve">接入-网管-点播服务器</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处理器：至少</w:t>
      </w:r>
      <w:r>
        <w:rPr>
          <w:rFonts w:hint="eastAsia" w:ascii="宋体" w:hAnsi="宋体" w:eastAsia="宋体" w:cs="宋体"/>
          <w:sz w:val="21"/>
          <w:szCs w:val="21"/>
          <w:lang w:eastAsia="zh-Hans"/>
        </w:rPr>
        <w:t xml:space="preserve">2颗</w:t>
      </w:r>
      <w:r>
        <w:rPr>
          <w:rFonts w:hint="eastAsia" w:ascii="宋体" w:hAnsi="宋体" w:eastAsia="宋体" w:cs="宋体"/>
          <w:sz w:val="21"/>
          <w:szCs w:val="21"/>
        </w:rPr>
        <w:t xml:space="preserve">国产A</w:t>
      </w:r>
      <w:r>
        <w:rPr>
          <w:rFonts w:ascii="宋体" w:hAnsi="宋体" w:eastAsia="宋体" w:cs="宋体"/>
          <w:sz w:val="21"/>
          <w:szCs w:val="21"/>
        </w:rPr>
        <w:t xml:space="preserve">RM架构</w:t>
      </w:r>
      <w:r>
        <w:rPr>
          <w:rFonts w:hint="eastAsia" w:ascii="宋体" w:hAnsi="宋体" w:eastAsia="宋体" w:cs="宋体"/>
          <w:sz w:val="21"/>
          <w:szCs w:val="21"/>
          <w:lang w:eastAsia="zh-Hans"/>
        </w:rPr>
        <w:t xml:space="preserve">处理器，单颗处理器核数≥32</w:t>
      </w:r>
      <w:r>
        <w:rPr>
          <w:rFonts w:hint="eastAsia" w:ascii="宋体" w:hAnsi="宋体" w:eastAsia="宋体" w:cs="宋体"/>
          <w:sz w:val="21"/>
          <w:szCs w:val="21"/>
        </w:rPr>
        <w:t xml:space="preserve">，主频≥2.6GHz；</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内存：≥128GB；</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硬盘：≥2块600G SAS盘；</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RAID卡： Raid磁盘阵列卡；</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网口：≥4*GE网口，≥2*10GE网口（含光模块）；</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电源：配置双冗余热插拔电源，额定功率≥900W；</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服务：3年质保服务、3年介质不返还服务。</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环境温度：长期工作环境温度支持5-40度；</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BMC管理：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1）集成系统管理处理器支持：自动服务器重启、风扇监视和控制、电源监控、温度监控、启动/关闭、按序重启、本地固件更新、错误日志，可通过可视化工具提供系统未来状况的可视显示；</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2）具有图形管理界面及其他高级管理功能；</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3）配置独立的远程管理控制端口，支持远程监控图形界面, 可实现与操作系统无关的远程对服务器的完全控制，包括远程的开机、关机、重启、虚拟软驱、虚拟光驱等操作</w:t>
      </w:r>
      <w:r/>
    </w:p>
    <w:p>
      <w:pPr>
        <w:pStyle w:val="970"/>
      </w:pPr>
      <w:r>
        <w:rPr>
          <w:rFonts w:hint="eastAsia"/>
        </w:rPr>
        <w:t xml:space="preserve">点位治理服务一体机</w:t>
      </w:r>
      <w:r/>
    </w:p>
    <w:p>
      <w:pPr>
        <w:ind w:firstLine="420"/>
        <w:spacing w:line="360" w:lineRule="auto"/>
        <w:rPr>
          <w:rFonts w:ascii="宋体" w:hAnsi="宋体" w:eastAsia="宋体" w:cs="宋体"/>
          <w:sz w:val="21"/>
          <w:szCs w:val="21"/>
        </w:rPr>
      </w:pPr>
      <w:r>
        <w:rPr>
          <w:rFonts w:hint="eastAsia" w:ascii="宋体" w:hAnsi="宋体" w:eastAsia="宋体" w:cs="宋体"/>
          <w:sz w:val="21"/>
          <w:szCs w:val="21"/>
          <w:lang w:eastAsia="zh-Hans"/>
        </w:rPr>
        <w:t xml:space="preserve">★</w:t>
      </w:r>
      <w:r>
        <w:rPr>
          <w:rFonts w:hint="eastAsia" w:ascii="宋体" w:hAnsi="宋体" w:eastAsia="宋体" w:cs="宋体"/>
          <w:sz w:val="21"/>
          <w:szCs w:val="21"/>
        </w:rPr>
        <w:t xml:space="preserve">处理器：至少</w:t>
      </w:r>
      <w:r>
        <w:rPr>
          <w:rFonts w:hint="eastAsia" w:ascii="宋体" w:hAnsi="宋体" w:eastAsia="宋体" w:cs="宋体"/>
          <w:sz w:val="21"/>
          <w:szCs w:val="21"/>
          <w:lang w:eastAsia="zh-Hans"/>
        </w:rPr>
        <w:t xml:space="preserve">2颗</w:t>
      </w:r>
      <w:r>
        <w:rPr>
          <w:rFonts w:hint="eastAsia" w:ascii="宋体" w:hAnsi="宋体" w:eastAsia="宋体" w:cs="宋体"/>
          <w:sz w:val="21"/>
          <w:szCs w:val="21"/>
        </w:rPr>
        <w:t xml:space="preserve">国产A</w:t>
      </w:r>
      <w:r>
        <w:rPr>
          <w:rFonts w:ascii="宋体" w:hAnsi="宋体" w:eastAsia="宋体" w:cs="宋体"/>
          <w:sz w:val="21"/>
          <w:szCs w:val="21"/>
        </w:rPr>
        <w:t xml:space="preserve">RM架构</w:t>
      </w:r>
      <w:r>
        <w:rPr>
          <w:rFonts w:hint="eastAsia" w:ascii="宋体" w:hAnsi="宋体" w:eastAsia="宋体" w:cs="宋体"/>
          <w:sz w:val="21"/>
          <w:szCs w:val="21"/>
          <w:lang w:eastAsia="zh-Hans"/>
        </w:rPr>
        <w:t xml:space="preserve">处理器，单颗处理器核数≥32</w:t>
      </w:r>
      <w:r>
        <w:rPr>
          <w:rFonts w:hint="eastAsia" w:ascii="宋体" w:hAnsi="宋体" w:eastAsia="宋体" w:cs="宋体"/>
          <w:sz w:val="21"/>
          <w:szCs w:val="21"/>
        </w:rPr>
        <w:t xml:space="preserve">，主频≥2.6GHz；</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内存：≥128GB；</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硬盘：≥2块600G SAS盘；</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RAID卡： Raid磁盘阵列卡；</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网口：≥4*GE网口，≥2*10GE网口（含光模块）；</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电源：配置双冗余热插拔电源，额定功率≥900W；</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服务：3年质保服务、3年介质不返还服务。</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环境温度：长期工作环境温度支持5-40度；</w:t>
      </w:r>
      <w:r/>
    </w:p>
    <w:p>
      <w:pPr>
        <w:ind w:firstLine="422"/>
        <w:spacing w:line="368" w:lineRule="auto"/>
        <w:rPr>
          <w:rFonts w:ascii="宋体" w:hAnsi="宋体" w:eastAsia="宋体" w:cs="宋体"/>
          <w:b/>
          <w:bCs/>
          <w:sz w:val="21"/>
          <w:szCs w:val="21"/>
        </w:rPr>
      </w:pPr>
      <w:r>
        <w:rPr>
          <w:rFonts w:hint="eastAsia" w:ascii="宋体" w:hAnsi="宋体" w:eastAsia="宋体" w:cs="宋体"/>
          <w:b/>
          <w:bCs/>
          <w:sz w:val="21"/>
          <w:szCs w:val="21"/>
        </w:rPr>
        <w:t xml:space="preserve">BMC管理：</w:t>
      </w:r>
      <w:r/>
    </w:p>
    <w:p>
      <w:pPr>
        <w:ind w:firstLine="420"/>
        <w:spacing w:line="368" w:lineRule="auto"/>
        <w:rPr>
          <w:rFonts w:ascii="宋体" w:hAnsi="宋体" w:eastAsia="宋体" w:cs="宋体"/>
          <w:sz w:val="21"/>
          <w:szCs w:val="21"/>
        </w:rPr>
      </w:pPr>
      <w:r>
        <w:rPr>
          <w:rFonts w:hint="eastAsia" w:ascii="宋体" w:hAnsi="宋体" w:eastAsia="宋体" w:cs="宋体"/>
          <w:sz w:val="21"/>
          <w:szCs w:val="21"/>
        </w:rPr>
        <w:t xml:space="preserve">1）集成系统管理处理器支持：自动服务器重启、风扇监视和控制、电源监控、温度监控、启动/关闭、按序重启、本地固件更新、错误日志，可通过可视化工具提供系统未来状况的可视显示；</w:t>
      </w:r>
      <w:r/>
    </w:p>
    <w:p>
      <w:pPr>
        <w:ind w:firstLine="420"/>
        <w:spacing w:line="368" w:lineRule="auto"/>
        <w:rPr>
          <w:rFonts w:ascii="宋体" w:hAnsi="宋体" w:eastAsia="宋体" w:cs="宋体"/>
          <w:sz w:val="21"/>
          <w:szCs w:val="21"/>
        </w:rPr>
      </w:pPr>
      <w:r>
        <w:rPr>
          <w:rFonts w:hint="eastAsia" w:ascii="宋体" w:hAnsi="宋体" w:eastAsia="宋体" w:cs="宋体"/>
          <w:sz w:val="21"/>
          <w:szCs w:val="21"/>
        </w:rPr>
        <w:t xml:space="preserve">2）具有图形管理界面及其他高级管理功能；</w:t>
      </w:r>
      <w:r/>
    </w:p>
    <w:p>
      <w:pPr>
        <w:ind w:firstLine="420"/>
        <w:spacing w:line="368" w:lineRule="auto"/>
        <w:rPr>
          <w:rFonts w:ascii="宋体" w:hAnsi="宋体" w:eastAsia="宋体" w:cs="宋体"/>
          <w:sz w:val="21"/>
          <w:szCs w:val="21"/>
        </w:rPr>
      </w:pPr>
      <w:r>
        <w:rPr>
          <w:rFonts w:hint="eastAsia" w:ascii="宋体" w:hAnsi="宋体" w:eastAsia="宋体" w:cs="宋体"/>
          <w:sz w:val="21"/>
          <w:szCs w:val="21"/>
        </w:rPr>
        <w:t xml:space="preserve">3）配置独立的远程管理控制端口，支持远程监控图形界面, 可实现与操作系统无关的远程对服务器的完全控制，包括远程的开机、关机、重启、虚拟软驱、虚拟光驱等操作</w:t>
      </w:r>
      <w:r/>
    </w:p>
    <w:p>
      <w:pPr>
        <w:pStyle w:val="970"/>
      </w:pPr>
      <w:r>
        <w:rPr>
          <w:rFonts w:hint="eastAsia"/>
        </w:rPr>
        <w:t xml:space="preserve">水印网关</w:t>
      </w:r>
      <w:r/>
    </w:p>
    <w:p>
      <w:pPr>
        <w:ind w:firstLine="420"/>
        <w:spacing w:line="368" w:lineRule="auto"/>
        <w:rPr>
          <w:rFonts w:ascii="宋体" w:hAnsi="宋体" w:eastAsia="宋体" w:cs="宋体"/>
          <w:sz w:val="21"/>
          <w:szCs w:val="21"/>
        </w:rPr>
      </w:pPr>
      <w:r>
        <w:rPr>
          <w:rFonts w:hint="eastAsia" w:ascii="宋体" w:hAnsi="宋体" w:eastAsia="宋体" w:cs="宋体"/>
          <w:sz w:val="21"/>
          <w:szCs w:val="21"/>
        </w:rPr>
        <w:t xml:space="preserve">视频安全：提供视频播放叠加水印功能，保证视频码流叠加水印不可擦除，视频外泄后便于用户进行溯源，维护用户视频版权；支持显示水印的展示模板配置。</w:t>
      </w:r>
      <w:r/>
    </w:p>
    <w:p>
      <w:pPr>
        <w:ind w:firstLine="420"/>
        <w:spacing w:line="368" w:lineRule="auto"/>
        <w:rPr>
          <w:rFonts w:ascii="宋体" w:hAnsi="宋体" w:eastAsia="宋体" w:cs="宋体"/>
          <w:sz w:val="21"/>
          <w:szCs w:val="21"/>
        </w:rPr>
      </w:pPr>
      <w:r>
        <w:rPr>
          <w:rFonts w:hint="eastAsia" w:ascii="宋体" w:hAnsi="宋体" w:eastAsia="宋体" w:cs="宋体"/>
          <w:sz w:val="21"/>
          <w:szCs w:val="21"/>
        </w:rPr>
        <w:t xml:space="preserve">展示方式：自定义水印位置、水印布局、水印字体、透明度、水印颜色、旋转角度。</w:t>
      </w:r>
      <w:r/>
    </w:p>
    <w:p>
      <w:pPr>
        <w:ind w:firstLine="420"/>
        <w:spacing w:line="368" w:lineRule="auto"/>
        <w:rPr>
          <w:rFonts w:ascii="宋体" w:hAnsi="宋体" w:eastAsia="宋体" w:cs="宋体"/>
          <w:sz w:val="21"/>
          <w:szCs w:val="21"/>
        </w:rPr>
      </w:pPr>
      <w:r>
        <w:rPr>
          <w:rFonts w:hint="eastAsia" w:ascii="宋体" w:hAnsi="宋体" w:eastAsia="宋体" w:cs="宋体"/>
          <w:sz w:val="21"/>
          <w:szCs w:val="21"/>
        </w:rPr>
        <w:t xml:space="preserve">水印内容：调阅者名称、调阅时间、监控点名称、IP地址及自定义内容。</w:t>
      </w:r>
      <w:r/>
    </w:p>
    <w:p>
      <w:pPr>
        <w:ind w:firstLine="420"/>
        <w:spacing w:line="368" w:lineRule="auto"/>
        <w:rPr>
          <w:rFonts w:ascii="宋体" w:hAnsi="宋体" w:eastAsia="宋体" w:cs="宋体"/>
          <w:sz w:val="21"/>
          <w:szCs w:val="21"/>
        </w:rPr>
      </w:pPr>
      <w:r>
        <w:rPr>
          <w:rFonts w:hint="eastAsia" w:ascii="宋体" w:hAnsi="宋体" w:eastAsia="宋体" w:cs="宋体"/>
          <w:sz w:val="21"/>
          <w:szCs w:val="21"/>
        </w:rPr>
        <w:t xml:space="preserve">服务对象：客户端、上级域平台、平台用户、合作方、解码上墙。</w:t>
      </w:r>
      <w:r/>
    </w:p>
    <w:p>
      <w:pPr>
        <w:ind w:firstLine="420"/>
        <w:spacing w:line="368" w:lineRule="auto"/>
        <w:rPr>
          <w:rFonts w:ascii="宋体" w:hAnsi="宋体" w:eastAsia="宋体" w:cs="宋体"/>
          <w:sz w:val="21"/>
          <w:szCs w:val="21"/>
        </w:rPr>
      </w:pPr>
      <w:r>
        <w:rPr>
          <w:rFonts w:hint="eastAsia" w:ascii="宋体" w:hAnsi="宋体" w:eastAsia="宋体" w:cs="宋体"/>
          <w:sz w:val="21"/>
          <w:szCs w:val="21"/>
        </w:rPr>
        <w:t xml:space="preserve">水印性能：支持对至少144路1080P@30fps4Mbps/至少288路720P@30fps2Mbps/至少288路D1@30fps1Mbps叠加水印。</w:t>
      </w:r>
      <w:r/>
    </w:p>
    <w:p>
      <w:pPr>
        <w:ind w:firstLine="420"/>
        <w:spacing w:line="368" w:lineRule="auto"/>
        <w:rPr>
          <w:rFonts w:ascii="宋体" w:hAnsi="宋体" w:eastAsia="宋体" w:cs="宋体"/>
          <w:sz w:val="21"/>
          <w:szCs w:val="21"/>
        </w:rPr>
      </w:pPr>
      <w:r>
        <w:rPr>
          <w:rFonts w:hint="eastAsia" w:ascii="宋体" w:hAnsi="宋体" w:eastAsia="宋体" w:cs="宋体"/>
          <w:sz w:val="21"/>
          <w:szCs w:val="21"/>
        </w:rPr>
        <w:t xml:space="preserve">全面管控：提供用户、监控点、客户端类型、OpenAPI对外开放账号、上级域平台、下级域平台等对象操作实时预览、录像回放、录像下载、云台控制的视频业务权限控制能力，并可对取流路数、时长、使用期限等变量进行调度控制，提升平台视频业务调度的灵活性；支持快速回收监控点视频业务使用权限，并支持添加白名单对象，及时有效防止突发事件外泄。支持多种控制规则的灵活组合，可满足不同项目应用场景需求。</w:t>
      </w:r>
      <w:r/>
    </w:p>
    <w:p>
      <w:pPr>
        <w:ind w:firstLine="420"/>
        <w:spacing w:line="368" w:lineRule="auto"/>
        <w:rPr>
          <w:rFonts w:ascii="宋体" w:hAnsi="宋体" w:eastAsia="宋体" w:cs="宋体"/>
          <w:sz w:val="21"/>
          <w:szCs w:val="21"/>
        </w:rPr>
      </w:pPr>
      <w:r>
        <w:rPr>
          <w:rFonts w:hint="eastAsia" w:ascii="宋体" w:hAnsi="宋体" w:eastAsia="宋体" w:cs="宋体"/>
          <w:sz w:val="21"/>
          <w:szCs w:val="21"/>
        </w:rPr>
        <w:t xml:space="preserve">可视运维：主动采集视频业务数据，呈现监控平台的取流路数、取流流量等业务的管控实时数据和业务数据异常操作的告警提示，并能实时回放平台的监测数据，方便用户回顾分析平台历史运行状态；提供监控链路的数据查询，包括用户、IP、取流业务、监控点名称、操作时间等，便于分析实时管控链路的详情和业务问题的排查追溯；提供管控业务数据的统计分析，便于用户分析平台运行态势及时掌握业务用量，支持报表方式导出统计数据，方便用户做平台视频业务汇报。</w:t>
      </w:r>
      <w:r/>
    </w:p>
    <w:p>
      <w:pPr>
        <w:ind w:firstLine="420"/>
        <w:spacing w:line="368" w:lineRule="auto"/>
        <w:rPr>
          <w:rFonts w:ascii="宋体" w:hAnsi="宋体" w:eastAsia="宋体" w:cs="宋体"/>
          <w:sz w:val="21"/>
          <w:szCs w:val="21"/>
        </w:rPr>
      </w:pPr>
      <w:r>
        <w:rPr>
          <w:rFonts w:hint="eastAsia" w:ascii="宋体" w:hAnsi="宋体" w:eastAsia="宋体" w:cs="宋体"/>
          <w:sz w:val="21"/>
          <w:szCs w:val="21"/>
        </w:rPr>
        <w:t xml:space="preserve">处理器：不低于HG 3250 @ 3.0 GHz 不低于8核</w:t>
      </w:r>
      <w:r/>
    </w:p>
    <w:p>
      <w:pPr>
        <w:ind w:firstLine="420"/>
        <w:spacing w:line="368" w:lineRule="auto"/>
        <w:rPr>
          <w:rFonts w:ascii="宋体" w:hAnsi="宋体" w:eastAsia="宋体" w:cs="宋体"/>
          <w:sz w:val="21"/>
          <w:szCs w:val="21"/>
        </w:rPr>
      </w:pPr>
      <w:r>
        <w:rPr>
          <w:rFonts w:hint="eastAsia" w:ascii="宋体" w:hAnsi="宋体" w:eastAsia="宋体" w:cs="宋体"/>
          <w:sz w:val="21"/>
          <w:szCs w:val="21"/>
        </w:rPr>
        <w:t xml:space="preserve">内存容量：≥32GB DDR4</w:t>
      </w:r>
      <w:r/>
    </w:p>
    <w:p>
      <w:pPr>
        <w:ind w:firstLine="420"/>
        <w:spacing w:line="368" w:lineRule="auto"/>
        <w:rPr>
          <w:rFonts w:ascii="宋体" w:hAnsi="宋体" w:eastAsia="宋体" w:cs="宋体"/>
          <w:sz w:val="21"/>
          <w:szCs w:val="21"/>
        </w:rPr>
      </w:pPr>
      <w:r>
        <w:rPr>
          <w:rFonts w:hint="eastAsia" w:ascii="宋体" w:hAnsi="宋体" w:eastAsia="宋体" w:cs="宋体"/>
          <w:sz w:val="21"/>
          <w:szCs w:val="21"/>
        </w:rPr>
        <w:t xml:space="preserve">硬盘容量：≥256GB SSD</w:t>
      </w:r>
      <w:r/>
    </w:p>
    <w:p>
      <w:pPr>
        <w:ind w:firstLine="420"/>
        <w:spacing w:line="368" w:lineRule="auto"/>
        <w:rPr>
          <w:rFonts w:ascii="宋体" w:hAnsi="宋体" w:eastAsia="宋体" w:cs="宋体"/>
          <w:sz w:val="21"/>
          <w:szCs w:val="21"/>
        </w:rPr>
      </w:pPr>
      <w:r>
        <w:rPr>
          <w:rFonts w:hint="eastAsia" w:ascii="宋体" w:hAnsi="宋体" w:eastAsia="宋体" w:cs="宋体"/>
          <w:sz w:val="21"/>
          <w:szCs w:val="21"/>
        </w:rPr>
        <w:t xml:space="preserve">网络接口：至少7个10/100/1000M自适应电口，至少2个10/100/1000M自适应光口</w:t>
      </w:r>
      <w:r/>
    </w:p>
    <w:p>
      <w:pPr>
        <w:ind w:firstLine="420"/>
        <w:spacing w:line="368" w:lineRule="auto"/>
        <w:rPr>
          <w:rFonts w:ascii="宋体" w:hAnsi="宋体" w:eastAsia="宋体" w:cs="宋体"/>
          <w:sz w:val="21"/>
          <w:szCs w:val="21"/>
        </w:rPr>
      </w:pPr>
      <w:r>
        <w:rPr>
          <w:rFonts w:hint="eastAsia" w:ascii="宋体" w:hAnsi="宋体" w:eastAsia="宋体" w:cs="宋体"/>
          <w:sz w:val="21"/>
          <w:szCs w:val="21"/>
        </w:rPr>
        <w:t xml:space="preserve">输出接口：≥1个HDMI，≥1个VGA</w:t>
      </w:r>
      <w:r/>
    </w:p>
    <w:p>
      <w:pPr>
        <w:ind w:firstLine="420"/>
        <w:spacing w:line="368" w:lineRule="auto"/>
        <w:rPr>
          <w:rFonts w:ascii="宋体" w:hAnsi="宋体" w:eastAsia="宋体" w:cs="宋体"/>
          <w:sz w:val="21"/>
          <w:szCs w:val="21"/>
        </w:rPr>
      </w:pPr>
      <w:r>
        <w:rPr>
          <w:rFonts w:hint="eastAsia" w:ascii="宋体" w:hAnsi="宋体" w:eastAsia="宋体" w:cs="宋体"/>
          <w:sz w:val="21"/>
          <w:szCs w:val="21"/>
        </w:rPr>
        <w:t xml:space="preserve">USB接口：≥2个USB 3.0</w:t>
      </w:r>
      <w:r/>
    </w:p>
    <w:p>
      <w:pPr>
        <w:pStyle w:val="970"/>
      </w:pPr>
      <w:r>
        <w:rPr>
          <w:rFonts w:hint="eastAsia"/>
        </w:rPr>
        <w:t xml:space="preserve">云存储</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至少48盘位，机架式网络存储设备，满配不低于10TB企业级硬盘，支持硬盘热插拔</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CPU：不低于海光三代，不低于双64位多核处理器</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内存：≥32GB</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接口：至少6个千兆数据网口，至少1个千兆管理口</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电源：1+1冗余电源，单电源≥1200W</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支持视频流、图片流直存；</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支持ONVIF、GB/T 28181、RTSP等标准协议；</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采用全对称式架构对外提供存储服务的唯一IP；</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支持纠删码数据保护技术，具备设备级和磁盘级容错模式，实现历史数据不丢失、实时业务不中断；</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支持云存储节点在线无缝扩容，容量和性能线性增长；</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支持云存储节点间的容量及业务负载均衡；</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支持存储空间按需分配，分配的存储空间在线扩大或缩小，不影响读写业务；</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支持多种存储覆盖策略，周期覆盖、容量覆盖、不覆盖；</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支持按资源池和按单点位单周期管理数据生命周期；</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支持同一点位产生多种不同大小、类型图片数据，按规则自动分流到不同存储资源池，实现不同类型、不同大小数据的生命周期管理；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支持视频检索功能，按照监控点编号、录像类型、时间组合等条件查询；</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支持视频回放功能：正序/倒序回放、定位回放、高倍速回放、关键帧回放等功能；</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支持视频锁定、视频封面、视频备份等视频功能；</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支持图片上传，下载，锁定功能；</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支持集群管理功能，包括集群单元弹性扩容、负载均衡、故障迁移等；支持集群节点生命周期管理，支持集群节点服务启动/停止，集群节点服务组建、扩展、删除</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对云系统运行中压力进行统计分析，包括：异常情况、告警情况、容量使用情况；支持对云系统运行中状态进行统计分析，包括：服务器状态、磁盘运行状态、存储使用空间、RAID组运行状态、监控点在线/离线数量和在线/离线比例等</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一套云存储系统可对外提供多种类型数据混合存储，同时支持分布式流式存储，分布式对象存储、分布式文件存储、分布式块存储；</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支持一套云存储系统包含16,24,36,48,64,72盘位多种型号设备</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负载均衡：节点离线、磁盘离线、节点过载、扩容存储节点，自动调整录像、图片、结构化、对象、HDFS业务，实现集群均衡负载；域内节点部分带缓存加速盘，部分不带缓存加速盘，图片数据可自动路由存储缓存加速盘</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按照存储节点、存储卷的可用剩余容量进行业务均衡；支持云内所有节点根据负载情况自动负载均衡，系统定期进行均衡负载，自动进行系统资源分配；支持双层负载均衡，支持存储节点级和硬盘级均按照负载和容量进行均衡</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云系统支持虚拟化存储空间，可以按需分配，分配的存储空间支持在线扩大和缩小；系统支持资源池空间弹性伸缩，不影响读写业务；系统支持周期在线动态扩大或缩小，存储周期内的业务数据不丢失，业务不受影响；支持在线扩大或缩小存储容量时，同时调整存储周期，业务不受影响</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支持硬盘热插拔设备在读写数据时，热插拔设备内的任意块硬盘，设备正常运行不宕机，硬盘不损坏，数据不丢失，业务不中断</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支持底层数据块Erasure Code技术容错，数据恢复以数据块为单位，无需全硬盘恢复；具备数据自愈功能。当硬盘损坏后，系统自动进行数据恢复，保证数据不丢失，业务不中断</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存储系统支持全对称架构，无独立的元数据管理节点。集群支持在线无缝扩容，系统性能线性增长。集群（3台及以上）任意节点宕机仅剩1台时，系统通过唯一入口IP可访问管理平台，以及数据存储服务</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系统支持按照24/36/48等盘位、不同性能、不同CPU架构的存储节点混合组网，当出现磁盘或节点故障时，系统可根据CPU利用率、节点连接数、节点吞吐量、节点综合负载等策略提供最优重构速度，最高重构速度可达4TB/h</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一套存储系统同时支持CMR硬盘节点与SMR硬盘节点混合组网，一台存储节点同时支持CMR和SMR硬盘混合插入</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支持存储实时视频、视频片段、图片及伴生的智能结构化数据，支持根据结构化数据的类型检索视频，检索条件包括前端点位ID、时间段、自定义二级标签、视频目标类型（包含人、机动车、非机动车等）</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支持对接入的H.264、H.265视频流进行智能压缩存储。数据压缩后，编码格式不变、帧率不变、分辨率不变；同时支持按资源池或按单点位设置压缩、不压缩策略；且支持压缩后数据仍满足Erasure Code（N+M模式）数据保护机制，当任意节点故障数量小于等于M台时，所有历史数据可正常访问</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云存储系统同时支持按照资源池为单位进行点位的生命周期批量管理策略和单独对每个点位通道设置生命周期管理策略，支持两种策略之间互相切换，支持周期策略调整后历史数据也即时生效</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单集群支持多CPU架构(X86架构、ARM架构)存储设备混合组网、部署，可同时支持CentOS操作系统、麒麟操作系统、OpenEuler操作系统、自研存储操作系统的混合部署、扩容、调度；支持将不同CPU架构的存储资源虚拟化成统一存储资源池，读写业务在多CPU架构存储节点间动态负载均衡</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图片流直存，抓拍图片无需经过任何转发服务器/虚拟机即可实现前端数据直接存储至云存储系统；支持设置资源池自动分流策略，策略包含按图片大小、图片类型(类型包含人脸、人体、车辆、电动车等)。支持将同一点位产生的多种不同大小、不同类型的图片数据按策略自动分池存储到不同存储资源池中</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系统支持多级加速：支持对不同规格图片数据分级加速存储，小图支持SSD缓存加速，大图支持内存加速；系统支持自定义设置内存加速缓存大小、SSD缓存加速池容量大小，可最高针对4096 KB 图片加速提取</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系统支持手动、自动对智能事件关联的多个录像片段设置录像标签。支持标签与其关联的录像片段同生命周期管理；支持通过按标签内容查询、回放、下载录像片段数据；支持对标签关联的录像片段进行锁定、备份</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支持指定本地视频和图片数据备份到公有云，用户可在图形化页面直接配置公有云地址，数据可按对象方式自动复制到公有云，且支持配置本地删除操作不同步到公有云，无须单独配置备份软件</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支持图形化页面对图片数据进行处理，包括图片预览、压缩、裁剪、旋转、缩放、格式转换、马赛克、归一化及打文字水印，并支持通过图形化页面下载处理成功的图片数据</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全对称部署模式，集群所有节点服务角色对等，无需独立元数据服务器，且单集群可同时管理3EB存储空间、1024台存储节点；系统支持单机（1台）、HA（2台）、集群（3台及以上）部署模式。支持在线扩容、升级，且扩容、升级过程中实时读写业务不中断、数据不丢失，扩容后历史数据无需迁移；支持分布式对称架构与非对称架构相互自由切换</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一套云存储系统同时支持 iSCSI 协议（IP-SAN）、FC 协议（FC-SAN）、NFS/CIFS 协议（NAS）、亚马逊S3协议、阿里OSS协议等异构接入第三方存储，通过虚拟化功能将存储资源统一管理和分配、流直存方式实现视音频数据直写、存储资源池生命周期自主管理。同时支持对存储资源自动分配，当异构服务器宕机，业务和异构存储资源漂移到集群内正常异构服务器，业务不中断、数据不丢失</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系统支持媒体数据智能处理能力，其中视频文件数据支持在线点播、格式转换(支持将ps流转换为MP4前置/后置索引、TS、ASF、ES、FLV、AVI格式;支持将AVI、3gpp、MP4、es、ts、rtp、hik、svac等视频文件格式转换为PS封装的H.264、H.265编码格式)、视频文件封面。支持多画面合成，对多路（4路、6路、8路）视频画面按时间同步合成显示到同一画面（一路码流）。图片数据支持在线裁减、压缩、马赛克、缩放、水印等处理能力，处理后图片数据格式不变</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支持查看硬盘体检报告、硬盘深度体检和磁盘档案；支持下载单个硬盘或批量硬盘的报告，支持按时间显示硬盘的坏扇区、温度、振动变化趋势的曲线图；</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支持硬盘体检报告打印输出；支持查看硬盘体检的历史记录、硬盘健康状态，并对硬盘健康状态进行分级分类，包括健康（良好、正常）、亚健康（警告、即将损坏）、故障（错误、损坏）等；</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可对系统中的磁盘进行周期性体检、对有风险的磁盘做深度体检，并给出处理意见，对有损坏风险的磁盘，可使用RAID技术进行数据处理； </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支持磁盘故障预测，通过对硬盘SMART信息进行周期性检测，监测会导致硬盘故障的关键指标，通过分析关键指标的变化趋势实现硬盘故障预测。</w:t>
      </w:r>
      <w:r/>
    </w:p>
    <w:p>
      <w:pPr>
        <w:pStyle w:val="1066"/>
        <w:ind w:firstLine="0"/>
        <w:rPr>
          <w:rFonts w:hAnsi="宋体" w:cs="宋体"/>
          <w:sz w:val="21"/>
          <w:szCs w:val="21"/>
        </w:rPr>
      </w:pPr>
      <w:r>
        <w:rPr>
          <w:rFonts w:hAnsi="宋体" w:cs="宋体"/>
          <w:sz w:val="21"/>
          <w:szCs w:val="21"/>
        </w:rPr>
      </w:r>
      <w:r/>
    </w:p>
    <w:p>
      <w:pPr>
        <w:pStyle w:val="968"/>
      </w:pPr>
      <w:r>
        <w:rPr>
          <w:rFonts w:hint="eastAsia"/>
        </w:rPr>
        <w:t xml:space="preserve">网络安全系统</w:t>
      </w:r>
      <w:r/>
    </w:p>
    <w:p>
      <w:pPr>
        <w:pStyle w:val="969"/>
        <w:rPr>
          <w:lang w:eastAsia="zh-Hans"/>
        </w:rPr>
      </w:pPr>
      <w:r>
        <w:rPr>
          <w:rFonts w:hint="eastAsia"/>
        </w:rPr>
        <w:t xml:space="preserve">系统概述</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公安通信网络（简称公安网）是一个基于网络技术的综合性信息系统，既有公安业务信息，又有各类公民隐私数据信息。其安全要求是保护公安信息资源不受侵犯；公安网络基础设施、信息应用服务和信息内容能做到保密、完整、可用；能够抵御各种威胁；同时在信息安全管理上保持良好的可控性；对于安全</w:t>
      </w:r>
      <w:r>
        <w:rPr>
          <w:rFonts w:hint="eastAsia" w:ascii="宋体" w:hAnsi="宋体" w:eastAsia="宋体" w:cs="宋体"/>
          <w:sz w:val="21"/>
          <w:szCs w:val="21"/>
        </w:rPr>
        <w:t xml:space="preserve">管理过程中产生安全问题、事件的检测要能够汇总和综合到中央监控体系，实现全面支撑信息安全运营管理的目标。另外，随着电子政务信息化的不断发展，公安工作对于网络信息系统的依赖性也越来越强，新涌现出来的信息安全问题成为公安网正常运行的巨大威胁。公安工作作为关系国家安全稳定，关系国计民生的重要部分，在信息安全方面也面临着严峻的挑战。其次，随着国际网络大环境的改变，威胁表现出了多样化、多源化的特点。威胁并不是单纯的来自外部，很多情况下也来自内部，所以针对公安网当务之急是应该构建一个立体的、纵深的、全方位的安全解决方案。</w:t>
      </w:r>
      <w:r/>
    </w:p>
    <w:p>
      <w:pPr>
        <w:pStyle w:val="969"/>
        <w:rPr>
          <w:lang w:eastAsia="zh-Hans"/>
        </w:rPr>
      </w:pPr>
      <w:r>
        <w:rPr>
          <w:rFonts w:hint="eastAsia"/>
        </w:rPr>
        <w:t xml:space="preserve">主要设备参数</w:t>
      </w:r>
      <w:r/>
    </w:p>
    <w:p>
      <w:pPr>
        <w:pStyle w:val="970"/>
      </w:pPr>
      <w:r>
        <w:rPr>
          <w:rFonts w:hint="eastAsia"/>
        </w:rPr>
        <w:t xml:space="preserve">公安网防火墙</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1）业务接口：千兆电口≥8个，万兆光口≥16个，100G光口≥2个，≥2个扩展槽，双交流电源</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2）吞吐量≥20Gbps，并发连接≥1200万,新建≥20万</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3）CPU：符合信创要求且不限于飞腾、OS、麒麟；</w:t>
      </w:r>
      <w:r/>
    </w:p>
    <w:p>
      <w:pPr>
        <w:pStyle w:val="970"/>
      </w:pPr>
      <w:r>
        <w:rPr>
          <w:rFonts w:hint="eastAsia"/>
        </w:rPr>
        <w:t xml:space="preserve">流量精简</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1）业务接口：不低于48个25G光口(SFP28)，不低于8个100G光口，支持模块化可热插拔双电源</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2）交换容量≥4.8Tbps，包转发率≥2000Mpps</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3）采用国产化交换芯片+国产化CPU</w:t>
      </w:r>
      <w:r/>
    </w:p>
    <w:p>
      <w:pPr>
        <w:pStyle w:val="970"/>
        <w:spacing w:line="372" w:lineRule="auto"/>
      </w:pPr>
      <w:r>
        <w:rPr>
          <w:rFonts w:hint="eastAsia"/>
        </w:rPr>
        <w:t xml:space="preserve">安全感知管理平台</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性能参数：存储容量≥36T，在带宽性能1Gbps时存储时长：≥1800天/1Gbps。</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C</w:t>
      </w:r>
      <w:r>
        <w:rPr>
          <w:rFonts w:ascii="宋体" w:hAnsi="宋体" w:eastAsia="宋体" w:cs="宋体"/>
          <w:sz w:val="21"/>
          <w:szCs w:val="21"/>
        </w:rPr>
        <w:t xml:space="preserve">PU:</w:t>
      </w:r>
      <w:r>
        <w:rPr>
          <w:rFonts w:hint="eastAsia" w:ascii="宋体" w:hAnsi="宋体" w:eastAsia="宋体" w:cs="宋体"/>
          <w:sz w:val="21"/>
          <w:szCs w:val="21"/>
        </w:rPr>
        <w:t xml:space="preserve"> ≥</w:t>
      </w:r>
      <w:r>
        <w:rPr>
          <w:rFonts w:ascii="宋体" w:hAnsi="宋体" w:eastAsia="宋体" w:cs="宋体"/>
          <w:sz w:val="21"/>
          <w:szCs w:val="21"/>
        </w:rPr>
        <w:t xml:space="preserve">2颗海光</w:t>
      </w:r>
      <w:r>
        <w:rPr>
          <w:rFonts w:hint="eastAsia" w:ascii="宋体" w:hAnsi="宋体" w:eastAsia="宋体" w:cs="宋体"/>
          <w:sz w:val="21"/>
          <w:szCs w:val="21"/>
        </w:rPr>
        <w:t xml:space="preserve">3</w:t>
      </w:r>
      <w:r>
        <w:rPr>
          <w:rFonts w:ascii="宋体" w:hAnsi="宋体" w:eastAsia="宋体" w:cs="宋体"/>
          <w:sz w:val="21"/>
          <w:szCs w:val="21"/>
        </w:rPr>
        <w:t xml:space="preserve">2核</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内存：≥8*32GB DDR4 3200，系统盘：≥1*240GB SATA SSD，缓存盘：无缓存盘，数据盘：≥12*4TB，标配盘位数：≥12，电源：白金，冗余电源，接口：≥4千兆电口、≥2万兆光口。</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含：安全感知管理平台软件 (1套)；安全感知系统平台特征库软件 (2套)；光纤线-多模-LC-LC-3M(2个)；万兆多模-850-300m-双纤(2个)；软件升级(3年)；产品质保（标准版）(3年)；</w:t>
      </w:r>
      <w:r/>
    </w:p>
    <w:p>
      <w:pPr>
        <w:pStyle w:val="970"/>
        <w:spacing w:line="372" w:lineRule="auto"/>
      </w:pPr>
      <w:r>
        <w:rPr>
          <w:rFonts w:hint="eastAsia"/>
        </w:rPr>
        <w:t xml:space="preserve">潜伏威胁探针系统</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部署信息港机房，性能参数：网络层吞吐量：≥10Gbps，应用层吞吐量：≥5Gbps。</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硬件参数：规格：2U，内存大小：≥48G，硬盘容量：≥960GB SSD，电源：冗余电源，接口：≥4千兆电口、≥4千兆光口SFP、≥8万兆光口SFP+。</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含：潜伏威胁探针系统软件；安全感知系统探针特征库软件；千兆多模-850-550m-双纤(4个)；光纤线-多模-LC-LC-3M(12个)；万兆多模-850-300m-双纤(8个)；软件升级(3年)；产品质保（标准版）(3年)</w:t>
      </w:r>
      <w:r/>
    </w:p>
    <w:p>
      <w:pPr>
        <w:pStyle w:val="970"/>
        <w:spacing w:line="372" w:lineRule="auto"/>
      </w:pPr>
      <w:r>
        <w:rPr>
          <w:rFonts w:hint="eastAsia"/>
        </w:rPr>
        <w:t xml:space="preserve">核心潜伏威胁探针系统</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部署交管机房，性能参数：网络层吞吐量：≥10Gbps，应用层吞吐量：≥5Gbps。</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硬件参数：规格：2U，内存大小：≥48G，硬盘容量：≥960GB SSD，电源：冗余电源，接口：≥4千兆电口、≥4千兆光口SFP、≥8万兆光口SFP+。</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含：潜伏威胁探针系统软件；安全感知系统探针特征库软件；千兆多模-850-550m-双纤(4个)；光纤线-多模-LC-LC-3M(12个)；万兆多模-850-300m-双纤(8个)；软件升级(3年)；产品质保（标准版）(3年)</w:t>
      </w:r>
      <w:r/>
    </w:p>
    <w:p>
      <w:pPr>
        <w:pStyle w:val="970"/>
        <w:spacing w:line="372" w:lineRule="auto"/>
      </w:pPr>
      <w:r>
        <w:rPr>
          <w:rFonts w:hint="eastAsia"/>
        </w:rPr>
        <w:t xml:space="preserve">核心潜伏威胁探针系统</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部署市局机房，性能参数：网络层吞吐量：≥20Gbps，应用层吞吐量：≥12Gbps。</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硬件参数：规格：2U，内存大小：≥112G，硬盘容量：≥3.84 TB SSD，电源：冗余电源，接口：≥4千兆电口、≥4万兆光口SFP+。</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含：潜伏威胁探针系统软件；安全感知系统探针特征库软件；光纤线-多模-LC-LC-3M(4个)；万兆多模-850-300m-双纤(4个)；软件升级(3年)；产品质保（标准版）(3年)</w:t>
      </w:r>
      <w:r/>
    </w:p>
    <w:p>
      <w:pPr>
        <w:pStyle w:val="970"/>
        <w:spacing w:line="372" w:lineRule="auto"/>
      </w:pPr>
      <w:r>
        <w:rPr>
          <w:rFonts w:hint="eastAsia"/>
        </w:rPr>
        <w:t xml:space="preserve">公安网核心交换机</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与原核心交换机做堆叠使用</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1）主控槽位数≥2</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2）交换容量≥430Tbps，包转发率≥172800Mpps</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3）独立业务槽位数≥6，交换网板槽位数≥4</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4）支持OPENFLOW 1.3标准</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5）支持VxLAN网关功能</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6）支持多虚一技术，统一管理</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7）本次单台配置冗余主控引擎和电源,满配交换网板，提供≥4端口40G接口，≥60端口10G接口，≥24端口千兆电接口，≥16端口千兆光接口，≥ 20个10G多模光模块，≥2个40G多模光模块</w:t>
      </w:r>
      <w:r/>
    </w:p>
    <w:p>
      <w:pPr>
        <w:pStyle w:val="970"/>
        <w:spacing w:line="372" w:lineRule="auto"/>
      </w:pPr>
      <w:r>
        <w:rPr>
          <w:rFonts w:hint="eastAsia"/>
        </w:rPr>
        <w:t xml:space="preserve">流量分析采集器</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1）支持WEB界面管理，通过WEB界面全程进行设备配置、回溯、查询等操作；</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2）支持数据包去重功能，能够将通过镜像引入设备的流量中的重复数据包去除，数据包去重功能不影响设备的处理性能；</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3）支持MPLS虚链路分析，能够根据MPLS VRF TAG设定虚链路，实现对特定MPLS链路的分析；</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4）支持VLAN虚链路分析，能够根据VLAN ID设定虚链路，实现对特定VLAN流量的分析；</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5）支持IP网段虚链路分析，能够按IP地址范围设定虚链路，实现对特定IP网段的独立流量分析；</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6）支持VxLAN虚链路分析，能够根据VxLAN ID设置虚链路，实现对SDN网络特定VxLAN流量的分析</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7）最大流量处理能力≥10Gbps</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8）包含1台物理服务器，每台配置不低于2*2.2GHz/32核，≥256G内存，≥2*480G SSD，≥10*16T 7.2K HDD，≥1*2G阵列卡（含掉电保护模块），≥1*双端口万兆光接口（含光模块），≥4端口千兆电接口，冗余交流电源</w:t>
      </w:r>
      <w:r/>
    </w:p>
    <w:p>
      <w:pPr>
        <w:ind w:firstLine="420"/>
        <w:spacing w:line="372" w:lineRule="auto"/>
        <w:rPr>
          <w:rFonts w:ascii="宋体" w:hAnsi="宋体" w:eastAsia="宋体" w:cs="宋体"/>
          <w:sz w:val="21"/>
          <w:szCs w:val="21"/>
        </w:rPr>
      </w:pPr>
      <w:r>
        <w:rPr>
          <w:rFonts w:ascii="宋体" w:hAnsi="宋体" w:eastAsia="宋体" w:cs="宋体"/>
          <w:sz w:val="21"/>
          <w:szCs w:val="21"/>
        </w:rPr>
      </w:r>
      <w:r/>
    </w:p>
    <w:p>
      <w:pPr>
        <w:pStyle w:val="967"/>
        <w:spacing w:line="372" w:lineRule="auto"/>
      </w:pPr>
      <w:r>
        <w:rPr>
          <w:rFonts w:hint="eastAsia"/>
        </w:rPr>
        <w:t xml:space="preserve">业务应用拓展</w:t>
      </w:r>
      <w:r/>
    </w:p>
    <w:p>
      <w:pPr>
        <w:pStyle w:val="968"/>
        <w:spacing w:line="372" w:lineRule="auto"/>
      </w:pPr>
      <w:r>
        <w:rPr>
          <w:rFonts w:hint="eastAsia"/>
          <w:lang w:eastAsia="zh-Hans"/>
        </w:rPr>
        <w:t xml:space="preserve">AI</w:t>
      </w:r>
      <w:r>
        <w:rPr>
          <w:rFonts w:hint="eastAsia"/>
        </w:rPr>
        <w:t xml:space="preserve">视频</w:t>
      </w:r>
      <w:r>
        <w:rPr>
          <w:rFonts w:hint="eastAsia"/>
          <w:lang w:eastAsia="zh-Hans"/>
        </w:rPr>
        <w:t xml:space="preserve">解析服务</w:t>
      </w:r>
      <w:r/>
    </w:p>
    <w:p>
      <w:pPr>
        <w:pStyle w:val="969"/>
        <w:spacing w:line="372" w:lineRule="auto"/>
        <w:rPr>
          <w:lang w:eastAsia="zh-Hans"/>
        </w:rPr>
      </w:pPr>
      <w:r>
        <w:rPr>
          <w:rFonts w:hint="eastAsia"/>
        </w:rPr>
        <w:t xml:space="preserve">系统概述</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太仓交警通过前期建设的智慧交通AI解析，实现了对道路交通的多种车辆的智能解析，但在业务应用中，需要更多关注目标和事件的智能识别，包括机动车违法识别和重点车辆识别、非机动车重点对象的识别等等，因此，需要对现有AI解析平台进行升级，满足道路交通管理的深度业务需求，包括解析服务的扩容、机动车违法识别和重点车辆识别、非机动车重点对象的识别、数据的推送服务等等，实现创新性业务需求，加深太仓交通的智能化能力，为创新性交通业务提供强有力的底层AI算法支撑服务。</w:t>
      </w:r>
      <w:r/>
    </w:p>
    <w:p>
      <w:pPr>
        <w:pStyle w:val="969"/>
        <w:rPr>
          <w:lang w:eastAsia="zh-Hans"/>
        </w:rPr>
      </w:pPr>
      <w:r>
        <w:rPr>
          <w:rFonts w:hint="eastAsia"/>
        </w:rPr>
        <w:t xml:space="preserve">系统功能</w:t>
      </w:r>
      <w:r/>
    </w:p>
    <w:p>
      <w:pPr>
        <w:pStyle w:val="970"/>
      </w:pPr>
      <w:r/>
      <w:bookmarkStart w:id="125" w:name="_Toc169384065"/>
      <w:r>
        <w:rPr>
          <w:rFonts w:hint="eastAsia"/>
        </w:rPr>
        <w:t xml:space="preserve">视频结构化解析升级</w:t>
      </w:r>
      <w:bookmarkEnd w:id="125"/>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1）目标结构化解析升级</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优化机动车车牌、车类型、车颜色、车品牌、非机动车车型、骑行人属性等基础结构化属性描述模型。优化目标检测追踪模型，提升目标的捕获率，同时提升违法事件的捕获率。</w:t>
      </w:r>
      <w:r/>
    </w:p>
    <w:p>
      <w:pPr>
        <w:ind w:firstLine="420"/>
        <w:spacing w:line="360" w:lineRule="auto"/>
        <w:rPr>
          <w:rFonts w:ascii="宋体" w:hAnsi="宋体" w:eastAsia="宋体" w:cs="宋体"/>
          <w:sz w:val="21"/>
          <w:szCs w:val="21"/>
          <w:lang w:eastAsia="zh-Hans"/>
        </w:rPr>
      </w:pPr>
      <w:r/>
      <w:bookmarkStart w:id="126" w:name="_Toc169384067"/>
      <w:r>
        <w:rPr>
          <w:rFonts w:hint="eastAsia" w:ascii="宋体" w:hAnsi="宋体" w:eastAsia="宋体" w:cs="宋体"/>
          <w:sz w:val="21"/>
          <w:szCs w:val="21"/>
        </w:rPr>
        <w:t xml:space="preserve">2）</w:t>
      </w:r>
      <w:r>
        <w:rPr>
          <w:rFonts w:hint="eastAsia" w:ascii="宋体" w:hAnsi="宋体" w:eastAsia="宋体" w:cs="宋体"/>
          <w:sz w:val="21"/>
          <w:szCs w:val="21"/>
          <w:lang w:eastAsia="zh-Hans"/>
        </w:rPr>
        <w:t xml:space="preserve">重点车辆识别</w:t>
      </w:r>
      <w:bookmarkEnd w:id="126"/>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包括：工程吊车识别、叉车识别、混凝土车识别、登高空作业车识别、危化品车及危化品类型识别、货车载货类型识别、渣土车属性识别等；</w:t>
      </w:r>
      <w:r/>
    </w:p>
    <w:p>
      <w:pPr>
        <w:ind w:firstLine="420"/>
        <w:spacing w:line="360" w:lineRule="auto"/>
        <w:rPr>
          <w:rFonts w:ascii="宋体" w:hAnsi="宋体" w:eastAsia="宋体" w:cs="宋体"/>
          <w:sz w:val="21"/>
          <w:szCs w:val="21"/>
          <w:lang w:eastAsia="zh-Hans"/>
        </w:rPr>
      </w:pPr>
      <w:r/>
      <w:bookmarkStart w:id="127" w:name="_Toc169384068"/>
      <w:r>
        <w:rPr>
          <w:rFonts w:hint="eastAsia" w:ascii="宋体" w:hAnsi="宋体" w:eastAsia="宋体" w:cs="宋体"/>
          <w:sz w:val="21"/>
          <w:szCs w:val="21"/>
        </w:rPr>
        <w:t xml:space="preserve">3）</w:t>
      </w:r>
      <w:r>
        <w:rPr>
          <w:rFonts w:hint="eastAsia" w:ascii="宋体" w:hAnsi="宋体" w:eastAsia="宋体" w:cs="宋体"/>
          <w:sz w:val="21"/>
          <w:szCs w:val="21"/>
          <w:lang w:eastAsia="zh-Hans"/>
        </w:rPr>
        <w:t xml:space="preserve">机动车违法识别</w:t>
      </w:r>
      <w:bookmarkEnd w:id="127"/>
      <w:r/>
      <w:r/>
    </w:p>
    <w:p>
      <w:pPr>
        <w:pStyle w:val="1066"/>
        <w:ind w:firstLine="420"/>
        <w:widowControl w:val="off"/>
        <w:rPr>
          <w:rFonts w:hAnsi="宋体" w:cs="宋体"/>
          <w:sz w:val="21"/>
          <w:szCs w:val="21"/>
        </w:rPr>
      </w:pPr>
      <w:r>
        <w:rPr>
          <w:rFonts w:hint="eastAsia" w:hAnsi="宋体" w:cs="宋体"/>
          <w:sz w:val="21"/>
          <w:szCs w:val="21"/>
        </w:rPr>
        <w:t xml:space="preserve">包括：黄牌客货车右转必停、违法停车、中大型货车前排人员数量识别、夜间车灯亮度异常检测、主副驾未系安全带、驾驶员开车打电话、驾驶未登记机动车上路行驶等违法识别；</w:t>
      </w:r>
      <w:r/>
    </w:p>
    <w:p>
      <w:pPr>
        <w:ind w:firstLine="420"/>
        <w:spacing w:line="360" w:lineRule="auto"/>
        <w:rPr>
          <w:rFonts w:ascii="宋体" w:hAnsi="宋体" w:eastAsia="宋体" w:cs="宋体"/>
          <w:sz w:val="21"/>
          <w:szCs w:val="21"/>
          <w:lang w:eastAsia="zh-Hans"/>
        </w:rPr>
      </w:pPr>
      <w:r/>
      <w:bookmarkStart w:id="128" w:name="_Toc169384069"/>
      <w:r>
        <w:rPr>
          <w:rFonts w:hint="eastAsia" w:ascii="宋体" w:hAnsi="宋体" w:eastAsia="宋体" w:cs="宋体"/>
          <w:sz w:val="21"/>
          <w:szCs w:val="21"/>
        </w:rPr>
        <w:t xml:space="preserve">4）</w:t>
      </w:r>
      <w:r>
        <w:rPr>
          <w:rFonts w:hint="eastAsia" w:ascii="宋体" w:hAnsi="宋体" w:eastAsia="宋体" w:cs="宋体"/>
          <w:sz w:val="21"/>
          <w:szCs w:val="21"/>
          <w:lang w:eastAsia="zh-Hans"/>
        </w:rPr>
        <w:t xml:space="preserve">非机动车违法</w:t>
      </w:r>
      <w:bookmarkEnd w:id="128"/>
      <w:r/>
      <w:r/>
    </w:p>
    <w:p>
      <w:pPr>
        <w:pStyle w:val="1066"/>
        <w:ind w:firstLine="420"/>
        <w:widowControl w:val="off"/>
        <w:rPr>
          <w:rFonts w:hAnsi="宋体" w:cs="宋体"/>
          <w:sz w:val="21"/>
          <w:szCs w:val="21"/>
        </w:rPr>
      </w:pPr>
      <w:r>
        <w:rPr>
          <w:rFonts w:hint="eastAsia" w:hAnsi="宋体" w:cs="宋体"/>
          <w:sz w:val="21"/>
          <w:szCs w:val="21"/>
        </w:rPr>
        <w:t xml:space="preserve">包括：骑行人人脸检测、骑行人身份识别、装载煤气罐的三轮车识别、未系狗绳识别、电瓶车违法安装雨篷、电动车违法载人等；</w:t>
      </w:r>
      <w:r/>
    </w:p>
    <w:p>
      <w:pPr>
        <w:pStyle w:val="970"/>
      </w:pPr>
      <w:r/>
      <w:bookmarkStart w:id="129" w:name="_Toc15893"/>
      <w:r/>
      <w:bookmarkStart w:id="130" w:name="_Toc169384075"/>
      <w:r>
        <w:rPr>
          <w:rFonts w:hint="eastAsia"/>
        </w:rPr>
        <w:t xml:space="preserve">信号灯故障检测</w:t>
      </w:r>
      <w:bookmarkEnd w:id="129"/>
      <w:r/>
      <w:bookmarkEnd w:id="130"/>
      <w:r/>
      <w:r/>
    </w:p>
    <w:p>
      <w:pPr>
        <w:pStyle w:val="1066"/>
        <w:ind w:firstLine="420"/>
        <w:widowControl w:val="off"/>
        <w:rPr>
          <w:rFonts w:hAnsi="宋体" w:cs="宋体"/>
          <w:sz w:val="21"/>
          <w:szCs w:val="21"/>
        </w:rPr>
      </w:pPr>
      <w:r>
        <w:rPr>
          <w:rFonts w:hint="eastAsia" w:hAnsi="宋体" w:cs="宋体"/>
          <w:sz w:val="21"/>
          <w:szCs w:val="21"/>
        </w:rPr>
        <w:t xml:space="preserve">包括：信号灯偏移、信号灯不亮、信号灯不存在、信号灯颜色异常、信号灯绿灯同时亮、信号灯亮度过低、信号灯红绿灯错位、相机断电/断网、信号灯断电/断网、路口信号灯冲突等异常检测；</w:t>
      </w:r>
      <w:r/>
    </w:p>
    <w:p>
      <w:pPr>
        <w:pStyle w:val="970"/>
      </w:pPr>
      <w:r/>
      <w:bookmarkStart w:id="131" w:name="_Toc5770"/>
      <w:r>
        <w:rPr>
          <w:rFonts w:hint="eastAsia"/>
        </w:rPr>
        <w:t xml:space="preserve">交通事件</w:t>
      </w:r>
      <w:bookmarkEnd w:id="131"/>
      <w:r>
        <w:rPr>
          <w:rFonts w:hint="eastAsia"/>
        </w:rPr>
        <w:t xml:space="preserve">检测</w:t>
      </w:r>
      <w:r/>
    </w:p>
    <w:p>
      <w:pPr>
        <w:pStyle w:val="1066"/>
        <w:ind w:firstLine="420"/>
        <w:widowControl w:val="off"/>
        <w:rPr>
          <w:rFonts w:hAnsi="宋体" w:cs="宋体"/>
          <w:sz w:val="21"/>
          <w:szCs w:val="21"/>
        </w:rPr>
      </w:pPr>
      <w:r>
        <w:rPr>
          <w:rFonts w:hint="eastAsia" w:hAnsi="宋体" w:cs="宋体"/>
          <w:sz w:val="21"/>
          <w:szCs w:val="21"/>
        </w:rPr>
        <w:t xml:space="preserve">包括：</w:t>
      </w:r>
      <w:r>
        <w:rPr>
          <w:rFonts w:hint="eastAsia" w:hAnsi="宋体" w:cs="宋体"/>
          <w:sz w:val="21"/>
          <w:szCs w:val="21"/>
          <w:lang w:val="zh-CN"/>
        </w:rPr>
        <w:t xml:space="preserve">疑似事故、异常停车、应急车道停车、车辆逆行、车辆倒车、实线变道、连续变道、穿越导流线、占用应急车道、大型车占用主车道、货车驶入快车道、车辆异常驶离、道路拥堵、路口滞留、非机动车闯入、行人闯入、物品遗落、团雾天气、火焰烟雾、车辆抛锚、排队溢出、危化品车</w:t>
      </w:r>
      <w:r>
        <w:rPr>
          <w:rFonts w:hint="eastAsia" w:hAnsi="宋体" w:cs="宋体"/>
          <w:sz w:val="21"/>
          <w:szCs w:val="21"/>
        </w:rPr>
        <w:t xml:space="preserve">等事件检测</w:t>
      </w:r>
      <w:r>
        <w:rPr>
          <w:rFonts w:hint="eastAsia" w:hAnsi="宋体" w:cs="宋体"/>
          <w:sz w:val="21"/>
          <w:szCs w:val="21"/>
          <w:lang w:val="zh-CN"/>
        </w:rPr>
        <w:t xml:space="preserve">；</w:t>
      </w:r>
      <w:r/>
    </w:p>
    <w:p>
      <w:pPr>
        <w:pStyle w:val="970"/>
      </w:pPr>
      <w:r/>
      <w:bookmarkStart w:id="132" w:name="_Toc26474"/>
      <w:r>
        <w:rPr>
          <w:rFonts w:hint="eastAsia"/>
        </w:rPr>
        <w:t xml:space="preserve">交通参数</w:t>
      </w:r>
      <w:bookmarkEnd w:id="132"/>
      <w:r/>
      <w:r/>
    </w:p>
    <w:p>
      <w:pPr>
        <w:pStyle w:val="1066"/>
        <w:ind w:firstLine="420"/>
        <w:widowControl w:val="off"/>
        <w:rPr>
          <w:rFonts w:hAnsi="宋体" w:cs="宋体"/>
          <w:sz w:val="21"/>
          <w:szCs w:val="21"/>
        </w:rPr>
      </w:pPr>
      <w:r>
        <w:rPr>
          <w:rFonts w:hint="eastAsia" w:hAnsi="宋体" w:cs="宋体"/>
          <w:sz w:val="21"/>
          <w:szCs w:val="21"/>
        </w:rPr>
        <w:t xml:space="preserve">包括：分车型机动车流量统计、分车道机动车流量统计、分方向机动车流量统计、非机动</w:t>
      </w:r>
      <w:r>
        <w:rPr>
          <w:rFonts w:hint="eastAsia" w:hAnsi="宋体" w:cs="宋体"/>
          <w:sz w:val="21"/>
          <w:szCs w:val="21"/>
          <w:lang w:eastAsia="zh-Hans"/>
        </w:rPr>
        <w:t xml:space="preserve">车流量</w:t>
      </w:r>
      <w:r>
        <w:rPr>
          <w:rFonts w:hint="eastAsia" w:hAnsi="宋体" w:cs="宋体"/>
          <w:sz w:val="21"/>
          <w:szCs w:val="21"/>
        </w:rPr>
        <w:t xml:space="preserve">、</w:t>
      </w:r>
      <w:r>
        <w:rPr>
          <w:rFonts w:hint="eastAsia" w:hAnsi="宋体" w:cs="宋体"/>
          <w:sz w:val="21"/>
          <w:szCs w:val="21"/>
          <w:lang w:eastAsia="zh-Hans"/>
        </w:rPr>
        <w:t xml:space="preserve">车道空间占有率</w:t>
      </w:r>
      <w:r>
        <w:rPr>
          <w:rFonts w:hint="eastAsia" w:hAnsi="宋体" w:cs="宋体"/>
          <w:sz w:val="21"/>
          <w:szCs w:val="21"/>
        </w:rPr>
        <w:t xml:space="preserve">、</w:t>
      </w:r>
      <w:r>
        <w:rPr>
          <w:rFonts w:hint="eastAsia" w:hAnsi="宋体" w:cs="宋体"/>
          <w:sz w:val="21"/>
          <w:szCs w:val="21"/>
          <w:lang w:eastAsia="zh-Hans"/>
        </w:rPr>
        <w:t xml:space="preserve">车道时间占有率</w:t>
      </w:r>
      <w:r>
        <w:rPr>
          <w:rFonts w:hint="eastAsia" w:hAnsi="宋体" w:cs="宋体"/>
          <w:sz w:val="21"/>
          <w:szCs w:val="21"/>
        </w:rPr>
        <w:t xml:space="preserve">、</w:t>
      </w:r>
      <w:r>
        <w:rPr>
          <w:rFonts w:hint="eastAsia" w:hAnsi="宋体" w:cs="宋体"/>
          <w:sz w:val="21"/>
          <w:szCs w:val="21"/>
          <w:lang w:eastAsia="zh-Hans"/>
        </w:rPr>
        <w:t xml:space="preserve">车道平均速度</w:t>
      </w:r>
      <w:r>
        <w:rPr>
          <w:rFonts w:hint="eastAsia" w:hAnsi="宋体" w:cs="宋体"/>
          <w:sz w:val="21"/>
          <w:szCs w:val="21"/>
        </w:rPr>
        <w:t xml:space="preserve">、</w:t>
      </w:r>
      <w:r>
        <w:rPr>
          <w:rFonts w:hint="eastAsia" w:hAnsi="宋体" w:cs="宋体"/>
          <w:sz w:val="21"/>
          <w:szCs w:val="21"/>
          <w:lang w:eastAsia="zh-Hans"/>
        </w:rPr>
        <w:t xml:space="preserve">车辆排队长度</w:t>
      </w:r>
      <w:r>
        <w:rPr>
          <w:rFonts w:hint="eastAsia" w:hAnsi="宋体" w:cs="宋体"/>
          <w:sz w:val="21"/>
          <w:szCs w:val="21"/>
        </w:rPr>
        <w:t xml:space="preserve">、</w:t>
      </w:r>
      <w:r>
        <w:rPr>
          <w:rFonts w:hint="eastAsia" w:hAnsi="宋体" w:cs="宋体"/>
          <w:sz w:val="21"/>
          <w:szCs w:val="21"/>
          <w:lang w:eastAsia="zh-Hans"/>
        </w:rPr>
        <w:t xml:space="preserve">车头时距</w:t>
      </w:r>
      <w:r>
        <w:rPr>
          <w:rFonts w:hint="eastAsia" w:hAnsi="宋体" w:cs="宋体"/>
          <w:sz w:val="21"/>
          <w:szCs w:val="21"/>
        </w:rPr>
        <w:t xml:space="preserve">、拥堵指数等交通参数采集；</w:t>
      </w:r>
      <w:r/>
    </w:p>
    <w:p>
      <w:pPr>
        <w:pStyle w:val="970"/>
      </w:pPr>
      <w:r/>
      <w:bookmarkStart w:id="133" w:name="_Toc18608"/>
      <w:r>
        <w:rPr>
          <w:rFonts w:hint="eastAsia"/>
        </w:rPr>
        <w:t xml:space="preserve">冲突点检测</w:t>
      </w:r>
      <w:bookmarkEnd w:id="133"/>
      <w:r/>
      <w:r/>
    </w:p>
    <w:p>
      <w:pPr>
        <w:pStyle w:val="1066"/>
        <w:ind w:firstLine="420"/>
        <w:widowControl w:val="off"/>
        <w:rPr>
          <w:rFonts w:hAnsi="宋体" w:cs="宋体"/>
          <w:sz w:val="21"/>
          <w:szCs w:val="21"/>
        </w:rPr>
      </w:pPr>
      <w:r>
        <w:rPr>
          <w:rFonts w:hint="eastAsia" w:hAnsi="宋体" w:cs="宋体"/>
          <w:sz w:val="21"/>
          <w:szCs w:val="21"/>
        </w:rPr>
        <w:t xml:space="preserve">包括：机动车与机动车冲突、非机动车与机动车冲突、行人与机动车冲突、非机动车与非机动车冲突、行人与非机动车冲突、目标融合、轨迹跟踪等；</w:t>
      </w:r>
      <w:r/>
    </w:p>
    <w:p>
      <w:pPr>
        <w:pStyle w:val="970"/>
      </w:pPr>
      <w:r/>
      <w:bookmarkStart w:id="134" w:name="_Toc169384078"/>
      <w:r>
        <w:rPr>
          <w:rFonts w:hint="eastAsia"/>
        </w:rPr>
        <w:t xml:space="preserve">应用服务升级</w:t>
      </w:r>
      <w:bookmarkEnd w:id="134"/>
      <w:r/>
      <w:r/>
    </w:p>
    <w:p>
      <w:pPr>
        <w:pStyle w:val="1066"/>
        <w:ind w:firstLine="420"/>
        <w:widowControl w:val="off"/>
        <w:rPr>
          <w:rFonts w:hAnsi="宋体" w:cs="宋体"/>
          <w:sz w:val="21"/>
          <w:szCs w:val="21"/>
        </w:rPr>
      </w:pPr>
      <w:r>
        <w:rPr>
          <w:rFonts w:hint="eastAsia" w:hAnsi="宋体" w:cs="宋体"/>
          <w:sz w:val="21"/>
          <w:szCs w:val="21"/>
        </w:rPr>
        <w:t xml:space="preserve">对进行算法分析的视频和图片点位数量与GPU硬件资源做映射，通过后台算法调度服务等管理模块，在页面呈现GPU计算资源的使用情况。</w:t>
      </w:r>
      <w:r/>
    </w:p>
    <w:p>
      <w:pPr>
        <w:pStyle w:val="1066"/>
        <w:ind w:firstLine="420"/>
        <w:widowControl w:val="off"/>
        <w:rPr>
          <w:rFonts w:hAnsi="宋体" w:cs="宋体"/>
          <w:sz w:val="21"/>
          <w:szCs w:val="21"/>
        </w:rPr>
      </w:pPr>
      <w:r>
        <w:rPr>
          <w:rFonts w:hint="eastAsia" w:hAnsi="宋体" w:cs="宋体"/>
          <w:sz w:val="21"/>
          <w:szCs w:val="21"/>
        </w:rPr>
        <w:t xml:space="preserve">新增算法服务对应在页面多维展示和违法报警展示（包括合成图、过车图、视频下载等）和违法感知页面。</w:t>
      </w:r>
      <w:r/>
    </w:p>
    <w:p>
      <w:pPr>
        <w:pStyle w:val="1066"/>
        <w:ind w:firstLine="420"/>
        <w:widowControl w:val="off"/>
        <w:rPr>
          <w:rFonts w:hAnsi="宋体" w:cs="宋体"/>
          <w:sz w:val="21"/>
          <w:szCs w:val="21"/>
        </w:rPr>
      </w:pPr>
      <w:r>
        <w:rPr>
          <w:rFonts w:hint="eastAsia" w:hAnsi="宋体" w:cs="宋体"/>
          <w:sz w:val="21"/>
          <w:szCs w:val="21"/>
        </w:rPr>
        <w:t xml:space="preserve">新增路口交通态势感知服务，服务对应的路口信息配置、算法配置、可视化图表的展示。</w:t>
      </w:r>
      <w:r/>
    </w:p>
    <w:p>
      <w:pPr>
        <w:pStyle w:val="970"/>
      </w:pPr>
      <w:r/>
      <w:bookmarkStart w:id="135" w:name="_Toc169384079"/>
      <w:r>
        <w:rPr>
          <w:rFonts w:hint="eastAsia"/>
        </w:rPr>
        <w:t xml:space="preserve">数据推送服务</w:t>
      </w:r>
      <w:bookmarkEnd w:id="135"/>
      <w:r/>
      <w:r/>
    </w:p>
    <w:p>
      <w:pPr>
        <w:pStyle w:val="1066"/>
        <w:ind w:firstLine="420"/>
        <w:widowControl w:val="off"/>
        <w:rPr>
          <w:rFonts w:hAnsi="宋体" w:cs="宋体"/>
          <w:sz w:val="21"/>
          <w:szCs w:val="21"/>
        </w:rPr>
      </w:pPr>
      <w:r>
        <w:rPr>
          <w:rFonts w:hint="eastAsia" w:hAnsi="宋体" w:cs="宋体"/>
          <w:sz w:val="21"/>
          <w:szCs w:val="21"/>
        </w:rPr>
        <w:t xml:space="preserve">系统对识别的重点目标和违章数据，以定制协议（包括数据结构、合成图、违法视频片段等）推送至非机动车管理平台、机动车管理平台、重点车辆管理平台等。</w:t>
      </w:r>
      <w:r/>
    </w:p>
    <w:p>
      <w:pPr>
        <w:pStyle w:val="970"/>
      </w:pPr>
      <w:r>
        <w:rPr>
          <w:rFonts w:hint="eastAsia"/>
        </w:rPr>
        <w:t xml:space="preserve">AI算法仓</w:t>
      </w:r>
      <w:r/>
    </w:p>
    <w:p>
      <w:pPr>
        <w:pStyle w:val="1066"/>
        <w:ind w:firstLine="420"/>
        <w:widowControl w:val="off"/>
        <w:rPr>
          <w:rFonts w:hAnsi="宋体" w:cs="宋体"/>
          <w:sz w:val="21"/>
          <w:szCs w:val="21"/>
        </w:rPr>
      </w:pPr>
      <w:r>
        <w:rPr>
          <w:rFonts w:hint="eastAsia" w:hAnsi="宋体" w:cs="宋体"/>
          <w:sz w:val="21"/>
          <w:szCs w:val="21"/>
        </w:rPr>
        <w:t xml:space="preserve">1）算法管理</w:t>
      </w:r>
      <w:r/>
    </w:p>
    <w:p>
      <w:pPr>
        <w:pStyle w:val="1066"/>
        <w:ind w:firstLine="420"/>
        <w:widowControl w:val="off"/>
        <w:rPr>
          <w:rFonts w:hAnsi="宋体" w:cs="宋体"/>
          <w:sz w:val="21"/>
          <w:szCs w:val="21"/>
        </w:rPr>
      </w:pPr>
      <w:r>
        <w:rPr>
          <w:rFonts w:hint="eastAsia" w:hAnsi="宋体" w:cs="宋体"/>
          <w:sz w:val="21"/>
          <w:szCs w:val="21"/>
        </w:rPr>
        <w:t xml:space="preserve">算法管理模块集中展示系统所有的算法，支持算法的添加、编辑、启用、禁用和删除。</w:t>
      </w:r>
      <w:r/>
    </w:p>
    <w:p>
      <w:pPr>
        <w:pStyle w:val="1066"/>
        <w:ind w:firstLine="420"/>
        <w:widowControl w:val="off"/>
        <w:rPr>
          <w:rFonts w:hAnsi="宋体" w:cs="宋体"/>
          <w:sz w:val="21"/>
          <w:szCs w:val="21"/>
        </w:rPr>
      </w:pPr>
      <w:r>
        <w:rPr>
          <w:rFonts w:hint="eastAsia" w:hAnsi="宋体" w:cs="宋体"/>
          <w:sz w:val="21"/>
          <w:szCs w:val="21"/>
        </w:rPr>
        <w:t xml:space="preserve">2）业务算法模型</w:t>
      </w:r>
      <w:r/>
    </w:p>
    <w:p>
      <w:pPr>
        <w:pStyle w:val="1066"/>
        <w:ind w:firstLine="420"/>
        <w:widowControl w:val="off"/>
        <w:rPr>
          <w:rFonts w:hAnsi="宋体" w:cs="宋体"/>
          <w:sz w:val="21"/>
          <w:szCs w:val="21"/>
        </w:rPr>
      </w:pPr>
      <w:r>
        <w:rPr>
          <w:rFonts w:hint="eastAsia" w:hAnsi="宋体" w:cs="宋体"/>
          <w:sz w:val="21"/>
          <w:szCs w:val="21"/>
        </w:rPr>
        <w:t xml:space="preserve">业务算法模型主要包括机动车违法行为、非机动车违法行为、重点车辆、交通事件、冲突事件。</w:t>
      </w:r>
      <w:r/>
    </w:p>
    <w:p>
      <w:pPr>
        <w:pStyle w:val="1066"/>
        <w:ind w:firstLine="420"/>
        <w:widowControl w:val="off"/>
        <w:rPr>
          <w:rFonts w:hAnsi="宋体" w:cs="宋体"/>
          <w:sz w:val="21"/>
          <w:szCs w:val="21"/>
        </w:rPr>
      </w:pPr>
      <w:r/>
      <w:bookmarkStart w:id="136" w:name="_Toc148015052"/>
      <w:r>
        <w:rPr>
          <w:rFonts w:hint="eastAsia" w:hAnsi="宋体" w:cs="宋体"/>
          <w:sz w:val="21"/>
          <w:szCs w:val="21"/>
        </w:rPr>
        <w:t xml:space="preserve">3）分析管理</w:t>
      </w:r>
      <w:bookmarkEnd w:id="136"/>
      <w:r/>
      <w:r/>
    </w:p>
    <w:p>
      <w:pPr>
        <w:pStyle w:val="1066"/>
        <w:ind w:firstLine="420"/>
        <w:widowControl w:val="off"/>
        <w:rPr>
          <w:rFonts w:hAnsi="宋体" w:cs="宋体"/>
          <w:sz w:val="21"/>
          <w:szCs w:val="21"/>
        </w:rPr>
      </w:pPr>
      <w:r>
        <w:rPr>
          <w:rFonts w:hint="eastAsia" w:hAnsi="宋体" w:cs="宋体"/>
          <w:sz w:val="21"/>
          <w:szCs w:val="21"/>
        </w:rPr>
        <w:t xml:space="preserve">任务管理模块统一管理视频分析任务，包括任务的查询、新建、编辑、单个任务或批量任务的启动、停止。</w:t>
      </w:r>
      <w:r/>
    </w:p>
    <w:p>
      <w:pPr>
        <w:pStyle w:val="1066"/>
        <w:ind w:firstLine="420"/>
        <w:widowControl w:val="off"/>
        <w:rPr>
          <w:rFonts w:hAnsi="宋体" w:cs="宋体"/>
          <w:sz w:val="21"/>
          <w:szCs w:val="21"/>
        </w:rPr>
      </w:pPr>
      <w:r/>
      <w:bookmarkStart w:id="137" w:name="_Toc148015054"/>
      <w:r>
        <w:rPr>
          <w:rFonts w:hint="eastAsia" w:hAnsi="宋体" w:cs="宋体"/>
          <w:sz w:val="21"/>
          <w:szCs w:val="21"/>
        </w:rPr>
        <w:t xml:space="preserve">4）报警统计</w:t>
      </w:r>
      <w:bookmarkEnd w:id="137"/>
      <w:r/>
      <w:r/>
    </w:p>
    <w:p>
      <w:pPr>
        <w:pStyle w:val="1066"/>
        <w:ind w:firstLine="420"/>
        <w:widowControl w:val="off"/>
        <w:rPr>
          <w:rFonts w:hAnsi="宋体" w:cs="宋体"/>
          <w:sz w:val="21"/>
          <w:szCs w:val="21"/>
        </w:rPr>
      </w:pPr>
      <w:r>
        <w:rPr>
          <w:rFonts w:hint="eastAsia" w:hAnsi="宋体" w:cs="宋体"/>
          <w:sz w:val="21"/>
          <w:szCs w:val="21"/>
        </w:rPr>
        <w:t xml:space="preserve">报警统计功能支持查询之前月所有报警类型的统计图，并支持统计下载。</w:t>
      </w:r>
      <w:r/>
    </w:p>
    <w:p>
      <w:pPr>
        <w:pStyle w:val="1066"/>
        <w:ind w:firstLine="420"/>
        <w:widowControl w:val="off"/>
        <w:rPr>
          <w:rFonts w:hAnsi="宋体" w:cs="宋体"/>
          <w:sz w:val="21"/>
          <w:szCs w:val="21"/>
        </w:rPr>
      </w:pPr>
      <w:r/>
      <w:bookmarkStart w:id="138" w:name="_Toc148015055"/>
      <w:r>
        <w:rPr>
          <w:rFonts w:hint="eastAsia" w:hAnsi="宋体" w:cs="宋体"/>
          <w:sz w:val="21"/>
          <w:szCs w:val="21"/>
        </w:rPr>
        <w:t xml:space="preserve">5）报警查询</w:t>
      </w:r>
      <w:bookmarkEnd w:id="138"/>
      <w:r/>
      <w:r/>
    </w:p>
    <w:p>
      <w:pPr>
        <w:pStyle w:val="1066"/>
        <w:ind w:firstLine="420"/>
        <w:widowControl w:val="off"/>
        <w:rPr>
          <w:rFonts w:hAnsi="宋体" w:cs="宋体"/>
          <w:sz w:val="21"/>
          <w:szCs w:val="21"/>
        </w:rPr>
      </w:pPr>
      <w:r>
        <w:rPr>
          <w:rFonts w:hint="eastAsia" w:hAnsi="宋体" w:cs="宋体"/>
          <w:sz w:val="21"/>
          <w:szCs w:val="21"/>
        </w:rPr>
        <w:t xml:space="preserve">报警查询展示创建分析任务中产生的各类报警，支持点位标签、算法类型、点位范围、时间范围的查询，点位范围包括派出所层级和单个点位的筛选，使用视频数据分析的算法，支持离线视频和合成图的下载。</w:t>
      </w:r>
      <w:r/>
    </w:p>
    <w:p>
      <w:pPr>
        <w:pStyle w:val="970"/>
      </w:pPr>
      <w:r/>
      <w:bookmarkStart w:id="139" w:name="_Toc169384083"/>
      <w:r>
        <w:rPr>
          <w:rFonts w:hint="eastAsia"/>
        </w:rPr>
        <w:t xml:space="preserve">交警应用</w:t>
      </w:r>
      <w:bookmarkEnd w:id="139"/>
      <w:r/>
      <w:r/>
    </w:p>
    <w:p>
      <w:pPr>
        <w:pStyle w:val="1066"/>
        <w:ind w:firstLine="420"/>
        <w:widowControl w:val="off"/>
        <w:rPr>
          <w:rFonts w:hAnsi="宋体" w:cs="宋体"/>
          <w:sz w:val="21"/>
          <w:szCs w:val="21"/>
        </w:rPr>
      </w:pPr>
      <w:r>
        <w:rPr>
          <w:rFonts w:hint="eastAsia" w:hAnsi="宋体" w:cs="宋体"/>
          <w:sz w:val="21"/>
          <w:szCs w:val="21"/>
        </w:rPr>
        <w:t xml:space="preserve">交警应用包括违法感知、高频违法类型、高频违法地点三个模块，从上述三个方面为交警提供综合研判的依据。</w:t>
      </w:r>
      <w:r/>
    </w:p>
    <w:p>
      <w:pPr>
        <w:pStyle w:val="1066"/>
        <w:ind w:firstLine="420"/>
        <w:widowControl w:val="off"/>
        <w:rPr>
          <w:rFonts w:hAnsi="宋体" w:cs="宋体"/>
          <w:sz w:val="21"/>
          <w:szCs w:val="21"/>
        </w:rPr>
      </w:pPr>
      <w:r>
        <w:rPr>
          <w:rFonts w:hint="eastAsia" w:hAnsi="宋体" w:cs="宋体"/>
          <w:sz w:val="21"/>
          <w:szCs w:val="21"/>
        </w:rPr>
        <w:t xml:space="preserve">高频违法类型以违法类型为基准，分析高频违法类型发生的总频次、对应的高发点位和高发时间段。</w:t>
      </w:r>
      <w:r/>
    </w:p>
    <w:p>
      <w:pPr>
        <w:pStyle w:val="1066"/>
        <w:ind w:firstLine="420"/>
        <w:widowControl w:val="off"/>
        <w:rPr>
          <w:rFonts w:hAnsi="宋体" w:cs="宋体"/>
          <w:sz w:val="21"/>
          <w:szCs w:val="21"/>
        </w:rPr>
      </w:pPr>
      <w:r>
        <w:rPr>
          <w:rFonts w:hint="eastAsia" w:hAnsi="宋体" w:cs="宋体"/>
          <w:sz w:val="21"/>
          <w:szCs w:val="21"/>
        </w:rPr>
        <w:t xml:space="preserve">高频违法地点以违法地点为基准，分析高频违法地点发生的总频次、对应的高发违法类型和高发时间段。</w:t>
      </w:r>
      <w:r/>
    </w:p>
    <w:p>
      <w:pPr>
        <w:pStyle w:val="1066"/>
        <w:ind w:firstLine="420"/>
        <w:widowControl w:val="off"/>
        <w:rPr>
          <w:rFonts w:hAnsi="宋体" w:cs="宋体"/>
          <w:sz w:val="21"/>
          <w:szCs w:val="21"/>
        </w:rPr>
      </w:pPr>
      <w:r>
        <w:rPr>
          <w:rFonts w:hint="eastAsia" w:hAnsi="宋体" w:cs="宋体"/>
          <w:sz w:val="21"/>
          <w:szCs w:val="21"/>
        </w:rPr>
        <w:t xml:space="preserve">违法感知以车牌为基准，对车辆进行聚档，分析每辆车的违法次数、高频违法类型、高频违法地点。</w:t>
      </w:r>
      <w:r/>
    </w:p>
    <w:p>
      <w:pPr>
        <w:pStyle w:val="970"/>
      </w:pPr>
      <w:r/>
      <w:bookmarkStart w:id="140" w:name="_Toc169384084"/>
      <w:r>
        <w:rPr>
          <w:rFonts w:hint="eastAsia"/>
        </w:rPr>
        <w:t xml:space="preserve">路口感知</w:t>
      </w:r>
      <w:bookmarkEnd w:id="140"/>
      <w:r/>
      <w:r/>
    </w:p>
    <w:p>
      <w:pPr>
        <w:pStyle w:val="1066"/>
        <w:ind w:firstLine="420"/>
        <w:widowControl w:val="off"/>
        <w:rPr>
          <w:rFonts w:hAnsi="宋体" w:cs="宋体"/>
          <w:sz w:val="21"/>
          <w:szCs w:val="21"/>
        </w:rPr>
      </w:pPr>
      <w:r>
        <w:rPr>
          <w:rFonts w:hint="eastAsia" w:hAnsi="宋体" w:cs="宋体"/>
          <w:sz w:val="21"/>
          <w:szCs w:val="21"/>
        </w:rPr>
        <w:t xml:space="preserve">1）路口管理</w:t>
      </w:r>
      <w:r/>
    </w:p>
    <w:p>
      <w:pPr>
        <w:pStyle w:val="1066"/>
        <w:ind w:firstLine="420"/>
        <w:widowControl w:val="off"/>
        <w:rPr>
          <w:rFonts w:hAnsi="宋体" w:cs="宋体"/>
          <w:sz w:val="21"/>
          <w:szCs w:val="21"/>
        </w:rPr>
      </w:pPr>
      <w:r>
        <w:rPr>
          <w:rFonts w:hint="eastAsia" w:hAnsi="宋体" w:cs="宋体"/>
          <w:sz w:val="21"/>
          <w:szCs w:val="21"/>
        </w:rPr>
        <w:t xml:space="preserve">路口配置界面用于配置管理平台接入的路口情况、包括路口名称、路口设备以及车道信息。路口管理列表显示已配置路口的设备信息和车道信息，支持路口编辑、配置车道信息、和删除的功能。</w:t>
      </w:r>
      <w:r/>
    </w:p>
    <w:p>
      <w:pPr>
        <w:pStyle w:val="1066"/>
        <w:ind w:firstLine="420"/>
        <w:widowControl w:val="off"/>
        <w:rPr>
          <w:rFonts w:hAnsi="宋体" w:cs="宋体"/>
          <w:sz w:val="21"/>
          <w:szCs w:val="21"/>
        </w:rPr>
      </w:pPr>
      <w:r>
        <w:rPr>
          <w:rFonts w:hint="eastAsia" w:hAnsi="宋体" w:cs="宋体"/>
          <w:sz w:val="21"/>
          <w:szCs w:val="21"/>
        </w:rPr>
        <w:t xml:space="preserve">2）统计分析</w:t>
      </w:r>
      <w:r/>
    </w:p>
    <w:p>
      <w:pPr>
        <w:pStyle w:val="1066"/>
        <w:ind w:firstLine="420"/>
        <w:widowControl w:val="off"/>
        <w:rPr>
          <w:rFonts w:hAnsi="宋体" w:cs="宋体"/>
          <w:sz w:val="21"/>
          <w:szCs w:val="21"/>
        </w:rPr>
      </w:pPr>
      <w:r>
        <w:rPr>
          <w:rFonts w:hint="eastAsia" w:hAnsi="宋体" w:cs="宋体"/>
          <w:sz w:val="21"/>
          <w:szCs w:val="21"/>
        </w:rPr>
        <w:t xml:space="preserve">通过对某一路口的冲突点、交通事件、流量分析展示路口的实时分析的路口各方向流量趋势、事件数量统计（包括冲突事件、机动车违法事件、非机动车违法事件）、违法事件类型统计、流量类型分布统计、以及冲突事件统计图。</w:t>
      </w:r>
      <w:r/>
    </w:p>
    <w:p>
      <w:pPr>
        <w:ind w:firstLine="420"/>
        <w:rPr>
          <w:rFonts w:ascii="宋体" w:hAnsi="宋体" w:eastAsia="宋体" w:cs="宋体"/>
          <w:sz w:val="21"/>
          <w:szCs w:val="21"/>
        </w:rPr>
      </w:pPr>
      <w:r>
        <w:rPr>
          <w:rFonts w:ascii="宋体" w:hAnsi="宋体" w:eastAsia="宋体" w:cs="宋体"/>
          <w:sz w:val="21"/>
          <w:szCs w:val="21"/>
        </w:rPr>
      </w:r>
      <w:r/>
    </w:p>
    <w:p>
      <w:pPr>
        <w:pStyle w:val="968"/>
      </w:pPr>
      <w:r>
        <w:rPr>
          <w:rFonts w:hint="eastAsia"/>
        </w:rPr>
        <w:t xml:space="preserve">“情指行”一体化平台</w:t>
      </w:r>
      <w:r/>
    </w:p>
    <w:p>
      <w:pPr>
        <w:pStyle w:val="1066"/>
        <w:ind w:firstLine="420"/>
        <w:spacing w:line="372" w:lineRule="auto"/>
      </w:pPr>
      <w:r>
        <w:rPr>
          <w:rFonts w:hint="eastAsia" w:hAnsi="宋体" w:cs="宋体"/>
          <w:sz w:val="21"/>
          <w:szCs w:val="21"/>
          <w:lang w:bidi="ar"/>
        </w:rPr>
        <w:t xml:space="preserve">“情指行一体化”是“情报”“指挥”和“行动”的有机结合，具体是指在大数据支撑下，以“情报主导警务、指挥引领行动”为指导理念，以“情指融合、情勤对接”为重点，将公安情报中心、 指挥中心两大功能部门和一线警务行动无缝对接、高度融合，充分发挥三者优势，实现“情报分析支撑警务指挥，警务指挥引导一线勤务”的新型警务工作模式。</w:t>
      </w:r>
      <w:r/>
    </w:p>
    <w:p>
      <w:pPr>
        <w:pStyle w:val="969"/>
      </w:pPr>
      <w:r>
        <w:rPr>
          <w:rFonts w:hint="eastAsia"/>
        </w:rPr>
        <w:t xml:space="preserve">视频综合平台升级</w:t>
      </w:r>
      <w:r/>
    </w:p>
    <w:p>
      <w:pPr>
        <w:pStyle w:val="970"/>
        <w:rPr>
          <w:lang w:eastAsia="zh-Hans"/>
        </w:rPr>
      </w:pPr>
      <w:r>
        <w:rPr>
          <w:rFonts w:hint="eastAsia"/>
        </w:rPr>
        <w:t xml:space="preserve">系统概述</w:t>
      </w:r>
      <w:r/>
    </w:p>
    <w:p>
      <w:pPr>
        <w:pStyle w:val="1066"/>
        <w:ind w:firstLine="420"/>
        <w:spacing w:line="372" w:lineRule="auto"/>
        <w:widowControl w:val="off"/>
        <w:rPr>
          <w:rFonts w:hAnsi="宋体" w:cs="宋体"/>
          <w:sz w:val="21"/>
          <w:szCs w:val="21"/>
        </w:rPr>
      </w:pPr>
      <w:r>
        <w:rPr>
          <w:rFonts w:hint="eastAsia" w:hAnsi="宋体" w:cs="宋体"/>
          <w:sz w:val="21"/>
          <w:szCs w:val="21"/>
        </w:rPr>
        <w:t xml:space="preserve">由多个子系统应用组成，通过统一集成框架实现多个业务系统的统一登录、统一入口、统一展现，实现用户和权限的统一管理分配。平台业务组成可归纳为如下个方面：</w:t>
      </w:r>
      <w:r/>
    </w:p>
    <w:p>
      <w:pPr>
        <w:pStyle w:val="1066"/>
        <w:ind w:firstLine="420"/>
        <w:spacing w:line="372" w:lineRule="auto"/>
        <w:widowControl w:val="off"/>
        <w:rPr>
          <w:rFonts w:hAnsi="宋体" w:cs="宋体"/>
          <w:sz w:val="21"/>
          <w:szCs w:val="21"/>
        </w:rPr>
      </w:pPr>
      <w:r>
        <w:rPr>
          <w:rFonts w:hint="eastAsia" w:hAnsi="宋体" w:cs="宋体"/>
          <w:sz w:val="21"/>
          <w:szCs w:val="21"/>
        </w:rPr>
        <w:t xml:space="preserve">提供通用服务功能，包括集成核心服务、校时服务、权限等。</w:t>
      </w:r>
      <w:r/>
    </w:p>
    <w:p>
      <w:pPr>
        <w:pStyle w:val="1066"/>
        <w:ind w:firstLine="420"/>
        <w:spacing w:line="372" w:lineRule="auto"/>
        <w:widowControl w:val="off"/>
        <w:rPr>
          <w:rFonts w:hAnsi="宋体" w:cs="宋体"/>
          <w:sz w:val="21"/>
          <w:szCs w:val="21"/>
        </w:rPr>
      </w:pPr>
      <w:r>
        <w:rPr>
          <w:rFonts w:hint="eastAsia" w:hAnsi="宋体" w:cs="宋体"/>
          <w:sz w:val="21"/>
          <w:szCs w:val="21"/>
        </w:rPr>
        <w:t xml:space="preserve">通过视频技术与智能采集、智能分析及大数据分析技术的融合，实现包括车辆、人体、人脸、移动终端信息采集以及人体动态特征采集的大数据分析、查询、布控、比对。（其中车辆、人脸、人体解析能为平台预留功能拓展入口）</w:t>
      </w:r>
      <w:r/>
    </w:p>
    <w:p>
      <w:pPr>
        <w:pStyle w:val="1066"/>
        <w:ind w:firstLine="420"/>
        <w:spacing w:line="372" w:lineRule="auto"/>
        <w:widowControl w:val="off"/>
        <w:rPr>
          <w:rFonts w:hAnsi="宋体" w:cs="宋体"/>
          <w:sz w:val="21"/>
          <w:szCs w:val="21"/>
        </w:rPr>
      </w:pPr>
      <w:r>
        <w:rPr>
          <w:rFonts w:hint="eastAsia" w:hAnsi="宋体" w:cs="宋体"/>
          <w:sz w:val="21"/>
          <w:szCs w:val="21"/>
        </w:rPr>
        <w:t xml:space="preserve">提供基础视频应用，通过集成联网共享、DAC、电视墙组件等，实现视频预览、回放、视频预案等服务，实现视频资源全面监控与集中统一管理。</w:t>
      </w:r>
      <w:r/>
    </w:p>
    <w:p>
      <w:pPr>
        <w:pStyle w:val="1066"/>
        <w:ind w:firstLine="420"/>
        <w:spacing w:line="372" w:lineRule="auto"/>
        <w:widowControl w:val="off"/>
        <w:rPr>
          <w:rFonts w:hAnsi="宋体" w:cs="宋体"/>
          <w:sz w:val="21"/>
          <w:szCs w:val="21"/>
        </w:rPr>
      </w:pPr>
      <w:r>
        <w:rPr>
          <w:rFonts w:hint="eastAsia" w:hAnsi="宋体" w:cs="宋体"/>
          <w:sz w:val="21"/>
          <w:szCs w:val="21"/>
        </w:rPr>
        <w:t xml:space="preserve">提供数据统计服务管理，以数据可视化方式直观呈现系统数据采集成效和现状。 </w:t>
      </w:r>
      <w:r/>
    </w:p>
    <w:p>
      <w:pPr>
        <w:pStyle w:val="1066"/>
        <w:ind w:firstLine="420"/>
        <w:spacing w:line="372" w:lineRule="auto"/>
        <w:widowControl w:val="off"/>
        <w:rPr>
          <w:rFonts w:hAnsi="宋体" w:cs="宋体"/>
          <w:sz w:val="21"/>
          <w:szCs w:val="21"/>
        </w:rPr>
      </w:pPr>
      <w:r>
        <w:rPr>
          <w:rFonts w:hint="eastAsia" w:hAnsi="宋体" w:cs="宋体"/>
          <w:sz w:val="21"/>
          <w:szCs w:val="21"/>
        </w:rPr>
        <w:t xml:space="preserve">提供地图应用模块，实现视频数据的时空关系分析和可视化应用。</w:t>
      </w:r>
      <w:r/>
    </w:p>
    <w:p>
      <w:pPr>
        <w:pStyle w:val="1066"/>
        <w:ind w:firstLine="420"/>
        <w:spacing w:line="372" w:lineRule="auto"/>
        <w:widowControl w:val="off"/>
        <w:rPr>
          <w:rFonts w:hAnsi="宋体" w:cs="宋体"/>
          <w:sz w:val="21"/>
          <w:szCs w:val="21"/>
        </w:rPr>
      </w:pPr>
      <w:r>
        <w:rPr>
          <w:rFonts w:hint="eastAsia" w:hAnsi="宋体" w:cs="宋体"/>
          <w:sz w:val="21"/>
          <w:szCs w:val="21"/>
        </w:rPr>
        <w:t xml:space="preserve">提供丰富的应用终端，包括PC端的BS和CS客户端以及移动客户端，以具备可扩展性的框架提供实用的视频应用等工具，满足公安日常视频业务应用。</w:t>
      </w:r>
      <w:r/>
    </w:p>
    <w:p>
      <w:pPr>
        <w:pStyle w:val="970"/>
        <w:rPr>
          <w:lang w:eastAsia="zh-Hans"/>
        </w:rPr>
      </w:pPr>
      <w:r>
        <w:rPr>
          <w:rFonts w:hint="eastAsia"/>
        </w:rPr>
        <w:t xml:space="preserve">系统功能</w:t>
      </w:r>
      <w:r/>
    </w:p>
    <w:p>
      <w:pPr>
        <w:numPr>
          <w:ilvl w:val="255"/>
          <w:numId w:val="0"/>
        </w:numPr>
        <w:ind w:left="440"/>
        <w:spacing w:line="360" w:lineRule="auto"/>
        <w:rPr>
          <w:rFonts w:ascii="宋体" w:hAnsi="宋体" w:eastAsia="宋体" w:cs="宋体"/>
          <w:b/>
          <w:bCs/>
          <w:sz w:val="21"/>
          <w:szCs w:val="21"/>
        </w:rPr>
      </w:pPr>
      <w:r>
        <w:rPr>
          <w:rFonts w:hint="eastAsia" w:ascii="宋体" w:hAnsi="宋体" w:eastAsia="宋体" w:cs="宋体"/>
          <w:b/>
          <w:bCs/>
          <w:sz w:val="21"/>
          <w:szCs w:val="21"/>
        </w:rPr>
        <w:t xml:space="preserve">1、门户管理</w:t>
      </w:r>
      <w:r/>
    </w:p>
    <w:p>
      <w:pPr>
        <w:pStyle w:val="1066"/>
        <w:ind w:firstLine="420"/>
        <w:spacing w:line="372" w:lineRule="auto"/>
        <w:widowControl w:val="off"/>
        <w:rPr>
          <w:rFonts w:hAnsi="宋体" w:cs="宋体"/>
          <w:sz w:val="21"/>
          <w:szCs w:val="21"/>
        </w:rPr>
      </w:pPr>
      <w:r>
        <w:rPr>
          <w:rFonts w:hint="eastAsia" w:hAnsi="宋体" w:cs="宋体"/>
          <w:sz w:val="21"/>
          <w:szCs w:val="21"/>
        </w:rPr>
        <w:t xml:space="preserve">包括：登录、首页、使用模式（含头部导航栏、机器人、智能搜索部件、常用应用、切换主题等）、专业模式（含头部导航栏、机器人、切换主题、应用使用成效、智能计算资源、智能搜索部件、常用应用、点位资源情况、抓拍统计、人档统计、预警统计等）、应用标签、工具下载、用户登录管理、系统管理、帮助中心、关于、暂存架、外部链接等；</w:t>
      </w:r>
      <w:r/>
    </w:p>
    <w:p>
      <w:pPr>
        <w:numPr>
          <w:ilvl w:val="255"/>
          <w:numId w:val="0"/>
        </w:numPr>
        <w:ind w:left="440"/>
        <w:spacing w:line="360" w:lineRule="auto"/>
        <w:rPr>
          <w:rFonts w:ascii="宋体" w:hAnsi="宋体" w:eastAsia="宋体" w:cs="宋体"/>
          <w:b/>
          <w:bCs/>
          <w:sz w:val="21"/>
          <w:szCs w:val="21"/>
        </w:rPr>
      </w:pPr>
      <w:r>
        <w:rPr>
          <w:rFonts w:hint="eastAsia" w:ascii="宋体" w:hAnsi="宋体" w:eastAsia="宋体" w:cs="宋体"/>
          <w:b/>
          <w:bCs/>
          <w:sz w:val="21"/>
          <w:szCs w:val="21"/>
        </w:rPr>
        <w:t xml:space="preserve">2、视频监控</w:t>
      </w:r>
      <w:r/>
    </w:p>
    <w:p>
      <w:pPr>
        <w:pStyle w:val="1066"/>
        <w:ind w:firstLine="420"/>
        <w:spacing w:line="372" w:lineRule="auto"/>
        <w:widowControl w:val="off"/>
        <w:rPr>
          <w:rFonts w:hAnsi="宋体" w:cs="宋体"/>
          <w:sz w:val="21"/>
          <w:szCs w:val="21"/>
        </w:rPr>
      </w:pPr>
      <w:r>
        <w:rPr>
          <w:rFonts w:hint="eastAsia" w:hAnsi="宋体" w:cs="宋体"/>
          <w:sz w:val="21"/>
          <w:szCs w:val="21"/>
        </w:rPr>
        <w:t xml:space="preserve">包括：视频巡查（含资源监控、收藏夹、预案、历史记录、抓图/录像列表、视频播放、云台控制、全局控制、视频监控设置等）、电子地图（含基础功能、地图加载、地图导航、全局检索、辖区定位、图层控制、工具箱、平面图等）等；</w:t>
      </w:r>
      <w:r/>
    </w:p>
    <w:p>
      <w:pPr>
        <w:numPr>
          <w:ilvl w:val="255"/>
          <w:numId w:val="0"/>
        </w:numPr>
        <w:ind w:left="440"/>
        <w:spacing w:line="360" w:lineRule="auto"/>
        <w:rPr>
          <w:rFonts w:ascii="宋体" w:hAnsi="宋体" w:eastAsia="宋体" w:cs="宋体"/>
          <w:b/>
          <w:bCs/>
          <w:sz w:val="21"/>
          <w:szCs w:val="21"/>
        </w:rPr>
      </w:pPr>
      <w:r>
        <w:rPr>
          <w:rFonts w:hint="eastAsia" w:ascii="宋体" w:hAnsi="宋体" w:eastAsia="宋体" w:cs="宋体"/>
          <w:b/>
          <w:bCs/>
          <w:sz w:val="21"/>
          <w:szCs w:val="21"/>
        </w:rPr>
        <w:t xml:space="preserve">3、视频运维</w:t>
      </w:r>
      <w:r/>
    </w:p>
    <w:p>
      <w:pPr>
        <w:pStyle w:val="1066"/>
        <w:ind w:firstLine="420"/>
        <w:spacing w:line="372" w:lineRule="auto"/>
        <w:widowControl w:val="off"/>
        <w:rPr>
          <w:rFonts w:hAnsi="宋体" w:cs="宋体"/>
          <w:sz w:val="21"/>
          <w:szCs w:val="21"/>
        </w:rPr>
      </w:pPr>
      <w:r>
        <w:rPr>
          <w:rFonts w:hint="eastAsia" w:hAnsi="宋体" w:cs="宋体"/>
          <w:sz w:val="21"/>
          <w:szCs w:val="21"/>
        </w:rPr>
        <w:t xml:space="preserve">包括：运维概况、一键运维、视频监测（含监控点在线检测、视频图像诊断、视频录像检测、编码设备检测、解码设备检测、存储设备检测等）、告警查询、统计报表（含区域运维统计、监控点图像质量统计、监控点录像完整性统计、高质量点位统计、监控点在线状态统计、监控点录像存储达标统计、离线时长统计等）等；</w:t>
      </w:r>
      <w:r/>
    </w:p>
    <w:p>
      <w:pPr>
        <w:numPr>
          <w:ilvl w:val="255"/>
          <w:numId w:val="0"/>
        </w:numPr>
        <w:ind w:left="440"/>
        <w:spacing w:line="360" w:lineRule="auto"/>
        <w:rPr>
          <w:rFonts w:ascii="宋体" w:hAnsi="宋体" w:eastAsia="宋体" w:cs="宋体"/>
          <w:b/>
          <w:bCs/>
          <w:sz w:val="21"/>
          <w:szCs w:val="21"/>
        </w:rPr>
      </w:pPr>
      <w:r>
        <w:rPr>
          <w:rFonts w:hint="eastAsia" w:ascii="宋体" w:hAnsi="宋体" w:eastAsia="宋体" w:cs="宋体"/>
          <w:b/>
          <w:bCs/>
          <w:sz w:val="21"/>
          <w:szCs w:val="21"/>
        </w:rPr>
        <w:t xml:space="preserve">4、系统日志</w:t>
      </w:r>
      <w:r/>
    </w:p>
    <w:p>
      <w:pPr>
        <w:pStyle w:val="1066"/>
        <w:ind w:firstLine="420"/>
        <w:spacing w:line="372" w:lineRule="auto"/>
        <w:widowControl w:val="off"/>
        <w:rPr>
          <w:rFonts w:hAnsi="宋体" w:cs="宋体"/>
          <w:sz w:val="21"/>
          <w:szCs w:val="21"/>
        </w:rPr>
      </w:pPr>
      <w:r>
        <w:rPr>
          <w:rFonts w:hint="eastAsia" w:hAnsi="宋体" w:cs="宋体"/>
          <w:sz w:val="21"/>
          <w:szCs w:val="21"/>
        </w:rPr>
        <w:t xml:space="preserve">包括：操作日志管理、人员行为统计、应用使用分析、异常行为识别等；</w:t>
      </w:r>
      <w:r/>
    </w:p>
    <w:p>
      <w:pPr>
        <w:numPr>
          <w:ilvl w:val="255"/>
          <w:numId w:val="0"/>
        </w:numPr>
        <w:ind w:left="440"/>
        <w:spacing w:line="360" w:lineRule="auto"/>
        <w:rPr>
          <w:rFonts w:ascii="宋体" w:hAnsi="宋体" w:eastAsia="宋体" w:cs="宋体"/>
          <w:b/>
          <w:bCs/>
          <w:sz w:val="21"/>
          <w:szCs w:val="21"/>
        </w:rPr>
      </w:pPr>
      <w:r>
        <w:rPr>
          <w:rFonts w:hint="eastAsia" w:ascii="宋体" w:hAnsi="宋体" w:eastAsia="宋体" w:cs="宋体"/>
          <w:b/>
          <w:bCs/>
          <w:sz w:val="21"/>
          <w:szCs w:val="21"/>
        </w:rPr>
        <w:t xml:space="preserve">5、一键封控</w:t>
      </w:r>
      <w:r/>
    </w:p>
    <w:p>
      <w:pPr>
        <w:pStyle w:val="1066"/>
        <w:ind w:firstLine="420"/>
        <w:spacing w:line="372" w:lineRule="auto"/>
        <w:widowControl w:val="off"/>
        <w:rPr>
          <w:rFonts w:hAnsi="宋体" w:cs="宋体"/>
          <w:sz w:val="21"/>
          <w:szCs w:val="21"/>
        </w:rPr>
      </w:pPr>
      <w:r>
        <w:rPr>
          <w:rFonts w:hint="eastAsia" w:hAnsi="宋体" w:cs="宋体"/>
          <w:sz w:val="21"/>
          <w:szCs w:val="21"/>
        </w:rPr>
        <w:t xml:space="preserve">包括：列表形式封控、地图形式封控等；</w:t>
      </w:r>
      <w:r/>
    </w:p>
    <w:p>
      <w:pPr>
        <w:numPr>
          <w:ilvl w:val="255"/>
          <w:numId w:val="0"/>
        </w:numPr>
        <w:ind w:left="440"/>
        <w:spacing w:line="360" w:lineRule="auto"/>
        <w:rPr>
          <w:rFonts w:ascii="宋体" w:hAnsi="宋体" w:eastAsia="宋体" w:cs="宋体"/>
          <w:b/>
          <w:bCs/>
          <w:sz w:val="21"/>
          <w:szCs w:val="21"/>
        </w:rPr>
      </w:pPr>
      <w:r>
        <w:rPr>
          <w:rFonts w:hint="eastAsia" w:ascii="宋体" w:hAnsi="宋体" w:eastAsia="宋体" w:cs="宋体"/>
          <w:b/>
          <w:bCs/>
          <w:sz w:val="21"/>
          <w:szCs w:val="21"/>
        </w:rPr>
        <w:t xml:space="preserve">6、设备治理工具</w:t>
      </w:r>
      <w:r/>
    </w:p>
    <w:p>
      <w:pPr>
        <w:pStyle w:val="1066"/>
        <w:ind w:firstLine="420"/>
        <w:spacing w:line="372" w:lineRule="auto"/>
        <w:widowControl w:val="off"/>
        <w:rPr>
          <w:rFonts w:hAnsi="宋体" w:cs="宋体"/>
          <w:sz w:val="21"/>
          <w:szCs w:val="21"/>
        </w:rPr>
      </w:pPr>
      <w:r>
        <w:rPr>
          <w:rFonts w:hint="eastAsia" w:hAnsi="宋体" w:cs="宋体"/>
          <w:sz w:val="21"/>
          <w:szCs w:val="21"/>
        </w:rPr>
        <w:t xml:space="preserve">包括：治理概况、治理任务（含治理清单管理、治理任务审核、勘误上报审核等）、设备治理（含设备信息治理、设备标签治理、设备关系标定、行政区划治理、设备属性迁移等）、质量检测、点位异常检测等；</w:t>
      </w:r>
      <w:r/>
    </w:p>
    <w:p>
      <w:pPr>
        <w:numPr>
          <w:ilvl w:val="255"/>
          <w:numId w:val="0"/>
        </w:numPr>
        <w:ind w:left="440"/>
        <w:spacing w:line="360" w:lineRule="auto"/>
        <w:rPr>
          <w:rFonts w:ascii="宋体" w:hAnsi="宋体" w:eastAsia="宋体" w:cs="宋体"/>
          <w:b/>
          <w:bCs/>
          <w:sz w:val="21"/>
          <w:szCs w:val="21"/>
        </w:rPr>
      </w:pPr>
      <w:r>
        <w:rPr>
          <w:rFonts w:hint="eastAsia" w:ascii="宋体" w:hAnsi="宋体" w:eastAsia="宋体" w:cs="宋体"/>
          <w:b/>
          <w:bCs/>
          <w:sz w:val="21"/>
          <w:szCs w:val="21"/>
        </w:rPr>
        <w:t xml:space="preserve">要求与可视域平台无缝对接，展示摄像机点位可视域范围。</w:t>
      </w:r>
      <w:r/>
    </w:p>
    <w:p>
      <w:pPr>
        <w:pStyle w:val="969"/>
        <w:rPr>
          <w:lang w:eastAsia="zh-Hans"/>
        </w:rPr>
      </w:pPr>
      <w:r>
        <w:rPr>
          <w:rFonts w:hint="eastAsia"/>
        </w:rPr>
        <w:t xml:space="preserve">数字</w:t>
      </w:r>
      <w:r>
        <w:rPr>
          <w:rFonts w:hint="eastAsia"/>
          <w:lang w:eastAsia="zh-Hans"/>
        </w:rPr>
        <w:t xml:space="preserve">机器人</w:t>
      </w:r>
      <w:r/>
    </w:p>
    <w:p>
      <w:pPr>
        <w:pStyle w:val="970"/>
      </w:pPr>
      <w:r>
        <w:rPr>
          <w:rFonts w:hint="eastAsia"/>
        </w:rPr>
        <w:t xml:space="preserve">系统概述</w:t>
      </w:r>
      <w:r/>
    </w:p>
    <w:p>
      <w:pPr>
        <w:pStyle w:val="1113"/>
        <w:ind w:firstLine="420"/>
        <w:spacing w:line="372" w:lineRule="auto"/>
        <w:rPr>
          <w:rFonts w:ascii="宋体" w:hAnsi="宋体" w:eastAsia="宋体" w:cs="宋体"/>
          <w:sz w:val="21"/>
          <w:szCs w:val="21"/>
          <w:lang w:val="en-US"/>
        </w:rPr>
      </w:pPr>
      <w:r>
        <w:rPr>
          <w:rFonts w:hint="eastAsia" w:ascii="宋体" w:hAnsi="宋体" w:eastAsia="宋体" w:cs="宋体"/>
          <w:sz w:val="21"/>
          <w:szCs w:val="21"/>
          <w:lang w:val="en-US"/>
        </w:rPr>
        <w:t xml:space="preserve">基于流程自动化基础（RPA），实现数字员工（软件机器人）流程全生命周期管理。可以通过低代码的组件托拉拽、无代码的组件智能推荐等方式进行前台、后台等不同类型的流程开发，代替民警执行重复、固化的各类操作。</w:t>
      </w:r>
      <w:r/>
    </w:p>
    <w:p>
      <w:pPr>
        <w:pStyle w:val="970"/>
      </w:pPr>
      <w:r>
        <w:rPr>
          <w:rFonts w:hint="eastAsia"/>
        </w:rPr>
        <w:t xml:space="preserve">系统功能</w:t>
      </w:r>
      <w:r/>
    </w:p>
    <w:p>
      <w:pPr>
        <w:pStyle w:val="1113"/>
        <w:ind w:firstLine="420"/>
        <w:spacing w:line="372" w:lineRule="auto"/>
        <w:rPr>
          <w:rFonts w:ascii="宋体" w:hAnsi="宋体" w:eastAsia="宋体" w:cs="宋体"/>
          <w:sz w:val="21"/>
          <w:szCs w:val="21"/>
          <w:lang w:val="en-US"/>
        </w:rPr>
      </w:pPr>
      <w:r>
        <w:rPr>
          <w:rFonts w:hint="eastAsia" w:ascii="宋体" w:hAnsi="宋体" w:eastAsia="宋体" w:cs="宋体"/>
          <w:sz w:val="21"/>
          <w:szCs w:val="21"/>
          <w:lang w:val="en-US"/>
        </w:rPr>
        <w:t xml:space="preserve">界面通过可视化流程编排设计，按需要快速调整和变更流程。</w:t>
      </w:r>
      <w:r/>
    </w:p>
    <w:p>
      <w:pPr>
        <w:pStyle w:val="1113"/>
        <w:ind w:firstLine="420"/>
        <w:spacing w:line="372" w:lineRule="auto"/>
        <w:rPr>
          <w:rFonts w:ascii="宋体" w:hAnsi="宋体" w:eastAsia="宋体" w:cs="宋体"/>
          <w:sz w:val="21"/>
          <w:szCs w:val="21"/>
          <w:lang w:val="en-US"/>
        </w:rPr>
      </w:pPr>
      <w:r>
        <w:rPr>
          <w:rFonts w:hint="eastAsia" w:ascii="宋体" w:hAnsi="宋体" w:eastAsia="宋体" w:cs="宋体"/>
          <w:sz w:val="21"/>
          <w:szCs w:val="21"/>
          <w:lang w:val="en-US"/>
        </w:rPr>
        <w:t xml:space="preserve">无需代码的配置化开发方式，能够编辑、快速地完成流程的开发工作。</w:t>
      </w:r>
      <w:r/>
    </w:p>
    <w:p>
      <w:pPr>
        <w:pStyle w:val="1113"/>
        <w:ind w:firstLine="420"/>
        <w:spacing w:line="372" w:lineRule="auto"/>
        <w:rPr>
          <w:rFonts w:ascii="宋体" w:hAnsi="宋体" w:eastAsia="宋体" w:cs="宋体"/>
          <w:sz w:val="21"/>
          <w:szCs w:val="21"/>
          <w:lang w:val="en-US"/>
        </w:rPr>
      </w:pPr>
      <w:r>
        <w:rPr>
          <w:rFonts w:hint="eastAsia" w:ascii="宋体" w:hAnsi="宋体" w:eastAsia="宋体" w:cs="宋体"/>
          <w:sz w:val="21"/>
          <w:szCs w:val="21"/>
          <w:lang w:val="en-US"/>
        </w:rPr>
        <w:t xml:space="preserve">单步调试、断点调试和暂停等，使开发者能够在开发工程中快速调试脚本、发现和修正问题。</w:t>
      </w:r>
      <w:r/>
    </w:p>
    <w:p>
      <w:pPr>
        <w:pStyle w:val="1113"/>
        <w:ind w:firstLine="420"/>
        <w:spacing w:line="372" w:lineRule="auto"/>
        <w:rPr>
          <w:rFonts w:ascii="宋体" w:hAnsi="宋体" w:eastAsia="宋体" w:cs="宋体"/>
          <w:sz w:val="21"/>
          <w:szCs w:val="21"/>
          <w:lang w:val="en-US"/>
        </w:rPr>
      </w:pPr>
      <w:r>
        <w:rPr>
          <w:rFonts w:hint="eastAsia" w:ascii="宋体" w:hAnsi="宋体" w:eastAsia="宋体" w:cs="宋体"/>
          <w:sz w:val="21"/>
          <w:szCs w:val="21"/>
          <w:lang w:val="en-US"/>
        </w:rPr>
        <w:t xml:space="preserve">UI界面自动化能力，能够兼容众多C/S、B/S架构和混合架构的应用（包括常见的各种主流办公软件）的元素拾取和自动操作。</w:t>
      </w:r>
      <w:r/>
    </w:p>
    <w:p>
      <w:pPr>
        <w:pStyle w:val="1113"/>
        <w:ind w:firstLine="420"/>
        <w:spacing w:line="372" w:lineRule="auto"/>
        <w:rPr>
          <w:rFonts w:ascii="宋体" w:hAnsi="宋体" w:eastAsia="宋体" w:cs="宋体"/>
          <w:sz w:val="21"/>
          <w:szCs w:val="21"/>
          <w:lang w:val="en-US"/>
        </w:rPr>
      </w:pPr>
      <w:r>
        <w:rPr>
          <w:rFonts w:hint="eastAsia" w:ascii="宋体" w:hAnsi="宋体" w:eastAsia="宋体" w:cs="宋体"/>
          <w:sz w:val="21"/>
          <w:szCs w:val="21"/>
          <w:lang w:val="en-US"/>
        </w:rPr>
        <w:t xml:space="preserve">多种鼠标键盘操作功能。</w:t>
      </w:r>
      <w:r/>
    </w:p>
    <w:p>
      <w:pPr>
        <w:pStyle w:val="1113"/>
        <w:ind w:firstLine="420"/>
        <w:spacing w:line="372" w:lineRule="auto"/>
        <w:rPr>
          <w:rFonts w:ascii="宋体" w:hAnsi="宋体" w:eastAsia="宋体" w:cs="宋体"/>
          <w:sz w:val="21"/>
          <w:szCs w:val="21"/>
          <w:lang w:val="en-US"/>
        </w:rPr>
      </w:pPr>
      <w:r>
        <w:rPr>
          <w:rFonts w:hint="eastAsia" w:ascii="宋体" w:hAnsi="宋体" w:eastAsia="宋体" w:cs="宋体"/>
          <w:sz w:val="21"/>
          <w:szCs w:val="21"/>
          <w:lang w:val="en-US"/>
        </w:rPr>
        <w:t xml:space="preserve">网页上表格数据的批量抓取、解析等操作。</w:t>
      </w:r>
      <w:r/>
    </w:p>
    <w:p>
      <w:pPr>
        <w:pStyle w:val="1113"/>
        <w:ind w:firstLine="420"/>
        <w:spacing w:line="372" w:lineRule="auto"/>
        <w:rPr>
          <w:rFonts w:ascii="宋体" w:hAnsi="宋体" w:eastAsia="宋体" w:cs="宋体"/>
          <w:sz w:val="21"/>
          <w:szCs w:val="21"/>
          <w:lang w:val="en-US"/>
        </w:rPr>
      </w:pPr>
      <w:r>
        <w:rPr>
          <w:rFonts w:hint="eastAsia" w:ascii="宋体" w:hAnsi="宋体" w:eastAsia="宋体" w:cs="宋体"/>
          <w:sz w:val="21"/>
          <w:szCs w:val="21"/>
          <w:lang w:val="en-US"/>
        </w:rPr>
        <w:t xml:space="preserve">对不同来源的文档和数据的处理，包括但不限于Excel文档，Word文档，PowerPoint文档，邮件，PDF文件，TXT文件，CSV文件，图片文件等。</w:t>
      </w:r>
      <w:r/>
    </w:p>
    <w:p>
      <w:pPr>
        <w:pStyle w:val="1113"/>
        <w:ind w:firstLine="420"/>
        <w:spacing w:line="372" w:lineRule="auto"/>
        <w:rPr>
          <w:rFonts w:ascii="宋体" w:hAnsi="宋体" w:eastAsia="宋体" w:cs="宋体"/>
          <w:sz w:val="21"/>
          <w:szCs w:val="21"/>
          <w:lang w:val="en-US"/>
        </w:rPr>
      </w:pPr>
      <w:r>
        <w:rPr>
          <w:rFonts w:hint="eastAsia" w:ascii="宋体" w:hAnsi="宋体" w:eastAsia="宋体" w:cs="宋体"/>
          <w:sz w:val="21"/>
          <w:szCs w:val="21"/>
          <w:lang w:val="en-US"/>
        </w:rPr>
        <w:t xml:space="preserve">python、node.js、java等不同第三方语言开发的多种能力扩展插件，支持与各种应用进行开放的集成</w:t>
      </w:r>
      <w:r/>
    </w:p>
    <w:p>
      <w:pPr>
        <w:pStyle w:val="1113"/>
        <w:ind w:firstLine="420"/>
        <w:spacing w:line="372" w:lineRule="auto"/>
        <w:rPr>
          <w:rFonts w:ascii="宋体" w:hAnsi="宋体" w:eastAsia="宋体" w:cs="宋体"/>
          <w:sz w:val="21"/>
          <w:szCs w:val="21"/>
          <w:lang w:val="en-US"/>
        </w:rPr>
      </w:pPr>
      <w:r>
        <w:rPr>
          <w:rFonts w:hint="eastAsia" w:ascii="宋体" w:hAnsi="宋体" w:eastAsia="宋体" w:cs="宋体"/>
          <w:sz w:val="21"/>
          <w:szCs w:val="21"/>
          <w:lang w:val="en-US"/>
        </w:rPr>
        <w:t xml:space="preserve">开放式的接口调用功能，提供外部API接口</w:t>
      </w:r>
      <w:r/>
    </w:p>
    <w:p>
      <w:pPr>
        <w:pStyle w:val="1113"/>
        <w:ind w:firstLine="420"/>
        <w:spacing w:line="372" w:lineRule="auto"/>
        <w:rPr>
          <w:rFonts w:ascii="宋体" w:hAnsi="宋体" w:eastAsia="宋体" w:cs="宋体"/>
          <w:sz w:val="21"/>
          <w:szCs w:val="21"/>
          <w:lang w:val="en-US"/>
        </w:rPr>
      </w:pPr>
      <w:r>
        <w:rPr>
          <w:rFonts w:hint="eastAsia" w:ascii="宋体" w:hAnsi="宋体" w:eastAsia="宋体" w:cs="宋体"/>
          <w:sz w:val="21"/>
          <w:szCs w:val="21"/>
          <w:lang w:val="en-US"/>
        </w:rPr>
        <w:t xml:space="preserve">插件管理功能，允许使用JavaScript、Python等语言开发脚本，并将脚本作为插件导入设计器。</w:t>
      </w:r>
      <w:r/>
    </w:p>
    <w:p>
      <w:pPr>
        <w:pStyle w:val="970"/>
      </w:pPr>
      <w:r>
        <w:rPr>
          <w:rFonts w:hint="eastAsia"/>
        </w:rPr>
        <w:t xml:space="preserve">数量要求</w:t>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RPA机器人由设计器与执行组成，所需设计器：不低于2个，执行器不低于30个。</w:t>
      </w:r>
      <w:r/>
    </w:p>
    <w:p>
      <w:pPr>
        <w:ind w:firstLine="0"/>
        <w:rPr>
          <w:rFonts w:ascii="宋体" w:hAnsi="宋体" w:eastAsia="宋体" w:cs="宋体"/>
          <w:sz w:val="21"/>
          <w:szCs w:val="21"/>
        </w:rPr>
      </w:pPr>
      <w:r>
        <w:rPr>
          <w:rFonts w:ascii="宋体" w:hAnsi="宋体" w:eastAsia="宋体" w:cs="宋体"/>
          <w:sz w:val="21"/>
          <w:szCs w:val="21"/>
        </w:rPr>
      </w:r>
      <w:r/>
    </w:p>
    <w:p>
      <w:pPr>
        <w:pStyle w:val="968"/>
        <w:spacing w:line="372" w:lineRule="auto"/>
      </w:pPr>
      <w:r>
        <w:rPr>
          <w:rFonts w:hint="eastAsia"/>
        </w:rPr>
        <w:t xml:space="preserve">慧眼平台升级</w:t>
      </w:r>
      <w:r/>
    </w:p>
    <w:p>
      <w:pPr>
        <w:pStyle w:val="969"/>
        <w:spacing w:line="372" w:lineRule="auto"/>
        <w:rPr>
          <w:lang w:eastAsia="zh-Hans"/>
        </w:rPr>
      </w:pPr>
      <w:r>
        <w:rPr>
          <w:rFonts w:hint="eastAsia"/>
        </w:rPr>
        <w:t xml:space="preserve">系统概况</w:t>
      </w:r>
      <w:r/>
    </w:p>
    <w:p>
      <w:pPr>
        <w:pStyle w:val="1066"/>
        <w:ind w:firstLine="420"/>
        <w:spacing w:line="372" w:lineRule="auto"/>
        <w:widowControl w:val="off"/>
        <w:rPr>
          <w:rFonts w:hAnsi="宋体" w:cs="宋体"/>
          <w:sz w:val="21"/>
          <w:szCs w:val="21"/>
        </w:rPr>
      </w:pPr>
      <w:r>
        <w:rPr>
          <w:rFonts w:hint="eastAsia" w:hAnsi="宋体" w:cs="宋体"/>
          <w:sz w:val="21"/>
          <w:szCs w:val="21"/>
        </w:rPr>
        <w:t xml:space="preserve">基于太仓市局“扬帆数据中心”建设，通过订阅各项交通感知数据与人员交通出行业务数据进行融合分析，形成主动情报预测服务，并把情报服务赋能给指挥中心、勤务管理中心、交通督导宣传中心、基层派出所民警，实现太仓市局主动管理城市交通不文明现象，改变人的交通安全意识。</w:t>
      </w:r>
      <w:r/>
    </w:p>
    <w:p>
      <w:pPr>
        <w:pStyle w:val="969"/>
        <w:spacing w:line="372" w:lineRule="auto"/>
        <w:rPr>
          <w:lang w:eastAsia="zh-Hans"/>
        </w:rPr>
      </w:pPr>
      <w:r>
        <w:rPr>
          <w:rFonts w:hint="eastAsia"/>
        </w:rPr>
        <w:t xml:space="preserve">系统功能</w:t>
      </w:r>
      <w:r/>
    </w:p>
    <w:p>
      <w:pPr>
        <w:pStyle w:val="970"/>
        <w:spacing w:line="372" w:lineRule="auto"/>
      </w:pPr>
      <w:r>
        <w:rPr>
          <w:rFonts w:hint="eastAsia"/>
        </w:rPr>
        <w:t xml:space="preserve">数据接入</w:t>
      </w:r>
      <w:r/>
    </w:p>
    <w:p>
      <w:pPr>
        <w:pStyle w:val="1066"/>
        <w:ind w:firstLine="420"/>
        <w:spacing w:line="372" w:lineRule="auto"/>
        <w:widowControl w:val="off"/>
        <w:rPr>
          <w:rFonts w:hAnsi="宋体" w:cs="宋体"/>
          <w:sz w:val="21"/>
          <w:szCs w:val="21"/>
        </w:rPr>
      </w:pPr>
      <w:r>
        <w:rPr>
          <w:rFonts w:hint="eastAsia" w:hAnsi="宋体" w:cs="宋体"/>
          <w:sz w:val="21"/>
          <w:szCs w:val="21"/>
        </w:rPr>
        <w:t xml:space="preserve">包括：数据源设计（构建城市交通人员档案全息数据）、数据集成能力（完成对各业务系统数据、其他系统数据、外部门数据和互联网数据等数据源管理和信息交换）；</w:t>
      </w:r>
      <w:r/>
    </w:p>
    <w:p>
      <w:pPr>
        <w:pStyle w:val="970"/>
        <w:spacing w:line="372" w:lineRule="auto"/>
      </w:pPr>
      <w:r>
        <w:rPr>
          <w:rFonts w:hint="eastAsia"/>
        </w:rPr>
        <w:t xml:space="preserve">数据资源库</w:t>
      </w:r>
      <w:r/>
    </w:p>
    <w:p>
      <w:pPr>
        <w:pStyle w:val="1066"/>
        <w:ind w:firstLine="420"/>
        <w:spacing w:line="372" w:lineRule="auto"/>
        <w:widowControl w:val="off"/>
        <w:rPr>
          <w:rFonts w:hAnsi="宋体" w:cs="宋体"/>
          <w:sz w:val="21"/>
          <w:szCs w:val="21"/>
        </w:rPr>
      </w:pPr>
      <w:r>
        <w:rPr>
          <w:rFonts w:hint="eastAsia" w:hAnsi="宋体" w:cs="宋体"/>
          <w:sz w:val="21"/>
          <w:szCs w:val="21"/>
        </w:rPr>
        <w:t xml:space="preserve">包括：贴源数据层（交通感知设备数据和业务数据接入后，按照类型在贴源数据层中设计库表进行存储）、主题域层（按业务类型划分不同主题域对数据进行管理）；</w:t>
      </w:r>
      <w:r/>
    </w:p>
    <w:p>
      <w:pPr>
        <w:pStyle w:val="970"/>
        <w:spacing w:line="372" w:lineRule="auto"/>
      </w:pPr>
      <w:r>
        <w:rPr>
          <w:rFonts w:hint="eastAsia"/>
        </w:rPr>
        <w:t xml:space="preserve">多源交通数据融合体系</w:t>
      </w:r>
      <w:r/>
    </w:p>
    <w:p>
      <w:pPr>
        <w:pStyle w:val="1066"/>
        <w:ind w:firstLine="420"/>
        <w:spacing w:line="372" w:lineRule="auto"/>
        <w:widowControl w:val="off"/>
        <w:rPr>
          <w:rFonts w:hAnsi="宋体" w:cs="宋体"/>
          <w:sz w:val="21"/>
          <w:szCs w:val="21"/>
        </w:rPr>
      </w:pPr>
      <w:r>
        <w:rPr>
          <w:rFonts w:hint="eastAsia" w:hAnsi="宋体" w:cs="宋体"/>
          <w:sz w:val="21"/>
          <w:szCs w:val="21"/>
        </w:rPr>
        <w:t xml:space="preserve">包括：事故点匹配（将每个事故点精确地匹配至其所在或最邻近的道路路段）、特征抽取（从空间、时间、外部三个角度提取事故有关特征）。</w:t>
      </w:r>
      <w:r/>
    </w:p>
    <w:p>
      <w:pPr>
        <w:pStyle w:val="970"/>
        <w:spacing w:line="372" w:lineRule="auto"/>
      </w:pPr>
      <w:r>
        <w:rPr>
          <w:rFonts w:hint="eastAsia"/>
        </w:rPr>
        <w:t xml:space="preserve">驾驶舱</w:t>
      </w:r>
      <w:r/>
    </w:p>
    <w:p>
      <w:pPr>
        <w:pStyle w:val="1066"/>
        <w:ind w:firstLine="420"/>
        <w:spacing w:line="372" w:lineRule="auto"/>
        <w:widowControl w:val="off"/>
        <w:tabs>
          <w:tab w:val="left" w:pos="1038" w:leader="none"/>
        </w:tabs>
        <w:rPr>
          <w:rFonts w:hAnsi="宋体" w:cs="宋体"/>
          <w:sz w:val="21"/>
          <w:szCs w:val="21"/>
        </w:rPr>
      </w:pPr>
      <w:r>
        <w:rPr>
          <w:rFonts w:hint="eastAsia" w:hAnsi="宋体" w:cs="宋体"/>
          <w:sz w:val="21"/>
          <w:szCs w:val="21"/>
        </w:rPr>
        <w:t xml:space="preserve">包括：违法趋势展示、辖区高频违法TOP10展示、驾驶者风险地图展示等。</w:t>
      </w:r>
      <w:r/>
    </w:p>
    <w:p>
      <w:pPr>
        <w:pStyle w:val="969"/>
        <w:spacing w:line="372" w:lineRule="auto"/>
      </w:pPr>
      <w:r>
        <w:rPr>
          <w:rFonts w:hint="eastAsia"/>
        </w:rPr>
        <w:t xml:space="preserve">系统功能升级</w:t>
      </w:r>
      <w:r/>
    </w:p>
    <w:p>
      <w:pPr>
        <w:pStyle w:val="970"/>
        <w:spacing w:line="372" w:lineRule="auto"/>
      </w:pPr>
      <w:r>
        <w:rPr>
          <w:rFonts w:hint="eastAsia"/>
        </w:rPr>
        <w:t xml:space="preserve">违法任务</w:t>
      </w:r>
      <w:r/>
    </w:p>
    <w:p>
      <w:pPr>
        <w:pStyle w:val="1066"/>
        <w:ind w:firstLine="420"/>
        <w:spacing w:line="372" w:lineRule="auto"/>
        <w:widowControl w:val="off"/>
        <w:tabs>
          <w:tab w:val="left" w:pos="1038" w:leader="none"/>
        </w:tabs>
        <w:rPr>
          <w:rFonts w:hAnsi="宋体" w:cs="宋体"/>
          <w:sz w:val="21"/>
          <w:szCs w:val="21"/>
        </w:rPr>
      </w:pPr>
      <w:r>
        <w:rPr>
          <w:rFonts w:hint="eastAsia" w:hAnsi="宋体" w:cs="宋体"/>
          <w:sz w:val="21"/>
          <w:szCs w:val="21"/>
        </w:rPr>
        <w:t xml:space="preserve">包括：人员待办（根据待办规则，生成待办人员）、企业待办（根据待办规则，生成待办企业）、已办人员、已办企业；</w:t>
      </w:r>
      <w:r/>
    </w:p>
    <w:p>
      <w:pPr>
        <w:pStyle w:val="970"/>
        <w:spacing w:line="372" w:lineRule="auto"/>
      </w:pPr>
      <w:r>
        <w:rPr>
          <w:rFonts w:hint="eastAsia"/>
        </w:rPr>
        <w:t xml:space="preserve">违法档案</w:t>
      </w:r>
      <w:r/>
    </w:p>
    <w:p>
      <w:pPr>
        <w:pStyle w:val="1066"/>
        <w:ind w:firstLine="420"/>
        <w:spacing w:line="372" w:lineRule="auto"/>
        <w:widowControl w:val="off"/>
        <w:tabs>
          <w:tab w:val="left" w:pos="1038" w:leader="none"/>
        </w:tabs>
        <w:rPr>
          <w:rFonts w:hAnsi="宋体" w:cs="宋体"/>
          <w:sz w:val="21"/>
          <w:szCs w:val="21"/>
        </w:rPr>
      </w:pPr>
      <w:r>
        <w:rPr>
          <w:rFonts w:hint="eastAsia" w:hAnsi="宋体" w:cs="宋体"/>
          <w:sz w:val="21"/>
          <w:szCs w:val="21"/>
        </w:rPr>
        <w:t xml:space="preserve">包括：人员违法档案、企业档案、匿名档案、人员档案、电动车人员档案；</w:t>
      </w:r>
      <w:r/>
    </w:p>
    <w:p>
      <w:pPr>
        <w:pStyle w:val="970"/>
        <w:spacing w:line="372" w:lineRule="auto"/>
      </w:pPr>
      <w:r>
        <w:rPr>
          <w:rFonts w:hint="eastAsia"/>
        </w:rPr>
        <w:t xml:space="preserve">违法审核</w:t>
      </w:r>
      <w:r/>
    </w:p>
    <w:p>
      <w:pPr>
        <w:pStyle w:val="1066"/>
        <w:ind w:firstLine="420"/>
        <w:widowControl w:val="off"/>
        <w:tabs>
          <w:tab w:val="left" w:pos="1038" w:leader="none"/>
        </w:tabs>
        <w:rPr>
          <w:rFonts w:hAnsi="宋体" w:cs="宋体"/>
          <w:sz w:val="21"/>
          <w:szCs w:val="21"/>
        </w:rPr>
      </w:pPr>
      <w:r>
        <w:rPr>
          <w:rFonts w:hint="eastAsia" w:hAnsi="宋体" w:cs="宋体"/>
          <w:sz w:val="21"/>
          <w:szCs w:val="21"/>
        </w:rPr>
        <w:t xml:space="preserve">包括：非机动审核（接入外卖人员数据，人工审核）、机动车审核（接入机动车数据，人工审核）、非机动车审核（接入非机动车数据，人工审核）；</w:t>
      </w:r>
      <w:r/>
    </w:p>
    <w:p>
      <w:pPr>
        <w:pStyle w:val="970"/>
      </w:pPr>
      <w:r>
        <w:rPr>
          <w:rFonts w:hint="eastAsia"/>
        </w:rPr>
        <w:t xml:space="preserve">违法查询</w:t>
      </w:r>
      <w:r/>
    </w:p>
    <w:p>
      <w:pPr>
        <w:pStyle w:val="1066"/>
        <w:ind w:firstLine="420"/>
        <w:widowControl w:val="off"/>
        <w:tabs>
          <w:tab w:val="left" w:pos="1038" w:leader="none"/>
        </w:tabs>
        <w:rPr>
          <w:rFonts w:hAnsi="宋体" w:cs="宋体"/>
          <w:sz w:val="21"/>
          <w:szCs w:val="21"/>
        </w:rPr>
      </w:pPr>
      <w:r>
        <w:rPr>
          <w:rFonts w:hint="eastAsia" w:hAnsi="宋体" w:cs="宋体"/>
          <w:sz w:val="21"/>
          <w:szCs w:val="21"/>
        </w:rPr>
        <w:t xml:space="preserve">包括：非机动车违法查询、机动车违法查询、行人违法查询等；</w:t>
      </w:r>
      <w:r/>
    </w:p>
    <w:p>
      <w:pPr>
        <w:pStyle w:val="970"/>
      </w:pPr>
      <w:r>
        <w:rPr>
          <w:rFonts w:hint="eastAsia"/>
        </w:rPr>
        <w:t xml:space="preserve">数据台账</w:t>
      </w:r>
      <w:r/>
    </w:p>
    <w:p>
      <w:pPr>
        <w:pStyle w:val="1066"/>
        <w:ind w:firstLine="420"/>
        <w:widowControl w:val="off"/>
        <w:tabs>
          <w:tab w:val="left" w:pos="1038" w:leader="none"/>
        </w:tabs>
        <w:rPr>
          <w:rFonts w:hAnsi="宋体" w:cs="宋体"/>
          <w:sz w:val="21"/>
          <w:szCs w:val="21"/>
        </w:rPr>
      </w:pPr>
      <w:r>
        <w:rPr>
          <w:rFonts w:hint="eastAsia" w:hAnsi="宋体" w:cs="宋体"/>
          <w:sz w:val="21"/>
          <w:szCs w:val="21"/>
        </w:rPr>
        <w:t xml:space="preserve">包括：非机动车违法台账、机动车违法台账、行人违法台账、已纠正人员台账、已处罚人员台账等。</w:t>
      </w:r>
      <w:r/>
    </w:p>
    <w:p>
      <w:pPr>
        <w:pStyle w:val="970"/>
      </w:pPr>
      <w:r>
        <w:rPr>
          <w:rFonts w:hint="eastAsia"/>
        </w:rPr>
        <w:t xml:space="preserve">统计报表</w:t>
      </w:r>
      <w:r/>
    </w:p>
    <w:p>
      <w:pPr>
        <w:pStyle w:val="1066"/>
        <w:ind w:firstLine="420"/>
        <w:widowControl w:val="off"/>
        <w:tabs>
          <w:tab w:val="left" w:pos="1038" w:leader="none"/>
        </w:tabs>
        <w:rPr>
          <w:rFonts w:hAnsi="宋体" w:cs="宋体"/>
          <w:sz w:val="21"/>
          <w:szCs w:val="21"/>
        </w:rPr>
      </w:pPr>
      <w:r>
        <w:rPr>
          <w:rFonts w:hint="eastAsia" w:hAnsi="宋体" w:cs="宋体"/>
          <w:sz w:val="21"/>
          <w:szCs w:val="21"/>
        </w:rPr>
        <w:t xml:space="preserve">包括：无法置信数据违法统计、非机动车违法统计、企业违法率分析统计等。</w:t>
      </w:r>
      <w:r/>
    </w:p>
    <w:p>
      <w:pPr>
        <w:pStyle w:val="970"/>
      </w:pPr>
      <w:r>
        <w:rPr>
          <w:rFonts w:hint="eastAsia"/>
        </w:rPr>
        <w:t xml:space="preserve">数据看板</w:t>
      </w:r>
      <w:r/>
    </w:p>
    <w:p>
      <w:pPr>
        <w:pStyle w:val="1112"/>
        <w:ind w:firstLine="420"/>
        <w:rPr>
          <w:rFonts w:eastAsia="宋体"/>
          <w:sz w:val="21"/>
          <w:szCs w:val="21"/>
        </w:rPr>
      </w:pPr>
      <w:r>
        <w:rPr>
          <w:rFonts w:hint="eastAsia" w:eastAsia="宋体"/>
          <w:sz w:val="21"/>
          <w:szCs w:val="21"/>
        </w:rPr>
        <w:t xml:space="preserve">包括：在原基础上新增“机动车违法统计看板、行人违法统计看板”；。</w:t>
      </w:r>
      <w:r/>
    </w:p>
    <w:p>
      <w:pPr>
        <w:pStyle w:val="970"/>
      </w:pPr>
      <w:r>
        <w:rPr>
          <w:rFonts w:hint="eastAsia"/>
        </w:rPr>
        <w:t xml:space="preserve">数据接入扩容建设</w:t>
      </w:r>
      <w:r/>
    </w:p>
    <w:p>
      <w:pPr>
        <w:pStyle w:val="1066"/>
        <w:ind w:firstLine="420"/>
        <w:widowControl w:val="off"/>
        <w:tabs>
          <w:tab w:val="left" w:pos="1038" w:leader="none"/>
        </w:tabs>
        <w:rPr>
          <w:rFonts w:hAnsi="宋体" w:cs="宋体"/>
          <w:sz w:val="21"/>
          <w:szCs w:val="21"/>
        </w:rPr>
      </w:pPr>
      <w:r>
        <w:rPr>
          <w:rFonts w:hint="eastAsia" w:hAnsi="宋体" w:cs="宋体"/>
          <w:sz w:val="21"/>
          <w:szCs w:val="21"/>
        </w:rPr>
        <w:t xml:space="preserve">包括：非机动车数据接入扩容建设、机动车数据接入扩容建设、行人违法数据接入扩容建设。</w:t>
      </w:r>
      <w:r/>
    </w:p>
    <w:p>
      <w:pPr>
        <w:pStyle w:val="970"/>
      </w:pPr>
      <w:r>
        <w:rPr>
          <w:rFonts w:hint="eastAsia"/>
        </w:rPr>
        <w:t xml:space="preserve">自定义审批模型建设</w:t>
      </w:r>
      <w:r/>
    </w:p>
    <w:p>
      <w:pPr>
        <w:pStyle w:val="1066"/>
        <w:ind w:firstLine="420"/>
        <w:widowControl w:val="off"/>
        <w:tabs>
          <w:tab w:val="left" w:pos="1038" w:leader="none"/>
        </w:tabs>
        <w:rPr>
          <w:rFonts w:hAnsi="宋体" w:cs="宋体"/>
          <w:sz w:val="21"/>
          <w:szCs w:val="21"/>
        </w:rPr>
      </w:pPr>
      <w:r>
        <w:rPr>
          <w:rFonts w:hint="eastAsia" w:hAnsi="宋体" w:cs="宋体"/>
          <w:sz w:val="21"/>
          <w:szCs w:val="21"/>
        </w:rPr>
        <w:t xml:space="preserve">包括：审核配置（自定义审批模型，通过模型建模定义数据源、违法行为、系统自动分拣或人工分拣）、处置配置（自定义违法行为处置，通过开启处置按钮计入积分）。</w:t>
      </w:r>
      <w:r/>
    </w:p>
    <w:p>
      <w:pPr>
        <w:pStyle w:val="970"/>
      </w:pPr>
      <w:r>
        <w:rPr>
          <w:rFonts w:hint="eastAsia"/>
        </w:rPr>
        <w:t xml:space="preserve">违法视频存储及应用</w:t>
      </w:r>
      <w:r/>
    </w:p>
    <w:p>
      <w:pPr>
        <w:pStyle w:val="1112"/>
        <w:ind w:firstLine="420"/>
        <w:rPr>
          <w:rFonts w:eastAsia="宋体"/>
          <w:sz w:val="21"/>
          <w:szCs w:val="21"/>
        </w:rPr>
      </w:pPr>
      <w:r>
        <w:rPr>
          <w:rFonts w:hint="eastAsia" w:eastAsia="宋体"/>
          <w:sz w:val="21"/>
          <w:szCs w:val="21"/>
        </w:rPr>
        <w:t xml:space="preserve">通过GB/T28181标准、SDK等协议接入第三方视频平台获取实时/历史视频流。定制视频订阅下载服务，对AI违法检测人工审核后正片数据，自动订阅视频联网平台在该违法时间前后15秒视频片段，对接现有对象式存储服务进行存储，存储周期2年。</w:t>
      </w:r>
      <w:r/>
    </w:p>
    <w:p>
      <w:pPr>
        <w:pStyle w:val="970"/>
      </w:pPr>
      <w:r>
        <w:rPr>
          <w:rFonts w:hint="eastAsia"/>
        </w:rPr>
        <w:t xml:space="preserve">违法数据布控</w:t>
      </w:r>
      <w:r/>
    </w:p>
    <w:p>
      <w:pPr>
        <w:pStyle w:val="1066"/>
        <w:ind w:firstLine="420"/>
        <w:widowControl w:val="off"/>
        <w:tabs>
          <w:tab w:val="left" w:pos="1038" w:leader="none"/>
        </w:tabs>
        <w:rPr>
          <w:rFonts w:hAnsi="宋体" w:cs="宋体"/>
          <w:sz w:val="21"/>
          <w:szCs w:val="21"/>
        </w:rPr>
      </w:pPr>
      <w:r>
        <w:rPr>
          <w:rFonts w:hint="eastAsia" w:hAnsi="宋体" w:cs="宋体"/>
          <w:sz w:val="21"/>
          <w:szCs w:val="21"/>
        </w:rPr>
        <w:t xml:space="preserve">包括：非机动车审核后布控（非机动车人脸数据布控）、机动车审核后布控。</w:t>
      </w:r>
      <w:r/>
    </w:p>
    <w:p>
      <w:pPr>
        <w:pStyle w:val="970"/>
      </w:pPr>
      <w:r>
        <w:rPr>
          <w:rFonts w:hint="eastAsia"/>
        </w:rPr>
        <w:t xml:space="preserve">数据共享</w:t>
      </w:r>
      <w:r/>
    </w:p>
    <w:p>
      <w:pPr>
        <w:pStyle w:val="1066"/>
        <w:ind w:firstLine="420"/>
        <w:widowControl w:val="off"/>
        <w:tabs>
          <w:tab w:val="left" w:pos="1038" w:leader="none"/>
        </w:tabs>
        <w:rPr>
          <w:rFonts w:hAnsi="宋体" w:cs="宋体"/>
          <w:sz w:val="21"/>
          <w:szCs w:val="21"/>
        </w:rPr>
      </w:pPr>
      <w:r>
        <w:rPr>
          <w:rFonts w:hint="eastAsia" w:hAnsi="宋体" w:cs="宋体"/>
          <w:sz w:val="21"/>
          <w:szCs w:val="21"/>
        </w:rPr>
        <w:t xml:space="preserve">包括：布控告警数据共享、审核后数据共享。</w:t>
      </w:r>
      <w:r/>
    </w:p>
    <w:p>
      <w:pPr>
        <w:ind w:firstLine="420"/>
        <w:rPr>
          <w:rFonts w:ascii="宋体" w:hAnsi="宋体" w:eastAsia="宋体" w:cs="宋体"/>
          <w:sz w:val="21"/>
          <w:szCs w:val="21"/>
        </w:rPr>
      </w:pPr>
      <w:r>
        <w:rPr>
          <w:rFonts w:ascii="宋体" w:hAnsi="宋体" w:eastAsia="宋体" w:cs="宋体"/>
          <w:sz w:val="21"/>
          <w:szCs w:val="21"/>
        </w:rPr>
      </w:r>
      <w:r/>
    </w:p>
    <w:p>
      <w:pPr>
        <w:pStyle w:val="968"/>
      </w:pPr>
      <w:r>
        <w:rPr>
          <w:rFonts w:hint="eastAsia"/>
        </w:rPr>
        <w:t xml:space="preserve">数据治理平台升级</w:t>
      </w:r>
      <w:r/>
    </w:p>
    <w:p>
      <w:pPr>
        <w:pStyle w:val="969"/>
        <w:rPr>
          <w:lang w:eastAsia="zh-Hans"/>
        </w:rPr>
      </w:pPr>
      <w:r>
        <w:rPr>
          <w:rFonts w:hint="eastAsia"/>
        </w:rPr>
        <w:t xml:space="preserve">系统概况</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根据建设目标以及信息化建设业务需求，开展数据治理平台</w:t>
      </w:r>
      <w:r>
        <w:rPr>
          <w:rFonts w:hint="eastAsia" w:ascii="宋体" w:hAnsi="宋体" w:eastAsia="宋体" w:cs="宋体"/>
          <w:sz w:val="21"/>
          <w:szCs w:val="21"/>
        </w:rPr>
        <w:t xml:space="preserve">升级</w:t>
      </w:r>
      <w:r>
        <w:rPr>
          <w:rFonts w:hint="eastAsia" w:ascii="宋体" w:hAnsi="宋体" w:eastAsia="宋体" w:cs="宋体"/>
          <w:sz w:val="21"/>
          <w:szCs w:val="21"/>
          <w:lang w:eastAsia="zh-Hans"/>
        </w:rPr>
        <w:t xml:space="preserve">工作，主要工作内容包括</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跨边界数据对账功能、数据申请与审批功能、数据资产监测功能、数据专题库开发、数据治理工具节点扩容、数据治理驻场服务等</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重点业务需求如下：</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1）数据质量持续提升需求，根据网络环境，定制开发跨边界数据自动化对账功能，包括按业务规则进行数据质量检查并生成数据质量报告等。</w:t>
      </w:r>
      <w:r/>
    </w:p>
    <w:p>
      <w:pPr>
        <w:ind w:firstLine="420"/>
        <w:spacing w:line="360"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2）数据管理持续提升需求，根据用户、业务方日常数据使用、数据监控，及运维过程中提出的需求，进行功能优化、升级。</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3）根据业务方制定的数据规则、业务场景需求，进行持续数据深度清洗、加工、优化，以及数据共享工作的专题库开发，并向业务方提供数据接口。</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4）数据治理软件集群节点扩容，随当前数据接入规模的扩大，集群处理任务能力已经达到集群总任务容量的80%，为提升数据接入能力、计算能力进行集群节点扩容升级。</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5）满足更复杂场景下的数据治理工作，驻场服务提升包含数据分析和数据治理开发。</w:t>
      </w:r>
      <w:r/>
    </w:p>
    <w:p>
      <w:pPr>
        <w:pStyle w:val="969"/>
        <w:spacing w:line="372" w:lineRule="auto"/>
        <w:rPr>
          <w:lang w:eastAsia="zh-Hans"/>
        </w:rPr>
      </w:pPr>
      <w:r>
        <w:rPr>
          <w:rFonts w:hint="eastAsia"/>
        </w:rPr>
        <w:t xml:space="preserve">系统功能</w:t>
      </w:r>
      <w:r/>
    </w:p>
    <w:p>
      <w:pPr>
        <w:pStyle w:val="970"/>
        <w:spacing w:line="372" w:lineRule="auto"/>
      </w:pPr>
      <w:r/>
      <w:bookmarkStart w:id="141" w:name="_Toc21485"/>
      <w:r>
        <w:rPr>
          <w:rFonts w:hint="eastAsia"/>
        </w:rPr>
        <w:t xml:space="preserve">数据治理跨边界数据传输中转改造</w:t>
      </w:r>
      <w:bookmarkEnd w:id="141"/>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改造为采用HTTP请求透传跨边界直接获取数据方式，提高数据传输的实时性和可靠性，并能在实施过程中，不对下游应用厂家产生影响。</w:t>
      </w:r>
      <w:r>
        <w:rPr>
          <w:rFonts w:hint="eastAsia" w:ascii="宋体" w:hAnsi="宋体" w:eastAsia="宋体" w:cs="宋体"/>
          <w:sz w:val="21"/>
          <w:szCs w:val="21"/>
          <w:lang w:eastAsia="zh-Hans"/>
        </w:rPr>
        <w:t xml:space="preserve">主要包括</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定制</w:t>
      </w:r>
      <w:r>
        <w:rPr>
          <w:rFonts w:hint="eastAsia" w:ascii="宋体" w:hAnsi="宋体" w:eastAsia="宋体" w:cs="宋体"/>
          <w:sz w:val="21"/>
          <w:szCs w:val="21"/>
        </w:rPr>
        <w:t xml:space="preserve">程序改造、已接入数据的正常切换和传输，以及在不中断业务的情况下，在线逐步灰度升级。</w:t>
      </w:r>
      <w:r/>
    </w:p>
    <w:p>
      <w:pPr>
        <w:pStyle w:val="970"/>
        <w:spacing w:line="372" w:lineRule="auto"/>
      </w:pPr>
      <w:r/>
      <w:bookmarkStart w:id="142" w:name="_Toc29082"/>
      <w:r>
        <w:rPr>
          <w:rFonts w:hint="eastAsia"/>
        </w:rPr>
        <w:t xml:space="preserve">数据治理跨边界数据实时安全共享功能</w:t>
      </w:r>
      <w:bookmarkEnd w:id="142"/>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rPr>
        <w:t xml:space="preserve">基于HTTP请求直接透传跨边界方式，定制开发数据实时安全共享服务功能，以满足下游厂家不同业务场景下数据使用需求。</w:t>
      </w:r>
      <w:r>
        <w:rPr>
          <w:rFonts w:hint="eastAsia" w:ascii="宋体" w:hAnsi="宋体" w:eastAsia="宋体" w:cs="宋体"/>
          <w:sz w:val="21"/>
          <w:szCs w:val="21"/>
          <w:lang w:eastAsia="zh-Hans"/>
        </w:rPr>
        <w:t xml:space="preserve">主要包括</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定制</w:t>
      </w:r>
      <w:r>
        <w:rPr>
          <w:rFonts w:hint="eastAsia" w:ascii="宋体" w:hAnsi="宋体" w:eastAsia="宋体" w:cs="宋体"/>
          <w:sz w:val="21"/>
          <w:szCs w:val="21"/>
        </w:rPr>
        <w:t xml:space="preserve">开发程序，</w:t>
      </w:r>
      <w:r>
        <w:rPr>
          <w:rFonts w:hint="eastAsia" w:ascii="宋体" w:hAnsi="宋体" w:eastAsia="宋体" w:cs="宋体"/>
          <w:sz w:val="21"/>
          <w:szCs w:val="21"/>
          <w:lang w:eastAsia="zh-Hans"/>
        </w:rPr>
        <w:t xml:space="preserve">对各边界</w:t>
      </w:r>
      <w:r>
        <w:rPr>
          <w:rFonts w:hint="eastAsia" w:ascii="宋体" w:hAnsi="宋体" w:eastAsia="宋体" w:cs="宋体"/>
          <w:sz w:val="21"/>
          <w:szCs w:val="21"/>
        </w:rPr>
        <w:t xml:space="preserve">数据进行采集，并通过HTTP请求直接透传跨边界方式，将数据传输到公安网，在公安网侧定制开发程序，接收数据并通过Kafka消息队列进行高效存储，以及提供数据推送服务。</w:t>
      </w:r>
      <w:r/>
    </w:p>
    <w:p>
      <w:pPr>
        <w:pStyle w:val="970"/>
        <w:spacing w:line="372" w:lineRule="auto"/>
      </w:pPr>
      <w:r/>
      <w:bookmarkStart w:id="143" w:name="_Toc28047"/>
      <w:r>
        <w:rPr>
          <w:rFonts w:hint="eastAsia"/>
        </w:rPr>
        <w:t xml:space="preserve">跨边界数据对账功能</w:t>
      </w:r>
      <w:bookmarkEnd w:id="143"/>
      <w:r/>
      <w:r/>
    </w:p>
    <w:p>
      <w:pPr>
        <w:ind w:firstLine="420"/>
        <w:spacing w:line="372" w:lineRule="auto"/>
        <w:rPr>
          <w:rFonts w:ascii="宋体" w:hAnsi="宋体" w:eastAsia="宋体" w:cs="宋体"/>
          <w:sz w:val="21"/>
          <w:szCs w:val="21"/>
        </w:rPr>
      </w:pPr>
      <w:r>
        <w:rPr>
          <w:rFonts w:hint="eastAsia" w:ascii="宋体" w:hAnsi="宋体" w:eastAsia="宋体" w:cs="宋体"/>
          <w:sz w:val="21"/>
          <w:szCs w:val="21"/>
          <w:lang w:eastAsia="zh-Hans"/>
        </w:rPr>
        <w:t xml:space="preserve">针对多源、异构数据源，以及跨边界数据源，按业务需求规则，定制开发进行数据探测、比对，自动形成数据对账报告等功能</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主要包括</w:t>
      </w:r>
      <w:r>
        <w:rPr>
          <w:rFonts w:hint="eastAsia" w:ascii="宋体" w:hAnsi="宋体" w:eastAsia="宋体" w:cs="宋体"/>
          <w:sz w:val="21"/>
          <w:szCs w:val="21"/>
        </w:rPr>
        <w:t xml:space="preserve">：</w:t>
      </w:r>
      <w:r>
        <w:rPr>
          <w:rFonts w:hint="eastAsia" w:ascii="宋体" w:hAnsi="宋体" w:eastAsia="宋体" w:cs="宋体"/>
          <w:sz w:val="21"/>
          <w:szCs w:val="21"/>
          <w:lang w:eastAsia="zh-Hans"/>
        </w:rPr>
        <w:t xml:space="preserve">定制开发程序，对各边界采集程序日志收集、汇总统计，通过边界进入公安网，在公安网数据资产平台进行数据对账，并在数据资产平台定制开发数据对账管理功能</w:t>
      </w:r>
      <w:r>
        <w:rPr>
          <w:rFonts w:hint="eastAsia" w:ascii="宋体" w:hAnsi="宋体" w:eastAsia="宋体" w:cs="宋体"/>
          <w:sz w:val="21"/>
          <w:szCs w:val="21"/>
        </w:rPr>
        <w:t xml:space="preserve">。同时， 通过查看数据对账的结果来了解数据要素组织结果的正确性，以便及时进行修正，确保数据要素组织后数据的正确性和可用性。</w:t>
      </w:r>
      <w:r/>
    </w:p>
    <w:p>
      <w:pPr>
        <w:pStyle w:val="970"/>
        <w:spacing w:line="372" w:lineRule="auto"/>
        <w:rPr>
          <w:lang w:eastAsia="zh-Hans"/>
        </w:rPr>
      </w:pPr>
      <w:r/>
      <w:bookmarkStart w:id="144" w:name="_Toc11404"/>
      <w:r>
        <w:rPr>
          <w:rFonts w:hint="eastAsia"/>
          <w:lang w:eastAsia="zh-Hans"/>
        </w:rPr>
        <w:t xml:space="preserve">数据申请与审批功能</w:t>
      </w:r>
      <w:bookmarkEnd w:id="144"/>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根据数据申请审批流转业务需求，开展定制开发数据审批行政流程，应用方在线申请数据，经管理员、数据分析员审核通过后，进行数据的接入、治理，以及接口发布工作，数据申请审批流程二级审核。</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数据申请需填写需求方、使用场景、数据接入源、数据计算规则、数据输出方式、数据更新周期、数据接口或数据结构说明等，数据分析员审批通过后，即可按申请要求进行数据开发，并提供数据接口。</w:t>
      </w:r>
      <w:r/>
    </w:p>
    <w:p>
      <w:pPr>
        <w:pStyle w:val="970"/>
        <w:spacing w:line="372" w:lineRule="auto"/>
        <w:rPr>
          <w:lang w:eastAsia="zh-Hans"/>
        </w:rPr>
      </w:pPr>
      <w:r/>
      <w:bookmarkStart w:id="145" w:name="_Toc22047"/>
      <w:r/>
      <w:bookmarkStart w:id="146" w:name="_Toc31970"/>
      <w:r/>
      <w:bookmarkStart w:id="147" w:name="_Toc6969"/>
      <w:r>
        <w:rPr>
          <w:rFonts w:hint="eastAsia"/>
          <w:lang w:eastAsia="zh-Hans"/>
        </w:rPr>
        <w:t xml:space="preserve">数据资产监测</w:t>
      </w:r>
      <w:bookmarkEnd w:id="145"/>
      <w:r/>
      <w:bookmarkEnd w:id="146"/>
      <w:r>
        <w:rPr>
          <w:rFonts w:hint="eastAsia"/>
          <w:lang w:eastAsia="zh-Hans"/>
        </w:rPr>
        <w:t xml:space="preserve">功能</w:t>
      </w:r>
      <w:bookmarkEnd w:id="147"/>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包括：数据接入监测、标准数据监测、数据安全监测（</w:t>
      </w:r>
      <w:bookmarkStart w:id="148" w:name="_Toc10074"/>
      <w:r/>
      <w:bookmarkStart w:id="149" w:name="_Toc32018"/>
      <w:r>
        <w:rPr>
          <w:rFonts w:hint="eastAsia" w:ascii="宋体" w:hAnsi="宋体" w:eastAsia="宋体" w:cs="宋体"/>
          <w:sz w:val="21"/>
          <w:szCs w:val="21"/>
          <w:lang w:eastAsia="zh-Hans"/>
        </w:rPr>
        <w:t xml:space="preserve">数据操作审计</w:t>
      </w:r>
      <w:bookmarkEnd w:id="148"/>
      <w:r/>
      <w:bookmarkEnd w:id="149"/>
      <w:r>
        <w:rPr>
          <w:rFonts w:hint="eastAsia" w:ascii="宋体" w:hAnsi="宋体" w:eastAsia="宋体" w:cs="宋体"/>
          <w:sz w:val="21"/>
          <w:szCs w:val="21"/>
        </w:rPr>
        <w:t xml:space="preserve">、</w:t>
      </w:r>
      <w:bookmarkStart w:id="150" w:name="_Toc3807"/>
      <w:r/>
      <w:bookmarkStart w:id="151" w:name="_Toc846"/>
      <w:r>
        <w:rPr>
          <w:rFonts w:hint="eastAsia" w:ascii="宋体" w:hAnsi="宋体" w:eastAsia="宋体" w:cs="宋体"/>
          <w:sz w:val="21"/>
          <w:szCs w:val="21"/>
          <w:lang w:eastAsia="zh-Hans"/>
        </w:rPr>
        <w:t xml:space="preserve">数据访问日志审计</w:t>
      </w:r>
      <w:bookmarkEnd w:id="150"/>
      <w:r/>
      <w:bookmarkEnd w:id="151"/>
      <w:r>
        <w:rPr>
          <w:rFonts w:hint="eastAsia" w:ascii="宋体" w:hAnsi="宋体" w:eastAsia="宋体" w:cs="宋体"/>
          <w:sz w:val="21"/>
          <w:szCs w:val="21"/>
        </w:rPr>
        <w:t xml:space="preserve">）、接口服务监测、数据积压监测。</w:t>
      </w:r>
      <w:r/>
    </w:p>
    <w:p>
      <w:pPr>
        <w:pStyle w:val="970"/>
        <w:spacing w:line="372" w:lineRule="auto"/>
        <w:rPr>
          <w:lang w:eastAsia="zh-Hans"/>
        </w:rPr>
      </w:pPr>
      <w:r/>
      <w:bookmarkStart w:id="152" w:name="_Toc18476"/>
      <w:r>
        <w:rPr>
          <w:rFonts w:hint="eastAsia"/>
          <w:lang w:eastAsia="zh-Hans"/>
        </w:rPr>
        <w:t xml:space="preserve">专题库开发与共享</w:t>
      </w:r>
      <w:bookmarkEnd w:id="152"/>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包括：</w:t>
      </w:r>
      <w:bookmarkStart w:id="153" w:name="_Toc7682"/>
      <w:r>
        <w:rPr>
          <w:rFonts w:hint="eastAsia" w:ascii="宋体" w:hAnsi="宋体" w:eastAsia="宋体" w:cs="宋体"/>
          <w:sz w:val="21"/>
          <w:szCs w:val="21"/>
          <w:lang w:eastAsia="zh-Hans"/>
        </w:rPr>
        <w:t xml:space="preserve">企业监管专题</w:t>
      </w:r>
      <w:bookmarkEnd w:id="153"/>
      <w:r>
        <w:rPr>
          <w:rFonts w:hint="eastAsia" w:ascii="宋体" w:hAnsi="宋体" w:eastAsia="宋体" w:cs="宋体"/>
          <w:sz w:val="21"/>
          <w:szCs w:val="21"/>
        </w:rPr>
        <w:t xml:space="preserve">、驾驶人监管专题、车辆监管专题、安全风险专题、接处警业务专题、</w:t>
      </w:r>
      <w:bookmarkStart w:id="154" w:name="_Toc12165"/>
      <w:r>
        <w:rPr>
          <w:rFonts w:hint="eastAsia" w:ascii="宋体" w:hAnsi="宋体" w:eastAsia="宋体" w:cs="宋体"/>
          <w:sz w:val="21"/>
          <w:szCs w:val="21"/>
          <w:lang w:eastAsia="zh-Hans"/>
        </w:rPr>
        <w:t xml:space="preserve">布控预警监测专题</w:t>
      </w:r>
      <w:bookmarkEnd w:id="154"/>
      <w:r>
        <w:rPr>
          <w:rFonts w:hint="eastAsia" w:ascii="宋体" w:hAnsi="宋体" w:eastAsia="宋体" w:cs="宋体"/>
          <w:sz w:val="21"/>
          <w:szCs w:val="21"/>
        </w:rPr>
        <w:t xml:space="preserve">、</w:t>
      </w:r>
      <w:bookmarkStart w:id="155" w:name="_Toc3046"/>
      <w:r>
        <w:rPr>
          <w:rFonts w:hint="eastAsia" w:ascii="宋体" w:hAnsi="宋体" w:eastAsia="宋体" w:cs="宋体"/>
          <w:sz w:val="21"/>
          <w:szCs w:val="21"/>
          <w:lang w:eastAsia="zh-Hans"/>
        </w:rPr>
        <w:t xml:space="preserve">慧眼智管专题</w:t>
      </w:r>
      <w:bookmarkEnd w:id="155"/>
      <w:r>
        <w:rPr>
          <w:rFonts w:hint="eastAsia" w:ascii="宋体" w:hAnsi="宋体" w:eastAsia="宋体" w:cs="宋体"/>
          <w:sz w:val="21"/>
          <w:szCs w:val="21"/>
        </w:rPr>
        <w:t xml:space="preserve">等。</w:t>
      </w:r>
      <w:r/>
    </w:p>
    <w:p>
      <w:pPr>
        <w:pStyle w:val="970"/>
        <w:spacing w:line="372" w:lineRule="auto"/>
      </w:pPr>
      <w:r/>
      <w:bookmarkStart w:id="156" w:name="_Toc5270"/>
      <w:r>
        <w:rPr>
          <w:rFonts w:hint="eastAsia"/>
          <w:lang w:eastAsia="zh-Hans"/>
        </w:rPr>
        <w:t xml:space="preserve">数据治理软件节点扩容</w:t>
      </w:r>
      <w:bookmarkEnd w:id="156"/>
      <w:r/>
      <w:r/>
    </w:p>
    <w:p>
      <w:pPr>
        <w:ind w:firstLine="422"/>
        <w:spacing w:line="372" w:lineRule="auto"/>
        <w:rPr>
          <w:rFonts w:ascii="宋体" w:hAnsi="宋体" w:eastAsia="宋体" w:cs="宋体"/>
          <w:b/>
          <w:bCs/>
          <w:sz w:val="21"/>
          <w:szCs w:val="21"/>
          <w:lang w:eastAsia="zh-Hans"/>
        </w:rPr>
      </w:pPr>
      <w:r>
        <w:rPr>
          <w:rFonts w:hint="eastAsia" w:ascii="宋体" w:hAnsi="宋体" w:eastAsia="宋体" w:cs="宋体"/>
          <w:b/>
          <w:bCs/>
          <w:sz w:val="21"/>
          <w:szCs w:val="21"/>
        </w:rPr>
        <w:t xml:space="preserve">1）系统概述</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数据治理软件是交管大数据资源中心的核心，通过数据接入功能实现外场设备采集数据、交通管理信息化数据、公安信息资源数据、交通相关部门数据、交通相关企业数据和社会信息资源的接入，</w:t>
      </w:r>
      <w:r>
        <w:rPr>
          <w:rFonts w:hint="eastAsia" w:ascii="宋体" w:hAnsi="宋体" w:eastAsia="宋体" w:cs="宋体"/>
          <w:sz w:val="21"/>
          <w:szCs w:val="21"/>
        </w:rPr>
        <w:t xml:space="preserve">并通过</w:t>
      </w:r>
      <w:r>
        <w:rPr>
          <w:rFonts w:hint="eastAsia" w:ascii="宋体" w:hAnsi="宋体" w:eastAsia="宋体" w:cs="宋体"/>
          <w:sz w:val="21"/>
          <w:szCs w:val="21"/>
          <w:lang w:eastAsia="zh-Hans"/>
        </w:rPr>
        <w:t xml:space="preserve">数据提取、清洗、转换、分拣、标识、比对、关联、统计等技术，建立数据的原始库、标准库、主题库、专题库、模型库、资源库、生产库、业务库、知识库和元数据库，最后通过数据服务功能为各类应用提供数据支撑服务。</w:t>
      </w:r>
      <w:r/>
    </w:p>
    <w:p>
      <w:pPr>
        <w:ind w:firstLine="422"/>
        <w:spacing w:line="372" w:lineRule="auto"/>
        <w:rPr>
          <w:rFonts w:ascii="宋体" w:hAnsi="宋体" w:eastAsia="宋体" w:cs="宋体"/>
          <w:b/>
          <w:bCs/>
          <w:sz w:val="21"/>
          <w:szCs w:val="21"/>
        </w:rPr>
      </w:pPr>
      <w:r>
        <w:rPr>
          <w:rFonts w:hint="eastAsia" w:ascii="宋体" w:hAnsi="宋体" w:eastAsia="宋体" w:cs="宋体"/>
          <w:b/>
          <w:bCs/>
          <w:sz w:val="21"/>
          <w:szCs w:val="21"/>
        </w:rPr>
        <w:t xml:space="preserve">2）方案配置</w:t>
      </w:r>
      <w:r/>
    </w:p>
    <w:p>
      <w:pPr>
        <w:ind w:firstLine="420"/>
        <w:spacing w:line="372" w:lineRule="auto"/>
        <w:rPr>
          <w:rFonts w:ascii="宋体" w:hAnsi="宋体" w:eastAsia="宋体" w:cs="宋体"/>
          <w:sz w:val="21"/>
          <w:szCs w:val="21"/>
        </w:rPr>
      </w:pPr>
      <w:r>
        <w:rPr>
          <w:rFonts w:hint="eastAsia" w:ascii="宋体" w:hAnsi="宋体" w:eastAsia="宋体" w:cs="宋体"/>
          <w:sz w:val="21"/>
          <w:szCs w:val="21"/>
          <w:lang w:eastAsia="zh-Hans"/>
        </w:rPr>
        <w:t xml:space="preserve">当前数据治理软件系统集群共计3台节点，共运行200项数据治理任务，占集群任务容量80%，为满足二期专题库开发与共享服务，需将现有集群扩容3台节点。</w:t>
      </w:r>
      <w:r/>
    </w:p>
    <w:p>
      <w:pPr>
        <w:ind w:firstLine="422"/>
        <w:spacing w:line="372" w:lineRule="auto"/>
        <w:rPr>
          <w:rFonts w:ascii="宋体" w:hAnsi="宋体" w:eastAsia="宋体" w:cs="宋体"/>
          <w:b/>
          <w:bCs/>
          <w:sz w:val="21"/>
          <w:szCs w:val="21"/>
        </w:rPr>
      </w:pPr>
      <w:r>
        <w:rPr>
          <w:rFonts w:hint="eastAsia" w:ascii="宋体" w:hAnsi="宋体" w:eastAsia="宋体" w:cs="宋体"/>
          <w:b/>
          <w:bCs/>
          <w:sz w:val="21"/>
          <w:szCs w:val="21"/>
        </w:rPr>
        <w:t xml:space="preserve">3）系统功能</w:t>
      </w:r>
      <w:r/>
    </w:p>
    <w:p>
      <w:pPr>
        <w:numPr>
          <w:ilvl w:val="0"/>
          <w:numId w:val="30"/>
        </w:numPr>
        <w:ind w:left="0" w:firstLine="420"/>
        <w:spacing w:line="372" w:lineRule="auto"/>
        <w:rPr>
          <w:rFonts w:ascii="宋体" w:hAnsi="宋体" w:eastAsia="宋体" w:cs="宋体"/>
          <w:sz w:val="21"/>
          <w:szCs w:val="21"/>
          <w:lang w:eastAsia="zh-Hans"/>
        </w:rPr>
      </w:pPr>
      <w:r/>
      <w:bookmarkStart w:id="157" w:name="_Toc7670"/>
      <w:r>
        <w:rPr>
          <w:rFonts w:hint="eastAsia" w:ascii="宋体" w:hAnsi="宋体" w:eastAsia="宋体" w:cs="宋体"/>
          <w:sz w:val="21"/>
          <w:szCs w:val="21"/>
          <w:lang w:eastAsia="zh-Hans"/>
        </w:rPr>
        <w:t xml:space="preserve">离线采集</w:t>
      </w:r>
      <w:bookmarkEnd w:id="157"/>
      <w:r/>
      <w:r/>
    </w:p>
    <w:p>
      <w:pPr>
        <w:ind w:firstLine="420"/>
        <w:spacing w:line="372" w:lineRule="auto"/>
        <w:rPr>
          <w:rFonts w:ascii="宋体" w:hAnsi="宋体" w:eastAsia="宋体" w:cs="宋体"/>
          <w:sz w:val="21"/>
          <w:szCs w:val="21"/>
        </w:rPr>
      </w:pPr>
      <w:r>
        <w:rPr>
          <w:rFonts w:hint="eastAsia" w:ascii="宋体" w:hAnsi="宋体" w:eastAsia="宋体" w:cs="宋体"/>
          <w:sz w:val="21"/>
          <w:szCs w:val="21"/>
          <w:lang w:eastAsia="zh-Hans"/>
        </w:rPr>
        <w:t xml:space="preserve">分为单表采集、批量采集、落地采集和自定义采集四种模式，同步方式灵活多样。根据设置的采集策略（全量/增量）及数据入库策略（覆盖/追加），结合配置的调度策略，周期性的自动采集（也</w:t>
      </w:r>
      <w:r>
        <w:rPr>
          <w:rFonts w:hint="eastAsia" w:ascii="宋体" w:hAnsi="宋体" w:eastAsia="宋体" w:cs="宋体"/>
          <w:sz w:val="21"/>
          <w:szCs w:val="21"/>
        </w:rPr>
        <w:t xml:space="preserve">可</w:t>
      </w:r>
      <w:r>
        <w:rPr>
          <w:rFonts w:hint="eastAsia" w:ascii="宋体" w:hAnsi="宋体" w:eastAsia="宋体" w:cs="宋体"/>
          <w:sz w:val="21"/>
          <w:szCs w:val="21"/>
          <w:lang w:eastAsia="zh-Hans"/>
        </w:rPr>
        <w:t xml:space="preserve">手动执行）</w:t>
      </w:r>
      <w:r>
        <w:rPr>
          <w:rFonts w:hint="eastAsia" w:ascii="宋体" w:hAnsi="宋体" w:eastAsia="宋体" w:cs="宋体"/>
          <w:sz w:val="21"/>
          <w:szCs w:val="21"/>
        </w:rPr>
        <w:t xml:space="preserve">。</w:t>
      </w:r>
      <w:r/>
    </w:p>
    <w:p>
      <w:pPr>
        <w:numPr>
          <w:ilvl w:val="0"/>
          <w:numId w:val="30"/>
        </w:numPr>
        <w:ind w:left="0" w:firstLine="420"/>
        <w:spacing w:line="372" w:lineRule="auto"/>
        <w:rPr>
          <w:rFonts w:ascii="宋体" w:hAnsi="宋体" w:eastAsia="宋体" w:cs="宋体"/>
          <w:sz w:val="21"/>
          <w:szCs w:val="21"/>
          <w:lang w:eastAsia="zh-Hans"/>
        </w:rPr>
      </w:pPr>
      <w:r/>
      <w:bookmarkStart w:id="158" w:name="_Toc5441"/>
      <w:r>
        <w:rPr>
          <w:rFonts w:hint="eastAsia" w:ascii="宋体" w:hAnsi="宋体" w:eastAsia="宋体" w:cs="宋体"/>
          <w:sz w:val="21"/>
          <w:szCs w:val="21"/>
          <w:lang w:eastAsia="zh-Hans"/>
        </w:rPr>
        <w:t xml:space="preserve">实时采集</w:t>
      </w:r>
      <w:bookmarkEnd w:id="158"/>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实时采集数据源支持关系型数据库和日志文件的实时采集。关系型数据库（Oracle、mysql、postgresql）数据的实时同步；历史数仓（Hive）和实时数仓（Stork、GaussDB）的配置；适配DDP、CDH、FHD、TDC、TDH等大数据平台。</w:t>
      </w:r>
      <w:r/>
    </w:p>
    <w:p>
      <w:pPr>
        <w:numPr>
          <w:ilvl w:val="0"/>
          <w:numId w:val="30"/>
        </w:numPr>
        <w:ind w:left="0" w:firstLine="420"/>
        <w:spacing w:line="372" w:lineRule="auto"/>
        <w:rPr>
          <w:rFonts w:ascii="宋体" w:hAnsi="宋体" w:eastAsia="宋体" w:cs="宋体"/>
          <w:sz w:val="21"/>
          <w:szCs w:val="21"/>
          <w:lang w:eastAsia="zh-Hans"/>
        </w:rPr>
      </w:pPr>
      <w:r/>
      <w:bookmarkStart w:id="159" w:name="_Toc9857"/>
      <w:r>
        <w:rPr>
          <w:rFonts w:hint="eastAsia" w:ascii="宋体" w:hAnsi="宋体" w:eastAsia="宋体" w:cs="宋体"/>
          <w:sz w:val="21"/>
          <w:szCs w:val="21"/>
          <w:lang w:eastAsia="zh-Hans"/>
        </w:rPr>
        <w:t xml:space="preserve">脚本开发</w:t>
      </w:r>
      <w:bookmarkEnd w:id="159"/>
      <w:r/>
      <w:r/>
    </w:p>
    <w:p>
      <w:pPr>
        <w:pStyle w:val="1066"/>
        <w:ind w:firstLine="420"/>
        <w:spacing w:line="372" w:lineRule="auto"/>
        <w:rPr>
          <w:rFonts w:hAnsi="宋体" w:cs="宋体"/>
          <w:sz w:val="21"/>
          <w:szCs w:val="21"/>
        </w:rPr>
      </w:pPr>
      <w:r>
        <w:rPr>
          <w:rFonts w:hint="eastAsia" w:hAnsi="宋体" w:cs="宋体"/>
          <w:sz w:val="21"/>
          <w:szCs w:val="21"/>
          <w:lang w:eastAsia="zh-Hans"/>
        </w:rPr>
        <w:t xml:space="preserve">新建类型为Python、PHP、Shell、SQL的脚本；以应对不同的数据开发需求</w:t>
      </w:r>
      <w:r>
        <w:rPr>
          <w:rFonts w:hint="eastAsia" w:hAnsi="宋体" w:cs="宋体"/>
          <w:sz w:val="21"/>
          <w:szCs w:val="21"/>
        </w:rPr>
        <w:t xml:space="preserve">。</w:t>
      </w:r>
      <w:r/>
    </w:p>
    <w:p>
      <w:pPr>
        <w:numPr>
          <w:ilvl w:val="0"/>
          <w:numId w:val="30"/>
        </w:numPr>
        <w:ind w:left="0" w:firstLine="420"/>
        <w:spacing w:line="372" w:lineRule="auto"/>
        <w:rPr>
          <w:rFonts w:ascii="宋体" w:hAnsi="宋体" w:eastAsia="宋体" w:cs="宋体"/>
          <w:sz w:val="21"/>
          <w:szCs w:val="21"/>
          <w:lang w:eastAsia="zh-Hans"/>
        </w:rPr>
      </w:pPr>
      <w:r/>
      <w:bookmarkStart w:id="160" w:name="_Toc9481"/>
      <w:r>
        <w:rPr>
          <w:rFonts w:hint="eastAsia" w:ascii="宋体" w:hAnsi="宋体" w:eastAsia="宋体" w:cs="宋体"/>
          <w:sz w:val="21"/>
          <w:szCs w:val="21"/>
          <w:lang w:eastAsia="zh-Hans"/>
        </w:rPr>
        <w:t xml:space="preserve">工作流开发</w:t>
      </w:r>
      <w:bookmarkEnd w:id="160"/>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将数据采集任务、开发好的数据处理脚本以可视化流的方式串联起来，统一上线调度。工作流模块应结合数据集成、数据开发模块，用于创建有向无环的DAG工作流，应PYTHON、SQL、SHELL等脚本组件。</w:t>
      </w:r>
      <w:r/>
    </w:p>
    <w:p>
      <w:pPr>
        <w:numPr>
          <w:ilvl w:val="0"/>
          <w:numId w:val="30"/>
        </w:numPr>
        <w:ind w:left="0" w:firstLine="420"/>
        <w:spacing w:line="372" w:lineRule="auto"/>
        <w:rPr>
          <w:rFonts w:ascii="宋体" w:hAnsi="宋体" w:eastAsia="宋体" w:cs="宋体"/>
          <w:sz w:val="21"/>
          <w:szCs w:val="21"/>
          <w:lang w:eastAsia="zh-Hans"/>
        </w:rPr>
      </w:pPr>
      <w:r/>
      <w:bookmarkStart w:id="161" w:name="_Toc2950"/>
      <w:r>
        <w:rPr>
          <w:rFonts w:hint="eastAsia" w:ascii="宋体" w:hAnsi="宋体" w:eastAsia="宋体" w:cs="宋体"/>
          <w:sz w:val="21"/>
          <w:szCs w:val="21"/>
          <w:lang w:eastAsia="zh-Hans"/>
        </w:rPr>
        <w:t xml:space="preserve">质量探查</w:t>
      </w:r>
      <w:bookmarkEnd w:id="161"/>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质量探查是对输入数据的质量检测，是开发者对数据的质量（比如脏数据比例）进行解析和判断的工具，该模组对数据不产生直接处理操作。</w:t>
      </w:r>
      <w:r/>
    </w:p>
    <w:p>
      <w:pPr>
        <w:numPr>
          <w:ilvl w:val="0"/>
          <w:numId w:val="30"/>
        </w:numPr>
        <w:ind w:left="0" w:firstLine="420"/>
        <w:spacing w:line="372" w:lineRule="auto"/>
        <w:rPr>
          <w:rFonts w:ascii="宋体" w:hAnsi="宋体" w:eastAsia="宋体" w:cs="宋体"/>
          <w:sz w:val="21"/>
          <w:szCs w:val="21"/>
          <w:lang w:eastAsia="zh-Hans"/>
        </w:rPr>
      </w:pPr>
      <w:r/>
      <w:bookmarkStart w:id="162" w:name="_Toc1796"/>
      <w:r>
        <w:rPr>
          <w:rFonts w:hint="eastAsia" w:ascii="宋体" w:hAnsi="宋体" w:eastAsia="宋体" w:cs="宋体"/>
          <w:sz w:val="21"/>
          <w:szCs w:val="21"/>
          <w:lang w:eastAsia="zh-Hans"/>
        </w:rPr>
        <w:t xml:space="preserve">标准化</w:t>
      </w:r>
      <w:bookmarkEnd w:id="162"/>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标准化是对数据中不规范的字段和数据进行修改，使其符合治理标准。</w:t>
      </w:r>
      <w:r/>
    </w:p>
    <w:p>
      <w:pPr>
        <w:numPr>
          <w:ilvl w:val="0"/>
          <w:numId w:val="30"/>
        </w:numPr>
        <w:ind w:left="0" w:firstLine="420"/>
        <w:spacing w:line="372" w:lineRule="auto"/>
        <w:rPr>
          <w:rFonts w:ascii="宋体" w:hAnsi="宋体" w:eastAsia="宋体" w:cs="宋体"/>
          <w:sz w:val="21"/>
          <w:szCs w:val="21"/>
          <w:lang w:eastAsia="zh-Hans"/>
        </w:rPr>
      </w:pPr>
      <w:r/>
      <w:bookmarkStart w:id="163" w:name="_Toc18458"/>
      <w:r>
        <w:rPr>
          <w:rFonts w:hint="eastAsia" w:ascii="宋体" w:hAnsi="宋体" w:eastAsia="宋体" w:cs="宋体"/>
          <w:sz w:val="21"/>
          <w:szCs w:val="21"/>
          <w:lang w:eastAsia="zh-Hans"/>
        </w:rPr>
        <w:t xml:space="preserve">数据加工</w:t>
      </w:r>
      <w:bookmarkEnd w:id="163"/>
      <w:r/>
      <w:r/>
    </w:p>
    <w:p>
      <w:pPr>
        <w:pStyle w:val="1066"/>
        <w:ind w:firstLine="420"/>
        <w:spacing w:line="372" w:lineRule="auto"/>
        <w:rPr>
          <w:rFonts w:hAnsi="宋体" w:cs="宋体"/>
          <w:sz w:val="21"/>
          <w:szCs w:val="21"/>
        </w:rPr>
      </w:pPr>
      <w:r>
        <w:rPr>
          <w:rFonts w:hint="eastAsia" w:hAnsi="宋体" w:cs="宋体"/>
          <w:sz w:val="21"/>
          <w:szCs w:val="21"/>
          <w:lang w:eastAsia="zh-Hans"/>
        </w:rPr>
        <w:t xml:space="preserve">数据加工模组的输入可进行联表操作，有左关联，右关联，内关联和外部关联四种方式。系统提供</w:t>
      </w:r>
      <w:r>
        <w:rPr>
          <w:rFonts w:hint="eastAsia" w:hAnsi="宋体" w:cs="宋体"/>
          <w:sz w:val="21"/>
          <w:szCs w:val="21"/>
        </w:rPr>
        <w:t xml:space="preserve">至少</w:t>
      </w:r>
      <w:r>
        <w:rPr>
          <w:rFonts w:hint="eastAsia" w:hAnsi="宋体" w:cs="宋体"/>
          <w:sz w:val="21"/>
          <w:szCs w:val="21"/>
          <w:lang w:eastAsia="zh-Hans"/>
        </w:rPr>
        <w:t xml:space="preserve">9种基本加工组件，不同组件对字段实现不同的处理功能</w:t>
      </w:r>
      <w:r>
        <w:rPr>
          <w:rFonts w:hint="eastAsia" w:hAnsi="宋体" w:cs="宋体"/>
          <w:sz w:val="21"/>
          <w:szCs w:val="21"/>
        </w:rPr>
        <w:t xml:space="preserve">。</w:t>
      </w:r>
      <w:r/>
    </w:p>
    <w:p>
      <w:pPr>
        <w:numPr>
          <w:ilvl w:val="0"/>
          <w:numId w:val="30"/>
        </w:numPr>
        <w:ind w:left="0" w:firstLine="420"/>
        <w:spacing w:line="372" w:lineRule="auto"/>
        <w:rPr>
          <w:rFonts w:ascii="宋体" w:hAnsi="宋体" w:eastAsia="宋体" w:cs="宋体"/>
          <w:sz w:val="21"/>
          <w:szCs w:val="21"/>
          <w:lang w:eastAsia="zh-Hans"/>
        </w:rPr>
      </w:pPr>
      <w:r/>
      <w:bookmarkStart w:id="164" w:name="_Toc26840"/>
      <w:r>
        <w:rPr>
          <w:rFonts w:hint="eastAsia" w:ascii="宋体" w:hAnsi="宋体" w:eastAsia="宋体" w:cs="宋体"/>
          <w:sz w:val="21"/>
          <w:szCs w:val="21"/>
          <w:lang w:eastAsia="zh-Hans"/>
        </w:rPr>
        <w:t xml:space="preserve">数据安全</w:t>
      </w:r>
      <w:bookmarkEnd w:id="164"/>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内置三种类型的脱敏算法：替换、截取、加密，对于识别的敏感数据在数据治理过程中进行数据脱敏，脱敏数据范围可灵活配置。</w:t>
      </w:r>
      <w:r/>
    </w:p>
    <w:p>
      <w:pPr>
        <w:numPr>
          <w:ilvl w:val="0"/>
          <w:numId w:val="30"/>
        </w:numPr>
        <w:ind w:left="0" w:firstLine="420"/>
        <w:spacing w:line="372" w:lineRule="auto"/>
        <w:rPr>
          <w:rFonts w:ascii="宋体" w:hAnsi="宋体" w:eastAsia="宋体" w:cs="宋体"/>
          <w:sz w:val="21"/>
          <w:szCs w:val="21"/>
          <w:lang w:eastAsia="zh-Hans"/>
        </w:rPr>
      </w:pPr>
      <w:r/>
      <w:bookmarkStart w:id="165" w:name="_Toc7822"/>
      <w:r>
        <w:rPr>
          <w:rFonts w:hint="eastAsia" w:ascii="宋体" w:hAnsi="宋体" w:eastAsia="宋体" w:cs="宋体"/>
          <w:sz w:val="21"/>
          <w:szCs w:val="21"/>
          <w:lang w:eastAsia="zh-Hans"/>
        </w:rPr>
        <w:t xml:space="preserve">敏感数据识别</w:t>
      </w:r>
      <w:bookmarkEnd w:id="165"/>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通过敏感数据识别组件，将定义好的识别规则进行配置，根据字段名、字段注释、字段内容三种方式识别数据资产中的敏感数据。</w:t>
      </w:r>
      <w:r/>
    </w:p>
    <w:p>
      <w:pPr>
        <w:numPr>
          <w:ilvl w:val="0"/>
          <w:numId w:val="30"/>
        </w:numPr>
        <w:ind w:left="0" w:firstLine="420"/>
        <w:spacing w:line="372" w:lineRule="auto"/>
        <w:rPr>
          <w:rFonts w:ascii="宋体" w:hAnsi="宋体" w:eastAsia="宋体" w:cs="宋体"/>
          <w:sz w:val="21"/>
          <w:szCs w:val="21"/>
          <w:lang w:eastAsia="zh-Hans"/>
        </w:rPr>
      </w:pPr>
      <w:r/>
      <w:bookmarkStart w:id="166" w:name="_Toc10702"/>
      <w:r>
        <w:rPr>
          <w:rFonts w:hint="eastAsia" w:ascii="宋体" w:hAnsi="宋体" w:eastAsia="宋体" w:cs="宋体"/>
          <w:sz w:val="21"/>
          <w:szCs w:val="21"/>
          <w:lang w:eastAsia="zh-Hans"/>
        </w:rPr>
        <w:t xml:space="preserve">数据落地</w:t>
      </w:r>
      <w:bookmarkEnd w:id="166"/>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各个模组的治理工作完成后，数据落地对上一个模组的输出数据落地存储，用户查看和编辑数据落地的基本信息、字段信息和分区信息功能。</w:t>
      </w:r>
      <w:r/>
    </w:p>
    <w:p>
      <w:pPr>
        <w:numPr>
          <w:ilvl w:val="0"/>
          <w:numId w:val="30"/>
        </w:numPr>
        <w:ind w:left="0" w:firstLine="420"/>
        <w:spacing w:line="372" w:lineRule="auto"/>
        <w:rPr>
          <w:rFonts w:ascii="宋体" w:hAnsi="宋体" w:eastAsia="宋体" w:cs="宋体"/>
          <w:sz w:val="21"/>
          <w:szCs w:val="21"/>
          <w:lang w:eastAsia="zh-Hans"/>
        </w:rPr>
      </w:pPr>
      <w:r/>
      <w:bookmarkStart w:id="167" w:name="_Toc26200"/>
      <w:r>
        <w:rPr>
          <w:rFonts w:hint="eastAsia" w:ascii="宋体" w:hAnsi="宋体" w:eastAsia="宋体" w:cs="宋体"/>
          <w:sz w:val="21"/>
          <w:szCs w:val="21"/>
          <w:lang w:eastAsia="zh-Hans"/>
        </w:rPr>
        <w:t xml:space="preserve">系统集群管理</w:t>
      </w:r>
      <w:bookmarkEnd w:id="167"/>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分为集群管理和系统管理两部分。集群管理面向物理节点，提供平台节点、平台资源、平台许可证的配置。系统管理提供角色、用户、权限管理。</w:t>
      </w:r>
      <w:r/>
    </w:p>
    <w:p>
      <w:pPr>
        <w:pStyle w:val="1066"/>
        <w:ind w:firstLine="420"/>
        <w:spacing w:line="372" w:lineRule="auto"/>
        <w:rPr>
          <w:rFonts w:hAnsi="宋体" w:cs="宋体"/>
          <w:sz w:val="21"/>
          <w:szCs w:val="21"/>
          <w:lang w:eastAsia="zh-Hans"/>
        </w:rPr>
      </w:pPr>
      <w:r>
        <w:rPr>
          <w:rFonts w:hAnsi="宋体" w:cs="宋体"/>
          <w:sz w:val="21"/>
          <w:szCs w:val="21"/>
          <w:lang w:eastAsia="zh-Hans"/>
        </w:rPr>
      </w:r>
      <w:r/>
    </w:p>
    <w:p>
      <w:pPr>
        <w:pStyle w:val="968"/>
        <w:spacing w:line="372" w:lineRule="auto"/>
      </w:pPr>
      <w:r>
        <w:rPr>
          <w:rFonts w:hint="eastAsia"/>
        </w:rPr>
        <w:t xml:space="preserve">城市交通人员档案系统</w:t>
      </w:r>
      <w:r/>
    </w:p>
    <w:p>
      <w:pPr>
        <w:pStyle w:val="969"/>
        <w:spacing w:line="372" w:lineRule="auto"/>
        <w:rPr>
          <w:lang w:eastAsia="zh-Hans"/>
        </w:rPr>
      </w:pPr>
      <w:r>
        <w:rPr>
          <w:rFonts w:hint="eastAsia"/>
        </w:rPr>
        <w:t xml:space="preserve">系统概况</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为有效预防和减少重点车辆重特大交通事故发生，保障人民群众出行安全，太仓市政府部门推行了系列管理措施，引入了信息化技术手段，有效提升了重点车辆的安全运营管理水平。但，目前太仓市重点车辆各监管职能部门监管合力有待加强，对外省市重点车辆安全监管技术手段有待提高，外省市重点车辆在太仓运营存在安全隐患大。</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随着车载主动安防技术、卡口结构化识别技术、大数据分析等技术的快速发展，为太仓市重点车辆安全监管能力的提升提供了重要的技术支撑。以智慧城市新型基础设施建设为契机，充分整合重点车辆监管政府各职能部门管理系统、数据资源，外省市入境太仓重点车辆的定位位置数据、道口抓拍数据、卡口结构化识别数据等，并结合太仓市重点车辆管理的实际需求，实现对重点车辆在太仓运营的全过程监管，提升重点车辆安全监管能力水平，减少重点车辆安全事故发生。</w:t>
      </w:r>
      <w:r/>
    </w:p>
    <w:p>
      <w:pPr>
        <w:pStyle w:val="969"/>
        <w:spacing w:line="372" w:lineRule="auto"/>
        <w:rPr>
          <w:lang w:eastAsia="zh-Hans"/>
        </w:rPr>
      </w:pPr>
      <w:r>
        <w:rPr>
          <w:rFonts w:hint="eastAsia"/>
        </w:rPr>
        <w:t xml:space="preserve"> 系统功能</w:t>
      </w:r>
      <w:r/>
    </w:p>
    <w:p>
      <w:pPr>
        <w:pStyle w:val="970"/>
        <w:spacing w:line="372" w:lineRule="auto"/>
      </w:pPr>
      <w:r>
        <w:rPr>
          <w:rFonts w:hint="eastAsia"/>
        </w:rPr>
        <w:t xml:space="preserve">基本信息</w:t>
      </w:r>
      <w:r/>
    </w:p>
    <w:p>
      <w:pPr>
        <w:pStyle w:val="1066"/>
        <w:ind w:firstLine="420"/>
        <w:spacing w:line="372" w:lineRule="auto"/>
        <w:rPr>
          <w:rFonts w:hAnsi="宋体" w:cs="宋体"/>
          <w:sz w:val="21"/>
          <w:szCs w:val="21"/>
        </w:rPr>
      </w:pPr>
      <w:r>
        <w:rPr>
          <w:rFonts w:hint="eastAsia" w:hAnsi="宋体" w:cs="宋体"/>
          <w:sz w:val="21"/>
          <w:szCs w:val="21"/>
        </w:rPr>
        <w:t xml:space="preserve">包括：7-9座客车档案库、外地企业在太经营档案、本地重点车辆档案功能升级（增加外地车辆档案修改全留痕记录、增加人工摸排功能）、外地重点车辆档案升级、外地驾驶人档案、车辆轨迹功能升级、主动安防目录（用于监管主动安防设备的安装情况，分为联动监管、第三方监管两个部分）等。</w:t>
      </w:r>
      <w:r/>
    </w:p>
    <w:p>
      <w:pPr>
        <w:pStyle w:val="970"/>
        <w:spacing w:line="372" w:lineRule="auto"/>
      </w:pPr>
      <w:r/>
      <w:bookmarkStart w:id="168" w:name="_Toc115104125"/>
      <w:r>
        <w:rPr>
          <w:rFonts w:hint="eastAsia"/>
        </w:rPr>
        <w:t xml:space="preserve">区域管理维护</w:t>
      </w:r>
      <w:bookmarkEnd w:id="168"/>
      <w:r/>
      <w:r/>
    </w:p>
    <w:p>
      <w:pPr>
        <w:pStyle w:val="1066"/>
        <w:ind w:firstLine="420"/>
        <w:spacing w:line="372" w:lineRule="auto"/>
        <w:rPr>
          <w:rFonts w:hAnsi="宋体" w:cs="宋体"/>
          <w:sz w:val="21"/>
          <w:szCs w:val="21"/>
        </w:rPr>
      </w:pPr>
      <w:r>
        <w:rPr>
          <w:rFonts w:hint="eastAsia" w:hAnsi="宋体" w:cs="宋体"/>
          <w:sz w:val="21"/>
          <w:szCs w:val="21"/>
        </w:rPr>
        <w:t xml:space="preserve">包括：危险品停车许可区域管理、渣土车停车区域维护等。</w:t>
      </w:r>
      <w:r/>
    </w:p>
    <w:p>
      <w:pPr>
        <w:pStyle w:val="970"/>
        <w:spacing w:line="372" w:lineRule="auto"/>
      </w:pPr>
      <w:r>
        <w:rPr>
          <w:rFonts w:hint="eastAsia"/>
        </w:rPr>
        <w:t xml:space="preserve">管理类预警</w:t>
      </w:r>
      <w:r/>
    </w:p>
    <w:p>
      <w:pPr>
        <w:pStyle w:val="1066"/>
        <w:ind w:firstLine="420"/>
        <w:spacing w:line="372" w:lineRule="auto"/>
        <w:rPr>
          <w:rFonts w:hAnsi="宋体" w:cs="宋体"/>
          <w:sz w:val="21"/>
          <w:szCs w:val="21"/>
        </w:rPr>
      </w:pPr>
      <w:r>
        <w:rPr>
          <w:rFonts w:hint="eastAsia" w:hAnsi="宋体" w:cs="宋体"/>
          <w:sz w:val="21"/>
          <w:szCs w:val="21"/>
        </w:rPr>
        <w:t xml:space="preserve">该模块将不同性质的预警分为：车辆（未纳入重点管理的混凝土车辆预警、疑似使用干扰器预警、已注销车辆小黄人系统内未迁移预警）、企业（驾驶人与备案驾驶人不匹配预警）、驾驶人（重点驾驶人同时存在多个企业预警）、系统类（已过户车辆小黄人系统内未迁移预警、重点车辆同时存在多个企业预警）四种大类，不同的预警有不同的逻辑特征与处理流程，通过切换tab查看不同类型的预警。</w:t>
      </w:r>
      <w:r/>
    </w:p>
    <w:p>
      <w:pPr>
        <w:pStyle w:val="970"/>
        <w:spacing w:line="372" w:lineRule="auto"/>
      </w:pPr>
      <w:r>
        <w:rPr>
          <w:rFonts w:hint="eastAsia"/>
        </w:rPr>
        <w:t xml:space="preserve">研判类预警</w:t>
      </w:r>
      <w:r/>
    </w:p>
    <w:p>
      <w:pPr>
        <w:pStyle w:val="1066"/>
        <w:ind w:firstLine="420"/>
        <w:spacing w:line="372" w:lineRule="auto"/>
        <w:rPr>
          <w:rFonts w:hAnsi="宋体" w:cs="宋体"/>
          <w:sz w:val="21"/>
          <w:szCs w:val="21"/>
        </w:rPr>
      </w:pPr>
      <w:r>
        <w:rPr>
          <w:rFonts w:hint="eastAsia" w:hAnsi="宋体" w:cs="宋体"/>
          <w:sz w:val="21"/>
          <w:szCs w:val="21"/>
        </w:rPr>
        <w:t xml:space="preserve">包括：外地混凝土车预警、其他妨碍安全驾驶的行为预警、异常情况预警（异常情况处理、主动安防异常情况统计、主动安防短信发送功能）等。</w:t>
      </w:r>
      <w:r/>
    </w:p>
    <w:p>
      <w:pPr>
        <w:pStyle w:val="970"/>
        <w:spacing w:line="372" w:lineRule="auto"/>
      </w:pPr>
      <w:r>
        <w:rPr>
          <w:rFonts w:hint="eastAsia"/>
        </w:rPr>
        <w:t xml:space="preserve">其他部门联动</w:t>
      </w:r>
      <w:r/>
    </w:p>
    <w:p>
      <w:pPr>
        <w:pStyle w:val="1066"/>
        <w:ind w:firstLine="420"/>
        <w:spacing w:line="372" w:lineRule="auto"/>
        <w:widowControl w:val="off"/>
        <w:rPr>
          <w:rFonts w:hAnsi="宋体" w:cs="宋体"/>
          <w:sz w:val="21"/>
          <w:szCs w:val="21"/>
        </w:rPr>
      </w:pPr>
      <w:r>
        <w:rPr>
          <w:rFonts w:hint="eastAsia" w:hAnsi="宋体" w:cs="宋体"/>
          <w:sz w:val="21"/>
          <w:szCs w:val="21"/>
        </w:rPr>
        <w:t xml:space="preserve">包括：停业整顿车辆管理（停业整顿车辆维护、停业整顿车辆预警）、渣土车禁行时间管理（长期禁行时间维护、临时管控时间维护、特殊审批车辆维护、禁行时间上路预警、临时管控上路预警）、部门联动预警（外地大客车无线路牌驶入太仓预警、新增登高车辆预警、叉车上路预警、疑似破坏主防设备预警）、行前检测、行前检测预警等。</w:t>
      </w:r>
      <w:r/>
    </w:p>
    <w:p>
      <w:pPr>
        <w:pStyle w:val="970"/>
        <w:spacing w:line="372" w:lineRule="auto"/>
      </w:pPr>
      <w:r>
        <w:rPr>
          <w:rFonts w:hint="eastAsia"/>
        </w:rPr>
        <w:t xml:space="preserve">春运护航</w:t>
      </w:r>
      <w:r/>
    </w:p>
    <w:p>
      <w:pPr>
        <w:pStyle w:val="1066"/>
        <w:ind w:firstLine="420"/>
        <w:spacing w:line="372" w:lineRule="auto"/>
        <w:rPr>
          <w:rFonts w:hAnsi="宋体" w:cs="宋体"/>
          <w:sz w:val="21"/>
          <w:szCs w:val="21"/>
        </w:rPr>
      </w:pPr>
      <w:r>
        <w:rPr>
          <w:rFonts w:hint="eastAsia" w:hAnsi="宋体" w:cs="宋体"/>
          <w:sz w:val="21"/>
          <w:szCs w:val="21"/>
        </w:rPr>
        <w:t xml:space="preserve">包括：未经申报核查的驾驶人参加春运预警、押运员与备案押运员不匹配预警、各中队辖区管理、春运护航统计分析、押运员信息维护等。</w:t>
      </w:r>
      <w:r/>
    </w:p>
    <w:p>
      <w:pPr>
        <w:pStyle w:val="970"/>
        <w:spacing w:line="372" w:lineRule="auto"/>
      </w:pPr>
      <w:r>
        <w:rPr>
          <w:rFonts w:hint="eastAsia"/>
        </w:rPr>
        <w:t xml:space="preserve">功能升级</w:t>
      </w:r>
      <w:r/>
    </w:p>
    <w:p>
      <w:pPr>
        <w:pStyle w:val="1066"/>
        <w:ind w:firstLine="420"/>
        <w:spacing w:line="372" w:lineRule="auto"/>
        <w:rPr>
          <w:rFonts w:hAnsi="宋体" w:cs="宋体"/>
          <w:sz w:val="21"/>
          <w:szCs w:val="21"/>
        </w:rPr>
      </w:pPr>
      <w:r>
        <w:rPr>
          <w:rFonts w:hint="eastAsia" w:hAnsi="宋体" w:cs="宋体"/>
          <w:sz w:val="21"/>
          <w:szCs w:val="21"/>
        </w:rPr>
        <w:t xml:space="preserve">包括：外地大客车驶入太仓预警升级、疑似损坏预警算法升级、黑名单大客车预警升级等。</w:t>
      </w:r>
      <w:r/>
    </w:p>
    <w:p>
      <w:pPr>
        <w:pStyle w:val="970"/>
        <w:spacing w:line="372" w:lineRule="auto"/>
      </w:pPr>
      <w:r>
        <w:rPr>
          <w:rFonts w:hint="eastAsia"/>
        </w:rPr>
        <w:t xml:space="preserve">新预警</w:t>
      </w:r>
      <w:r/>
    </w:p>
    <w:p>
      <w:pPr>
        <w:pStyle w:val="1066"/>
        <w:ind w:firstLine="420"/>
        <w:spacing w:line="372" w:lineRule="auto"/>
        <w:rPr>
          <w:rFonts w:hAnsi="宋体" w:cs="宋体"/>
          <w:sz w:val="21"/>
          <w:szCs w:val="21"/>
        </w:rPr>
      </w:pPr>
      <w:r>
        <w:rPr>
          <w:rFonts w:hint="eastAsia" w:hAnsi="宋体" w:cs="宋体"/>
          <w:sz w:val="21"/>
          <w:szCs w:val="21"/>
        </w:rPr>
        <w:t xml:space="preserve">包括：危化品伪装普货技术预警、车牌遮挡污损预警、新增疑似严管车辆预警、疑似严管车辆类型配置等。</w:t>
      </w:r>
      <w:r/>
    </w:p>
    <w:p>
      <w:pPr>
        <w:pStyle w:val="970"/>
        <w:spacing w:line="372" w:lineRule="auto"/>
      </w:pPr>
      <w:r>
        <w:rPr>
          <w:rFonts w:hint="eastAsia"/>
        </w:rPr>
        <w:t xml:space="preserve">信息查询</w:t>
      </w:r>
      <w:r/>
    </w:p>
    <w:p>
      <w:pPr>
        <w:pStyle w:val="1066"/>
        <w:ind w:firstLine="420"/>
        <w:spacing w:line="372" w:lineRule="auto"/>
        <w:rPr>
          <w:rFonts w:hAnsi="宋体" w:cs="宋体"/>
          <w:sz w:val="21"/>
          <w:szCs w:val="21"/>
        </w:rPr>
      </w:pPr>
      <w:r>
        <w:rPr>
          <w:rFonts w:hint="eastAsia" w:hAnsi="宋体" w:cs="宋体"/>
          <w:sz w:val="21"/>
          <w:szCs w:val="21"/>
        </w:rPr>
        <w:t xml:space="preserve">包括：事故信息高级查询、违法信息高级查询等。</w:t>
      </w:r>
      <w:r/>
    </w:p>
    <w:p>
      <w:pPr>
        <w:pStyle w:val="970"/>
        <w:spacing w:line="372" w:lineRule="auto"/>
      </w:pPr>
      <w:r>
        <w:rPr>
          <w:rFonts w:hint="eastAsia"/>
        </w:rPr>
        <w:t xml:space="preserve">其他</w:t>
      </w:r>
      <w:r/>
    </w:p>
    <w:p>
      <w:pPr>
        <w:pStyle w:val="1113"/>
        <w:ind w:firstLine="420"/>
        <w:spacing w:line="372" w:lineRule="auto"/>
        <w:rPr>
          <w:rFonts w:ascii="宋体" w:hAnsi="宋体" w:eastAsia="宋体" w:cs="宋体"/>
          <w:sz w:val="21"/>
          <w:szCs w:val="21"/>
          <w:lang w:val="en-US"/>
        </w:rPr>
      </w:pPr>
      <w:r>
        <w:rPr>
          <w:rFonts w:hint="eastAsia" w:ascii="宋体" w:hAnsi="宋体" w:eastAsia="宋体" w:cs="宋体"/>
          <w:sz w:val="21"/>
          <w:szCs w:val="21"/>
          <w:lang w:val="en-US"/>
        </w:rPr>
        <w:t xml:space="preserve">包括：</w:t>
      </w:r>
      <w:r>
        <w:rPr>
          <w:rFonts w:hint="eastAsia" w:ascii="宋体" w:hAnsi="宋体" w:eastAsia="宋体" w:cs="宋体"/>
          <w:sz w:val="21"/>
          <w:szCs w:val="21"/>
        </w:rPr>
        <w:t xml:space="preserve">自定义标签成果分析、重点交通违法单位处罚、重点车辆经营与使用性质比对、饮酒醉酒驾驶工作提示、取消校车驾驶资格工作提示</w:t>
      </w:r>
      <w:r>
        <w:rPr>
          <w:rFonts w:hint="eastAsia" w:ascii="宋体" w:hAnsi="宋体" w:eastAsia="宋体" w:cs="宋体"/>
          <w:sz w:val="21"/>
          <w:szCs w:val="21"/>
          <w:lang w:val="en-US"/>
        </w:rPr>
        <w:t xml:space="preserve">等。</w:t>
      </w:r>
      <w:r/>
    </w:p>
    <w:p>
      <w:pPr>
        <w:pStyle w:val="1113"/>
        <w:ind w:firstLine="420"/>
        <w:spacing w:line="360" w:lineRule="auto"/>
        <w:rPr>
          <w:rFonts w:ascii="宋体" w:hAnsi="宋体" w:eastAsia="宋体" w:cs="宋体"/>
          <w:sz w:val="21"/>
          <w:szCs w:val="21"/>
          <w:lang w:val="en-US"/>
        </w:rPr>
      </w:pPr>
      <w:r>
        <w:rPr>
          <w:rFonts w:ascii="宋体" w:hAnsi="宋体" w:eastAsia="宋体" w:cs="宋体"/>
          <w:sz w:val="21"/>
          <w:szCs w:val="21"/>
          <w:lang w:val="en-US"/>
        </w:rPr>
      </w:r>
      <w:r/>
    </w:p>
    <w:p>
      <w:pPr>
        <w:pStyle w:val="968"/>
        <w:spacing w:line="372" w:lineRule="auto"/>
      </w:pPr>
      <w:r>
        <w:rPr>
          <w:rFonts w:hint="eastAsia"/>
        </w:rPr>
        <w:t xml:space="preserve">安全风险防控平台</w:t>
      </w:r>
      <w:r/>
    </w:p>
    <w:p>
      <w:pPr>
        <w:pStyle w:val="969"/>
        <w:spacing w:line="372" w:lineRule="auto"/>
        <w:rPr>
          <w:lang w:eastAsia="zh-Hans"/>
        </w:rPr>
      </w:pPr>
      <w:r>
        <w:rPr>
          <w:rFonts w:hint="eastAsia"/>
        </w:rPr>
        <w:t xml:space="preserve">系统概况</w:t>
      </w:r>
      <w:r/>
    </w:p>
    <w:p>
      <w:pPr>
        <w:pStyle w:val="1113"/>
        <w:ind w:firstLine="420"/>
        <w:spacing w:line="372" w:lineRule="auto"/>
        <w:rPr>
          <w:rFonts w:ascii="宋体" w:hAnsi="宋体" w:eastAsia="宋体" w:cs="宋体"/>
          <w:sz w:val="21"/>
          <w:szCs w:val="21"/>
          <w:lang w:val="en-US"/>
        </w:rPr>
      </w:pPr>
      <w:r>
        <w:rPr>
          <w:rFonts w:hint="eastAsia" w:ascii="宋体" w:hAnsi="宋体" w:eastAsia="宋体" w:cs="宋体"/>
          <w:sz w:val="21"/>
          <w:szCs w:val="21"/>
          <w:lang w:val="en-US"/>
        </w:rPr>
        <w:t xml:space="preserve">参考“苏州市道路交通安全风险防控中心”模式，结合太仓市道路交通安全现状，细化交通安全管理与风险防控服务，开展交通安全管理基础数据治理、交通安全评估与专题治理、事故深度调查、道路设施安全隐患治理与培训、重点企业交通安全治理、“太仓市道路交通安全风险防控平台”本地化部署工作。</w:t>
      </w:r>
      <w:r/>
    </w:p>
    <w:p>
      <w:pPr>
        <w:pStyle w:val="969"/>
        <w:spacing w:line="372" w:lineRule="auto"/>
        <w:rPr>
          <w:lang w:eastAsia="zh-Hans"/>
        </w:rPr>
      </w:pPr>
      <w:r>
        <w:rPr>
          <w:rFonts w:hint="eastAsia"/>
        </w:rPr>
        <w:t xml:space="preserve">系统功能</w:t>
      </w:r>
      <w:r/>
    </w:p>
    <w:p>
      <w:pPr>
        <w:pStyle w:val="970"/>
        <w:spacing w:line="372" w:lineRule="auto"/>
      </w:pPr>
      <w:r>
        <w:rPr>
          <w:rFonts w:hint="eastAsia"/>
        </w:rPr>
        <w:t xml:space="preserve">交通安全管理基础数据治理</w:t>
      </w:r>
      <w:r/>
    </w:p>
    <w:p>
      <w:pPr>
        <w:pStyle w:val="1113"/>
        <w:ind w:firstLine="420"/>
        <w:spacing w:line="372" w:lineRule="auto"/>
        <w:rPr>
          <w:rFonts w:ascii="宋体" w:hAnsi="宋体" w:eastAsia="宋体" w:cs="宋体"/>
          <w:sz w:val="21"/>
          <w:szCs w:val="21"/>
          <w:lang w:val="en-US"/>
        </w:rPr>
      </w:pPr>
      <w:r>
        <w:rPr>
          <w:rFonts w:hint="eastAsia" w:ascii="宋体" w:hAnsi="宋体" w:eastAsia="宋体" w:cs="宋体"/>
          <w:sz w:val="21"/>
          <w:szCs w:val="21"/>
          <w:lang w:val="en-US"/>
        </w:rPr>
        <w:t xml:space="preserve">包括：开展基础数据采集与维护（道路基础数据采集与维护、六合一道路数据治理）、开展业务数据质量提升（事故与违法地点规范化记录、事故数据基础信息质量提升）等。</w:t>
      </w:r>
      <w:r/>
    </w:p>
    <w:p>
      <w:pPr>
        <w:pStyle w:val="970"/>
        <w:spacing w:line="372" w:lineRule="auto"/>
      </w:pPr>
      <w:r>
        <w:rPr>
          <w:rFonts w:hint="eastAsia"/>
        </w:rPr>
        <w:t xml:space="preserve">交通安全评估</w:t>
      </w:r>
      <w:r/>
    </w:p>
    <w:p>
      <w:pPr>
        <w:pStyle w:val="1113"/>
        <w:ind w:firstLine="420"/>
        <w:spacing w:line="372" w:lineRule="auto"/>
        <w:rPr>
          <w:rFonts w:ascii="宋体" w:hAnsi="宋体" w:eastAsia="宋体" w:cs="宋体"/>
          <w:sz w:val="21"/>
          <w:szCs w:val="21"/>
          <w:lang w:val="en-US"/>
        </w:rPr>
      </w:pPr>
      <w:r>
        <w:rPr>
          <w:rFonts w:hint="eastAsia" w:ascii="宋体" w:hAnsi="宋体" w:eastAsia="宋体" w:cs="宋体"/>
          <w:sz w:val="21"/>
          <w:szCs w:val="21"/>
          <w:lang w:val="en-US"/>
        </w:rPr>
        <w:t xml:space="preserve">包括：</w:t>
      </w:r>
      <w:r>
        <w:rPr>
          <w:rFonts w:hint="eastAsia" w:ascii="宋体" w:hAnsi="宋体" w:eastAsia="宋体" w:cs="宋体"/>
          <w:sz w:val="21"/>
          <w:szCs w:val="21"/>
        </w:rPr>
        <w:t xml:space="preserve">常规事故分析研判（</w:t>
      </w:r>
      <w:r>
        <w:rPr>
          <w:rFonts w:hint="eastAsia" w:ascii="宋体" w:hAnsi="宋体" w:eastAsia="宋体" w:cs="宋体"/>
          <w:sz w:val="21"/>
          <w:szCs w:val="21"/>
          <w:lang w:val="en-US"/>
        </w:rPr>
        <w:t xml:space="preserve">开展“周-月-季度-半年度-年度”安全分析研判、开展“重大节假日”安全分析研判</w:t>
      </w:r>
      <w:r>
        <w:rPr>
          <w:rFonts w:hint="eastAsia" w:ascii="宋体" w:hAnsi="宋体" w:eastAsia="宋体" w:cs="宋体"/>
          <w:sz w:val="21"/>
          <w:szCs w:val="21"/>
        </w:rPr>
        <w:t xml:space="preserve">）、重点问题专题分析研判</w:t>
      </w:r>
      <w:r>
        <w:rPr>
          <w:rFonts w:hint="eastAsia" w:ascii="宋体" w:hAnsi="宋体" w:eastAsia="宋体" w:cs="宋体"/>
          <w:sz w:val="21"/>
          <w:szCs w:val="21"/>
          <w:lang w:val="en-US"/>
        </w:rPr>
        <w:t xml:space="preserve">等。</w:t>
      </w:r>
      <w:r/>
    </w:p>
    <w:p>
      <w:pPr>
        <w:pStyle w:val="970"/>
        <w:spacing w:line="372" w:lineRule="auto"/>
      </w:pPr>
      <w:r>
        <w:rPr>
          <w:rFonts w:hint="eastAsia"/>
        </w:rPr>
        <w:t xml:space="preserve">事故深度调查</w:t>
      </w:r>
      <w:r/>
    </w:p>
    <w:p>
      <w:pPr>
        <w:pStyle w:val="1113"/>
        <w:ind w:firstLine="420"/>
        <w:spacing w:line="372" w:lineRule="auto"/>
        <w:rPr>
          <w:rFonts w:ascii="宋体" w:hAnsi="宋体" w:eastAsia="宋体" w:cs="宋体"/>
          <w:sz w:val="21"/>
          <w:szCs w:val="21"/>
          <w:lang w:val="en-US"/>
        </w:rPr>
      </w:pPr>
      <w:r>
        <w:rPr>
          <w:rFonts w:hint="eastAsia" w:ascii="宋体" w:hAnsi="宋体" w:eastAsia="宋体" w:cs="宋体"/>
          <w:sz w:val="21"/>
          <w:szCs w:val="21"/>
          <w:lang w:val="en-US"/>
        </w:rPr>
        <w:t xml:space="preserve">前往重大事故现场，陪同现场排查隐患，并协助对道路交通事故发生的深层次原因以及道路交通安全相关因素开展延伸调查，协助分析查找安全隐患、管理漏洞及薄弱环节，提出针对性的意见和建议，推动相关部门、行业、企业整改问题和追究责任。</w:t>
      </w:r>
      <w:r/>
    </w:p>
    <w:p>
      <w:pPr>
        <w:pStyle w:val="970"/>
        <w:spacing w:line="372" w:lineRule="auto"/>
      </w:pPr>
      <w:r>
        <w:rPr>
          <w:rFonts w:hint="eastAsia"/>
        </w:rPr>
        <w:t xml:space="preserve">道路安全隐患治理与培训</w:t>
      </w:r>
      <w:r/>
    </w:p>
    <w:p>
      <w:pPr>
        <w:pStyle w:val="1113"/>
        <w:ind w:firstLine="420"/>
        <w:spacing w:line="372" w:lineRule="auto"/>
        <w:rPr>
          <w:rFonts w:ascii="宋体" w:hAnsi="宋体" w:eastAsia="宋体" w:cs="宋体"/>
          <w:sz w:val="21"/>
          <w:szCs w:val="21"/>
          <w:lang w:val="en-US"/>
        </w:rPr>
      </w:pPr>
      <w:r>
        <w:rPr>
          <w:rFonts w:hint="eastAsia" w:ascii="宋体" w:hAnsi="宋体" w:eastAsia="宋体" w:cs="宋体"/>
          <w:sz w:val="21"/>
          <w:szCs w:val="21"/>
          <w:lang w:val="en-US"/>
        </w:rPr>
        <w:t xml:space="preserve">包括：协助太仓大队道路安全隐患治理（基于近三年道路交通事故，研判全市1700公里道路中事故高发的点段，对事故高发前50的路口路段进行分析研判，选择其中10-20的路口、路段进行隐患排查、制定方案、实施跟踪、治理效果评估）、开展太仓大队道路隐患治理的培训等。</w:t>
      </w:r>
      <w:r/>
    </w:p>
    <w:p>
      <w:pPr>
        <w:pStyle w:val="970"/>
        <w:spacing w:line="372" w:lineRule="auto"/>
      </w:pPr>
      <w:r>
        <w:rPr>
          <w:rFonts w:hint="eastAsia"/>
        </w:rPr>
        <w:t xml:space="preserve">重点企业交通安全治理</w:t>
      </w:r>
      <w:r/>
    </w:p>
    <w:p>
      <w:pPr>
        <w:pStyle w:val="1113"/>
        <w:ind w:firstLine="420"/>
        <w:spacing w:line="372" w:lineRule="auto"/>
        <w:rPr>
          <w:rFonts w:ascii="宋体" w:hAnsi="宋体" w:eastAsia="宋体" w:cs="宋体"/>
          <w:sz w:val="21"/>
          <w:szCs w:val="21"/>
          <w:lang w:val="en-US"/>
        </w:rPr>
      </w:pPr>
      <w:r>
        <w:rPr>
          <w:rFonts w:hint="eastAsia" w:ascii="宋体" w:hAnsi="宋体" w:eastAsia="宋体" w:cs="宋体"/>
          <w:sz w:val="21"/>
          <w:szCs w:val="21"/>
          <w:lang w:val="en-US"/>
        </w:rPr>
        <w:t xml:space="preserve">从事故特征、时间、事故形态等多方面开展企业交通安全分析，排查重点企业清单，形成红黑榜，选择5-10家重点企业，深入挖掘安全管理存在的问题，研究相关对策建议，开展重点企业交通安全治理工作。</w:t>
      </w:r>
      <w:r/>
    </w:p>
    <w:p>
      <w:pPr>
        <w:pStyle w:val="970"/>
        <w:spacing w:line="372" w:lineRule="auto"/>
      </w:pPr>
      <w:r>
        <w:rPr>
          <w:rFonts w:hint="eastAsia"/>
        </w:rPr>
        <w:t xml:space="preserve">风险防控平台本地化部署</w:t>
      </w:r>
      <w:r/>
    </w:p>
    <w:p>
      <w:pPr>
        <w:pStyle w:val="1113"/>
        <w:ind w:firstLine="420"/>
        <w:spacing w:line="372" w:lineRule="auto"/>
        <w:rPr>
          <w:rFonts w:ascii="宋体" w:hAnsi="宋体" w:eastAsia="宋体" w:cs="宋体"/>
          <w:sz w:val="21"/>
          <w:szCs w:val="21"/>
          <w:lang w:val="en-US"/>
        </w:rPr>
      </w:pPr>
      <w:r>
        <w:rPr>
          <w:rFonts w:hint="eastAsia" w:ascii="宋体" w:hAnsi="宋体" w:eastAsia="宋体" w:cs="宋体"/>
          <w:sz w:val="21"/>
          <w:szCs w:val="21"/>
          <w:lang w:val="en-US"/>
        </w:rPr>
        <w:t xml:space="preserve">完成 “太仓市道路交通安全风险防控平台”本地化部署。通过对接支队业务平台以及太仓市本地业务平台中的道路交通事故、违法、警情等数据，构建太仓市全量道路交通安全数据池，实现区域、道路的精准化分析、安全预警、隐患管理的闭环流程。包括：安全态势可视化、区域安全分析、道路安全管理、</w:t>
      </w:r>
      <w:bookmarkStart w:id="169" w:name="_Toc16333"/>
      <w:r>
        <w:rPr>
          <w:rFonts w:hint="eastAsia" w:ascii="宋体" w:hAnsi="宋体" w:eastAsia="宋体" w:cs="宋体"/>
          <w:sz w:val="21"/>
          <w:szCs w:val="21"/>
          <w:lang w:val="en-US"/>
        </w:rPr>
        <w:t xml:space="preserve">勤务优化分析</w:t>
      </w:r>
      <w:bookmarkEnd w:id="169"/>
      <w:r>
        <w:rPr>
          <w:rFonts w:hint="eastAsia" w:ascii="宋体" w:hAnsi="宋体" w:eastAsia="宋体" w:cs="宋体"/>
          <w:sz w:val="21"/>
          <w:szCs w:val="21"/>
          <w:lang w:val="en-US"/>
        </w:rPr>
        <w:t xml:space="preserve">、交通安全预警、督办单闭环管理、数据管理模块（事故管理、数据质量统计）等功能。</w:t>
      </w:r>
      <w:r/>
    </w:p>
    <w:p>
      <w:pPr>
        <w:pStyle w:val="1113"/>
        <w:ind w:firstLine="420"/>
        <w:spacing w:line="360" w:lineRule="auto"/>
        <w:rPr>
          <w:rFonts w:ascii="宋体" w:hAnsi="宋体" w:eastAsia="宋体" w:cs="宋体"/>
          <w:sz w:val="21"/>
          <w:szCs w:val="21"/>
          <w:lang w:val="en-US"/>
        </w:rPr>
      </w:pPr>
      <w:r>
        <w:rPr>
          <w:rFonts w:ascii="宋体" w:hAnsi="宋体" w:eastAsia="宋体" w:cs="宋体"/>
          <w:sz w:val="21"/>
          <w:szCs w:val="21"/>
          <w:lang w:val="en-US"/>
        </w:rPr>
      </w:r>
      <w:r/>
    </w:p>
    <w:p>
      <w:pPr>
        <w:pStyle w:val="968"/>
      </w:pPr>
      <w:r>
        <w:rPr>
          <w:rFonts w:hint="eastAsia"/>
        </w:rPr>
        <w:t xml:space="preserve">文本分析研判模型</w:t>
      </w:r>
      <w:r/>
    </w:p>
    <w:p>
      <w:pPr>
        <w:pStyle w:val="969"/>
        <w:rPr>
          <w:lang w:eastAsia="zh-Hans"/>
        </w:rPr>
      </w:pPr>
      <w:r>
        <w:rPr>
          <w:rFonts w:hint="eastAsia"/>
        </w:rPr>
        <w:t xml:space="preserve">系统概况</w:t>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通过模型智能化实现综合办公文书、案件线索分析、法律法规问答、媒体内容解析等业务需求，模型应用系统包括用户端、管理端、模型端和存储端。用户端方便民警进行智能问答、文本写作、获取实时资讯以及使用智能助手等操作；管理端可进行用户管理和系统维护；模型端采用先进的 72B 模型确保高效准确的处理能力；存储端则负责存储各类数据资源，为模型的运行提供坚实的数据基础。</w:t>
      </w:r>
      <w:r/>
    </w:p>
    <w:p>
      <w:pPr>
        <w:pStyle w:val="969"/>
        <w:rPr>
          <w:lang w:eastAsia="zh-Hans"/>
        </w:rPr>
      </w:pPr>
      <w:r>
        <w:rPr>
          <w:rFonts w:hint="eastAsia"/>
        </w:rPr>
        <w:t xml:space="preserve">系统功能</w:t>
      </w:r>
      <w:r/>
    </w:p>
    <w:p>
      <w:pPr>
        <w:pStyle w:val="970"/>
      </w:pPr>
      <w:r>
        <w:rPr>
          <w:rFonts w:hint="eastAsia"/>
        </w:rPr>
        <w:t xml:space="preserve">用户端</w:t>
      </w:r>
      <w:r/>
    </w:p>
    <w:p>
      <w:pPr>
        <w:pStyle w:val="1112"/>
        <w:numPr>
          <w:ilvl w:val="0"/>
          <w:numId w:val="31"/>
        </w:numPr>
        <w:ind w:firstLine="420"/>
        <w:rPr>
          <w:rFonts w:eastAsia="宋体"/>
          <w:sz w:val="21"/>
          <w:szCs w:val="21"/>
        </w:rPr>
      </w:pPr>
      <w:r>
        <w:rPr>
          <w:rFonts w:hint="eastAsia" w:eastAsia="宋体"/>
          <w:sz w:val="21"/>
          <w:szCs w:val="21"/>
        </w:rPr>
        <w:t xml:space="preserve">智能问答</w:t>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包括：回答知识源（全部知识源、个人知识库、企业知识库、资料、法律、互联网）、参考文档预览、高亮引用、中英翻译、产业图谱、历史对话管理、切换模式（</w:t>
      </w:r>
      <w:r>
        <w:rPr>
          <w:rFonts w:hint="eastAsia" w:ascii="宋体" w:hAnsi="宋体" w:eastAsia="宋体" w:cs="宋体"/>
          <w:sz w:val="21"/>
          <w:szCs w:val="21"/>
        </w:rPr>
        <w:t xml:space="preserve">切换7B/72B模型</w:t>
      </w:r>
      <w:r>
        <w:rPr>
          <w:rFonts w:hint="eastAsia" w:ascii="宋体" w:hAnsi="宋体" w:eastAsia="宋体" w:cs="宋体"/>
          <w:sz w:val="21"/>
          <w:szCs w:val="21"/>
          <w:lang w:val="en-US"/>
        </w:rPr>
        <w:t xml:space="preserve">）、复制答案、相关问题等。</w:t>
      </w:r>
      <w:r/>
    </w:p>
    <w:p>
      <w:pPr>
        <w:pStyle w:val="1112"/>
        <w:numPr>
          <w:ilvl w:val="0"/>
          <w:numId w:val="31"/>
        </w:numPr>
        <w:ind w:firstLine="420"/>
        <w:rPr>
          <w:rFonts w:eastAsia="宋体"/>
          <w:sz w:val="21"/>
          <w:szCs w:val="21"/>
        </w:rPr>
      </w:pPr>
      <w:r>
        <w:rPr>
          <w:rFonts w:hint="eastAsia" w:eastAsia="宋体"/>
          <w:sz w:val="21"/>
          <w:szCs w:val="21"/>
        </w:rPr>
        <w:t xml:space="preserve">文本写作</w:t>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包括：大纲生成、指定参考来源写作、写作内容溯源等。</w:t>
      </w:r>
      <w:r/>
    </w:p>
    <w:p>
      <w:pPr>
        <w:pStyle w:val="1112"/>
        <w:numPr>
          <w:ilvl w:val="0"/>
          <w:numId w:val="31"/>
        </w:numPr>
        <w:ind w:firstLine="420"/>
        <w:rPr>
          <w:rFonts w:eastAsia="宋体"/>
          <w:sz w:val="21"/>
          <w:szCs w:val="21"/>
        </w:rPr>
      </w:pPr>
      <w:r>
        <w:rPr>
          <w:rFonts w:hint="eastAsia" w:eastAsia="宋体"/>
          <w:sz w:val="21"/>
          <w:szCs w:val="21"/>
        </w:rPr>
        <w:t xml:space="preserve">实时资讯</w:t>
      </w:r>
      <w:r/>
    </w:p>
    <w:p>
      <w:pPr>
        <w:pStyle w:val="1112"/>
        <w:ind w:firstLine="420"/>
        <w:rPr>
          <w:rFonts w:eastAsia="宋体"/>
          <w:sz w:val="21"/>
          <w:szCs w:val="21"/>
        </w:rPr>
      </w:pPr>
      <w:r>
        <w:rPr>
          <w:rFonts w:hint="eastAsia" w:eastAsia="宋体"/>
          <w:sz w:val="21"/>
          <w:szCs w:val="21"/>
        </w:rPr>
        <w:t xml:space="preserve">包括：智能新闻总结、产业穿透分析、热门资讯分析等。</w:t>
      </w:r>
      <w:r/>
    </w:p>
    <w:p>
      <w:pPr>
        <w:pStyle w:val="1112"/>
        <w:numPr>
          <w:ilvl w:val="0"/>
          <w:numId w:val="31"/>
        </w:numPr>
        <w:ind w:firstLine="420"/>
        <w:rPr>
          <w:rFonts w:eastAsia="宋体"/>
          <w:sz w:val="21"/>
          <w:szCs w:val="21"/>
        </w:rPr>
      </w:pPr>
      <w:r>
        <w:rPr>
          <w:rFonts w:hint="eastAsia" w:eastAsia="宋体"/>
          <w:sz w:val="21"/>
          <w:szCs w:val="21"/>
        </w:rPr>
        <w:t xml:space="preserve">智能助手</w:t>
      </w:r>
      <w:r/>
    </w:p>
    <w:p>
      <w:pPr>
        <w:pStyle w:val="1112"/>
        <w:ind w:firstLine="420"/>
        <w:rPr>
          <w:rFonts w:eastAsia="宋体"/>
          <w:sz w:val="21"/>
          <w:szCs w:val="21"/>
        </w:rPr>
      </w:pPr>
      <w:r>
        <w:rPr>
          <w:rFonts w:hint="eastAsia" w:eastAsia="宋体"/>
          <w:sz w:val="21"/>
          <w:szCs w:val="21"/>
        </w:rPr>
        <w:t xml:space="preserve">包括：数据分析助手、尽调助手、合同审核助手等。</w:t>
      </w:r>
      <w:r/>
    </w:p>
    <w:p>
      <w:pPr>
        <w:pStyle w:val="970"/>
      </w:pPr>
      <w:r>
        <w:rPr>
          <w:rFonts w:hint="eastAsia"/>
        </w:rPr>
        <w:t xml:space="preserve">管理端</w:t>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1）首页</w:t>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包括：知识库概览、快速新建知识库等。</w:t>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2）知识库管理</w:t>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包括：新建知识库（新建图谱知识库、新建文档知识库）、图谱知识库管理（查看知识库、标签管理、实体关系图、构建图谱、知识库权限）、文档知识库管理（查看知识库、文档管理、数据源管理、知识库权限、提问模板）等。</w:t>
      </w:r>
      <w:r/>
    </w:p>
    <w:p>
      <w:pPr>
        <w:pStyle w:val="970"/>
        <w:spacing w:line="372" w:lineRule="auto"/>
      </w:pPr>
      <w:r>
        <w:rPr>
          <w:rFonts w:hint="eastAsia"/>
        </w:rPr>
        <w:t xml:space="preserve">用户管理</w:t>
      </w:r>
      <w:r/>
    </w:p>
    <w:p>
      <w:pPr>
        <w:pStyle w:val="1113"/>
        <w:ind w:firstLine="420"/>
        <w:spacing w:line="372" w:lineRule="auto"/>
        <w:rPr>
          <w:rFonts w:ascii="宋体" w:hAnsi="宋体" w:eastAsia="宋体" w:cs="宋体"/>
          <w:sz w:val="21"/>
          <w:szCs w:val="21"/>
          <w:lang w:val="en-US"/>
        </w:rPr>
      </w:pPr>
      <w:r>
        <w:rPr>
          <w:rFonts w:hint="eastAsia" w:ascii="宋体" w:hAnsi="宋体" w:eastAsia="宋体" w:cs="宋体"/>
          <w:sz w:val="21"/>
          <w:szCs w:val="21"/>
          <w:lang w:val="en-US"/>
        </w:rPr>
        <w:t xml:space="preserve">1）机构管理</w:t>
      </w:r>
      <w:r/>
    </w:p>
    <w:p>
      <w:pPr>
        <w:pStyle w:val="1113"/>
        <w:ind w:firstLine="420"/>
        <w:spacing w:line="372" w:lineRule="auto"/>
        <w:rPr>
          <w:rFonts w:ascii="宋体" w:hAnsi="宋体" w:eastAsia="宋体" w:cs="宋体"/>
          <w:sz w:val="21"/>
          <w:szCs w:val="21"/>
          <w:lang w:val="en-US"/>
        </w:rPr>
      </w:pPr>
      <w:r>
        <w:rPr>
          <w:rFonts w:hint="eastAsia" w:ascii="宋体" w:hAnsi="宋体" w:eastAsia="宋体" w:cs="宋体"/>
          <w:sz w:val="21"/>
          <w:szCs w:val="21"/>
          <w:lang w:val="en-US"/>
        </w:rPr>
        <w:t xml:space="preserve">新建、编辑和删除机构；</w:t>
      </w:r>
      <w:r/>
    </w:p>
    <w:p>
      <w:pPr>
        <w:pStyle w:val="1113"/>
        <w:ind w:firstLine="420"/>
        <w:spacing w:line="372" w:lineRule="auto"/>
        <w:rPr>
          <w:rFonts w:ascii="宋体" w:hAnsi="宋体" w:eastAsia="宋体" w:cs="宋体"/>
          <w:sz w:val="21"/>
          <w:szCs w:val="21"/>
          <w:lang w:val="en-US"/>
        </w:rPr>
      </w:pPr>
      <w:r>
        <w:rPr>
          <w:rFonts w:hint="eastAsia" w:ascii="宋体" w:hAnsi="宋体" w:eastAsia="宋体" w:cs="宋体"/>
          <w:sz w:val="21"/>
          <w:szCs w:val="21"/>
          <w:lang w:val="en-US"/>
        </w:rPr>
        <w:t xml:space="preserve">以树状结构展示机构间的关系；</w:t>
      </w:r>
      <w:r/>
    </w:p>
    <w:p>
      <w:pPr>
        <w:pStyle w:val="1113"/>
        <w:ind w:firstLine="420"/>
        <w:spacing w:line="372" w:lineRule="auto"/>
        <w:rPr>
          <w:rFonts w:ascii="宋体" w:hAnsi="宋体" w:eastAsia="宋体" w:cs="宋体"/>
          <w:sz w:val="21"/>
          <w:szCs w:val="21"/>
          <w:lang w:val="en-US"/>
        </w:rPr>
      </w:pPr>
      <w:r>
        <w:rPr>
          <w:rFonts w:hint="eastAsia" w:ascii="宋体" w:hAnsi="宋体" w:eastAsia="宋体" w:cs="宋体"/>
          <w:sz w:val="21"/>
          <w:szCs w:val="21"/>
          <w:lang w:val="en-US"/>
        </w:rPr>
        <w:t xml:space="preserve">新增、移动和删除各个机构中的用户；</w:t>
      </w:r>
      <w:r/>
    </w:p>
    <w:p>
      <w:pPr>
        <w:pStyle w:val="1113"/>
        <w:ind w:firstLine="420"/>
        <w:spacing w:line="372" w:lineRule="auto"/>
        <w:rPr>
          <w:rFonts w:ascii="宋体" w:hAnsi="宋体" w:eastAsia="宋体" w:cs="宋体"/>
          <w:sz w:val="21"/>
          <w:szCs w:val="21"/>
          <w:lang w:val="en-US"/>
        </w:rPr>
      </w:pPr>
      <w:r>
        <w:rPr>
          <w:rFonts w:hint="eastAsia" w:ascii="宋体" w:hAnsi="宋体" w:eastAsia="宋体" w:cs="宋体"/>
          <w:sz w:val="21"/>
          <w:szCs w:val="21"/>
          <w:lang w:val="en-US"/>
        </w:rPr>
        <w:t xml:space="preserve">搜索机构内的用户，以及按照账号、姓名、创建时间对用户进行排序。</w:t>
      </w:r>
      <w:r/>
    </w:p>
    <w:p>
      <w:pPr>
        <w:pStyle w:val="1113"/>
        <w:ind w:firstLine="420"/>
        <w:spacing w:line="372" w:lineRule="auto"/>
        <w:rPr>
          <w:rFonts w:ascii="宋体" w:hAnsi="宋体" w:eastAsia="宋体" w:cs="宋体"/>
          <w:sz w:val="21"/>
          <w:szCs w:val="21"/>
          <w:lang w:val="en-US"/>
        </w:rPr>
      </w:pPr>
      <w:r>
        <w:rPr>
          <w:rFonts w:hint="eastAsia" w:ascii="宋体" w:hAnsi="宋体" w:eastAsia="宋体" w:cs="宋体"/>
          <w:sz w:val="21"/>
          <w:szCs w:val="21"/>
          <w:lang w:val="en-US"/>
        </w:rPr>
        <w:t xml:space="preserve">2）用户管理</w:t>
      </w:r>
      <w:r/>
    </w:p>
    <w:p>
      <w:pPr>
        <w:pStyle w:val="1113"/>
        <w:ind w:firstLine="420"/>
        <w:spacing w:line="372" w:lineRule="auto"/>
        <w:rPr>
          <w:rFonts w:ascii="宋体" w:hAnsi="宋体" w:eastAsia="宋体" w:cs="宋体"/>
          <w:sz w:val="21"/>
          <w:szCs w:val="21"/>
          <w:lang w:val="en-US"/>
        </w:rPr>
      </w:pPr>
      <w:r>
        <w:rPr>
          <w:rFonts w:hint="eastAsia" w:ascii="宋体" w:hAnsi="宋体" w:eastAsia="宋体" w:cs="宋体"/>
          <w:sz w:val="21"/>
          <w:szCs w:val="21"/>
          <w:lang w:val="en-US"/>
        </w:rPr>
        <w:t xml:space="preserve">新建、编辑和删除用户；</w:t>
      </w:r>
      <w:r/>
    </w:p>
    <w:p>
      <w:pPr>
        <w:pStyle w:val="1113"/>
        <w:ind w:firstLine="420"/>
        <w:spacing w:line="372" w:lineRule="auto"/>
        <w:rPr>
          <w:rFonts w:ascii="宋体" w:hAnsi="宋体" w:eastAsia="宋体" w:cs="宋体"/>
          <w:sz w:val="21"/>
          <w:szCs w:val="21"/>
          <w:lang w:val="en-US"/>
        </w:rPr>
      </w:pPr>
      <w:r>
        <w:rPr>
          <w:rFonts w:hint="eastAsia" w:ascii="宋体" w:hAnsi="宋体" w:eastAsia="宋体" w:cs="宋体"/>
          <w:sz w:val="21"/>
          <w:szCs w:val="21"/>
          <w:lang w:val="en-US"/>
        </w:rPr>
        <w:t xml:space="preserve">为用户分配管理员和普通用户的角色，其中管理员可以访问管理端和用户端，普通用户只能访问用户端；</w:t>
      </w:r>
      <w:r/>
    </w:p>
    <w:p>
      <w:pPr>
        <w:pStyle w:val="1113"/>
        <w:ind w:firstLine="420"/>
        <w:spacing w:line="372" w:lineRule="auto"/>
        <w:rPr>
          <w:rFonts w:ascii="宋体" w:hAnsi="宋体" w:eastAsia="宋体" w:cs="宋体"/>
          <w:sz w:val="21"/>
          <w:szCs w:val="21"/>
          <w:lang w:val="en-US"/>
        </w:rPr>
      </w:pPr>
      <w:r>
        <w:rPr>
          <w:rFonts w:hint="eastAsia" w:ascii="宋体" w:hAnsi="宋体" w:eastAsia="宋体" w:cs="宋体"/>
          <w:sz w:val="21"/>
          <w:szCs w:val="21"/>
          <w:lang w:val="en-US"/>
        </w:rPr>
        <w:t xml:space="preserve">查看用户的详细信息；</w:t>
      </w:r>
      <w:r/>
    </w:p>
    <w:p>
      <w:pPr>
        <w:pStyle w:val="1113"/>
        <w:ind w:firstLine="420"/>
        <w:spacing w:line="372" w:lineRule="auto"/>
        <w:rPr>
          <w:rFonts w:ascii="宋体" w:hAnsi="宋体" w:eastAsia="宋体" w:cs="宋体"/>
          <w:sz w:val="21"/>
          <w:szCs w:val="21"/>
          <w:lang w:val="en-US"/>
        </w:rPr>
      </w:pPr>
      <w:r>
        <w:rPr>
          <w:rFonts w:hint="eastAsia" w:ascii="宋体" w:hAnsi="宋体" w:eastAsia="宋体" w:cs="宋体"/>
          <w:sz w:val="21"/>
          <w:szCs w:val="21"/>
          <w:lang w:val="en-US"/>
        </w:rPr>
        <w:t xml:space="preserve">重置用户密码；</w:t>
      </w:r>
      <w:r/>
    </w:p>
    <w:p>
      <w:pPr>
        <w:pStyle w:val="1113"/>
        <w:ind w:firstLine="420"/>
        <w:spacing w:line="372" w:lineRule="auto"/>
        <w:rPr>
          <w:rFonts w:ascii="宋体" w:hAnsi="宋体" w:eastAsia="宋体" w:cs="宋体"/>
          <w:sz w:val="21"/>
          <w:szCs w:val="21"/>
          <w:lang w:val="en-US"/>
        </w:rPr>
      </w:pPr>
      <w:r>
        <w:rPr>
          <w:rFonts w:hint="eastAsia" w:ascii="宋体" w:hAnsi="宋体" w:eastAsia="宋体" w:cs="宋体"/>
          <w:sz w:val="21"/>
          <w:szCs w:val="21"/>
          <w:lang w:val="en-US"/>
        </w:rPr>
        <w:t xml:space="preserve">启用和禁用用户；</w:t>
      </w:r>
      <w:r/>
    </w:p>
    <w:p>
      <w:pPr>
        <w:pStyle w:val="1113"/>
        <w:ind w:firstLine="420"/>
        <w:spacing w:line="372" w:lineRule="auto"/>
        <w:rPr>
          <w:rFonts w:ascii="宋体" w:hAnsi="宋体" w:eastAsia="宋体" w:cs="宋体"/>
          <w:sz w:val="21"/>
          <w:szCs w:val="21"/>
          <w:lang w:val="en-US"/>
        </w:rPr>
      </w:pPr>
      <w:r>
        <w:rPr>
          <w:rFonts w:hint="eastAsia" w:ascii="宋体" w:hAnsi="宋体" w:eastAsia="宋体" w:cs="宋体"/>
          <w:sz w:val="21"/>
          <w:szCs w:val="21"/>
          <w:lang w:val="en-US"/>
        </w:rPr>
        <w:t xml:space="preserve">搜索用户，以及按照账号、姓名和创建时间对用户进行排序；</w:t>
      </w:r>
      <w:r/>
    </w:p>
    <w:p>
      <w:pPr>
        <w:pStyle w:val="1113"/>
        <w:ind w:firstLine="420"/>
        <w:spacing w:line="372" w:lineRule="auto"/>
        <w:rPr>
          <w:rFonts w:ascii="宋体" w:hAnsi="宋体" w:eastAsia="宋体" w:cs="宋体"/>
          <w:sz w:val="21"/>
          <w:szCs w:val="21"/>
          <w:lang w:val="en-US"/>
        </w:rPr>
      </w:pPr>
      <w:r>
        <w:rPr>
          <w:rFonts w:hint="eastAsia" w:ascii="宋体" w:hAnsi="宋体" w:eastAsia="宋体" w:cs="宋体"/>
          <w:sz w:val="21"/>
          <w:szCs w:val="21"/>
          <w:lang w:val="en-US"/>
        </w:rPr>
        <w:t xml:space="preserve">提供登录密码校验，按密码规则校验密码的格式、有效性和期限。</w:t>
      </w:r>
      <w:r/>
    </w:p>
    <w:p>
      <w:pPr>
        <w:pStyle w:val="970"/>
        <w:spacing w:line="372" w:lineRule="auto"/>
      </w:pPr>
      <w:r>
        <w:rPr>
          <w:rFonts w:hint="eastAsia"/>
        </w:rPr>
        <w:t xml:space="preserve">模型端</w:t>
      </w:r>
      <w:r/>
    </w:p>
    <w:p>
      <w:pPr>
        <w:pStyle w:val="1113"/>
        <w:ind w:firstLine="420"/>
        <w:spacing w:line="372" w:lineRule="auto"/>
        <w:rPr>
          <w:rFonts w:ascii="宋体" w:hAnsi="宋体" w:eastAsia="宋体" w:cs="宋体"/>
          <w:sz w:val="21"/>
          <w:szCs w:val="21"/>
          <w:lang w:val="en-US"/>
        </w:rPr>
      </w:pPr>
      <w:r>
        <w:rPr>
          <w:rFonts w:hint="eastAsia" w:ascii="宋体" w:hAnsi="宋体" w:eastAsia="宋体" w:cs="宋体"/>
          <w:sz w:val="21"/>
          <w:szCs w:val="21"/>
          <w:lang w:val="en-US"/>
        </w:rPr>
        <w:t xml:space="preserve">1）72B模型</w:t>
      </w:r>
      <w:r/>
    </w:p>
    <w:p>
      <w:pPr>
        <w:pStyle w:val="1113"/>
        <w:ind w:firstLine="420"/>
        <w:spacing w:line="372" w:lineRule="auto"/>
        <w:rPr>
          <w:rFonts w:ascii="宋体" w:hAnsi="宋体" w:eastAsia="宋体" w:cs="宋体"/>
          <w:sz w:val="21"/>
          <w:szCs w:val="21"/>
          <w:lang w:val="en-US"/>
        </w:rPr>
      </w:pPr>
      <w:r>
        <w:rPr>
          <w:rFonts w:hint="eastAsia" w:ascii="宋体" w:hAnsi="宋体" w:eastAsia="宋体" w:cs="宋体"/>
          <w:sz w:val="21"/>
          <w:szCs w:val="21"/>
          <w:lang w:val="en-US"/>
        </w:rPr>
        <w:t xml:space="preserve">提供本地的72B模型，拥有丰富的行业知识，能够理解复杂问题，适用于对答案准确度和模型推理能力有更高要求的用户。</w:t>
      </w:r>
      <w:r/>
    </w:p>
    <w:p>
      <w:pPr>
        <w:pStyle w:val="1113"/>
        <w:ind w:firstLine="420"/>
        <w:spacing w:line="372" w:lineRule="auto"/>
        <w:rPr>
          <w:rFonts w:ascii="宋体" w:hAnsi="宋体" w:eastAsia="宋体" w:cs="宋体"/>
          <w:sz w:val="21"/>
          <w:szCs w:val="21"/>
          <w:lang w:val="en-US"/>
        </w:rPr>
      </w:pPr>
      <w:r>
        <w:rPr>
          <w:rFonts w:hint="eastAsia" w:ascii="宋体" w:hAnsi="宋体" w:eastAsia="宋体" w:cs="宋体"/>
          <w:sz w:val="21"/>
          <w:szCs w:val="21"/>
          <w:lang w:val="en-US"/>
        </w:rPr>
        <w:t xml:space="preserve">2）对接第三方模型</w:t>
      </w:r>
      <w:r/>
    </w:p>
    <w:p>
      <w:pPr>
        <w:pStyle w:val="1113"/>
        <w:ind w:firstLine="420"/>
        <w:spacing w:line="372" w:lineRule="auto"/>
        <w:rPr>
          <w:rFonts w:ascii="宋体" w:hAnsi="宋体" w:eastAsia="宋体" w:cs="宋体"/>
          <w:sz w:val="21"/>
          <w:szCs w:val="21"/>
          <w:lang w:val="en-US"/>
        </w:rPr>
      </w:pPr>
      <w:r>
        <w:rPr>
          <w:rFonts w:hint="eastAsia" w:ascii="宋体" w:hAnsi="宋体" w:eastAsia="宋体" w:cs="宋体"/>
          <w:sz w:val="21"/>
          <w:szCs w:val="21"/>
          <w:lang w:val="en-US"/>
        </w:rPr>
        <w:t xml:space="preserve">可选择与第三方模型对接，如三所模型或其它公安行业指定模型，拥有丰富的公安行业知识。</w:t>
      </w:r>
      <w:r/>
    </w:p>
    <w:p>
      <w:pPr>
        <w:pStyle w:val="970"/>
        <w:spacing w:line="372" w:lineRule="auto"/>
      </w:pPr>
      <w:r>
        <w:rPr>
          <w:rFonts w:hint="eastAsia"/>
        </w:rPr>
        <w:t xml:space="preserve">存储端</w:t>
      </w:r>
      <w:r/>
    </w:p>
    <w:p>
      <w:pPr>
        <w:pStyle w:val="1113"/>
        <w:ind w:firstLine="420"/>
        <w:spacing w:line="372" w:lineRule="auto"/>
        <w:rPr>
          <w:rFonts w:ascii="宋体" w:hAnsi="宋体" w:eastAsia="宋体" w:cs="宋体"/>
          <w:sz w:val="21"/>
          <w:szCs w:val="21"/>
          <w:lang w:val="en-US"/>
        </w:rPr>
      </w:pPr>
      <w:r>
        <w:rPr>
          <w:rFonts w:hint="eastAsia" w:ascii="宋体" w:hAnsi="宋体" w:eastAsia="宋体" w:cs="宋体"/>
          <w:sz w:val="21"/>
          <w:szCs w:val="21"/>
          <w:lang w:val="en-US"/>
        </w:rPr>
        <w:t xml:space="preserve">1）向量库</w:t>
      </w:r>
      <w:r/>
    </w:p>
    <w:p>
      <w:pPr>
        <w:pStyle w:val="1113"/>
        <w:ind w:firstLine="420"/>
        <w:spacing w:line="372" w:lineRule="auto"/>
        <w:rPr>
          <w:rFonts w:ascii="宋体" w:hAnsi="宋体" w:eastAsia="宋体" w:cs="宋体"/>
          <w:sz w:val="21"/>
          <w:szCs w:val="21"/>
          <w:lang w:val="en-US"/>
        </w:rPr>
      </w:pPr>
      <w:r>
        <w:rPr>
          <w:rFonts w:hint="eastAsia" w:ascii="宋体" w:hAnsi="宋体" w:eastAsia="宋体" w:cs="宋体"/>
          <w:sz w:val="21"/>
          <w:szCs w:val="21"/>
          <w:lang w:val="en-US"/>
        </w:rPr>
        <w:t xml:space="preserve">面向AI、大语言模型应用领域设计的企业级分布式向量数据库。</w:t>
      </w:r>
      <w:r/>
    </w:p>
    <w:p>
      <w:pPr>
        <w:pStyle w:val="1113"/>
        <w:ind w:firstLine="420"/>
        <w:spacing w:line="372" w:lineRule="auto"/>
        <w:rPr>
          <w:rFonts w:ascii="宋体" w:hAnsi="宋体" w:eastAsia="宋体" w:cs="宋体"/>
          <w:sz w:val="21"/>
          <w:szCs w:val="21"/>
          <w:lang w:val="en-US"/>
        </w:rPr>
      </w:pPr>
      <w:r>
        <w:rPr>
          <w:rFonts w:hint="eastAsia" w:ascii="宋体" w:hAnsi="宋体" w:eastAsia="宋体" w:cs="宋体"/>
          <w:sz w:val="21"/>
          <w:szCs w:val="21"/>
          <w:lang w:val="en-US"/>
        </w:rPr>
        <w:t xml:space="preserve">2）文件存储系统</w:t>
      </w:r>
      <w:r/>
    </w:p>
    <w:p>
      <w:pPr>
        <w:pStyle w:val="1113"/>
        <w:ind w:firstLine="420"/>
        <w:spacing w:line="372" w:lineRule="auto"/>
        <w:rPr>
          <w:rFonts w:ascii="宋体" w:hAnsi="宋体" w:eastAsia="宋体" w:cs="宋体"/>
          <w:sz w:val="21"/>
          <w:szCs w:val="21"/>
          <w:lang w:val="en-US"/>
        </w:rPr>
      </w:pPr>
      <w:r>
        <w:rPr>
          <w:rFonts w:hint="eastAsia" w:ascii="宋体" w:hAnsi="宋体" w:eastAsia="宋体" w:cs="宋体"/>
          <w:sz w:val="21"/>
          <w:szCs w:val="21"/>
          <w:lang w:val="en-US"/>
        </w:rPr>
        <w:t xml:space="preserve">面向大数据领域的企业级分布式文件存储。</w:t>
      </w:r>
      <w:r/>
    </w:p>
    <w:p>
      <w:pPr>
        <w:pStyle w:val="1113"/>
        <w:ind w:firstLine="420"/>
        <w:spacing w:line="360" w:lineRule="auto"/>
        <w:rPr>
          <w:rFonts w:ascii="宋体" w:hAnsi="宋体" w:eastAsia="宋体" w:cs="宋体"/>
          <w:sz w:val="21"/>
          <w:szCs w:val="21"/>
          <w:lang w:val="en-US"/>
        </w:rPr>
      </w:pPr>
      <w:r>
        <w:rPr>
          <w:rFonts w:ascii="宋体" w:hAnsi="宋体" w:eastAsia="宋体" w:cs="宋体"/>
          <w:sz w:val="21"/>
          <w:szCs w:val="21"/>
          <w:lang w:val="en-US"/>
        </w:rPr>
      </w:r>
      <w:r/>
    </w:p>
    <w:p>
      <w:pPr>
        <w:pStyle w:val="968"/>
      </w:pPr>
      <w:r>
        <w:rPr>
          <w:rFonts w:hint="eastAsia"/>
        </w:rPr>
        <w:t xml:space="preserve">城区瓶颈点改造（港区停车治理）</w:t>
      </w:r>
      <w:r/>
    </w:p>
    <w:p>
      <w:pPr>
        <w:pStyle w:val="969"/>
      </w:pPr>
      <w:r>
        <w:rPr>
          <w:rFonts w:hint="eastAsia"/>
        </w:rPr>
        <w:t xml:space="preserve">系统功能</w:t>
      </w:r>
      <w:r/>
    </w:p>
    <w:p>
      <w:pPr>
        <w:pStyle w:val="970"/>
      </w:pPr>
      <w:r/>
      <w:bookmarkStart w:id="170" w:name="_Toc177597911"/>
      <w:r>
        <w:rPr>
          <w:rFonts w:hint="eastAsia"/>
        </w:rPr>
        <w:t xml:space="preserve">政府管理端子系统</w:t>
      </w:r>
      <w:bookmarkEnd w:id="170"/>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1）用户信息审核</w:t>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包括：企业信息审核、司机信息审核、车辆信息校验等。</w:t>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2）集卡通行预约监管</w:t>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包括：车辆预约记录管理、预约自动审核、预约人工复核、企业车辆预约监控、审批信息生成与发布、违章停车车辆管理、黑名单车辆管理、黑名单企业管理、外来车辆信息管理、驾驶员信息管理等。</w:t>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3）道路违规信息实时告警</w:t>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包括：道路异常事件数据接入、道路异常事件告警、车辆违规历史与风险告警、禁区车辆闯入告警推送、道路泊位停车溢出告警推送、道路违停信息告警推送等。</w:t>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4）港区道路停车态势感知</w:t>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包括：区域集卡进/出量监测分析、道路在停车辆监测分析、道路停车区域停留特征分析、实时货车位置监测及轨迹分布、外来车辆进入港区次数统计、当日预约情况汇总统计、历史预约情况汇总统计、停车场周转情况分析、道路泊位周转分析、高频拥堵道路时空分析、道路停车车型分布分析、片区道路停车供需态势监测、短时停车需求预测等。</w:t>
      </w:r>
      <w:r/>
    </w:p>
    <w:p>
      <w:pPr>
        <w:pStyle w:val="970"/>
      </w:pPr>
      <w:r/>
      <w:bookmarkStart w:id="171" w:name="_Toc177597912"/>
      <w:r>
        <w:rPr>
          <w:rFonts w:hint="eastAsia"/>
        </w:rPr>
        <w:t xml:space="preserve">司机服务端小程序</w:t>
      </w:r>
      <w:bookmarkEnd w:id="171"/>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包括：车主个人信息认证、禁行区信息查询与展示、禁行区通行预约服务、道路停车位信息查询与展示、运单信息上传服务、停车场实时车位情况、停车场预约服务、预约记录、历史预约管理、司机之家服务导引、运单任务广场、企业运单接单、运单接单记录、运单任务更新、运单信息匹配、运单位置导航、临时交通管制信息推送、集卡车辆行车及停车诱导、停车排队等待时间推送等。</w:t>
      </w:r>
      <w:r/>
    </w:p>
    <w:p>
      <w:pPr>
        <w:pStyle w:val="970"/>
      </w:pPr>
      <w:r/>
      <w:bookmarkStart w:id="172" w:name="_Toc177597913"/>
      <w:r>
        <w:rPr>
          <w:rFonts w:hint="eastAsia"/>
        </w:rPr>
        <w:t xml:space="preserve">企业管理服务端子系统</w:t>
      </w:r>
      <w:bookmarkEnd w:id="172"/>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包括：企业注册与登录、企业信息录入、运输车辆通行预约、运输车辆停车预约、运单信息上传服务、运单车辆在途情况查看、预约记录管理、企业运单需求发布、企业运单供需对接、运单派单记录、运单任务更新等。</w:t>
      </w:r>
      <w:r/>
    </w:p>
    <w:p>
      <w:pPr>
        <w:pStyle w:val="970"/>
      </w:pPr>
      <w:r/>
      <w:bookmarkStart w:id="173" w:name="_Toc177597914"/>
      <w:r>
        <w:rPr>
          <w:rFonts w:hint="eastAsia"/>
        </w:rPr>
        <w:t xml:space="preserve">后台管理端</w:t>
      </w:r>
      <w:bookmarkEnd w:id="173"/>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1）数据采集与第三方系统对接</w:t>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包括：驾驶人档案数据对接、车辆档案数据对接、太仓港口岸管理数据对接、违停抓拍系统数据对接、停车场管理系统对接、交管勤务系统数据对接等。</w:t>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2）数据主题库建设</w:t>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包括：物流企业业务主题库、集卡停车与预约主题库、停车监管业务主题库等。</w:t>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3）业务智能算法模型</w:t>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包括：道路违停数据挖掘算法、卡口流量与预约数据关联校验算法、车辆预约行为挖掘算法、黑名单生成规则算法、运单匹配调度算法、停车排队时间预测算法、卡口识别车辆轨迹还原算法等。</w:t>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4）停车场管理系统对接改造</w:t>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包括：自动预约车辆识别、预约车辆自动放行、停车优惠规则结算等。</w:t>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5）已有通行证预约系统改造</w:t>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对现有太仓通行证申请系统进行功能和数据整合。</w:t>
      </w:r>
      <w:r/>
    </w:p>
    <w:p>
      <w:pPr>
        <w:pStyle w:val="1113"/>
        <w:ind w:firstLine="420"/>
        <w:spacing w:line="360" w:lineRule="auto"/>
        <w:rPr>
          <w:rFonts w:ascii="宋体" w:hAnsi="宋体" w:eastAsia="宋体" w:cs="宋体"/>
          <w:sz w:val="21"/>
          <w:szCs w:val="21"/>
          <w:lang w:val="en-US"/>
        </w:rPr>
      </w:pPr>
      <w:r>
        <w:rPr>
          <w:rFonts w:ascii="宋体" w:hAnsi="宋体" w:eastAsia="宋体" w:cs="宋体"/>
          <w:sz w:val="21"/>
          <w:szCs w:val="21"/>
          <w:lang w:val="en-US"/>
        </w:rPr>
      </w:r>
      <w:r/>
    </w:p>
    <w:p>
      <w:pPr>
        <w:pStyle w:val="968"/>
      </w:pPr>
      <w:r/>
      <w:bookmarkStart w:id="174" w:name="_Toc177597915"/>
      <w:r>
        <w:rPr>
          <w:rFonts w:hint="eastAsia"/>
          <w:lang w:eastAsia="zh-Hans"/>
        </w:rPr>
        <w:t xml:space="preserve">公交线网运营优化</w:t>
      </w:r>
      <w:bookmarkEnd w:id="174"/>
      <w:r/>
      <w:r/>
    </w:p>
    <w:p>
      <w:pPr>
        <w:pStyle w:val="969"/>
        <w:spacing w:line="372" w:lineRule="auto"/>
      </w:pPr>
      <w:r>
        <w:rPr>
          <w:rFonts w:hint="eastAsia"/>
        </w:rPr>
        <w:t xml:space="preserve">系统功能</w:t>
      </w:r>
      <w:r/>
    </w:p>
    <w:p>
      <w:pPr>
        <w:pStyle w:val="970"/>
        <w:spacing w:line="372" w:lineRule="auto"/>
      </w:pPr>
      <w:r/>
      <w:bookmarkStart w:id="175" w:name="_Toc177597916"/>
      <w:r>
        <w:rPr>
          <w:rFonts w:hint="eastAsia"/>
        </w:rPr>
        <w:t xml:space="preserve">互联网出行大数据采购</w:t>
      </w:r>
      <w:bookmarkEnd w:id="175"/>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拟采购腾讯位置大数据服务，基于腾讯地图、微信、QQ等互联网APP定位的数据挖掘用户的出行特征与规律，并按照季度为时间单位进行数据的聚类，从而实现对城市OD出行的刻画。数据服务按照离线数据文件形式提供，数据按照月度为统计单位，按照1kmx1km以下的空间尺度在太仓市地图上进行空间网格化，每个网格能够输出该网格内人员的总通勤出行量、出发OD量、到达OD量，并能对出行量的各种交通方式占比等特征进行分析。</w:t>
      </w:r>
      <w:r/>
    </w:p>
    <w:p>
      <w:pPr>
        <w:pStyle w:val="970"/>
      </w:pPr>
      <w:r/>
      <w:bookmarkStart w:id="176" w:name="_Toc177597917"/>
      <w:r>
        <w:rPr>
          <w:rFonts w:hint="eastAsia"/>
        </w:rPr>
        <w:t xml:space="preserve">公交运营基础数据采集</w:t>
      </w:r>
      <w:bookmarkEnd w:id="176"/>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包括：公交线网基础数据采集、公交运营基础数据采集、公交刷卡数据采集等。</w:t>
      </w:r>
      <w:r/>
    </w:p>
    <w:p>
      <w:pPr>
        <w:pStyle w:val="970"/>
      </w:pPr>
      <w:r/>
      <w:bookmarkStart w:id="177" w:name="_Toc177597918"/>
      <w:r>
        <w:rPr>
          <w:rFonts w:hint="eastAsia"/>
        </w:rPr>
        <w:t xml:space="preserve">公交运营数据主题库建设</w:t>
      </w:r>
      <w:bookmarkEnd w:id="177"/>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包括：公交日常运营数据主题库建设、公交客流数据主题库建设等。</w:t>
      </w:r>
      <w:r/>
    </w:p>
    <w:p>
      <w:pPr>
        <w:pStyle w:val="970"/>
      </w:pPr>
      <w:r/>
      <w:bookmarkStart w:id="178" w:name="_Toc177597919"/>
      <w:r>
        <w:rPr>
          <w:rFonts w:hint="eastAsia"/>
        </w:rPr>
        <w:t xml:space="preserve">多源数据汇聚与标准化</w:t>
      </w:r>
      <w:bookmarkEnd w:id="178"/>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包括：公交公司数据汇聚与标准化、互联网出行数据标准化、公安交警数据汇聚与标准化等。</w:t>
      </w:r>
      <w:r/>
    </w:p>
    <w:p>
      <w:pPr>
        <w:pStyle w:val="970"/>
      </w:pPr>
      <w:r/>
      <w:bookmarkStart w:id="179" w:name="_Toc177597920"/>
      <w:r>
        <w:rPr>
          <w:rFonts w:hint="eastAsia"/>
        </w:rPr>
        <w:t xml:space="preserve">多源数据融合与OD还原算法</w:t>
      </w:r>
      <w:bookmarkEnd w:id="179"/>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包括：统一时空化算法、OD反推算法、多源出行数据reID、OD网格化算法、分方式全量出行OD还原算法等。</w:t>
      </w:r>
      <w:r/>
    </w:p>
    <w:p>
      <w:pPr>
        <w:pStyle w:val="970"/>
      </w:pPr>
      <w:r/>
      <w:bookmarkStart w:id="180" w:name="_Toc177597921"/>
      <w:r>
        <w:rPr>
          <w:rFonts w:hint="eastAsia"/>
        </w:rPr>
        <w:t xml:space="preserve">公交客流与运营分析</w:t>
      </w:r>
      <w:bookmarkEnd w:id="180"/>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包括：线网指标分析、站点客流分析、线路分析等。</w:t>
      </w:r>
      <w:r/>
    </w:p>
    <w:p>
      <w:pPr>
        <w:pStyle w:val="970"/>
      </w:pPr>
      <w:r/>
      <w:bookmarkStart w:id="181" w:name="_Toc177597922"/>
      <w:r>
        <w:rPr>
          <w:rFonts w:hint="eastAsia"/>
        </w:rPr>
        <w:t xml:space="preserve">OD分析与可视化</w:t>
      </w:r>
      <w:bookmarkEnd w:id="181"/>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包括：全量OD可视化、分交通方式OD分布、热门OD对分析、任意交通小区间OD特征分析等。</w:t>
      </w:r>
      <w:r/>
    </w:p>
    <w:p>
      <w:pPr>
        <w:pStyle w:val="970"/>
      </w:pPr>
      <w:r/>
      <w:bookmarkStart w:id="182" w:name="_Toc177597923"/>
      <w:r>
        <w:rPr>
          <w:rFonts w:hint="eastAsia"/>
        </w:rPr>
        <w:t xml:space="preserve">公交运营优化全过程咨询服务</w:t>
      </w:r>
      <w:bookmarkEnd w:id="182"/>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针对线网运营优化方案的生成、设计，实施条件调研、意见征询、专业报告编撰等全过程咨询服务，以完成优化方案的落地。包括：公交线路运营效率与效益评估、公交获客辅助规划、线路规划方案仿真评估等。</w:t>
      </w:r>
      <w:r/>
    </w:p>
    <w:p>
      <w:pPr>
        <w:pStyle w:val="1113"/>
        <w:ind w:firstLine="420"/>
        <w:spacing w:line="360" w:lineRule="auto"/>
        <w:rPr>
          <w:rFonts w:ascii="宋体" w:hAnsi="宋体" w:eastAsia="宋体" w:cs="宋体"/>
          <w:sz w:val="21"/>
          <w:szCs w:val="21"/>
          <w:lang w:val="en-US"/>
        </w:rPr>
      </w:pPr>
      <w:r>
        <w:rPr>
          <w:rFonts w:ascii="宋体" w:hAnsi="宋体" w:eastAsia="宋体" w:cs="宋体"/>
          <w:sz w:val="21"/>
          <w:szCs w:val="21"/>
          <w:lang w:val="en-US"/>
        </w:rPr>
      </w:r>
      <w:r/>
    </w:p>
    <w:p>
      <w:pPr>
        <w:pStyle w:val="968"/>
        <w:rPr>
          <w:lang w:eastAsia="zh-Hans"/>
        </w:rPr>
      </w:pPr>
      <w:r/>
      <w:bookmarkStart w:id="183" w:name="_Toc177631313"/>
      <w:r/>
      <w:bookmarkStart w:id="184" w:name="_Toc9919"/>
      <w:r>
        <w:rPr>
          <w:rFonts w:hint="eastAsia"/>
          <w:lang w:eastAsia="zh-Hans"/>
        </w:rPr>
        <w:t xml:space="preserve">交通态势及优化平台</w:t>
      </w:r>
      <w:bookmarkEnd w:id="183"/>
      <w:r/>
      <w:bookmarkEnd w:id="184"/>
      <w:r/>
      <w:r/>
    </w:p>
    <w:p>
      <w:pPr>
        <w:pStyle w:val="969"/>
      </w:pPr>
      <w:r>
        <w:rPr>
          <w:rFonts w:hint="eastAsia"/>
        </w:rPr>
        <w:t xml:space="preserve">系统功能</w:t>
      </w:r>
      <w:r/>
    </w:p>
    <w:p>
      <w:pPr>
        <w:pStyle w:val="970"/>
      </w:pPr>
      <w:r/>
      <w:bookmarkStart w:id="185" w:name="_Toc177631314"/>
      <w:r>
        <w:rPr>
          <w:rFonts w:hint="eastAsia"/>
        </w:rPr>
        <w:t xml:space="preserve">基础数据采集</w:t>
      </w:r>
      <w:bookmarkEnd w:id="185"/>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包括：路网几何参数精细化测量、路口无人机高点数据采集、外场感知流量数据验证和校准、路口流量动态补齐、信号配时方案核对及标准转换、信号配时方案路口调研、路口交通问题采集、干线基础信息采集、干线交通流数据采集等。</w:t>
      </w:r>
      <w:r/>
    </w:p>
    <w:p>
      <w:pPr>
        <w:pStyle w:val="970"/>
      </w:pPr>
      <w:r/>
      <w:bookmarkStart w:id="186" w:name="_Toc177631315"/>
      <w:r>
        <w:rPr>
          <w:rFonts w:hint="eastAsia"/>
        </w:rPr>
        <w:t xml:space="preserve">路网主题数据库建设</w:t>
      </w:r>
      <w:bookmarkEnd w:id="186"/>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包括：路网几何静态要素主题库、信号配时主题库、路口动态流量数据建库、干线几何静态模型建模建库、干线动态数据建模建库等。</w:t>
      </w:r>
      <w:r/>
    </w:p>
    <w:p>
      <w:pPr>
        <w:pStyle w:val="970"/>
      </w:pPr>
      <w:r/>
      <w:bookmarkStart w:id="187" w:name="_Toc177631316"/>
      <w:r>
        <w:rPr>
          <w:rFonts w:hint="eastAsia"/>
        </w:rPr>
        <w:t xml:space="preserve">数据接入模块</w:t>
      </w:r>
      <w:bookmarkEnd w:id="187"/>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包括：地图路网数据接入、互联网地图交通指标数据接入、外场交通感知设备数据接入、移动交通感知数据接入、交通控制数据接入、交通事件数据接入等。</w:t>
      </w:r>
      <w:r/>
    </w:p>
    <w:p>
      <w:pPr>
        <w:pStyle w:val="970"/>
      </w:pPr>
      <w:r/>
      <w:bookmarkStart w:id="188" w:name="_Toc177631317"/>
      <w:r>
        <w:rPr>
          <w:rFonts w:hint="eastAsia"/>
        </w:rPr>
        <w:t xml:space="preserve">系统概览及查询模块</w:t>
      </w:r>
      <w:bookmarkEnd w:id="188"/>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包括：</w:t>
      </w:r>
      <w:r>
        <w:rPr>
          <w:rFonts w:hint="eastAsia" w:ascii="宋体" w:hAnsi="宋体" w:eastAsia="宋体" w:cs="宋体"/>
          <w:sz w:val="21"/>
          <w:szCs w:val="21"/>
        </w:rPr>
        <w:t xml:space="preserve">区域地图预览、路口查询系统、干线查询系统、实时路况信息系统、路口统计分析、路口几何预览、干线统计分析、区域交通统计分析</w:t>
      </w:r>
      <w:r>
        <w:rPr>
          <w:rFonts w:hint="eastAsia" w:ascii="宋体" w:hAnsi="宋体" w:eastAsia="宋体" w:cs="宋体"/>
          <w:sz w:val="21"/>
          <w:szCs w:val="21"/>
          <w:lang w:val="en-US"/>
        </w:rPr>
        <w:t xml:space="preserve">等。</w:t>
      </w:r>
      <w:r/>
    </w:p>
    <w:p>
      <w:pPr>
        <w:pStyle w:val="970"/>
      </w:pPr>
      <w:r/>
      <w:bookmarkStart w:id="189" w:name="_Toc177631318"/>
      <w:r>
        <w:rPr>
          <w:rFonts w:hint="eastAsia"/>
        </w:rPr>
        <w:t xml:space="preserve">路网要素编辑及管理</w:t>
      </w:r>
      <w:bookmarkEnd w:id="189"/>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包括：路口方位参数编辑及标定、道路红线建模及参数编辑、机动车道几何对象建模及及参数编辑、中央分隔带几何对象建模及参数编辑、非机动车道几何对象建模及参数编辑、斑马线（人行横道）几何对象建模及参数编辑、路口展宽段几何对象建模及参数编辑查看、路口渠化岛几何对象建模及参数编辑、特殊车道处理及属性编辑、车道标线对象几何建模及编辑、路口几何版本管理、交通流冲突点展示及分析、现场探勘记录录入等。</w:t>
      </w:r>
      <w:r/>
    </w:p>
    <w:p>
      <w:pPr>
        <w:pStyle w:val="970"/>
      </w:pPr>
      <w:r/>
      <w:bookmarkStart w:id="190" w:name="_Toc177631319"/>
      <w:r>
        <w:rPr>
          <w:rFonts w:hint="eastAsia"/>
        </w:rPr>
        <w:t xml:space="preserve">交通需求管理模块</w:t>
      </w:r>
      <w:bookmarkEnd w:id="190"/>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包括：机动车转向流量编辑及可视化、非机动车流量编辑及可视化、流量数据集合管理及数据查询、电警卡口转向流量数据分析及展示、雷视感知数据分析及展示、交通流量融合/补全及诊断分析、机动车和非机动车交通流可视化、信控最优时段划分、交通流量分析报告等。</w:t>
      </w:r>
      <w:r/>
    </w:p>
    <w:p>
      <w:pPr>
        <w:pStyle w:val="970"/>
      </w:pPr>
      <w:r/>
      <w:bookmarkStart w:id="191" w:name="_Toc177631320"/>
      <w:r>
        <w:rPr>
          <w:rFonts w:hint="eastAsia"/>
        </w:rPr>
        <w:t xml:space="preserve">信号配时设计及管理模块</w:t>
      </w:r>
      <w:bookmarkEnd w:id="191"/>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包括：车道灯组设置、相位设计及管理、环栅结构设计及配时方案管理、阶段式信号配时方案设计及管理、配时方案模拟演示等。</w:t>
      </w:r>
      <w:r/>
    </w:p>
    <w:p>
      <w:pPr>
        <w:pStyle w:val="970"/>
      </w:pPr>
      <w:r/>
      <w:bookmarkStart w:id="192" w:name="_Toc177631321"/>
      <w:r>
        <w:rPr>
          <w:rFonts w:hint="eastAsia"/>
        </w:rPr>
        <w:t xml:space="preserve">交通问题诊断模块</w:t>
      </w:r>
      <w:bookmarkEnd w:id="192"/>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包括：路口模型标定、渠化设计问题诊断、信号配时问题诊断、慢行交通系统问题诊断、一般交通安全问题诊断、交通秩序问题诊断等。</w:t>
      </w:r>
      <w:r/>
    </w:p>
    <w:p>
      <w:pPr>
        <w:pStyle w:val="970"/>
      </w:pPr>
      <w:r/>
      <w:bookmarkStart w:id="193" w:name="_Toc177631322"/>
      <w:r>
        <w:rPr>
          <w:rFonts w:hint="eastAsia"/>
        </w:rPr>
        <w:t xml:space="preserve">交通优化模块</w:t>
      </w:r>
      <w:bookmarkEnd w:id="193"/>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包括：通行能力分析、渠化空间分析、信号配时方案优化、交通组织优化、优化过程推演、优化指标可视化、分析报告生成等。</w:t>
      </w:r>
      <w:r/>
    </w:p>
    <w:p>
      <w:pPr>
        <w:pStyle w:val="970"/>
      </w:pPr>
      <w:r/>
      <w:bookmarkStart w:id="194" w:name="_Toc177631323"/>
      <w:r>
        <w:rPr>
          <w:rFonts w:hint="eastAsia"/>
        </w:rPr>
        <w:t xml:space="preserve">干线协调优化模块</w:t>
      </w:r>
      <w:bookmarkEnd w:id="194"/>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包括：干线协调优化、干线创建/查询及管理、干线信号协调、干线信号自动优化、干线指标统计分析、干线协调效果评价等。</w:t>
      </w:r>
      <w:r/>
    </w:p>
    <w:p>
      <w:pPr>
        <w:pStyle w:val="970"/>
      </w:pPr>
      <w:r/>
      <w:bookmarkStart w:id="195" w:name="_Toc177631324"/>
      <w:r>
        <w:rPr>
          <w:rFonts w:hint="eastAsia"/>
        </w:rPr>
        <w:t xml:space="preserve">交通优化算法仓库</w:t>
      </w:r>
      <w:bookmarkEnd w:id="195"/>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包括：信号配时时段优化算法、交通问题诊断算法、路口周期及相位优化算法、路口渠化改善推荐算法、干线协调优化算法、饱和流量自动标定算法等。</w:t>
      </w:r>
      <w:r/>
    </w:p>
    <w:p>
      <w:pPr>
        <w:pStyle w:val="970"/>
      </w:pPr>
      <w:r/>
      <w:bookmarkStart w:id="196" w:name="_Toc177631325"/>
      <w:r>
        <w:rPr>
          <w:rFonts w:hint="eastAsia"/>
        </w:rPr>
        <w:t xml:space="preserve">方案比选模块</w:t>
      </w:r>
      <w:bookmarkEnd w:id="196"/>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包括：提升方案构造、交通方案分析、交通方案比选、方案比选报告等。</w:t>
      </w:r>
      <w:r/>
    </w:p>
    <w:p>
      <w:pPr>
        <w:pStyle w:val="970"/>
      </w:pPr>
      <w:r/>
      <w:bookmarkStart w:id="197" w:name="_Toc177631326"/>
      <w:r>
        <w:rPr>
          <w:rFonts w:hint="eastAsia"/>
        </w:rPr>
        <w:t xml:space="preserve">系统运行管理模块</w:t>
      </w:r>
      <w:bookmarkEnd w:id="197"/>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包括：用户权限管理、角色管理、功能权限管理、日志管理等。</w:t>
      </w:r>
      <w:r/>
    </w:p>
    <w:p>
      <w:pPr>
        <w:pStyle w:val="970"/>
      </w:pPr>
      <w:r/>
      <w:bookmarkStart w:id="198" w:name="_Toc177631327"/>
      <w:r>
        <w:rPr>
          <w:rFonts w:hint="eastAsia"/>
        </w:rPr>
        <w:t xml:space="preserve">交通精细化治理决策专题报告服务</w:t>
      </w:r>
      <w:bookmarkEnd w:id="198"/>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包括：宏观交通运行指标数据解读、重点路口外场数据采集解析、线上线下数据综合研判、交通运行综合研判分析、本阶段交通治理建议汇总、下阶段交通态势分析及防范、报告生成与输出等。</w:t>
      </w:r>
      <w:r/>
    </w:p>
    <w:p>
      <w:pPr>
        <w:pStyle w:val="1113"/>
        <w:ind w:firstLine="420"/>
        <w:spacing w:line="360" w:lineRule="auto"/>
        <w:rPr>
          <w:rFonts w:ascii="宋体" w:hAnsi="宋体" w:eastAsia="宋体" w:cs="宋体"/>
          <w:sz w:val="21"/>
          <w:szCs w:val="21"/>
          <w:lang w:val="en-US"/>
        </w:rPr>
      </w:pPr>
      <w:r>
        <w:rPr>
          <w:rFonts w:ascii="宋体" w:hAnsi="宋体" w:eastAsia="宋体" w:cs="宋体"/>
          <w:sz w:val="21"/>
          <w:szCs w:val="21"/>
          <w:lang w:val="en-US"/>
        </w:rPr>
      </w:r>
      <w:r/>
    </w:p>
    <w:p>
      <w:pPr>
        <w:pStyle w:val="968"/>
        <w:rPr>
          <w:lang w:eastAsia="zh-Hans"/>
        </w:rPr>
      </w:pPr>
      <w:r>
        <w:rPr>
          <w:rFonts w:hint="eastAsia"/>
          <w:lang w:eastAsia="zh-Hans"/>
        </w:rPr>
        <w:t xml:space="preserve">城市运营管理中心平台改造</w:t>
      </w:r>
      <w:r/>
    </w:p>
    <w:p>
      <w:pPr>
        <w:pStyle w:val="969"/>
      </w:pPr>
      <w:r>
        <w:rPr>
          <w:rFonts w:hint="eastAsia"/>
        </w:rPr>
        <w:t xml:space="preserve">系统概述</w:t>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在市委市政府的统筹下，太仓市建立了“大数据中心”和“综指中心”的双中心一体化机制，指导太仓市数字驾驶舱建设，建设“1+9+N”的“市-镇(街道)-部门”的三层组织架构，涵盖全市范围的数字驾驶舱。本次建设的主要内容紧密贴合太仓发展实际，以服务企业、造福民生为核心导向，深度贯彻优化营商服务环境理念，全力构建一个高效、便捷、智能的智慧服务平台。平台的总体设计思路是“12345”架构，分别是1图总览、2本清账、3个门户、4种服务、5类画像，为不同用户群体提供精准、高效的服务，全面、系统地优化营商环境。</w:t>
      </w:r>
      <w:r/>
    </w:p>
    <w:p>
      <w:pPr>
        <w:pStyle w:val="969"/>
      </w:pPr>
      <w:r>
        <w:rPr>
          <w:rFonts w:hint="eastAsia"/>
        </w:rPr>
        <w:t xml:space="preserve">系统功能</w:t>
      </w:r>
      <w:r/>
    </w:p>
    <w:p>
      <w:pPr>
        <w:pStyle w:val="970"/>
      </w:pPr>
      <w:r>
        <w:rPr>
          <w:rFonts w:hint="eastAsia"/>
        </w:rPr>
        <w:t xml:space="preserve">统一营商门户</w:t>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1）面向企业群众的服务门户</w:t>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包括：基于大模型的搜索、平台运营数据概览、政策超市（政策清单、政策申报、政策直兑、申报指南）、服务超市（中介服务机构清单、中介服务项目清单、中介服务事项清单、中介服务智能比选、中介机构智能推荐、中介机构服务评价）、远程视频办（人才申报、个人政策申报、企业政策申报、远程咨询与指导）、用户空间（身份切换、历史申报、复用申报、补齐补正、进度跟踪、申报评价、数据授权、数据使用记录、画像补全、年度兑付报表、我的收藏）等。</w:t>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2）面向部门人员的协作门户</w:t>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包括：工作台、基于大模型的数据分析助手（政策分析、办理效能分析、办件进度分析、数据综合查询、办件退回分析、个人服务分析、人才服务分析、企业服务分析、产业服务分析、中介服务分析、视频办服务分析、政企交互分析、金融产品分析）等。</w:t>
      </w:r>
      <w:r/>
    </w:p>
    <w:p>
      <w:pPr>
        <w:pStyle w:val="1113"/>
        <w:ind w:firstLine="420"/>
        <w:spacing w:line="360" w:lineRule="auto"/>
        <w:rPr>
          <w:rFonts w:ascii="宋体" w:hAnsi="宋体" w:eastAsia="宋体" w:cs="宋体"/>
          <w:sz w:val="21"/>
          <w:szCs w:val="21"/>
          <w:lang w:val="en-US"/>
        </w:rPr>
      </w:pPr>
      <w:r/>
      <w:bookmarkStart w:id="199" w:name="_Toc176516325"/>
      <w:r>
        <w:rPr>
          <w:rFonts w:hint="eastAsia" w:ascii="宋体" w:hAnsi="宋体" w:eastAsia="宋体" w:cs="宋体"/>
          <w:sz w:val="21"/>
          <w:szCs w:val="21"/>
          <w:lang w:val="en-US"/>
        </w:rPr>
        <w:t xml:space="preserve">3）移动端服务门户</w:t>
      </w:r>
      <w:bookmarkEnd w:id="199"/>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包括：门户设计、政策专题设计、个人专题设计、人才专题设计、企业专题设计、产业专题设计、服务机构专题设计、</w:t>
      </w:r>
      <w:r>
        <w:rPr>
          <w:rFonts w:hint="eastAsia" w:ascii="宋体" w:hAnsi="宋体" w:eastAsia="宋体" w:cs="宋体"/>
          <w:sz w:val="21"/>
          <w:szCs w:val="21"/>
        </w:rPr>
        <w:t xml:space="preserve">视频办服务设计、</w:t>
      </w:r>
      <w:r>
        <w:rPr>
          <w:rFonts w:hint="eastAsia" w:ascii="宋体" w:hAnsi="宋体" w:eastAsia="宋体" w:cs="宋体"/>
          <w:sz w:val="21"/>
          <w:szCs w:val="21"/>
          <w:lang w:val="en-US"/>
        </w:rPr>
        <w:t xml:space="preserve">用户空间设计等。</w:t>
      </w:r>
      <w:r/>
    </w:p>
    <w:p>
      <w:pPr>
        <w:pStyle w:val="970"/>
      </w:pPr>
      <w:r>
        <w:rPr>
          <w:rFonts w:hint="eastAsia"/>
        </w:rPr>
        <w:t xml:space="preserve">智享民生平台</w:t>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1）惠民政策匹配</w:t>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通过分析用户的基本信息，构建个性化的用户画像，结合全面的政策库和智能匹配算法，将匹配到的适用于用户的政策展现给用户，包括政策的详细说明、申请条件、办理流程等。</w:t>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2）“反向办”服务</w:t>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展示用户已经自动享受到的政策或者服务。通过智能分析用户的资格和条件，自动匹配并列出用户已享受的政策及服务。可一键点击查看每项服务的具体内容和享受条件，确保透明度和用户满意度。</w:t>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3）便民服务整合</w:t>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将社保、医保、公积金、公共事业缴费等各类便民服务统一集成到一个用户界面。通过提供一个简洁直观的界面，使用户能够轻松访问和管理与日常生活密切相关的各种服务。</w:t>
      </w:r>
      <w:r/>
    </w:p>
    <w:p>
      <w:pPr>
        <w:pStyle w:val="970"/>
      </w:pPr>
      <w:r>
        <w:rPr>
          <w:rFonts w:hint="eastAsia"/>
        </w:rPr>
        <w:t xml:space="preserve">智汇英才平台</w:t>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1）人才政策匹配</w:t>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人才政策查询：提供各级政府的最新人才政策查询，包括但不限于人才引进、培养、激励、保障等方面的政策。提供深度解读服务，帮助用户了解政策细节和适用范围。</w:t>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人才政策智能匹配：根据用户（人才或企业）的实际情况，智能推荐最符合其需求的人才政策，提高政策利用效率和精准度。</w:t>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2）人才企业关联</w:t>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建立企业需求与人才库之间的直接联系，促进双方高效对接。搭建企业与人才之间的合作桥梁，项目合作、技术咨询、联合研发等多种合作模式。</w:t>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3）人才企业地图</w:t>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在地图上标注企业和人才的地理位置，分析不同区域的人才密度、行业分布、企业类型等，为区域人才政策制定和人才引进提供数据。通过热力图直观展示人才流动趋势和热点区域，帮助企业和人才把握市场动态。</w:t>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4）人才服务整合</w:t>
      </w:r>
      <w:r/>
    </w:p>
    <w:p>
      <w:pPr>
        <w:pStyle w:val="1113"/>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将原本分散于多个部门、多个系统的人才服务事项全面整合至一个门户。用户只需登录该平台，即可根据个人或企业的实际需求，在一个页面上轻松完成所有相关服务的申报与办理，无需再奔波于不同部门之间，提升办事便利度。</w:t>
      </w:r>
      <w:r/>
    </w:p>
    <w:p>
      <w:pPr>
        <w:pStyle w:val="970"/>
        <w:spacing w:line="372" w:lineRule="auto"/>
      </w:pPr>
      <w:r>
        <w:rPr>
          <w:rFonts w:hint="eastAsia"/>
        </w:rPr>
        <w:t xml:space="preserve">智助企业平台</w:t>
      </w:r>
      <w:r/>
    </w:p>
    <w:p>
      <w:pPr>
        <w:pStyle w:val="1113"/>
        <w:ind w:firstLine="420"/>
        <w:spacing w:line="372" w:lineRule="auto"/>
        <w:rPr>
          <w:rFonts w:ascii="宋体" w:hAnsi="宋体" w:eastAsia="宋体" w:cs="宋体"/>
          <w:sz w:val="21"/>
          <w:szCs w:val="21"/>
          <w:lang w:val="en-US"/>
        </w:rPr>
      </w:pPr>
      <w:r>
        <w:rPr>
          <w:rFonts w:hint="eastAsia" w:ascii="宋体" w:hAnsi="宋体" w:eastAsia="宋体" w:cs="宋体"/>
          <w:sz w:val="21"/>
          <w:szCs w:val="21"/>
          <w:lang w:val="en-US"/>
        </w:rPr>
        <w:t xml:space="preserve">1）助企政策匹配</w:t>
      </w:r>
      <w:r/>
    </w:p>
    <w:p>
      <w:pPr>
        <w:pStyle w:val="1066"/>
        <w:ind w:firstLine="420"/>
        <w:spacing w:line="372" w:lineRule="auto"/>
        <w:rPr>
          <w:rFonts w:hAnsi="宋体" w:cs="宋体"/>
          <w:sz w:val="21"/>
          <w:szCs w:val="21"/>
        </w:rPr>
      </w:pPr>
      <w:r>
        <w:rPr>
          <w:rFonts w:hint="eastAsia" w:hAnsi="宋体" w:cs="宋体"/>
          <w:sz w:val="21"/>
          <w:szCs w:val="21"/>
        </w:rPr>
        <w:t xml:space="preserve">通过分析企业的基本信息，构建个性化的企业画像，结合全面的政策库和智能匹配算法，将匹配到的适用于企业的政策以列表或个性化的形式展现给企业。</w:t>
      </w:r>
      <w:r/>
    </w:p>
    <w:p>
      <w:pPr>
        <w:pStyle w:val="1066"/>
        <w:ind w:firstLine="420"/>
        <w:spacing w:line="372" w:lineRule="auto"/>
        <w:rPr>
          <w:rFonts w:hAnsi="宋体" w:cs="宋体"/>
          <w:sz w:val="21"/>
          <w:szCs w:val="21"/>
        </w:rPr>
      </w:pPr>
      <w:r>
        <w:rPr>
          <w:rFonts w:hint="eastAsia" w:hAnsi="宋体" w:cs="宋体"/>
          <w:sz w:val="21"/>
          <w:szCs w:val="21"/>
        </w:rPr>
        <w:t xml:space="preserve">2）金融产品服务</w:t>
      </w:r>
      <w:r/>
    </w:p>
    <w:p>
      <w:pPr>
        <w:pStyle w:val="1066"/>
        <w:ind w:firstLine="420"/>
        <w:spacing w:line="372" w:lineRule="auto"/>
        <w:rPr>
          <w:rFonts w:hAnsi="宋体" w:cs="宋体"/>
          <w:sz w:val="21"/>
          <w:szCs w:val="21"/>
        </w:rPr>
      </w:pPr>
      <w:r>
        <w:rPr>
          <w:rFonts w:hint="eastAsia" w:hAnsi="宋体" w:cs="宋体"/>
          <w:sz w:val="21"/>
          <w:szCs w:val="21"/>
        </w:rPr>
        <w:t xml:space="preserve">包括：金融产品精准匹配、金融产品分类展示、金融产品资格审核、金融产品申请等。</w:t>
      </w:r>
      <w:r/>
    </w:p>
    <w:p>
      <w:pPr>
        <w:pStyle w:val="1066"/>
        <w:ind w:firstLine="420"/>
        <w:spacing w:line="372" w:lineRule="auto"/>
        <w:rPr>
          <w:rFonts w:hAnsi="宋体" w:cs="宋体"/>
          <w:sz w:val="21"/>
          <w:szCs w:val="21"/>
        </w:rPr>
      </w:pPr>
      <w:r>
        <w:rPr>
          <w:rFonts w:hint="eastAsia" w:hAnsi="宋体" w:cs="宋体"/>
          <w:sz w:val="21"/>
          <w:szCs w:val="21"/>
        </w:rPr>
        <w:t xml:space="preserve">3）企业档案系统</w:t>
      </w:r>
      <w:r/>
    </w:p>
    <w:p>
      <w:pPr>
        <w:pStyle w:val="1066"/>
        <w:ind w:firstLine="420"/>
        <w:spacing w:line="372" w:lineRule="auto"/>
        <w:rPr>
          <w:rFonts w:hAnsi="宋体" w:cs="宋体"/>
          <w:sz w:val="21"/>
          <w:szCs w:val="21"/>
        </w:rPr>
      </w:pPr>
      <w:r>
        <w:rPr>
          <w:rFonts w:hint="eastAsia" w:hAnsi="宋体" w:cs="宋体"/>
          <w:sz w:val="21"/>
          <w:szCs w:val="21"/>
        </w:rPr>
        <w:t xml:space="preserve">为企业建立“一企一档”的动态数字化档案，记录核心信息。通过与政府部门和金融机构的数据对接，实现信息的实时同步与更新，确保档案的准确性和完整性。包括：企业而基本信息管理、企业自主管理等。</w:t>
      </w:r>
      <w:r/>
    </w:p>
    <w:p>
      <w:pPr>
        <w:pStyle w:val="1066"/>
        <w:ind w:firstLine="420"/>
        <w:spacing w:line="372" w:lineRule="auto"/>
        <w:rPr>
          <w:rFonts w:hAnsi="宋体" w:cs="宋体"/>
          <w:sz w:val="21"/>
          <w:szCs w:val="21"/>
        </w:rPr>
      </w:pPr>
      <w:r>
        <w:rPr>
          <w:rFonts w:hint="eastAsia" w:hAnsi="宋体" w:cs="宋体"/>
          <w:sz w:val="21"/>
          <w:szCs w:val="21"/>
        </w:rPr>
        <w:t xml:space="preserve">4）政企交互服务</w:t>
      </w:r>
      <w:r/>
    </w:p>
    <w:p>
      <w:pPr>
        <w:pStyle w:val="1066"/>
        <w:ind w:firstLine="420"/>
        <w:spacing w:line="372" w:lineRule="auto"/>
        <w:rPr>
          <w:rFonts w:hAnsi="宋体" w:cs="宋体"/>
          <w:sz w:val="21"/>
          <w:szCs w:val="21"/>
        </w:rPr>
      </w:pPr>
      <w:r>
        <w:rPr>
          <w:rFonts w:hint="eastAsia" w:hAnsi="宋体" w:cs="宋体"/>
          <w:sz w:val="21"/>
          <w:szCs w:val="21"/>
        </w:rPr>
        <w:t xml:space="preserve">包括：企业咨询、问题反馈、投诉建议、在线提交及实时跟踪、企业意见征集、满意度调查、交互记录档案化管理、反馈结构和评分等。</w:t>
      </w:r>
      <w:r/>
    </w:p>
    <w:p>
      <w:pPr>
        <w:pStyle w:val="1066"/>
        <w:ind w:firstLine="420"/>
        <w:spacing w:line="372" w:lineRule="auto"/>
        <w:rPr>
          <w:rFonts w:hAnsi="宋体" w:cs="宋体"/>
          <w:sz w:val="21"/>
          <w:szCs w:val="21"/>
        </w:rPr>
      </w:pPr>
      <w:r>
        <w:rPr>
          <w:rFonts w:hint="eastAsia" w:hAnsi="宋体" w:cs="宋体"/>
          <w:sz w:val="21"/>
          <w:szCs w:val="21"/>
        </w:rPr>
        <w:t xml:space="preserve">5）基础配套服务</w:t>
      </w:r>
      <w:r/>
    </w:p>
    <w:p>
      <w:pPr>
        <w:pStyle w:val="1066"/>
        <w:ind w:firstLine="420"/>
        <w:spacing w:line="372" w:lineRule="auto"/>
        <w:rPr>
          <w:rFonts w:hAnsi="宋体" w:cs="宋体"/>
          <w:sz w:val="21"/>
          <w:szCs w:val="21"/>
        </w:rPr>
      </w:pPr>
      <w:r>
        <w:rPr>
          <w:rFonts w:hint="eastAsia" w:hAnsi="宋体" w:cs="宋体"/>
          <w:sz w:val="21"/>
          <w:szCs w:val="21"/>
        </w:rPr>
        <w:t xml:space="preserve">包括：公租房服务、人才公寓服务、人才招聘服务等。</w:t>
      </w:r>
      <w:r/>
    </w:p>
    <w:p>
      <w:pPr>
        <w:pStyle w:val="970"/>
        <w:spacing w:line="372" w:lineRule="auto"/>
      </w:pPr>
      <w:r>
        <w:rPr>
          <w:rFonts w:hint="eastAsia"/>
        </w:rPr>
        <w:t xml:space="preserve">智链产业平台</w:t>
      </w:r>
      <w:r/>
    </w:p>
    <w:p>
      <w:pPr>
        <w:pStyle w:val="1066"/>
        <w:ind w:firstLine="420"/>
        <w:spacing w:line="372" w:lineRule="auto"/>
        <w:rPr>
          <w:rFonts w:hAnsi="宋体" w:cs="宋体"/>
          <w:sz w:val="21"/>
          <w:szCs w:val="21"/>
        </w:rPr>
      </w:pPr>
      <w:r>
        <w:rPr>
          <w:rFonts w:hint="eastAsia" w:hAnsi="宋体" w:cs="宋体"/>
          <w:sz w:val="21"/>
          <w:szCs w:val="21"/>
        </w:rPr>
        <w:t xml:space="preserve">1）产业链招商</w:t>
      </w:r>
      <w:r/>
    </w:p>
    <w:p>
      <w:pPr>
        <w:pStyle w:val="1066"/>
        <w:ind w:firstLine="420"/>
        <w:spacing w:line="372" w:lineRule="auto"/>
        <w:rPr>
          <w:rFonts w:hAnsi="宋体" w:cs="宋体"/>
          <w:sz w:val="21"/>
          <w:szCs w:val="21"/>
        </w:rPr>
      </w:pPr>
      <w:r>
        <w:rPr>
          <w:rFonts w:hint="eastAsia" w:hAnsi="宋体" w:cs="宋体"/>
          <w:sz w:val="21"/>
          <w:szCs w:val="21"/>
        </w:rPr>
        <w:t xml:space="preserve">包括：全市板块核心产业、产业链招商政策指南、全市板块招商联络信息、全市“3+3”产业可视化统计分析等。</w:t>
      </w:r>
      <w:r/>
    </w:p>
    <w:p>
      <w:pPr>
        <w:pStyle w:val="1066"/>
        <w:ind w:firstLine="420"/>
        <w:spacing w:line="372" w:lineRule="auto"/>
        <w:rPr>
          <w:rFonts w:hAnsi="宋体" w:cs="宋体"/>
          <w:sz w:val="21"/>
          <w:szCs w:val="21"/>
        </w:rPr>
      </w:pPr>
      <w:r>
        <w:rPr>
          <w:rFonts w:hint="eastAsia" w:hAnsi="宋体" w:cs="宋体"/>
          <w:sz w:val="21"/>
          <w:szCs w:val="21"/>
        </w:rPr>
        <w:t xml:space="preserve">2）区域发展动态</w:t>
      </w:r>
      <w:r/>
    </w:p>
    <w:p>
      <w:pPr>
        <w:pStyle w:val="1066"/>
        <w:ind w:firstLine="420"/>
        <w:spacing w:line="372" w:lineRule="auto"/>
        <w:rPr>
          <w:rFonts w:hAnsi="宋体" w:cs="宋体"/>
          <w:sz w:val="21"/>
          <w:szCs w:val="21"/>
        </w:rPr>
      </w:pPr>
      <w:r>
        <w:rPr>
          <w:rFonts w:hint="eastAsia" w:hAnsi="宋体" w:cs="宋体"/>
          <w:sz w:val="21"/>
          <w:szCs w:val="21"/>
        </w:rPr>
        <w:t xml:space="preserve">包括：全市招商公告、全市各区域发展现状统计分析报表等。</w:t>
      </w:r>
      <w:r/>
    </w:p>
    <w:p>
      <w:pPr>
        <w:pStyle w:val="1066"/>
        <w:ind w:firstLine="420"/>
        <w:spacing w:line="372" w:lineRule="auto"/>
        <w:rPr>
          <w:rFonts w:hAnsi="宋体" w:cs="宋体"/>
          <w:sz w:val="21"/>
          <w:szCs w:val="21"/>
        </w:rPr>
      </w:pPr>
      <w:r>
        <w:rPr>
          <w:rFonts w:hint="eastAsia" w:hAnsi="宋体" w:cs="宋体"/>
          <w:sz w:val="21"/>
          <w:szCs w:val="21"/>
        </w:rPr>
        <w:t xml:space="preserve">3）产业结构展示</w:t>
      </w:r>
      <w:r/>
    </w:p>
    <w:p>
      <w:pPr>
        <w:pStyle w:val="1066"/>
        <w:ind w:firstLine="420"/>
        <w:spacing w:line="372" w:lineRule="auto"/>
        <w:rPr>
          <w:rFonts w:hAnsi="宋体" w:cs="宋体"/>
          <w:sz w:val="21"/>
          <w:szCs w:val="21"/>
        </w:rPr>
      </w:pPr>
      <w:r>
        <w:rPr>
          <w:rFonts w:hint="eastAsia" w:hAnsi="宋体" w:cs="宋体"/>
          <w:sz w:val="21"/>
          <w:szCs w:val="21"/>
        </w:rPr>
        <w:t xml:space="preserve">包括：产业结构图谱、图谱内各环节（详细描绘产业链的上、中、下游关系，理清产业链各环节之间的传导机制和价值关系，展示各环节如何相互依存、相互促进）、图谱环节内各企业（呈现图谱环节内涵盖的企业，标注图谱中具有较大的市场影响力、技术创新能力或资源整合能力的核心企业）、图谱内环节和企业标签等。</w:t>
      </w:r>
      <w:r/>
    </w:p>
    <w:p>
      <w:pPr>
        <w:pStyle w:val="1066"/>
        <w:ind w:firstLine="420"/>
        <w:spacing w:line="372" w:lineRule="auto"/>
        <w:rPr>
          <w:rFonts w:hAnsi="宋体" w:cs="宋体"/>
          <w:sz w:val="21"/>
          <w:szCs w:val="21"/>
        </w:rPr>
      </w:pPr>
      <w:r>
        <w:rPr>
          <w:rFonts w:hint="eastAsia" w:hAnsi="宋体" w:cs="宋体"/>
          <w:sz w:val="21"/>
          <w:szCs w:val="21"/>
        </w:rPr>
        <w:t xml:space="preserve">4）产业用地分布</w:t>
      </w:r>
      <w:r/>
    </w:p>
    <w:p>
      <w:pPr>
        <w:pStyle w:val="1066"/>
        <w:ind w:firstLine="420"/>
        <w:spacing w:line="372" w:lineRule="auto"/>
        <w:rPr>
          <w:rFonts w:hAnsi="宋体" w:cs="宋体"/>
          <w:sz w:val="21"/>
          <w:szCs w:val="21"/>
        </w:rPr>
      </w:pPr>
      <w:r>
        <w:rPr>
          <w:rFonts w:hint="eastAsia" w:hAnsi="宋体" w:cs="宋体"/>
          <w:sz w:val="21"/>
          <w:szCs w:val="21"/>
        </w:rPr>
        <w:t xml:space="preserve">包括：产业用地区域（对全市各板块产业用地进行全面梳理与规划，按照主导的产业类型进行精确分类）、产业用地周边交通（呈现产业用地内及周边的核心交通网络）、产业用地周边配置设施（呈现各产业用地内的核心企业及配套设施）等。</w:t>
      </w:r>
      <w:r/>
    </w:p>
    <w:p>
      <w:pPr>
        <w:pStyle w:val="1066"/>
        <w:ind w:firstLine="420"/>
        <w:spacing w:line="372" w:lineRule="auto"/>
        <w:rPr>
          <w:rFonts w:hAnsi="宋体" w:cs="宋体"/>
          <w:sz w:val="21"/>
          <w:szCs w:val="21"/>
        </w:rPr>
      </w:pPr>
      <w:r>
        <w:rPr>
          <w:rFonts w:hint="eastAsia" w:hAnsi="宋体" w:cs="宋体"/>
          <w:sz w:val="21"/>
          <w:szCs w:val="21"/>
        </w:rPr>
        <w:t xml:space="preserve">5）产业载体信息</w:t>
      </w:r>
      <w:r/>
    </w:p>
    <w:p>
      <w:pPr>
        <w:pStyle w:val="1066"/>
        <w:ind w:firstLine="420"/>
        <w:spacing w:line="372" w:lineRule="auto"/>
        <w:rPr>
          <w:rFonts w:hAnsi="宋体" w:cs="宋体"/>
          <w:sz w:val="21"/>
          <w:szCs w:val="21"/>
        </w:rPr>
      </w:pPr>
      <w:r>
        <w:rPr>
          <w:rFonts w:hint="eastAsia" w:hAnsi="宋体" w:cs="宋体"/>
          <w:sz w:val="21"/>
          <w:szCs w:val="21"/>
        </w:rPr>
        <w:t xml:space="preserve">包括：产业载体基本信息（罗列全市各板块的产业载体清单，构建全面、便捷的产业载体信息平台，为有意向入驻太仓的国内外企业提供精准对接服务）、产业载体入驻企业（汇总产业载</w:t>
      </w:r>
      <w:r>
        <w:rPr>
          <w:rFonts w:hint="eastAsia" w:hAnsi="宋体" w:cs="宋体"/>
          <w:sz w:val="21"/>
          <w:szCs w:val="21"/>
        </w:rPr>
        <w:t xml:space="preserve">体内入驻企业，展示每家企业的核心信息）、产业载体运营数据（呈现产业载体的全面运营概况，为寻求发展空间的企业提供了明确指引）、产业载体建设进度（持续监测产业载体的建设进展，通过绑定施工与竣工许可证信息，确保对每一个建设项目的全周期追踪）、产业载体租赁（针对当前拥有出租意向且尚存空余空间的产业载体，展示产业载体内剩余可出租的具体面积与户型，以便企业根据自身需求进行精准筛选）、产业载体现状可视化统计分析（采用数据可视化技术，对产业载体的现状进行全面而深入的统计分析，将复杂的运营数据转化为直观易懂的图表与图像）等。</w:t>
      </w:r>
      <w:r/>
    </w:p>
    <w:p>
      <w:pPr>
        <w:pStyle w:val="1066"/>
        <w:ind w:firstLine="420"/>
        <w:spacing w:line="372" w:lineRule="auto"/>
        <w:rPr>
          <w:rFonts w:hAnsi="宋体" w:cs="宋体"/>
          <w:sz w:val="21"/>
          <w:szCs w:val="21"/>
        </w:rPr>
      </w:pPr>
      <w:r>
        <w:rPr>
          <w:rFonts w:hint="eastAsia" w:hAnsi="宋体" w:cs="宋体"/>
          <w:sz w:val="21"/>
          <w:szCs w:val="21"/>
        </w:rPr>
        <w:t xml:space="preserve">6）企业投资合作</w:t>
      </w:r>
      <w:r/>
    </w:p>
    <w:p>
      <w:pPr>
        <w:pStyle w:val="1066"/>
        <w:ind w:firstLine="420"/>
        <w:spacing w:line="372" w:lineRule="auto"/>
        <w:rPr>
          <w:rFonts w:hAnsi="宋体" w:cs="宋体"/>
          <w:sz w:val="21"/>
          <w:szCs w:val="21"/>
        </w:rPr>
      </w:pPr>
      <w:r>
        <w:rPr>
          <w:rFonts w:hint="eastAsia" w:hAnsi="宋体" w:cs="宋体"/>
          <w:sz w:val="21"/>
          <w:szCs w:val="21"/>
        </w:rPr>
        <w:t xml:space="preserve">包括：重大设备采购需求合作、基础设施建设需求合作、定制解决方案需求合作、技术人才需求合作、核心技术引进需求合作、融资需求合作等。</w:t>
      </w:r>
      <w:r/>
    </w:p>
    <w:p>
      <w:pPr>
        <w:pStyle w:val="970"/>
        <w:spacing w:line="372" w:lineRule="auto"/>
      </w:pPr>
      <w:r>
        <w:rPr>
          <w:rFonts w:hint="eastAsia"/>
        </w:rPr>
        <w:t xml:space="preserve">智慧协作平台</w:t>
      </w:r>
      <w:r/>
    </w:p>
    <w:p>
      <w:pPr>
        <w:pStyle w:val="1066"/>
        <w:ind w:firstLine="420"/>
        <w:rPr>
          <w:rFonts w:hAnsi="宋体" w:cs="宋体"/>
          <w:sz w:val="21"/>
          <w:szCs w:val="21"/>
        </w:rPr>
      </w:pPr>
      <w:r>
        <w:rPr>
          <w:rFonts w:hint="eastAsia" w:hAnsi="宋体" w:cs="宋体"/>
          <w:sz w:val="21"/>
          <w:szCs w:val="21"/>
        </w:rPr>
        <w:t xml:space="preserve">1）政策协作系统</w:t>
      </w:r>
      <w:r/>
    </w:p>
    <w:p>
      <w:pPr>
        <w:pStyle w:val="1066"/>
        <w:ind w:firstLine="420"/>
        <w:rPr>
          <w:rFonts w:hAnsi="宋体" w:cs="宋体"/>
          <w:sz w:val="21"/>
          <w:szCs w:val="21"/>
        </w:rPr>
      </w:pPr>
      <w:r>
        <w:rPr>
          <w:rFonts w:hint="eastAsia" w:hAnsi="宋体" w:cs="宋体"/>
          <w:sz w:val="21"/>
          <w:szCs w:val="21"/>
        </w:rPr>
        <w:t xml:space="preserve">包括：政策申报审核、标签审核、政策分类管理、政策入库、人工拆解调优化、政策审核、政策规则管理、政策发布等。</w:t>
      </w:r>
      <w:r/>
    </w:p>
    <w:p>
      <w:pPr>
        <w:pStyle w:val="1066"/>
        <w:ind w:firstLine="420"/>
        <w:rPr>
          <w:rFonts w:hAnsi="宋体" w:cs="宋体"/>
          <w:sz w:val="21"/>
          <w:szCs w:val="21"/>
        </w:rPr>
      </w:pPr>
      <w:r>
        <w:rPr>
          <w:rFonts w:hint="eastAsia" w:hAnsi="宋体" w:cs="宋体"/>
          <w:sz w:val="21"/>
          <w:szCs w:val="21"/>
        </w:rPr>
        <w:t xml:space="preserve">2）金融协作系统</w:t>
      </w:r>
      <w:r/>
    </w:p>
    <w:p>
      <w:pPr>
        <w:pStyle w:val="1066"/>
        <w:ind w:firstLine="420"/>
        <w:rPr>
          <w:rFonts w:hAnsi="宋体" w:cs="宋体"/>
          <w:sz w:val="21"/>
          <w:szCs w:val="21"/>
        </w:rPr>
      </w:pPr>
      <w:r>
        <w:rPr>
          <w:rFonts w:hint="eastAsia" w:hAnsi="宋体" w:cs="宋体"/>
          <w:sz w:val="21"/>
          <w:szCs w:val="21"/>
        </w:rPr>
        <w:t xml:space="preserve">包括：金融产品分类管理、金融产品发布、金融产品管理等。</w:t>
      </w:r>
      <w:r/>
    </w:p>
    <w:p>
      <w:pPr>
        <w:pStyle w:val="1066"/>
        <w:ind w:firstLine="420"/>
        <w:rPr>
          <w:rFonts w:hAnsi="宋体" w:cs="宋体"/>
          <w:sz w:val="21"/>
          <w:szCs w:val="21"/>
        </w:rPr>
      </w:pPr>
      <w:r>
        <w:rPr>
          <w:rFonts w:hint="eastAsia" w:hAnsi="宋体" w:cs="宋体"/>
          <w:sz w:val="21"/>
          <w:szCs w:val="21"/>
        </w:rPr>
        <w:t xml:space="preserve">3）公共数据授权中心</w:t>
      </w:r>
      <w:r/>
    </w:p>
    <w:p>
      <w:pPr>
        <w:pStyle w:val="1066"/>
        <w:ind w:firstLine="420"/>
        <w:rPr>
          <w:rFonts w:hAnsi="宋体" w:cs="宋体"/>
          <w:sz w:val="21"/>
          <w:szCs w:val="21"/>
        </w:rPr>
      </w:pPr>
      <w:r>
        <w:rPr>
          <w:rFonts w:hint="eastAsia" w:hAnsi="宋体" w:cs="宋体"/>
          <w:sz w:val="21"/>
          <w:szCs w:val="21"/>
        </w:rPr>
        <w:t xml:space="preserve">包括：公共数据授权申请、公共数据标准接口、公共数据应用（金融平台、第三方银行平台）等。</w:t>
      </w:r>
      <w:r/>
    </w:p>
    <w:p>
      <w:pPr>
        <w:pStyle w:val="1066"/>
        <w:ind w:firstLine="420"/>
        <w:rPr>
          <w:rFonts w:hAnsi="宋体" w:cs="宋体"/>
          <w:sz w:val="21"/>
          <w:szCs w:val="21"/>
        </w:rPr>
      </w:pPr>
      <w:r>
        <w:rPr>
          <w:rFonts w:hint="eastAsia" w:hAnsi="宋体" w:cs="宋体"/>
          <w:sz w:val="21"/>
          <w:szCs w:val="21"/>
        </w:rPr>
        <w:t xml:space="preserve">4）金融产品申请页面配置</w:t>
      </w:r>
      <w:r/>
    </w:p>
    <w:p>
      <w:pPr>
        <w:pStyle w:val="1066"/>
        <w:ind w:firstLine="420"/>
        <w:rPr>
          <w:rFonts w:hAnsi="宋体" w:cs="宋体"/>
          <w:sz w:val="21"/>
          <w:szCs w:val="21"/>
        </w:rPr>
      </w:pPr>
      <w:r>
        <w:rPr>
          <w:rFonts w:hint="eastAsia" w:hAnsi="宋体" w:cs="宋体"/>
          <w:sz w:val="21"/>
          <w:szCs w:val="21"/>
        </w:rPr>
        <w:t xml:space="preserve">通过本模块可以设置金融产品申请页面内容，包括产品介绍、宣传手册、视觉宣传材料和办事指南等，第三方页面跳转功能和数据推送服务以增强用户体验和操作便利性。</w:t>
      </w:r>
      <w:r/>
    </w:p>
    <w:p>
      <w:pPr>
        <w:pStyle w:val="970"/>
      </w:pPr>
      <w:r>
        <w:rPr>
          <w:rFonts w:hint="eastAsia"/>
        </w:rPr>
        <w:t xml:space="preserve">人才管理系统</w:t>
      </w:r>
      <w:r/>
    </w:p>
    <w:p>
      <w:pPr>
        <w:pStyle w:val="1066"/>
        <w:ind w:firstLine="420"/>
        <w:rPr>
          <w:rFonts w:hAnsi="宋体" w:cs="宋体"/>
          <w:b/>
          <w:bCs/>
          <w:sz w:val="21"/>
          <w:szCs w:val="21"/>
        </w:rPr>
      </w:pPr>
      <w:r>
        <w:rPr>
          <w:rFonts w:hint="eastAsia" w:hAnsi="宋体" w:cs="宋体"/>
          <w:sz w:val="21"/>
          <w:szCs w:val="21"/>
        </w:rPr>
        <w:t xml:space="preserve">包括：人才基本信息管理、人才档案编制、人才服务团队管理、人才政策发布、人才需求管理等。</w:t>
      </w:r>
      <w:r/>
    </w:p>
    <w:p>
      <w:pPr>
        <w:pStyle w:val="970"/>
      </w:pPr>
      <w:r>
        <w:rPr>
          <w:rFonts w:hint="eastAsia"/>
        </w:rPr>
        <w:t xml:space="preserve">产业链管理系统</w:t>
      </w:r>
      <w:r/>
    </w:p>
    <w:p>
      <w:pPr>
        <w:pStyle w:val="1066"/>
        <w:ind w:firstLine="420"/>
        <w:rPr>
          <w:rFonts w:hAnsi="宋体" w:cs="宋体"/>
          <w:sz w:val="21"/>
          <w:szCs w:val="21"/>
        </w:rPr>
      </w:pPr>
      <w:r>
        <w:rPr>
          <w:rFonts w:hint="eastAsia" w:hAnsi="宋体" w:cs="宋体"/>
          <w:sz w:val="21"/>
          <w:szCs w:val="21"/>
        </w:rPr>
        <w:t xml:space="preserve">包括：全市板块核心产业管理、全市板块招商联络信息管理、全市招商公告管理、产业结构图谱管理、图谱内各环节管理、图谱环节内各企业关联、图谱内环节和企业标签关联、产业用地区域信息管理、产业用地周边交通管理、产业用地周边配置设施管理、产业载体信息管理、产业载体入驻企业管理、产业载体运营数据管理、产业载体建设进度管理、产业链合作供应关系管理等。</w:t>
      </w:r>
      <w:r/>
    </w:p>
    <w:p>
      <w:pPr>
        <w:pStyle w:val="970"/>
      </w:pPr>
      <w:r>
        <w:rPr>
          <w:rFonts w:hint="eastAsia"/>
        </w:rPr>
        <w:t xml:space="preserve">统一管理系统</w:t>
      </w:r>
      <w:r/>
    </w:p>
    <w:p>
      <w:pPr>
        <w:pStyle w:val="1066"/>
        <w:ind w:firstLine="420"/>
        <w:rPr>
          <w:rFonts w:hAnsi="宋体" w:cs="宋体"/>
          <w:sz w:val="21"/>
          <w:szCs w:val="21"/>
        </w:rPr>
      </w:pPr>
      <w:r>
        <w:rPr>
          <w:rFonts w:hint="eastAsia" w:hAnsi="宋体" w:cs="宋体"/>
          <w:sz w:val="21"/>
          <w:szCs w:val="21"/>
        </w:rPr>
        <w:t xml:space="preserve">包括：企业档案管理、用户管理、权限管理、日志管理、标签管理、接口管理等。</w:t>
      </w:r>
      <w:r/>
    </w:p>
    <w:p>
      <w:pPr>
        <w:pStyle w:val="970"/>
      </w:pPr>
      <w:r>
        <w:rPr>
          <w:rFonts w:hint="eastAsia"/>
        </w:rPr>
        <w:t xml:space="preserve">营商一张图</w:t>
      </w:r>
      <w:r/>
    </w:p>
    <w:p>
      <w:pPr>
        <w:pStyle w:val="1066"/>
        <w:ind w:firstLine="420"/>
        <w:widowControl w:val="off"/>
        <w:rPr>
          <w:rFonts w:hAnsi="宋体" w:cs="宋体"/>
          <w:sz w:val="21"/>
          <w:szCs w:val="21"/>
        </w:rPr>
      </w:pPr>
      <w:r>
        <w:rPr>
          <w:rFonts w:hint="eastAsia" w:hAnsi="宋体" w:cs="宋体"/>
          <w:sz w:val="21"/>
          <w:szCs w:val="21"/>
        </w:rPr>
        <w:t xml:space="preserve">包括：人才一张图、政策一张图、产业链一张图、服务机构一张图、产业载体一张图、特色产业园一张图等。</w:t>
      </w:r>
      <w:r/>
    </w:p>
    <w:p>
      <w:pPr>
        <w:pStyle w:val="970"/>
      </w:pPr>
      <w:r>
        <w:rPr>
          <w:rFonts w:hint="eastAsia"/>
        </w:rPr>
        <w:t xml:space="preserve">营商监管平台</w:t>
      </w:r>
      <w:r/>
    </w:p>
    <w:p>
      <w:pPr>
        <w:pStyle w:val="1066"/>
        <w:ind w:firstLine="420"/>
        <w:rPr>
          <w:rFonts w:hAnsi="宋体" w:cs="宋体"/>
          <w:sz w:val="21"/>
          <w:szCs w:val="21"/>
        </w:rPr>
      </w:pPr>
      <w:r>
        <w:rPr>
          <w:rFonts w:hint="eastAsia" w:hAnsi="宋体" w:cs="宋体"/>
          <w:sz w:val="21"/>
          <w:szCs w:val="21"/>
        </w:rPr>
        <w:t xml:space="preserve">1）奖补政策监管</w:t>
      </w:r>
      <w:r/>
    </w:p>
    <w:p>
      <w:pPr>
        <w:pStyle w:val="1066"/>
        <w:ind w:firstLine="420"/>
        <w:rPr>
          <w:rFonts w:hAnsi="宋体" w:cs="宋体"/>
          <w:sz w:val="21"/>
          <w:szCs w:val="21"/>
        </w:rPr>
      </w:pPr>
      <w:r>
        <w:rPr>
          <w:rFonts w:hint="eastAsia" w:hAnsi="宋体" w:cs="宋体"/>
          <w:sz w:val="21"/>
          <w:szCs w:val="21"/>
        </w:rPr>
        <w:t xml:space="preserve">包括：奖补发放情况监管、审核时限监管、政策执行情况监管、预警处理情况监管、数据异常预警等。</w:t>
      </w:r>
      <w:r/>
    </w:p>
    <w:p>
      <w:pPr>
        <w:pStyle w:val="1066"/>
        <w:ind w:firstLine="420"/>
        <w:rPr>
          <w:rFonts w:hAnsi="宋体" w:cs="宋体"/>
          <w:sz w:val="21"/>
          <w:szCs w:val="21"/>
        </w:rPr>
      </w:pPr>
      <w:r>
        <w:rPr>
          <w:rFonts w:hint="eastAsia" w:hAnsi="宋体" w:cs="宋体"/>
          <w:sz w:val="21"/>
          <w:szCs w:val="21"/>
        </w:rPr>
        <w:t xml:space="preserve">2）数据统计分析系统</w:t>
      </w:r>
      <w:r/>
    </w:p>
    <w:p>
      <w:pPr>
        <w:pStyle w:val="1066"/>
        <w:ind w:firstLine="420"/>
        <w:rPr>
          <w:rFonts w:hAnsi="宋体" w:cs="宋体"/>
          <w:sz w:val="21"/>
          <w:szCs w:val="21"/>
        </w:rPr>
      </w:pPr>
      <w:r>
        <w:rPr>
          <w:rFonts w:hint="eastAsia" w:hAnsi="宋体" w:cs="宋体"/>
          <w:sz w:val="21"/>
          <w:szCs w:val="21"/>
        </w:rPr>
        <w:t xml:space="preserve">包括：政策库统计分析、企业库统计分析、个人库统计分析、金融服务统计分析、政策申报审核统计分析、企业信用与积分动态统计分析、政策兑现统计分析、监管结果统计分析、人才服务统计分析等。</w:t>
      </w:r>
      <w:r/>
    </w:p>
    <w:p>
      <w:pPr>
        <w:pStyle w:val="970"/>
      </w:pPr>
      <w:r>
        <w:rPr>
          <w:rFonts w:hint="eastAsia"/>
        </w:rPr>
        <w:t xml:space="preserve">统一能力支撑</w:t>
      </w:r>
      <w:r/>
    </w:p>
    <w:p>
      <w:pPr>
        <w:pStyle w:val="1066"/>
        <w:ind w:firstLine="420"/>
        <w:rPr>
          <w:rFonts w:hAnsi="宋体" w:cs="宋体"/>
          <w:sz w:val="21"/>
          <w:szCs w:val="21"/>
        </w:rPr>
      </w:pPr>
      <w:r>
        <w:rPr>
          <w:rFonts w:hint="eastAsia" w:hAnsi="宋体" w:cs="宋体"/>
          <w:sz w:val="21"/>
          <w:szCs w:val="21"/>
        </w:rPr>
        <w:t xml:space="preserve">1）智能搜索引擎</w:t>
      </w:r>
      <w:r/>
    </w:p>
    <w:p>
      <w:pPr>
        <w:pStyle w:val="1066"/>
        <w:ind w:firstLine="420"/>
        <w:rPr>
          <w:rFonts w:hAnsi="宋体" w:cs="宋体"/>
          <w:sz w:val="21"/>
          <w:szCs w:val="21"/>
        </w:rPr>
      </w:pPr>
      <w:r>
        <w:rPr>
          <w:rFonts w:hint="eastAsia" w:hAnsi="宋体" w:cs="宋体"/>
          <w:sz w:val="21"/>
          <w:szCs w:val="21"/>
        </w:rPr>
        <w:t xml:space="preserve">包括：搜索类型管理、多模态搜索管理（语音）、过滤与筛选条件配置、搜索历史配置、热点搜索配置、搜索结果聚合配置等。</w:t>
      </w:r>
      <w:r/>
    </w:p>
    <w:p>
      <w:pPr>
        <w:pStyle w:val="1066"/>
        <w:ind w:firstLine="420"/>
        <w:rPr>
          <w:rFonts w:hAnsi="宋体" w:cs="宋体"/>
          <w:sz w:val="21"/>
          <w:szCs w:val="21"/>
        </w:rPr>
      </w:pPr>
      <w:r>
        <w:rPr>
          <w:rFonts w:hint="eastAsia" w:hAnsi="宋体" w:cs="宋体"/>
          <w:sz w:val="21"/>
          <w:szCs w:val="21"/>
        </w:rPr>
        <w:t xml:space="preserve">2）大模型管理</w:t>
      </w:r>
      <w:r/>
    </w:p>
    <w:p>
      <w:pPr>
        <w:pStyle w:val="1066"/>
        <w:ind w:firstLine="420"/>
        <w:rPr>
          <w:rFonts w:hAnsi="宋体" w:cs="宋体"/>
          <w:sz w:val="21"/>
          <w:szCs w:val="21"/>
        </w:rPr>
      </w:pPr>
      <w:r>
        <w:rPr>
          <w:rFonts w:hint="eastAsia" w:hAnsi="宋体" w:cs="宋体"/>
          <w:sz w:val="21"/>
          <w:szCs w:val="21"/>
        </w:rPr>
        <w:t xml:space="preserve">包括：RAG数据外挂、Agent智能体、BI决策引擎、数据持续优化、数据监管等。</w:t>
      </w:r>
      <w:r/>
    </w:p>
    <w:p>
      <w:pPr>
        <w:pStyle w:val="1066"/>
        <w:ind w:firstLine="420"/>
        <w:rPr>
          <w:rFonts w:hAnsi="宋体" w:cs="宋体"/>
          <w:sz w:val="21"/>
          <w:szCs w:val="21"/>
        </w:rPr>
      </w:pPr>
      <w:r>
        <w:rPr>
          <w:rFonts w:hint="eastAsia" w:hAnsi="宋体" w:cs="宋体"/>
          <w:sz w:val="21"/>
          <w:szCs w:val="21"/>
        </w:rPr>
        <w:t xml:space="preserve">3）数据要素管理</w:t>
      </w:r>
      <w:r/>
    </w:p>
    <w:p>
      <w:pPr>
        <w:pStyle w:val="1066"/>
        <w:ind w:firstLine="420"/>
        <w:rPr>
          <w:rFonts w:hAnsi="宋体" w:cs="宋体"/>
          <w:sz w:val="21"/>
          <w:szCs w:val="21"/>
        </w:rPr>
      </w:pPr>
      <w:r>
        <w:rPr>
          <w:rFonts w:hint="eastAsia" w:hAnsi="宋体" w:cs="宋体"/>
          <w:sz w:val="21"/>
          <w:szCs w:val="21"/>
        </w:rPr>
        <w:t xml:space="preserve">包括：目录管理系统、数据采集系统、数据治理平台等。</w:t>
      </w:r>
      <w:r/>
    </w:p>
    <w:p>
      <w:pPr>
        <w:pStyle w:val="1066"/>
        <w:ind w:firstLine="420"/>
        <w:rPr>
          <w:rFonts w:hAnsi="宋体" w:cs="宋体"/>
          <w:sz w:val="21"/>
          <w:szCs w:val="21"/>
        </w:rPr>
      </w:pPr>
      <w:r>
        <w:rPr>
          <w:rFonts w:hint="eastAsia" w:hAnsi="宋体" w:cs="宋体"/>
          <w:sz w:val="21"/>
          <w:szCs w:val="21"/>
        </w:rPr>
        <w:t xml:space="preserve">4）政策匹配引擎</w:t>
      </w:r>
      <w:r/>
    </w:p>
    <w:p>
      <w:pPr>
        <w:pStyle w:val="1066"/>
        <w:ind w:firstLine="420"/>
        <w:rPr>
          <w:rFonts w:hAnsi="宋体" w:cs="宋体"/>
          <w:sz w:val="21"/>
          <w:szCs w:val="21"/>
        </w:rPr>
      </w:pPr>
      <w:r>
        <w:rPr>
          <w:rFonts w:hint="eastAsia" w:hAnsi="宋体" w:cs="宋体"/>
          <w:sz w:val="21"/>
          <w:szCs w:val="21"/>
        </w:rPr>
        <w:t xml:space="preserve">通过已经收集到的用户的信息和标，通过预设的规则进行关联，智能匹配并推荐与用户画像最契合的政策，确保用户能够快速找到并利用最适合自己的政策资源进行申报。</w:t>
      </w:r>
      <w:r/>
    </w:p>
    <w:p>
      <w:pPr>
        <w:pStyle w:val="1066"/>
        <w:ind w:firstLine="420"/>
        <w:rPr>
          <w:rFonts w:hAnsi="宋体" w:cs="宋体"/>
          <w:sz w:val="21"/>
          <w:szCs w:val="21"/>
        </w:rPr>
      </w:pPr>
      <w:r>
        <w:rPr>
          <w:rFonts w:hint="eastAsia" w:hAnsi="宋体" w:cs="宋体"/>
          <w:sz w:val="21"/>
          <w:szCs w:val="21"/>
        </w:rPr>
        <w:t xml:space="preserve">5）金融产品匹配引擎</w:t>
      </w:r>
      <w:r/>
    </w:p>
    <w:p>
      <w:pPr>
        <w:pStyle w:val="1066"/>
        <w:ind w:firstLine="420"/>
        <w:rPr>
          <w:rFonts w:hAnsi="宋体" w:cs="宋体"/>
          <w:sz w:val="21"/>
          <w:szCs w:val="21"/>
        </w:rPr>
      </w:pPr>
      <w:r>
        <w:rPr>
          <w:rFonts w:hint="eastAsia" w:hAnsi="宋体" w:cs="宋体"/>
          <w:sz w:val="21"/>
          <w:szCs w:val="21"/>
        </w:rPr>
        <w:t xml:space="preserve">通过已经收集到的用户的信息和标，通过预设的规则进行关联，智能匹配并推荐与用户画像最契合的政策，确保用户能够快速找到并利用最适合自己的金融产品进行申报。</w:t>
      </w:r>
      <w:r/>
    </w:p>
    <w:p>
      <w:pPr>
        <w:pStyle w:val="1066"/>
        <w:ind w:firstLine="420"/>
        <w:rPr>
          <w:rFonts w:hAnsi="宋体" w:cs="宋体"/>
          <w:sz w:val="21"/>
          <w:szCs w:val="21"/>
        </w:rPr>
      </w:pPr>
      <w:r>
        <w:rPr>
          <w:rFonts w:hint="eastAsia" w:hAnsi="宋体" w:cs="宋体"/>
          <w:sz w:val="21"/>
          <w:szCs w:val="21"/>
        </w:rPr>
        <w:t xml:space="preserve">6）工作流引擎</w:t>
      </w:r>
      <w:r/>
    </w:p>
    <w:p>
      <w:pPr>
        <w:pStyle w:val="1066"/>
        <w:ind w:firstLine="420"/>
        <w:rPr>
          <w:rFonts w:hAnsi="宋体" w:cs="宋体"/>
          <w:sz w:val="21"/>
          <w:szCs w:val="21"/>
        </w:rPr>
      </w:pPr>
      <w:r>
        <w:rPr>
          <w:rFonts w:hint="eastAsia" w:hAnsi="宋体" w:cs="宋体"/>
          <w:sz w:val="21"/>
          <w:szCs w:val="21"/>
        </w:rPr>
        <w:t xml:space="preserve">包括：工作流定义、流程绘制、任务分配、工作流触发、工作流监控、任务执行、版本控制（版本回滚、版本查看等）等。</w:t>
      </w:r>
      <w:r/>
    </w:p>
    <w:p>
      <w:pPr>
        <w:pStyle w:val="1066"/>
        <w:ind w:firstLine="420"/>
        <w:rPr>
          <w:rFonts w:hAnsi="宋体" w:cs="宋体"/>
          <w:sz w:val="21"/>
          <w:szCs w:val="21"/>
        </w:rPr>
      </w:pPr>
      <w:r>
        <w:rPr>
          <w:rFonts w:hint="eastAsia" w:hAnsi="宋体" w:cs="宋体"/>
          <w:sz w:val="21"/>
          <w:szCs w:val="21"/>
        </w:rPr>
        <w:t xml:space="preserve">7）表单引擎</w:t>
      </w:r>
      <w:r/>
    </w:p>
    <w:p>
      <w:pPr>
        <w:pStyle w:val="1066"/>
        <w:ind w:firstLine="420"/>
        <w:rPr>
          <w:rFonts w:hAnsi="宋体" w:cs="宋体"/>
          <w:sz w:val="21"/>
          <w:szCs w:val="21"/>
        </w:rPr>
      </w:pPr>
      <w:r>
        <w:rPr>
          <w:rFonts w:hint="eastAsia" w:hAnsi="宋体" w:cs="宋体"/>
          <w:sz w:val="21"/>
          <w:szCs w:val="21"/>
        </w:rPr>
        <w:t xml:space="preserve">包括：表单设计器、字段类型管理、字段元数据管理、表单布局编辑、表单验证规则、表单权限控制、数据绑定、表单提交处理、表单版本控制、表单模板、表单渲染引擎、表单数据存储等。</w:t>
      </w:r>
      <w:r/>
    </w:p>
    <w:p>
      <w:pPr>
        <w:pStyle w:val="1066"/>
        <w:ind w:firstLine="420"/>
        <w:rPr>
          <w:rFonts w:hAnsi="宋体" w:cs="宋体"/>
          <w:sz w:val="21"/>
          <w:szCs w:val="21"/>
        </w:rPr>
      </w:pPr>
      <w:r>
        <w:rPr>
          <w:rFonts w:hint="eastAsia" w:hAnsi="宋体" w:cs="宋体"/>
          <w:sz w:val="21"/>
          <w:szCs w:val="21"/>
        </w:rPr>
        <w:t xml:space="preserve">8）画像服务</w:t>
      </w:r>
      <w:r/>
    </w:p>
    <w:p>
      <w:pPr>
        <w:pStyle w:val="1066"/>
        <w:ind w:firstLine="420"/>
        <w:rPr>
          <w:rFonts w:hAnsi="宋体" w:cs="宋体"/>
          <w:sz w:val="21"/>
          <w:szCs w:val="21"/>
        </w:rPr>
      </w:pPr>
      <w:r>
        <w:rPr>
          <w:rFonts w:hint="eastAsia" w:hAnsi="宋体" w:cs="宋体"/>
          <w:sz w:val="21"/>
          <w:szCs w:val="21"/>
        </w:rPr>
        <w:t xml:space="preserve">包括：个人画像、人才画像、企业画像、产业画像、营商环境画像、画像建模、用户画像报告、用户精准服务等。</w:t>
      </w:r>
      <w:r/>
    </w:p>
    <w:p>
      <w:pPr>
        <w:pStyle w:val="1066"/>
        <w:ind w:firstLine="420"/>
        <w:rPr>
          <w:rFonts w:hAnsi="宋体" w:cs="宋体"/>
          <w:sz w:val="21"/>
          <w:szCs w:val="21"/>
        </w:rPr>
      </w:pPr>
      <w:r/>
      <w:bookmarkStart w:id="200" w:name="_Toc27460"/>
      <w:r/>
      <w:bookmarkStart w:id="201" w:name="_Toc19895"/>
      <w:r>
        <w:rPr>
          <w:rFonts w:hint="eastAsia" w:hAnsi="宋体" w:cs="宋体"/>
          <w:sz w:val="21"/>
          <w:szCs w:val="21"/>
        </w:rPr>
        <w:t xml:space="preserve">9）视频通信技术</w:t>
      </w:r>
      <w:bookmarkEnd w:id="200"/>
      <w:r/>
      <w:bookmarkEnd w:id="201"/>
      <w:r/>
      <w:r/>
    </w:p>
    <w:p>
      <w:pPr>
        <w:pStyle w:val="1066"/>
        <w:ind w:firstLine="420"/>
        <w:rPr>
          <w:rFonts w:hAnsi="宋体" w:cs="宋体"/>
          <w:sz w:val="21"/>
          <w:szCs w:val="21"/>
        </w:rPr>
      </w:pPr>
      <w:r>
        <w:rPr>
          <w:rFonts w:hint="eastAsia" w:hAnsi="宋体" w:cs="宋体"/>
          <w:sz w:val="21"/>
          <w:szCs w:val="21"/>
        </w:rPr>
        <w:t xml:space="preserve">视频通信是一项实时通讯技术，允许网络应用或者站点，在不借助中间媒介的情况下，建立浏览器之间点对点的连接，实现视频流、音频流或者其他任意数据的传输。</w:t>
      </w:r>
      <w:r/>
    </w:p>
    <w:p>
      <w:pPr>
        <w:pStyle w:val="1066"/>
        <w:ind w:firstLine="420"/>
        <w:rPr>
          <w:rFonts w:hAnsi="宋体" w:cs="宋体"/>
          <w:sz w:val="21"/>
          <w:szCs w:val="21"/>
        </w:rPr>
      </w:pPr>
      <w:r>
        <w:rPr>
          <w:rFonts w:hint="eastAsia" w:hAnsi="宋体" w:cs="宋体"/>
          <w:sz w:val="21"/>
          <w:szCs w:val="21"/>
        </w:rPr>
        <w:t xml:space="preserve">移动端组件包括：</w:t>
      </w:r>
      <w:bookmarkStart w:id="202" w:name="_Toc30723"/>
      <w:r>
        <w:rPr>
          <w:rFonts w:hint="eastAsia" w:hAnsi="宋体" w:cs="宋体"/>
          <w:sz w:val="21"/>
          <w:szCs w:val="21"/>
        </w:rPr>
        <w:t xml:space="preserve">实时音视频通话</w:t>
      </w:r>
      <w:bookmarkEnd w:id="202"/>
      <w:r>
        <w:rPr>
          <w:rFonts w:hint="eastAsia" w:hAnsi="宋体" w:cs="宋体"/>
          <w:sz w:val="21"/>
          <w:szCs w:val="21"/>
        </w:rPr>
        <w:t xml:space="preserve">、</w:t>
      </w:r>
      <w:bookmarkStart w:id="203" w:name="_Toc8944"/>
      <w:r>
        <w:rPr>
          <w:rFonts w:hint="eastAsia" w:hAnsi="宋体" w:cs="宋体"/>
          <w:sz w:val="21"/>
          <w:szCs w:val="21"/>
        </w:rPr>
        <w:t xml:space="preserve">文件传输</w:t>
      </w:r>
      <w:bookmarkEnd w:id="203"/>
      <w:r>
        <w:rPr>
          <w:rFonts w:hint="eastAsia" w:hAnsi="宋体" w:cs="宋体"/>
          <w:sz w:val="21"/>
          <w:szCs w:val="21"/>
        </w:rPr>
        <w:t xml:space="preserve">、</w:t>
      </w:r>
      <w:bookmarkStart w:id="204" w:name="_Toc27277"/>
      <w:r>
        <w:rPr>
          <w:rFonts w:hint="eastAsia" w:hAnsi="宋体" w:cs="宋体"/>
          <w:sz w:val="21"/>
          <w:szCs w:val="21"/>
        </w:rPr>
        <w:t xml:space="preserve">语音聊天室</w:t>
      </w:r>
      <w:bookmarkEnd w:id="204"/>
      <w:r>
        <w:rPr>
          <w:rFonts w:hint="eastAsia" w:hAnsi="宋体" w:cs="宋体"/>
          <w:sz w:val="21"/>
          <w:szCs w:val="21"/>
        </w:rPr>
        <w:t xml:space="preserve">、</w:t>
      </w:r>
      <w:bookmarkStart w:id="205" w:name="_Toc20411"/>
      <w:r>
        <w:rPr>
          <w:rFonts w:hint="eastAsia" w:hAnsi="宋体" w:cs="宋体"/>
          <w:sz w:val="21"/>
          <w:szCs w:val="21"/>
        </w:rPr>
        <w:t xml:space="preserve">双人通话</w:t>
      </w:r>
      <w:bookmarkEnd w:id="205"/>
      <w:r>
        <w:rPr>
          <w:rFonts w:hint="eastAsia" w:hAnsi="宋体" w:cs="宋体"/>
          <w:sz w:val="21"/>
          <w:szCs w:val="21"/>
        </w:rPr>
        <w:t xml:space="preserve">、</w:t>
      </w:r>
      <w:bookmarkStart w:id="206" w:name="_Toc27793"/>
      <w:r>
        <w:rPr>
          <w:rFonts w:hint="eastAsia" w:hAnsi="宋体" w:cs="宋体"/>
          <w:sz w:val="21"/>
          <w:szCs w:val="21"/>
        </w:rPr>
        <w:t xml:space="preserve">多人会议</w:t>
      </w:r>
      <w:bookmarkEnd w:id="206"/>
      <w:r>
        <w:rPr>
          <w:rFonts w:hint="eastAsia" w:hAnsi="宋体" w:cs="宋体"/>
          <w:sz w:val="21"/>
          <w:szCs w:val="21"/>
        </w:rPr>
        <w:t xml:space="preserve">、</w:t>
      </w:r>
      <w:bookmarkStart w:id="207" w:name="_Toc28574"/>
      <w:r>
        <w:rPr>
          <w:rFonts w:hint="eastAsia" w:hAnsi="宋体" w:cs="宋体"/>
          <w:sz w:val="21"/>
          <w:szCs w:val="21"/>
        </w:rPr>
        <w:t xml:space="preserve">在线表单填写</w:t>
      </w:r>
      <w:bookmarkEnd w:id="207"/>
      <w:r>
        <w:rPr>
          <w:rFonts w:hint="eastAsia" w:hAnsi="宋体" w:cs="宋体"/>
          <w:sz w:val="21"/>
          <w:szCs w:val="21"/>
        </w:rPr>
        <w:t xml:space="preserve">、</w:t>
      </w:r>
      <w:bookmarkStart w:id="208" w:name="_Toc23990"/>
      <w:r>
        <w:rPr>
          <w:rFonts w:hint="eastAsia" w:hAnsi="宋体" w:cs="宋体"/>
          <w:sz w:val="21"/>
          <w:szCs w:val="21"/>
        </w:rPr>
        <w:t xml:space="preserve">屏幕共享</w:t>
      </w:r>
      <w:bookmarkEnd w:id="208"/>
      <w:r>
        <w:rPr>
          <w:rFonts w:hint="eastAsia" w:hAnsi="宋体" w:cs="宋体"/>
          <w:sz w:val="21"/>
          <w:szCs w:val="21"/>
        </w:rPr>
        <w:t xml:space="preserve">等。</w:t>
      </w:r>
      <w:r/>
    </w:p>
    <w:p>
      <w:pPr>
        <w:pStyle w:val="1066"/>
        <w:ind w:firstLine="420"/>
        <w:rPr>
          <w:rFonts w:hAnsi="宋体" w:cs="宋体"/>
          <w:sz w:val="21"/>
          <w:szCs w:val="21"/>
        </w:rPr>
      </w:pPr>
      <w:r/>
      <w:bookmarkStart w:id="209" w:name="_Toc25058"/>
      <w:r/>
      <w:bookmarkStart w:id="210" w:name="_Toc2209"/>
      <w:r>
        <w:rPr>
          <w:rFonts w:hint="eastAsia" w:hAnsi="宋体" w:cs="宋体"/>
          <w:sz w:val="21"/>
          <w:szCs w:val="21"/>
        </w:rPr>
        <w:t xml:space="preserve">电脑端组件</w:t>
      </w:r>
      <w:bookmarkEnd w:id="209"/>
      <w:r/>
      <w:bookmarkEnd w:id="210"/>
      <w:r>
        <w:rPr>
          <w:rFonts w:hint="eastAsia" w:hAnsi="宋体" w:cs="宋体"/>
          <w:sz w:val="21"/>
          <w:szCs w:val="21"/>
        </w:rPr>
        <w:t xml:space="preserve">包括：实时音视频通话、文件传输、语音聊天室、双人通话、多人会议、在线表单填写、屏幕共享等。</w:t>
      </w:r>
      <w:r/>
    </w:p>
    <w:p>
      <w:pPr>
        <w:pStyle w:val="1066"/>
        <w:ind w:firstLine="420"/>
        <w:rPr>
          <w:rFonts w:hAnsi="宋体" w:cs="宋体"/>
          <w:sz w:val="21"/>
          <w:szCs w:val="21"/>
        </w:rPr>
      </w:pPr>
      <w:r/>
      <w:bookmarkStart w:id="211" w:name="_Toc19176"/>
      <w:r/>
      <w:bookmarkStart w:id="212" w:name="_Toc1266"/>
      <w:r>
        <w:rPr>
          <w:rFonts w:hint="eastAsia" w:hAnsi="宋体" w:cs="宋体"/>
          <w:sz w:val="21"/>
          <w:szCs w:val="21"/>
        </w:rPr>
        <w:t xml:space="preserve">云录制</w:t>
      </w:r>
      <w:bookmarkEnd w:id="211"/>
      <w:r/>
      <w:bookmarkEnd w:id="212"/>
      <w:r>
        <w:rPr>
          <w:rFonts w:hint="eastAsia" w:hAnsi="宋体" w:cs="宋体"/>
          <w:sz w:val="21"/>
          <w:szCs w:val="21"/>
        </w:rPr>
        <w:t xml:space="preserve">：实时记录会议期间的音频和视频内容，无论是与会者的语音对话、屏幕共享还是其他的交流活动。</w:t>
      </w:r>
      <w:r/>
    </w:p>
    <w:p>
      <w:pPr>
        <w:pStyle w:val="1066"/>
        <w:ind w:firstLine="420"/>
        <w:rPr>
          <w:rFonts w:hAnsi="宋体" w:cs="宋体"/>
          <w:sz w:val="21"/>
          <w:szCs w:val="21"/>
        </w:rPr>
      </w:pPr>
      <w:r/>
      <w:bookmarkStart w:id="213" w:name="_Toc28266"/>
      <w:r/>
      <w:bookmarkStart w:id="214" w:name="_Toc7577"/>
      <w:r>
        <w:rPr>
          <w:rFonts w:hint="eastAsia" w:hAnsi="宋体" w:cs="宋体"/>
          <w:sz w:val="21"/>
          <w:szCs w:val="21"/>
        </w:rPr>
        <w:t xml:space="preserve">视频文件归档</w:t>
      </w:r>
      <w:bookmarkEnd w:id="213"/>
      <w:r/>
      <w:bookmarkEnd w:id="214"/>
      <w:r>
        <w:rPr>
          <w:rFonts w:hint="eastAsia" w:hAnsi="宋体" w:cs="宋体"/>
          <w:sz w:val="21"/>
          <w:szCs w:val="21"/>
        </w:rPr>
        <w:t xml:space="preserve">：录制的音视频内容根据办件内容一一标识，并会被保存到云端存储中，确保数据的安全性和可靠性。</w:t>
      </w:r>
      <w:r/>
    </w:p>
    <w:p>
      <w:pPr>
        <w:pStyle w:val="1066"/>
        <w:ind w:firstLine="420"/>
        <w:spacing w:line="372" w:lineRule="auto"/>
        <w:rPr>
          <w:rFonts w:hAnsi="宋体" w:cs="宋体"/>
          <w:sz w:val="21"/>
          <w:szCs w:val="21"/>
        </w:rPr>
      </w:pPr>
      <w:r/>
      <w:bookmarkStart w:id="215" w:name="_Toc1375"/>
      <w:r/>
      <w:bookmarkStart w:id="216" w:name="_Toc19556"/>
      <w:r>
        <w:rPr>
          <w:rFonts w:hint="eastAsia" w:hAnsi="宋体" w:cs="宋体"/>
          <w:sz w:val="21"/>
          <w:szCs w:val="21"/>
        </w:rPr>
        <w:t xml:space="preserve">视频多方人员核验</w:t>
      </w:r>
      <w:bookmarkEnd w:id="215"/>
      <w:r/>
      <w:bookmarkEnd w:id="216"/>
      <w:r>
        <w:rPr>
          <w:rFonts w:hint="eastAsia" w:hAnsi="宋体" w:cs="宋体"/>
          <w:sz w:val="21"/>
          <w:szCs w:val="21"/>
        </w:rPr>
        <w:t xml:space="preserve">：使用人脸识别技术、身份证件扫描、现场照片核验比对参与视频会议的人员的身份信息，以确保其身份的准确性和合法性。</w:t>
      </w:r>
      <w:r/>
    </w:p>
    <w:p>
      <w:pPr>
        <w:pStyle w:val="1066"/>
        <w:ind w:firstLine="420"/>
        <w:spacing w:line="372" w:lineRule="auto"/>
        <w:rPr>
          <w:rFonts w:hAnsi="宋体" w:cs="宋体"/>
          <w:sz w:val="21"/>
          <w:szCs w:val="21"/>
        </w:rPr>
      </w:pPr>
      <w:r/>
      <w:bookmarkStart w:id="217" w:name="_Toc19290"/>
      <w:r/>
      <w:bookmarkStart w:id="218" w:name="_Toc12570"/>
      <w:r>
        <w:rPr>
          <w:rFonts w:hint="eastAsia" w:hAnsi="宋体" w:cs="宋体"/>
          <w:sz w:val="21"/>
          <w:szCs w:val="21"/>
        </w:rPr>
        <w:t xml:space="preserve">线上签名</w:t>
      </w:r>
      <w:bookmarkEnd w:id="217"/>
      <w:r/>
      <w:bookmarkEnd w:id="218"/>
      <w:r>
        <w:rPr>
          <w:rFonts w:hint="eastAsia" w:hAnsi="宋体" w:cs="宋体"/>
          <w:sz w:val="21"/>
          <w:szCs w:val="21"/>
        </w:rPr>
        <w:t xml:space="preserve">：与会者能够在会议期间即时完成签名过程。无需离开视频会议平台，参会者可以直接在屏幕上进行签名操作，节省时间和提高效率。</w:t>
      </w:r>
      <w:r/>
    </w:p>
    <w:p>
      <w:pPr>
        <w:pStyle w:val="1066"/>
        <w:ind w:firstLine="420"/>
        <w:spacing w:line="372" w:lineRule="auto"/>
        <w:rPr>
          <w:rFonts w:hAnsi="宋体" w:cs="宋体"/>
          <w:sz w:val="21"/>
          <w:szCs w:val="21"/>
        </w:rPr>
      </w:pPr>
      <w:r/>
      <w:bookmarkStart w:id="219" w:name="_Toc16035"/>
      <w:r/>
      <w:bookmarkStart w:id="220" w:name="_Toc2568"/>
      <w:r>
        <w:rPr>
          <w:rFonts w:hint="eastAsia" w:hAnsi="宋体" w:cs="宋体"/>
          <w:sz w:val="21"/>
          <w:szCs w:val="21"/>
        </w:rPr>
        <w:t xml:space="preserve">标准化接口</w:t>
      </w:r>
      <w:bookmarkEnd w:id="219"/>
      <w:r/>
      <w:bookmarkEnd w:id="220"/>
      <w:r>
        <w:rPr>
          <w:rFonts w:hint="eastAsia" w:hAnsi="宋体" w:cs="宋体"/>
          <w:sz w:val="21"/>
          <w:szCs w:val="21"/>
        </w:rPr>
        <w:t xml:space="preserve">包括</w:t>
      </w:r>
      <w:bookmarkStart w:id="221" w:name="_Toc18574"/>
      <w:r>
        <w:rPr>
          <w:rFonts w:hint="eastAsia" w:hAnsi="宋体" w:cs="宋体"/>
          <w:sz w:val="21"/>
          <w:szCs w:val="21"/>
        </w:rPr>
        <w:t xml:space="preserve">：视频会议创建</w:t>
      </w:r>
      <w:bookmarkEnd w:id="221"/>
      <w:r>
        <w:rPr>
          <w:rFonts w:hint="eastAsia" w:hAnsi="宋体" w:cs="宋体"/>
          <w:sz w:val="21"/>
          <w:szCs w:val="21"/>
        </w:rPr>
        <w:t xml:space="preserve">、</w:t>
      </w:r>
      <w:bookmarkStart w:id="222" w:name="_Toc22527"/>
      <w:r>
        <w:rPr>
          <w:rFonts w:hint="eastAsia" w:hAnsi="宋体" w:cs="宋体"/>
          <w:sz w:val="21"/>
          <w:szCs w:val="21"/>
        </w:rPr>
        <w:t xml:space="preserve">视频通话唤醒</w:t>
      </w:r>
      <w:bookmarkEnd w:id="222"/>
      <w:r>
        <w:rPr>
          <w:rFonts w:hint="eastAsia" w:hAnsi="宋体" w:cs="宋体"/>
          <w:sz w:val="21"/>
          <w:szCs w:val="21"/>
        </w:rPr>
        <w:t xml:space="preserve">、</w:t>
      </w:r>
      <w:bookmarkStart w:id="223" w:name="_Toc22674"/>
      <w:r>
        <w:rPr>
          <w:rFonts w:hint="eastAsia" w:hAnsi="宋体" w:cs="宋体"/>
          <w:sz w:val="21"/>
          <w:szCs w:val="21"/>
        </w:rPr>
        <w:t xml:space="preserve">创建会议材料</w:t>
      </w:r>
      <w:bookmarkEnd w:id="223"/>
      <w:r>
        <w:rPr>
          <w:rFonts w:hint="eastAsia" w:hAnsi="宋体" w:cs="宋体"/>
          <w:sz w:val="21"/>
          <w:szCs w:val="21"/>
        </w:rPr>
        <w:t xml:space="preserve">、</w:t>
      </w:r>
      <w:bookmarkStart w:id="224" w:name="_Toc23126"/>
      <w:r>
        <w:rPr>
          <w:rFonts w:hint="eastAsia" w:hAnsi="宋体" w:cs="宋体"/>
          <w:sz w:val="21"/>
          <w:szCs w:val="21"/>
        </w:rPr>
        <w:t xml:space="preserve">删除会议材料</w:t>
      </w:r>
      <w:bookmarkEnd w:id="224"/>
      <w:r>
        <w:rPr>
          <w:rFonts w:hint="eastAsia" w:hAnsi="宋体" w:cs="宋体"/>
          <w:sz w:val="21"/>
          <w:szCs w:val="21"/>
        </w:rPr>
        <w:t xml:space="preserve">、</w:t>
      </w:r>
      <w:bookmarkStart w:id="225" w:name="_Toc23043"/>
      <w:r>
        <w:rPr>
          <w:rFonts w:hint="eastAsia" w:hAnsi="宋体" w:cs="宋体"/>
          <w:sz w:val="21"/>
          <w:szCs w:val="21"/>
        </w:rPr>
        <w:t xml:space="preserve">视频文件下载</w:t>
      </w:r>
      <w:bookmarkEnd w:id="225"/>
      <w:r>
        <w:rPr>
          <w:rFonts w:hint="eastAsia" w:hAnsi="宋体" w:cs="宋体"/>
          <w:sz w:val="21"/>
          <w:szCs w:val="21"/>
        </w:rPr>
        <w:t xml:space="preserve">等。</w:t>
      </w:r>
      <w:r/>
    </w:p>
    <w:p>
      <w:pPr>
        <w:pStyle w:val="1066"/>
        <w:ind w:firstLine="420"/>
        <w:spacing w:line="372" w:lineRule="auto"/>
        <w:rPr>
          <w:rFonts w:hAnsi="宋体" w:cs="宋体"/>
          <w:sz w:val="21"/>
          <w:szCs w:val="21"/>
        </w:rPr>
      </w:pPr>
      <w:r/>
      <w:bookmarkStart w:id="226" w:name="_Toc24000"/>
      <w:r/>
      <w:bookmarkStart w:id="227" w:name="_Toc30263"/>
      <w:r>
        <w:rPr>
          <w:rFonts w:hint="eastAsia" w:hAnsi="宋体" w:cs="宋体"/>
          <w:sz w:val="21"/>
          <w:szCs w:val="21"/>
        </w:rPr>
        <w:t xml:space="preserve">综合管理</w:t>
      </w:r>
      <w:bookmarkEnd w:id="226"/>
      <w:r/>
      <w:bookmarkEnd w:id="227"/>
      <w:r>
        <w:rPr>
          <w:rFonts w:hint="eastAsia" w:hAnsi="宋体" w:cs="宋体"/>
          <w:sz w:val="21"/>
          <w:szCs w:val="21"/>
        </w:rPr>
        <w:t xml:space="preserve">包括：</w:t>
      </w:r>
      <w:bookmarkStart w:id="228" w:name="_Toc21799"/>
      <w:r>
        <w:rPr>
          <w:rFonts w:hint="eastAsia" w:hAnsi="宋体" w:cs="宋体"/>
          <w:sz w:val="21"/>
          <w:szCs w:val="21"/>
        </w:rPr>
        <w:t xml:space="preserve">系统授权管理</w:t>
      </w:r>
      <w:bookmarkEnd w:id="228"/>
      <w:r>
        <w:rPr>
          <w:rFonts w:hint="eastAsia" w:hAnsi="宋体" w:cs="宋体"/>
          <w:sz w:val="21"/>
          <w:szCs w:val="21"/>
        </w:rPr>
        <w:t xml:space="preserve">、</w:t>
      </w:r>
      <w:bookmarkStart w:id="229" w:name="_Toc1609"/>
      <w:r>
        <w:rPr>
          <w:rFonts w:hint="eastAsia" w:hAnsi="宋体" w:cs="宋体"/>
          <w:sz w:val="21"/>
          <w:szCs w:val="21"/>
        </w:rPr>
        <w:t xml:space="preserve">视频文件管理</w:t>
      </w:r>
      <w:bookmarkEnd w:id="229"/>
      <w:r>
        <w:rPr>
          <w:rFonts w:hint="eastAsia" w:hAnsi="宋体" w:cs="宋体"/>
          <w:sz w:val="21"/>
          <w:szCs w:val="21"/>
        </w:rPr>
        <w:t xml:space="preserve">、</w:t>
      </w:r>
      <w:bookmarkStart w:id="230" w:name="_Toc3922"/>
      <w:r>
        <w:rPr>
          <w:rFonts w:hint="eastAsia" w:hAnsi="宋体" w:cs="宋体"/>
          <w:sz w:val="21"/>
          <w:szCs w:val="21"/>
        </w:rPr>
        <w:t xml:space="preserve">云录制文件管理</w:t>
      </w:r>
      <w:bookmarkEnd w:id="230"/>
      <w:r>
        <w:rPr>
          <w:rFonts w:hint="eastAsia" w:hAnsi="宋体" w:cs="宋体"/>
          <w:sz w:val="21"/>
          <w:szCs w:val="21"/>
        </w:rPr>
        <w:t xml:space="preserve">、</w:t>
      </w:r>
      <w:bookmarkStart w:id="231" w:name="_Toc14234"/>
      <w:r>
        <w:rPr>
          <w:rFonts w:hint="eastAsia" w:hAnsi="宋体" w:cs="宋体"/>
          <w:sz w:val="21"/>
          <w:szCs w:val="21"/>
        </w:rPr>
        <w:t xml:space="preserve">录制规则管理</w:t>
      </w:r>
      <w:bookmarkEnd w:id="231"/>
      <w:r>
        <w:rPr>
          <w:rFonts w:hint="eastAsia" w:hAnsi="宋体" w:cs="宋体"/>
          <w:sz w:val="21"/>
          <w:szCs w:val="21"/>
        </w:rPr>
        <w:t xml:space="preserve">等。</w:t>
      </w:r>
      <w:r/>
    </w:p>
    <w:p>
      <w:pPr>
        <w:pStyle w:val="970"/>
        <w:spacing w:line="372" w:lineRule="auto"/>
      </w:pPr>
      <w:r>
        <w:rPr>
          <w:rFonts w:hint="eastAsia"/>
        </w:rPr>
        <w:t xml:space="preserve">专题智库建设</w:t>
      </w:r>
      <w:r/>
    </w:p>
    <w:p>
      <w:pPr>
        <w:pStyle w:val="1066"/>
        <w:ind w:firstLine="420"/>
        <w:spacing w:line="372" w:lineRule="auto"/>
        <w:rPr>
          <w:rFonts w:hAnsi="宋体" w:cs="宋体"/>
          <w:sz w:val="21"/>
          <w:szCs w:val="21"/>
        </w:rPr>
      </w:pPr>
      <w:r>
        <w:rPr>
          <w:rFonts w:hint="eastAsia" w:hAnsi="宋体" w:cs="宋体"/>
          <w:sz w:val="21"/>
          <w:szCs w:val="21"/>
        </w:rPr>
        <w:t xml:space="preserve">包括：政策库、企业库、个人库、标签库、历史奖补库等。</w:t>
      </w:r>
      <w:r/>
    </w:p>
    <w:p>
      <w:pPr>
        <w:pStyle w:val="970"/>
        <w:spacing w:line="372" w:lineRule="auto"/>
      </w:pPr>
      <w:r>
        <w:rPr>
          <w:rFonts w:hint="eastAsia"/>
        </w:rPr>
        <w:t xml:space="preserve">系统对接整合</w:t>
      </w:r>
      <w:r/>
    </w:p>
    <w:p>
      <w:pPr>
        <w:pStyle w:val="1066"/>
        <w:ind w:firstLine="420"/>
        <w:spacing w:line="372" w:lineRule="auto"/>
        <w:rPr>
          <w:rFonts w:hAnsi="宋体" w:cs="宋体"/>
          <w:sz w:val="21"/>
          <w:szCs w:val="21"/>
        </w:rPr>
      </w:pPr>
      <w:r>
        <w:rPr>
          <w:rFonts w:hint="eastAsia" w:hAnsi="宋体" w:cs="宋体"/>
          <w:sz w:val="21"/>
          <w:szCs w:val="21"/>
        </w:rPr>
        <w:t xml:space="preserve">包括：与太仓市“一网通办”平台、太仓市公共信用信息服务平台、新市民金融平台、电子证照系统、太仓市中介超市平台、企服中心平台、云招商平台、太易居、人才创新创业服务平台、太仓政务资源自助超市以及苏州市共享平台等平台对接。</w:t>
      </w:r>
      <w:r/>
    </w:p>
    <w:p>
      <w:pPr>
        <w:pStyle w:val="970"/>
        <w:spacing w:line="372" w:lineRule="auto"/>
      </w:pPr>
      <w:r>
        <w:rPr>
          <w:rFonts w:hint="eastAsia"/>
        </w:rPr>
        <w:t xml:space="preserve">项目梳理工作</w:t>
      </w:r>
      <w:r/>
    </w:p>
    <w:p>
      <w:pPr>
        <w:pStyle w:val="1066"/>
        <w:ind w:firstLine="420"/>
        <w:spacing w:line="372" w:lineRule="auto"/>
        <w:rPr>
          <w:rFonts w:hAnsi="宋体" w:cs="宋体"/>
          <w:sz w:val="21"/>
          <w:szCs w:val="21"/>
        </w:rPr>
      </w:pPr>
      <w:r>
        <w:rPr>
          <w:rFonts w:hint="eastAsia" w:hAnsi="宋体" w:cs="宋体"/>
          <w:sz w:val="21"/>
          <w:szCs w:val="21"/>
        </w:rPr>
        <w:t xml:space="preserve">包括：政策梳理、产业链梳理等。</w:t>
      </w:r>
      <w:r/>
    </w:p>
    <w:p>
      <w:pPr>
        <w:pStyle w:val="1066"/>
        <w:ind w:firstLine="420"/>
        <w:spacing w:line="372" w:lineRule="auto"/>
        <w:rPr>
          <w:rFonts w:hAnsi="宋体" w:cs="宋体"/>
          <w:sz w:val="21"/>
          <w:szCs w:val="21"/>
        </w:rPr>
      </w:pPr>
      <w:r>
        <w:rPr>
          <w:rFonts w:hAnsi="宋体" w:cs="宋体"/>
          <w:sz w:val="21"/>
          <w:szCs w:val="21"/>
        </w:rPr>
      </w:r>
      <w:r/>
    </w:p>
    <w:p>
      <w:pPr>
        <w:pStyle w:val="968"/>
        <w:spacing w:line="372" w:lineRule="auto"/>
      </w:pPr>
      <w:r>
        <w:rPr>
          <w:rFonts w:hint="eastAsia"/>
        </w:rPr>
        <w:t xml:space="preserve">智慧公交生物识别乘车系统</w:t>
      </w:r>
      <w:r/>
    </w:p>
    <w:p>
      <w:pPr>
        <w:pStyle w:val="969"/>
        <w:spacing w:line="372" w:lineRule="auto"/>
        <w:rPr>
          <w:rFonts w:ascii="宋体" w:hAnsi="宋体" w:cs="宋体"/>
        </w:rPr>
      </w:pPr>
      <w:r>
        <w:rPr>
          <w:rFonts w:hint="eastAsia" w:ascii="宋体" w:hAnsi="宋体" w:cs="宋体"/>
        </w:rPr>
        <w:t xml:space="preserve">公交无感支付系统</w:t>
      </w:r>
      <w:r/>
    </w:p>
    <w:p>
      <w:pPr>
        <w:pStyle w:val="970"/>
        <w:spacing w:line="372" w:lineRule="auto"/>
        <w:tabs>
          <w:tab w:val="left" w:pos="312" w:leader="none"/>
        </w:tabs>
      </w:pPr>
      <w:r>
        <w:rPr>
          <w:rFonts w:hint="eastAsia"/>
        </w:rPr>
        <w:t xml:space="preserve">系统概述</w:t>
      </w:r>
      <w:r/>
    </w:p>
    <w:p>
      <w:pPr>
        <w:pStyle w:val="1066"/>
        <w:ind w:firstLine="420"/>
        <w:spacing w:line="372" w:lineRule="auto"/>
        <w:rPr>
          <w:rFonts w:hAnsi="宋体" w:cs="宋体"/>
          <w:sz w:val="21"/>
          <w:szCs w:val="21"/>
        </w:rPr>
      </w:pPr>
      <w:r>
        <w:rPr>
          <w:rFonts w:hint="eastAsia" w:hAnsi="宋体" w:cs="宋体"/>
          <w:sz w:val="21"/>
          <w:szCs w:val="21"/>
        </w:rPr>
        <w:t xml:space="preserve">随着金融科技的创新发展，二维码支付逐渐普及，移动支付开始进入下一个阶段的争夺。公共交通领域，从现金支付到NFC支付，再到扫码支付，再到现在的刷脸支付，移动支付的技术变革，在交通领域有很好的体现，也见证着时代的变化。太仓公交乘车无感支付实现用户不带手机，也能乘车的无感支付体验，同时支持老人、小孩、学生的免费乘车。以最大限度降低刷卡扫码等方式带来的间接接触。</w:t>
      </w:r>
      <w:r/>
    </w:p>
    <w:p>
      <w:pPr>
        <w:pStyle w:val="970"/>
        <w:spacing w:line="372" w:lineRule="auto"/>
        <w:tabs>
          <w:tab w:val="left" w:pos="312" w:leader="none"/>
        </w:tabs>
      </w:pPr>
      <w:r>
        <w:rPr>
          <w:rFonts w:hint="eastAsia"/>
        </w:rPr>
        <w:t xml:space="preserve">系统功能</w:t>
      </w:r>
      <w:r/>
    </w:p>
    <w:p>
      <w:pPr>
        <w:numPr>
          <w:ilvl w:val="255"/>
          <w:numId w:val="0"/>
        </w:numPr>
        <w:ind w:left="440"/>
        <w:spacing w:line="372" w:lineRule="auto"/>
        <w:rPr>
          <w:rFonts w:ascii="宋体" w:hAnsi="宋体" w:eastAsia="宋体" w:cs="宋体"/>
          <w:b/>
          <w:bCs/>
          <w:sz w:val="21"/>
          <w:szCs w:val="21"/>
        </w:rPr>
      </w:pPr>
      <w:r>
        <w:rPr>
          <w:rFonts w:hint="eastAsia" w:ascii="宋体" w:hAnsi="宋体" w:eastAsia="宋体" w:cs="宋体"/>
          <w:b/>
          <w:bCs/>
          <w:sz w:val="21"/>
          <w:szCs w:val="21"/>
        </w:rPr>
        <w:t xml:space="preserve">生物识别乘车，上传订单数据</w:t>
      </w:r>
      <w:r/>
    </w:p>
    <w:p>
      <w:pPr>
        <w:pStyle w:val="1066"/>
        <w:ind w:firstLine="420"/>
        <w:spacing w:line="372" w:lineRule="auto"/>
        <w:rPr>
          <w:rFonts w:hAnsi="宋体" w:cs="宋体"/>
          <w:sz w:val="21"/>
          <w:szCs w:val="21"/>
        </w:rPr>
      </w:pPr>
      <w:r>
        <w:rPr>
          <w:rFonts w:hint="eastAsia" w:hAnsi="宋体" w:cs="宋体"/>
          <w:sz w:val="21"/>
          <w:szCs w:val="21"/>
        </w:rPr>
        <w:t xml:space="preserve">通过识别乘客的面部特征或掌静脉信息与系统中预存的信息进行比对，通过生物识别验证完成乘车后，相关的乘车信息会被即时收集并上传至前置系统。</w:t>
      </w:r>
      <w:r/>
    </w:p>
    <w:p>
      <w:pPr>
        <w:numPr>
          <w:ilvl w:val="255"/>
          <w:numId w:val="0"/>
        </w:numPr>
        <w:ind w:left="440"/>
        <w:spacing w:line="372" w:lineRule="auto"/>
        <w:rPr>
          <w:rFonts w:ascii="宋体" w:hAnsi="宋体" w:eastAsia="宋体" w:cs="宋体"/>
          <w:b/>
          <w:bCs/>
          <w:sz w:val="21"/>
          <w:szCs w:val="21"/>
        </w:rPr>
      </w:pPr>
      <w:r>
        <w:rPr>
          <w:rFonts w:hint="eastAsia" w:ascii="宋体" w:hAnsi="宋体" w:eastAsia="宋体" w:cs="宋体"/>
          <w:b/>
          <w:bCs/>
          <w:sz w:val="21"/>
          <w:szCs w:val="21"/>
        </w:rPr>
        <w:t xml:space="preserve">订单数据入库</w:t>
      </w:r>
      <w:r/>
    </w:p>
    <w:p>
      <w:pPr>
        <w:pStyle w:val="1066"/>
        <w:ind w:firstLine="420"/>
        <w:spacing w:line="372" w:lineRule="auto"/>
        <w:rPr>
          <w:rFonts w:hAnsi="宋体" w:cs="宋体"/>
          <w:sz w:val="21"/>
          <w:szCs w:val="21"/>
        </w:rPr>
      </w:pPr>
      <w:r>
        <w:rPr>
          <w:rFonts w:hint="eastAsia" w:hAnsi="宋体" w:cs="宋体"/>
          <w:sz w:val="21"/>
          <w:szCs w:val="21"/>
        </w:rPr>
        <w:t xml:space="preserve">前置系统作为数据处理的中转站，负责接收来自各个生物识别设备的原始订单数据，并进行初步的处理和整理，为后续的数据处理和分析做准备。</w:t>
      </w:r>
      <w:r/>
    </w:p>
    <w:p>
      <w:pPr>
        <w:numPr>
          <w:ilvl w:val="255"/>
          <w:numId w:val="0"/>
        </w:numPr>
        <w:ind w:left="440"/>
        <w:spacing w:line="372" w:lineRule="auto"/>
        <w:rPr>
          <w:rFonts w:ascii="宋体" w:hAnsi="宋体" w:eastAsia="宋体" w:cs="宋体"/>
          <w:b/>
          <w:bCs/>
          <w:sz w:val="21"/>
          <w:szCs w:val="21"/>
        </w:rPr>
      </w:pPr>
      <w:r>
        <w:rPr>
          <w:rFonts w:hint="eastAsia" w:ascii="宋体" w:hAnsi="宋体" w:eastAsia="宋体" w:cs="宋体"/>
          <w:b/>
          <w:bCs/>
          <w:sz w:val="21"/>
          <w:szCs w:val="21"/>
        </w:rPr>
        <w:t xml:space="preserve">订单数据清算汇总</w:t>
      </w:r>
      <w:r/>
    </w:p>
    <w:p>
      <w:pPr>
        <w:pStyle w:val="1066"/>
        <w:ind w:firstLine="420"/>
        <w:spacing w:line="372" w:lineRule="auto"/>
        <w:rPr>
          <w:rFonts w:hAnsi="宋体" w:cs="宋体"/>
          <w:sz w:val="21"/>
          <w:szCs w:val="21"/>
        </w:rPr>
      </w:pPr>
      <w:r>
        <w:rPr>
          <w:rFonts w:hint="eastAsia" w:hAnsi="宋体" w:cs="宋体"/>
          <w:sz w:val="21"/>
          <w:szCs w:val="21"/>
        </w:rPr>
        <w:t xml:space="preserve">在收到前置系统传来的订单数据后，系统会进行一系列的清算汇总工作。主要包括数据去重、消费数据核验以及数据的分类汇总。</w:t>
      </w:r>
      <w:r/>
    </w:p>
    <w:p>
      <w:pPr>
        <w:numPr>
          <w:ilvl w:val="255"/>
          <w:numId w:val="0"/>
        </w:numPr>
        <w:ind w:left="440"/>
        <w:spacing w:line="372" w:lineRule="auto"/>
        <w:rPr>
          <w:rFonts w:ascii="宋体" w:hAnsi="宋体" w:eastAsia="宋体" w:cs="宋体"/>
          <w:b/>
          <w:bCs/>
          <w:sz w:val="21"/>
          <w:szCs w:val="21"/>
        </w:rPr>
      </w:pPr>
      <w:r>
        <w:rPr>
          <w:rFonts w:hint="eastAsia" w:ascii="宋体" w:hAnsi="宋体" w:eastAsia="宋体" w:cs="宋体"/>
          <w:b/>
          <w:bCs/>
          <w:sz w:val="21"/>
          <w:szCs w:val="21"/>
        </w:rPr>
        <w:t xml:space="preserve">订单数据对账</w:t>
      </w:r>
      <w:r/>
    </w:p>
    <w:p>
      <w:pPr>
        <w:pStyle w:val="1066"/>
        <w:ind w:firstLine="420"/>
        <w:rPr>
          <w:rFonts w:hAnsi="宋体" w:cs="宋体"/>
          <w:sz w:val="21"/>
          <w:szCs w:val="21"/>
        </w:rPr>
      </w:pPr>
      <w:r>
        <w:rPr>
          <w:rFonts w:hint="eastAsia" w:hAnsi="宋体" w:cs="宋体"/>
          <w:sz w:val="21"/>
          <w:szCs w:val="21"/>
        </w:rPr>
        <w:t xml:space="preserve">系统会根据清算汇总的结果与相关的支付系统进行对账。对账的主要目的是确保乘车订单的正确。系统会对每一笔乘车记录进行核对，确保与乘客的乘车记录和车载终端数据一致，并将对账结果反馈给相关人员进行进一步的审核和处理。</w:t>
      </w:r>
      <w:r/>
    </w:p>
    <w:p>
      <w:pPr>
        <w:pStyle w:val="970"/>
        <w:tabs>
          <w:tab w:val="left" w:pos="312" w:leader="none"/>
        </w:tabs>
      </w:pPr>
      <w:r>
        <w:rPr>
          <w:rFonts w:hint="eastAsia"/>
        </w:rPr>
        <w:t xml:space="preserve">主要设备参数</w:t>
      </w:r>
      <w:r/>
    </w:p>
    <w:p>
      <w:pPr>
        <w:numPr>
          <w:ilvl w:val="255"/>
          <w:numId w:val="0"/>
        </w:numPr>
        <w:ind w:left="440"/>
        <w:spacing w:line="372" w:lineRule="auto"/>
        <w:rPr>
          <w:rFonts w:ascii="宋体" w:hAnsi="宋体" w:eastAsia="宋体" w:cs="宋体"/>
          <w:b/>
          <w:bCs/>
          <w:sz w:val="21"/>
          <w:szCs w:val="21"/>
        </w:rPr>
      </w:pPr>
      <w:r>
        <w:rPr>
          <w:rFonts w:hint="eastAsia" w:ascii="宋体" w:hAnsi="宋体" w:eastAsia="宋体" w:cs="宋体"/>
          <w:b/>
          <w:bCs/>
          <w:sz w:val="21"/>
          <w:szCs w:val="21"/>
        </w:rPr>
        <w:t xml:space="preserve">1、车载三合一支付一体机</w:t>
      </w:r>
      <w:r/>
    </w:p>
    <w:tbl>
      <w:tblPr>
        <w:tblStyle w:val="1054"/>
        <w:tblW w:w="8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8"/>
        <w:gridCol w:w="7061"/>
      </w:tblGrid>
      <w:tr>
        <w:trPr>
          <w:jc w:val="center"/>
          <w:trHeight w:val="295"/>
        </w:trPr>
        <w:tc>
          <w:tcPr>
            <w:tcW w:w="1138"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CPU 主频</w:t>
            </w:r>
            <w:r/>
          </w:p>
        </w:tc>
        <w:tc>
          <w:tcPr>
            <w:tcW w:w="7061"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≥8核处理器  ≥1.8GHz</w:t>
            </w:r>
            <w:r/>
          </w:p>
        </w:tc>
      </w:tr>
      <w:tr>
        <w:trPr>
          <w:jc w:val="center"/>
          <w:trHeight w:val="295"/>
        </w:trPr>
        <w:tc>
          <w:tcPr>
            <w:tcW w:w="1138"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内存 </w:t>
            </w:r>
            <w:r/>
          </w:p>
        </w:tc>
        <w:tc>
          <w:tcPr>
            <w:tcW w:w="7061"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lang w:bidi="ar"/>
              </w:rPr>
              <w:t xml:space="preserve">不低于DDR </w:t>
            </w:r>
            <w:r>
              <w:rPr>
                <w:rFonts w:hint="eastAsia" w:ascii="宋体" w:hAnsi="宋体" w:eastAsia="宋体" w:cs="宋体"/>
                <w:sz w:val="21"/>
                <w:szCs w:val="21"/>
              </w:rPr>
              <w:t xml:space="preserve">2GB    </w:t>
            </w:r>
            <w:r/>
          </w:p>
        </w:tc>
      </w:tr>
      <w:tr>
        <w:trPr>
          <w:jc w:val="center"/>
          <w:trHeight w:val="295"/>
        </w:trPr>
        <w:tc>
          <w:tcPr>
            <w:tcW w:w="1138"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内置存储</w:t>
            </w:r>
            <w:r/>
          </w:p>
        </w:tc>
        <w:tc>
          <w:tcPr>
            <w:tcW w:w="7061"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lang w:bidi="ar"/>
              </w:rPr>
              <w:t xml:space="preserve">不低于EMMC </w:t>
            </w:r>
            <w:r>
              <w:rPr>
                <w:rFonts w:hint="eastAsia" w:ascii="宋体" w:hAnsi="宋体" w:eastAsia="宋体" w:cs="宋体"/>
                <w:sz w:val="21"/>
                <w:szCs w:val="21"/>
              </w:rPr>
              <w:t xml:space="preserve">16GB</w:t>
            </w:r>
            <w:r/>
          </w:p>
        </w:tc>
      </w:tr>
      <w:tr>
        <w:trPr>
          <w:jc w:val="center"/>
          <w:trHeight w:val="545"/>
        </w:trPr>
        <w:tc>
          <w:tcPr>
            <w:tcW w:w="1138" w:type="dxa"/>
            <w:vAlign w:val="center"/>
            <w:vMerge w:val="restart"/>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网络</w:t>
            </w:r>
            <w:r/>
          </w:p>
        </w:tc>
        <w:tc>
          <w:tcPr>
            <w:tcW w:w="7061"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4G网络：支持 LTE-FDD:B1/B3/B5/B8、支持LTE-TDD:B34/B38/B39/B40/B41、支持WCDMA:B1/B8、支持CDMA:BCO、支持 GSM900/1800MHz</w:t>
            </w:r>
            <w:r/>
          </w:p>
        </w:tc>
      </w:tr>
      <w:tr>
        <w:trPr>
          <w:jc w:val="center"/>
          <w:trHeight w:val="295"/>
        </w:trPr>
        <w:tc>
          <w:tcPr>
            <w:tcW w:w="1138"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W w:w="7061"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以太网：10/100M自适应接口</w:t>
            </w:r>
            <w:r/>
          </w:p>
        </w:tc>
      </w:tr>
      <w:tr>
        <w:trPr>
          <w:jc w:val="center"/>
          <w:trHeight w:val="295"/>
        </w:trPr>
        <w:tc>
          <w:tcPr>
            <w:tcW w:w="1138"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W w:w="7061"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WIFI：支持2.4G和5G双频模式</w:t>
            </w:r>
            <w:r/>
          </w:p>
        </w:tc>
      </w:tr>
      <w:tr>
        <w:trPr>
          <w:jc w:val="center"/>
          <w:trHeight w:val="295"/>
        </w:trPr>
        <w:tc>
          <w:tcPr>
            <w:tcW w:w="1138"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W w:w="7061"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蓝牙：支持BT4.2(BR/EDR+BLE)</w:t>
            </w:r>
            <w:r/>
          </w:p>
        </w:tc>
      </w:tr>
      <w:tr>
        <w:trPr>
          <w:jc w:val="center"/>
          <w:trHeight w:val="295"/>
        </w:trPr>
        <w:tc>
          <w:tcPr>
            <w:tcW w:w="1138"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按键</w:t>
            </w:r>
            <w:r/>
          </w:p>
        </w:tc>
        <w:tc>
          <w:tcPr>
            <w:tcW w:w="7061"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至少4颗功能按键，至少1人脸触发按键；</w:t>
            </w:r>
            <w:r/>
          </w:p>
        </w:tc>
      </w:tr>
      <w:tr>
        <w:trPr>
          <w:jc w:val="center"/>
          <w:trHeight w:val="295"/>
        </w:trPr>
        <w:tc>
          <w:tcPr>
            <w:tcW w:w="1138"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时钟</w:t>
            </w:r>
            <w:r/>
          </w:p>
        </w:tc>
        <w:tc>
          <w:tcPr>
            <w:tcW w:w="7061"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内置实时时钟供电电池，保持在掉电期间时间不丢失</w:t>
            </w:r>
            <w:r/>
          </w:p>
        </w:tc>
      </w:tr>
      <w:tr>
        <w:trPr>
          <w:jc w:val="center"/>
          <w:trHeight w:val="295"/>
        </w:trPr>
        <w:tc>
          <w:tcPr>
            <w:tcW w:w="1138"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PSAM卡槽</w:t>
            </w:r>
            <w:r/>
          </w:p>
        </w:tc>
        <w:tc>
          <w:tcPr>
            <w:tcW w:w="7061"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数量：至少五个</w:t>
            </w:r>
            <w:r/>
          </w:p>
        </w:tc>
      </w:tr>
      <w:tr>
        <w:trPr>
          <w:jc w:val="center"/>
          <w:trHeight w:val="295"/>
        </w:trPr>
        <w:tc>
          <w:tcPr>
            <w:tcW w:w="1138"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二维码</w:t>
            </w:r>
            <w:r/>
          </w:p>
        </w:tc>
        <w:tc>
          <w:tcPr>
            <w:tcW w:w="7061"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一/二维码，4cm~25cm；</w:t>
            </w:r>
            <w:r/>
          </w:p>
        </w:tc>
      </w:tr>
      <w:tr>
        <w:trPr>
          <w:jc w:val="center"/>
          <w:trHeight w:val="295"/>
        </w:trPr>
        <w:tc>
          <w:tcPr>
            <w:tcW w:w="1138"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读卡</w:t>
            </w:r>
            <w:r/>
          </w:p>
        </w:tc>
        <w:tc>
          <w:tcPr>
            <w:tcW w:w="7061"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ISO/IEC14443TypeA/B、MIFARE、Felica</w:t>
            </w:r>
            <w:r/>
          </w:p>
        </w:tc>
      </w:tr>
      <w:tr>
        <w:trPr>
          <w:jc w:val="center"/>
          <w:trHeight w:val="295"/>
        </w:trPr>
        <w:tc>
          <w:tcPr>
            <w:tcW w:w="1138"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显示</w:t>
            </w:r>
            <w:r/>
          </w:p>
        </w:tc>
        <w:tc>
          <w:tcPr>
            <w:tcW w:w="7061"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不低于7寸 LCD屏 ，分辨率不低于1024*600</w:t>
            </w:r>
            <w:r/>
          </w:p>
        </w:tc>
      </w:tr>
      <w:tr>
        <w:trPr>
          <w:jc w:val="center"/>
          <w:trHeight w:val="295"/>
        </w:trPr>
        <w:tc>
          <w:tcPr>
            <w:tcW w:w="1138"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接口</w:t>
            </w:r>
            <w:r/>
          </w:p>
        </w:tc>
        <w:tc>
          <w:tcPr>
            <w:tcW w:w="7061"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Micro-USB接口、USB2.0、RS232</w:t>
            </w:r>
            <w:r/>
          </w:p>
        </w:tc>
      </w:tr>
      <w:tr>
        <w:trPr>
          <w:jc w:val="center"/>
          <w:trHeight w:val="295"/>
        </w:trPr>
        <w:tc>
          <w:tcPr>
            <w:tcW w:w="1138"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人脸识别</w:t>
            </w:r>
            <w:r/>
          </w:p>
        </w:tc>
        <w:tc>
          <w:tcPr>
            <w:tcW w:w="7061"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整体识别速度≤1秒</w:t>
            </w:r>
            <w:r/>
          </w:p>
        </w:tc>
      </w:tr>
      <w:tr>
        <w:trPr>
          <w:jc w:val="center"/>
          <w:trHeight w:val="295"/>
        </w:trPr>
        <w:tc>
          <w:tcPr>
            <w:tcW w:w="1138"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人脸底库</w:t>
            </w:r>
            <w:r/>
          </w:p>
        </w:tc>
        <w:tc>
          <w:tcPr>
            <w:tcW w:w="7061"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不低于10万本地库  </w:t>
            </w:r>
            <w:r/>
          </w:p>
        </w:tc>
      </w:tr>
      <w:tr>
        <w:trPr>
          <w:jc w:val="center"/>
          <w:trHeight w:val="295"/>
        </w:trPr>
        <w:tc>
          <w:tcPr>
            <w:tcW w:w="1138"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拓展功能</w:t>
            </w:r>
            <w:r/>
          </w:p>
        </w:tc>
        <w:tc>
          <w:tcPr>
            <w:tcW w:w="7061"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刷身份证</w:t>
            </w:r>
            <w:r/>
          </w:p>
        </w:tc>
      </w:tr>
      <w:tr>
        <w:trPr>
          <w:jc w:val="center"/>
          <w:trHeight w:val="295"/>
        </w:trPr>
        <w:tc>
          <w:tcPr>
            <w:tcW w:w="1138"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电源</w:t>
            </w:r>
            <w:r/>
          </w:p>
        </w:tc>
        <w:tc>
          <w:tcPr>
            <w:tcW w:w="7061"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支持 7-36V 直流电源输入  功率≤9W</w:t>
            </w:r>
            <w:r/>
          </w:p>
        </w:tc>
      </w:tr>
      <w:tr>
        <w:trPr>
          <w:jc w:val="center"/>
          <w:trHeight w:val="589"/>
        </w:trPr>
        <w:tc>
          <w:tcPr>
            <w:tcW w:w="1138"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使用环境</w:t>
            </w:r>
            <w:r/>
          </w:p>
        </w:tc>
        <w:tc>
          <w:tcPr>
            <w:tcW w:w="7061"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工作环境温度：-20℃~+60℃、储存环境温度：-40℃~+80℃、工作环境湿度：40℃ 15%~95%RH(不结露)、储存环境湿度：50℃  5%~95%RH</w:t>
            </w:r>
            <w:r/>
          </w:p>
        </w:tc>
      </w:tr>
    </w:tbl>
    <w:p>
      <w:pPr>
        <w:numPr>
          <w:ilvl w:val="255"/>
          <w:numId w:val="0"/>
        </w:numPr>
        <w:ind w:left="440"/>
        <w:spacing w:before="156" w:line="372" w:lineRule="auto"/>
        <w:rPr>
          <w:rFonts w:ascii="宋体" w:hAnsi="宋体" w:eastAsia="宋体" w:cs="宋体"/>
          <w:b/>
          <w:bCs/>
          <w:sz w:val="21"/>
          <w:szCs w:val="21"/>
        </w:rPr>
      </w:pPr>
      <w:r>
        <w:rPr>
          <w:rFonts w:hint="eastAsia" w:ascii="宋体" w:hAnsi="宋体" w:eastAsia="宋体" w:cs="宋体"/>
          <w:b/>
          <w:bCs/>
          <w:sz w:val="21"/>
          <w:szCs w:val="21"/>
        </w:rPr>
        <w:t xml:space="preserve">2、掌静脉采集仪</w:t>
      </w:r>
      <w:r/>
    </w:p>
    <w:tbl>
      <w:tblPr>
        <w:tblStyle w:val="976"/>
        <w:tblW w:w="8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23"/>
        <w:gridCol w:w="6276"/>
      </w:tblGrid>
      <w:tr>
        <w:trPr>
          <w:jc w:val="center"/>
          <w:trHeight w:val="270"/>
        </w:trPr>
        <w:tc>
          <w:tcPr>
            <w:tcW w:w="1923"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操作系统</w:t>
            </w:r>
            <w:r/>
          </w:p>
        </w:tc>
        <w:tc>
          <w:tcPr>
            <w:tcW w:w="6276"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Linux</w:t>
            </w:r>
            <w:r/>
          </w:p>
        </w:tc>
      </w:tr>
      <w:tr>
        <w:trPr>
          <w:jc w:val="center"/>
          <w:trHeight w:val="270"/>
        </w:trPr>
        <w:tc>
          <w:tcPr>
            <w:tcW w:w="1923"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处 理 器</w:t>
            </w:r>
            <w:r/>
          </w:p>
        </w:tc>
        <w:tc>
          <w:tcPr>
            <w:tcW w:w="6276"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lang w:bidi="ar"/>
              </w:rPr>
              <w:t xml:space="preserve">不低于</w:t>
            </w:r>
            <w:r>
              <w:rPr>
                <w:rFonts w:hint="eastAsia" w:ascii="宋体" w:hAnsi="宋体" w:eastAsia="宋体" w:cs="宋体"/>
                <w:sz w:val="21"/>
                <w:szCs w:val="21"/>
              </w:rPr>
              <w:t xml:space="preserve">Cortex-A35 ≥4核 64位</w:t>
            </w:r>
            <w:r/>
          </w:p>
        </w:tc>
      </w:tr>
      <w:tr>
        <w:trPr>
          <w:jc w:val="center"/>
          <w:trHeight w:val="270"/>
        </w:trPr>
        <w:tc>
          <w:tcPr>
            <w:tcW w:w="1923"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内    存</w:t>
            </w:r>
            <w:r/>
          </w:p>
        </w:tc>
        <w:tc>
          <w:tcPr>
            <w:tcW w:w="6276"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≥1G</w:t>
            </w:r>
            <w:r/>
          </w:p>
        </w:tc>
      </w:tr>
      <w:tr>
        <w:trPr>
          <w:jc w:val="center"/>
          <w:trHeight w:val="270"/>
        </w:trPr>
        <w:tc>
          <w:tcPr>
            <w:tcW w:w="1923"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存    储</w:t>
            </w:r>
            <w:r/>
          </w:p>
        </w:tc>
        <w:tc>
          <w:tcPr>
            <w:tcW w:w="6276"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≥8G</w:t>
            </w:r>
            <w:r/>
          </w:p>
        </w:tc>
      </w:tr>
      <w:tr>
        <w:trPr>
          <w:jc w:val="center"/>
          <w:trHeight w:val="270"/>
        </w:trPr>
        <w:tc>
          <w:tcPr>
            <w:tcW w:w="1923"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电    源</w:t>
            </w:r>
            <w:r/>
          </w:p>
        </w:tc>
        <w:tc>
          <w:tcPr>
            <w:tcW w:w="6276"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DC5V 0.5A</w:t>
            </w:r>
            <w:r/>
          </w:p>
        </w:tc>
      </w:tr>
      <w:tr>
        <w:trPr>
          <w:jc w:val="center"/>
          <w:trHeight w:val="270"/>
        </w:trPr>
        <w:tc>
          <w:tcPr>
            <w:tcW w:w="1923"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扬  声 器</w:t>
            </w:r>
            <w:r/>
          </w:p>
        </w:tc>
        <w:tc>
          <w:tcPr>
            <w:tcW w:w="6276"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至少1W*1</w:t>
            </w:r>
            <w:r/>
          </w:p>
        </w:tc>
      </w:tr>
      <w:tr>
        <w:trPr>
          <w:jc w:val="center"/>
          <w:trHeight w:val="270"/>
        </w:trPr>
        <w:tc>
          <w:tcPr>
            <w:tcW w:w="1923"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通    信</w:t>
            </w:r>
            <w:r/>
          </w:p>
        </w:tc>
        <w:tc>
          <w:tcPr>
            <w:tcW w:w="6276"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USB</w:t>
            </w:r>
            <w:r/>
          </w:p>
        </w:tc>
      </w:tr>
      <w:tr>
        <w:trPr>
          <w:jc w:val="center"/>
          <w:trHeight w:val="270"/>
        </w:trPr>
        <w:tc>
          <w:tcPr>
            <w:tcW w:w="1923"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接    口</w:t>
            </w:r>
            <w:r/>
          </w:p>
        </w:tc>
        <w:tc>
          <w:tcPr>
            <w:tcW w:w="6276"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USB Type-C</w:t>
            </w:r>
            <w:r/>
          </w:p>
        </w:tc>
      </w:tr>
      <w:tr>
        <w:trPr>
          <w:jc w:val="center"/>
          <w:trHeight w:val="270"/>
        </w:trPr>
        <w:tc>
          <w:tcPr>
            <w:tcW w:w="1923"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工作温度</w:t>
            </w:r>
            <w:r/>
          </w:p>
        </w:tc>
        <w:tc>
          <w:tcPr>
            <w:tcW w:w="6276"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-20℃～+60℃</w:t>
            </w:r>
            <w:r/>
          </w:p>
        </w:tc>
      </w:tr>
      <w:tr>
        <w:trPr>
          <w:jc w:val="center"/>
          <w:trHeight w:val="270"/>
        </w:trPr>
        <w:tc>
          <w:tcPr>
            <w:tcW w:w="1923"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工作湿度</w:t>
            </w:r>
            <w:r/>
          </w:p>
        </w:tc>
        <w:tc>
          <w:tcPr>
            <w:tcW w:w="6276"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20～90%RH</w:t>
            </w:r>
            <w:r/>
          </w:p>
        </w:tc>
      </w:tr>
      <w:tr>
        <w:trPr>
          <w:jc w:val="center"/>
          <w:trHeight w:val="270"/>
        </w:trPr>
        <w:tc>
          <w:tcPr>
            <w:tcW w:w="1923"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设备功能</w:t>
            </w:r>
            <w:r/>
          </w:p>
        </w:tc>
        <w:tc>
          <w:tcPr>
            <w:tcW w:w="6276"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接入上位机、采集手掌静脉特征</w:t>
            </w:r>
            <w:r/>
          </w:p>
        </w:tc>
      </w:tr>
      <w:tr>
        <w:trPr>
          <w:jc w:val="center"/>
          <w:trHeight w:val="270"/>
        </w:trPr>
        <w:tc>
          <w:tcPr>
            <w:tcW w:w="1923"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支持平台</w:t>
            </w:r>
            <w:r/>
          </w:p>
        </w:tc>
        <w:tc>
          <w:tcPr>
            <w:tcW w:w="6276"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Windows、Linux</w:t>
            </w:r>
            <w:r/>
          </w:p>
        </w:tc>
      </w:tr>
      <w:tr>
        <w:trPr>
          <w:jc w:val="center"/>
          <w:trHeight w:val="280"/>
        </w:trPr>
        <w:tc>
          <w:tcPr>
            <w:tcW w:w="1923"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其    它</w:t>
            </w:r>
            <w:r/>
          </w:p>
        </w:tc>
        <w:tc>
          <w:tcPr>
            <w:tcW w:w="6276"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灯光指示</w:t>
            </w:r>
            <w:r/>
          </w:p>
        </w:tc>
      </w:tr>
    </w:tbl>
    <w:p>
      <w:pPr>
        <w:numPr>
          <w:ilvl w:val="255"/>
          <w:numId w:val="0"/>
        </w:numPr>
        <w:ind w:left="440"/>
        <w:spacing w:before="156" w:line="372" w:lineRule="auto"/>
        <w:rPr>
          <w:rFonts w:ascii="宋体" w:hAnsi="宋体" w:eastAsia="宋体" w:cs="宋体"/>
          <w:b/>
          <w:bCs/>
          <w:sz w:val="21"/>
          <w:szCs w:val="21"/>
        </w:rPr>
      </w:pPr>
      <w:r>
        <w:rPr>
          <w:rFonts w:hint="eastAsia" w:ascii="宋体" w:hAnsi="宋体" w:eastAsia="宋体" w:cs="宋体"/>
          <w:b/>
          <w:bCs/>
          <w:sz w:val="21"/>
          <w:szCs w:val="21"/>
        </w:rPr>
        <w:t xml:space="preserve">3、掌静脉识终端</w:t>
      </w:r>
      <w:r/>
    </w:p>
    <w:tbl>
      <w:tblPr>
        <w:tblStyle w:val="976"/>
        <w:tblW w:w="83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30"/>
        <w:gridCol w:w="6309"/>
      </w:tblGrid>
      <w:tr>
        <w:trPr>
          <w:jc w:val="center"/>
          <w:trHeight w:val="275"/>
        </w:trPr>
        <w:tc>
          <w:tcPr>
            <w:tcW w:w="2030"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IP等级</w:t>
            </w:r>
            <w:r/>
          </w:p>
        </w:tc>
        <w:tc>
          <w:tcPr>
            <w:tcW w:w="6309"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不低于IP65</w:t>
            </w:r>
            <w:r/>
          </w:p>
        </w:tc>
      </w:tr>
      <w:tr>
        <w:trPr>
          <w:jc w:val="center"/>
          <w:trHeight w:val="275"/>
        </w:trPr>
        <w:tc>
          <w:tcPr>
            <w:tcW w:w="2030"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显    示</w:t>
            </w:r>
            <w:r/>
          </w:p>
        </w:tc>
        <w:tc>
          <w:tcPr>
            <w:tcW w:w="6309"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类型:IPS、尺寸:不低于3.0、分辨率:不低于480x854</w:t>
            </w:r>
            <w:r/>
          </w:p>
        </w:tc>
      </w:tr>
      <w:tr>
        <w:trPr>
          <w:jc w:val="center"/>
          <w:trHeight w:val="275"/>
        </w:trPr>
        <w:tc>
          <w:tcPr>
            <w:tcW w:w="2030"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触   摸</w:t>
            </w:r>
            <w:r/>
          </w:p>
        </w:tc>
        <w:tc>
          <w:tcPr>
            <w:tcW w:w="6309"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电容式多点触摸</w:t>
            </w:r>
            <w:r/>
          </w:p>
        </w:tc>
      </w:tr>
      <w:tr>
        <w:trPr>
          <w:jc w:val="center"/>
          <w:trHeight w:val="275"/>
        </w:trPr>
        <w:tc>
          <w:tcPr>
            <w:tcW w:w="2030"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摄 像 头</w:t>
            </w:r>
            <w:r/>
          </w:p>
        </w:tc>
        <w:tc>
          <w:tcPr>
            <w:tcW w:w="6309"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不低于200万</w:t>
            </w:r>
            <w:r/>
          </w:p>
        </w:tc>
      </w:tr>
      <w:tr>
        <w:trPr>
          <w:jc w:val="center"/>
          <w:trHeight w:val="275"/>
        </w:trPr>
        <w:tc>
          <w:tcPr>
            <w:tcW w:w="2030"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处 理 器</w:t>
            </w:r>
            <w:r/>
          </w:p>
        </w:tc>
        <w:tc>
          <w:tcPr>
            <w:tcW w:w="6309"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不低于Cortex-A55 ≥4核 64位 ≥1.8GHz</w:t>
            </w:r>
            <w:r/>
          </w:p>
        </w:tc>
      </w:tr>
      <w:tr>
        <w:trPr>
          <w:jc w:val="center"/>
          <w:trHeight w:val="275"/>
        </w:trPr>
        <w:tc>
          <w:tcPr>
            <w:tcW w:w="2030"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内    存</w:t>
            </w:r>
            <w:r/>
          </w:p>
        </w:tc>
        <w:tc>
          <w:tcPr>
            <w:tcW w:w="6309"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≥1G</w:t>
            </w:r>
            <w:r/>
          </w:p>
        </w:tc>
      </w:tr>
      <w:tr>
        <w:trPr>
          <w:jc w:val="center"/>
          <w:trHeight w:val="275"/>
        </w:trPr>
        <w:tc>
          <w:tcPr>
            <w:tcW w:w="2030"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存    储</w:t>
            </w:r>
            <w:r/>
          </w:p>
        </w:tc>
        <w:tc>
          <w:tcPr>
            <w:tcW w:w="6309"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≥8G</w:t>
            </w:r>
            <w:r/>
          </w:p>
        </w:tc>
      </w:tr>
      <w:tr>
        <w:trPr>
          <w:jc w:val="center"/>
          <w:trHeight w:val="275"/>
        </w:trPr>
        <w:tc>
          <w:tcPr>
            <w:tcW w:w="2030"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喇    叭</w:t>
            </w:r>
            <w:r/>
          </w:p>
        </w:tc>
        <w:tc>
          <w:tcPr>
            <w:tcW w:w="6309"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不低于8Ω1W*1</w:t>
            </w:r>
            <w:r/>
          </w:p>
        </w:tc>
      </w:tr>
      <w:tr>
        <w:trPr>
          <w:jc w:val="center"/>
          <w:trHeight w:val="275"/>
        </w:trPr>
        <w:tc>
          <w:tcPr>
            <w:tcW w:w="2030"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通    迅</w:t>
            </w:r>
            <w:r/>
          </w:p>
        </w:tc>
        <w:tc>
          <w:tcPr>
            <w:tcW w:w="6309"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1、10/100/1000Mbps以太网；2、2.4G wifi；3、4G模块</w:t>
            </w:r>
            <w:r/>
          </w:p>
        </w:tc>
      </w:tr>
      <w:tr>
        <w:trPr>
          <w:jc w:val="center"/>
          <w:trHeight w:val="275"/>
        </w:trPr>
        <w:tc>
          <w:tcPr>
            <w:tcW w:w="2030"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电    源</w:t>
            </w:r>
            <w:r/>
          </w:p>
        </w:tc>
        <w:tc>
          <w:tcPr>
            <w:tcW w:w="6309"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DC10~30V 0.5A，POE Class0</w:t>
            </w:r>
            <w:r/>
          </w:p>
        </w:tc>
      </w:tr>
      <w:tr>
        <w:trPr>
          <w:jc w:val="center"/>
          <w:trHeight w:val="275"/>
        </w:trPr>
        <w:tc>
          <w:tcPr>
            <w:tcW w:w="2030"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工作温度</w:t>
            </w:r>
            <w:r/>
          </w:p>
        </w:tc>
        <w:tc>
          <w:tcPr>
            <w:tcW w:w="6309"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-20℃～+60℃</w:t>
            </w:r>
            <w:r/>
          </w:p>
        </w:tc>
      </w:tr>
      <w:tr>
        <w:trPr>
          <w:jc w:val="center"/>
          <w:trHeight w:val="275"/>
        </w:trPr>
        <w:tc>
          <w:tcPr>
            <w:tcW w:w="2030"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工作湿度</w:t>
            </w:r>
            <w:r/>
          </w:p>
        </w:tc>
        <w:tc>
          <w:tcPr>
            <w:tcW w:w="6309"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20～90%RH</w:t>
            </w:r>
            <w:r/>
          </w:p>
        </w:tc>
      </w:tr>
      <w:tr>
        <w:trPr>
          <w:jc w:val="center"/>
          <w:trHeight w:val="275"/>
        </w:trPr>
        <w:tc>
          <w:tcPr>
            <w:tcW w:w="2030"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操作系统</w:t>
            </w:r>
            <w:r/>
          </w:p>
        </w:tc>
        <w:tc>
          <w:tcPr>
            <w:tcW w:w="6309"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Linux</w:t>
            </w:r>
            <w:r/>
          </w:p>
        </w:tc>
      </w:tr>
      <w:tr>
        <w:trPr>
          <w:jc w:val="center"/>
          <w:trHeight w:val="275"/>
        </w:trPr>
        <w:tc>
          <w:tcPr>
            <w:tcW w:w="2030"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语    言</w:t>
            </w:r>
            <w:r/>
          </w:p>
        </w:tc>
        <w:tc>
          <w:tcPr>
            <w:tcW w:w="6309"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中文、英文</w:t>
            </w:r>
            <w:r/>
          </w:p>
        </w:tc>
      </w:tr>
      <w:tr>
        <w:trPr>
          <w:jc w:val="center"/>
          <w:trHeight w:val="275"/>
        </w:trPr>
        <w:tc>
          <w:tcPr>
            <w:tcW w:w="2030"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认证方式</w:t>
            </w:r>
            <w:r/>
          </w:p>
        </w:tc>
        <w:tc>
          <w:tcPr>
            <w:tcW w:w="6309"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掌静脉识别、IC卡识别</w:t>
            </w:r>
            <w:r/>
          </w:p>
        </w:tc>
      </w:tr>
      <w:tr>
        <w:trPr>
          <w:jc w:val="center"/>
          <w:trHeight w:val="356"/>
        </w:trPr>
        <w:tc>
          <w:tcPr>
            <w:tcW w:w="2030"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识 别 率</w:t>
            </w:r>
            <w:r/>
          </w:p>
        </w:tc>
        <w:tc>
          <w:tcPr>
            <w:tcW w:w="6309"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拒真率(FRR):0.01%(1次重试),认假率(FAR):&lt;0.00001%</w:t>
            </w:r>
            <w:r/>
          </w:p>
        </w:tc>
      </w:tr>
      <w:tr>
        <w:trPr>
          <w:jc w:val="center"/>
          <w:trHeight w:val="275"/>
        </w:trPr>
        <w:tc>
          <w:tcPr>
            <w:tcW w:w="2030"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识别速度</w:t>
            </w:r>
            <w:r/>
          </w:p>
        </w:tc>
        <w:tc>
          <w:tcPr>
            <w:tcW w:w="6309"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不高于0.8s</w:t>
            </w:r>
            <w:r/>
          </w:p>
        </w:tc>
      </w:tr>
      <w:tr>
        <w:trPr>
          <w:jc w:val="center"/>
          <w:trHeight w:val="535"/>
        </w:trPr>
        <w:tc>
          <w:tcPr>
            <w:tcW w:w="2030"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IC读卡技术参数</w:t>
            </w:r>
            <w:r/>
          </w:p>
        </w:tc>
        <w:tc>
          <w:tcPr>
            <w:tcW w:w="6309"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工作频率：13.56MHz；支持卡片型号：MF1 S50、 MF1 S70、FM11RF08、NTAG203、NTAG213、FM1208及其兼容卡片</w:t>
            </w:r>
            <w:r/>
          </w:p>
        </w:tc>
      </w:tr>
      <w:tr>
        <w:trPr>
          <w:jc w:val="center"/>
          <w:trHeight w:val="304"/>
        </w:trPr>
        <w:tc>
          <w:tcPr>
            <w:tcW w:w="2030"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其    它</w:t>
            </w:r>
            <w:r/>
          </w:p>
        </w:tc>
        <w:tc>
          <w:tcPr>
            <w:tcW w:w="6309"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1、语音提示；2、复位按钮；3、灯光指示</w:t>
            </w:r>
            <w:r/>
          </w:p>
        </w:tc>
      </w:tr>
      <w:tr>
        <w:trPr>
          <w:jc w:val="center"/>
          <w:trHeight w:val="302"/>
        </w:trPr>
        <w:tc>
          <w:tcPr>
            <w:tcW w:w="2030"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安装方式</w:t>
            </w:r>
            <w:r/>
          </w:p>
        </w:tc>
        <w:tc>
          <w:tcPr>
            <w:tcW w:w="6309" w:type="dxa"/>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支架安装</w:t>
            </w:r>
            <w:r/>
          </w:p>
        </w:tc>
      </w:tr>
    </w:tbl>
    <w:p>
      <w:pPr>
        <w:pStyle w:val="969"/>
        <w:spacing w:before="156"/>
        <w:rPr>
          <w:rFonts w:ascii="宋体" w:hAnsi="宋体" w:cs="宋体"/>
        </w:rPr>
      </w:pPr>
      <w:r>
        <w:rPr>
          <w:rFonts w:hint="eastAsia" w:ascii="宋体" w:hAnsi="宋体" w:cs="宋体"/>
        </w:rPr>
        <w:t xml:space="preserve">公交车客流分析管理系统</w:t>
      </w:r>
      <w:r/>
    </w:p>
    <w:p>
      <w:pPr>
        <w:pStyle w:val="970"/>
        <w:tabs>
          <w:tab w:val="left" w:pos="312" w:leader="none"/>
        </w:tabs>
      </w:pPr>
      <w:r>
        <w:rPr>
          <w:rFonts w:hint="eastAsia"/>
        </w:rPr>
        <w:t xml:space="preserve">系统概述</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系统采集的上下车客流数据，通过传输通道将客流数据传输到公交系统平台，实现公交公司对各线路车辆和站点的实时上下客人数进行展示，可根据不同线路、不同车辆、不同时间段各站点实时客流情况，按照时间周期、线路上下行方向、高峰平峰、线路、站点、车辆等不同维度，统计公交客流分布情况，并以图表等方式展示。系统通过对车辆运载能力、客流高峰期以及客流拥挤的站点和时间等数据进行科学的分析，根据分析结果采取相应的针对性措施，实现公共交通的智能化管理。</w:t>
      </w:r>
      <w:r/>
    </w:p>
    <w:p>
      <w:pPr>
        <w:pStyle w:val="970"/>
        <w:tabs>
          <w:tab w:val="left" w:pos="312" w:leader="none"/>
        </w:tabs>
      </w:pPr>
      <w:r>
        <w:rPr>
          <w:rFonts w:hint="eastAsia"/>
        </w:rPr>
        <w:t xml:space="preserve">系统功能</w:t>
      </w:r>
      <w:r/>
    </w:p>
    <w:p>
      <w:pPr>
        <w:numPr>
          <w:ilvl w:val="255"/>
          <w:numId w:val="0"/>
        </w:numPr>
        <w:ind w:left="440"/>
        <w:spacing w:line="360" w:lineRule="auto"/>
        <w:rPr>
          <w:rFonts w:ascii="宋体" w:hAnsi="宋体" w:eastAsia="宋体" w:cs="宋体"/>
          <w:b/>
          <w:bCs/>
          <w:sz w:val="21"/>
          <w:szCs w:val="21"/>
        </w:rPr>
      </w:pPr>
      <w:r>
        <w:rPr>
          <w:rFonts w:hint="eastAsia" w:ascii="宋体" w:hAnsi="宋体" w:eastAsia="宋体" w:cs="宋体"/>
          <w:b/>
          <w:bCs/>
          <w:sz w:val="21"/>
          <w:szCs w:val="21"/>
        </w:rPr>
        <w:t xml:space="preserve">1、客流查询</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1）客流明细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按部门、车辆、线路、方向、站点、日期等维度，查询客流明细数据。</w:t>
      </w:r>
      <w:r/>
    </w:p>
    <w:p>
      <w:pPr>
        <w:numPr>
          <w:ilvl w:val="255"/>
          <w:numId w:val="0"/>
        </w:numPr>
        <w:ind w:left="440"/>
        <w:spacing w:line="360" w:lineRule="auto"/>
        <w:rPr>
          <w:rFonts w:ascii="宋体" w:hAnsi="宋体" w:eastAsia="宋体" w:cs="宋体"/>
          <w:b/>
          <w:bCs/>
          <w:sz w:val="21"/>
          <w:szCs w:val="21"/>
        </w:rPr>
      </w:pPr>
      <w:r>
        <w:rPr>
          <w:rFonts w:hint="eastAsia" w:ascii="宋体" w:hAnsi="宋体" w:eastAsia="宋体" w:cs="宋体"/>
          <w:b/>
          <w:bCs/>
          <w:sz w:val="21"/>
          <w:szCs w:val="21"/>
        </w:rPr>
        <w:t xml:space="preserve">2、客流统计</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1）线路客流统计</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按部门、车辆、线路、方向、站点、日期等维度，按线路统计客流数</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2）站点客流统计</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按部门、车辆、线路、方向、站点、日期等维度，统计某一线路的各站点客流数据（上、下车人数），支持图表及列表模式。</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3）分时客流统计</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按部门、车辆、线路、方向、站点、日期等维度，按展示类型统计各个时段的客流人数，支持图表及列表模式。</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4）车辆客流统计</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rPr>
        <w:t xml:space="preserve">按部门、车辆、线路、方向、站点、日期等维度，汇总客流数据（上、下车人数），支持图表及列表模式。</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车厢人数统计</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按部门、车辆、线路、方向、日期等维度，统计线路方向每个站点的车厢人数，支持图表及列表模式。</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rPr>
        <w:t xml:space="preserve">6）</w:t>
      </w:r>
      <w:r>
        <w:rPr>
          <w:rFonts w:hint="eastAsia" w:ascii="宋体" w:hAnsi="宋体" w:eastAsia="宋体" w:cs="宋体"/>
          <w:sz w:val="21"/>
          <w:szCs w:val="21"/>
          <w:lang w:val="zh-CN"/>
        </w:rPr>
        <w:t xml:space="preserve">突发客流统计</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rPr>
        <w:t xml:space="preserve">按部门、线路、方向、日期等维度，展示车辆上报的客流明细中的客流数与历史平均客流数比对，超过异常比例值的记录。</w:t>
      </w:r>
      <w:r/>
    </w:p>
    <w:p>
      <w:pPr>
        <w:numPr>
          <w:ilvl w:val="255"/>
          <w:numId w:val="0"/>
        </w:numPr>
        <w:ind w:left="440"/>
        <w:spacing w:line="360" w:lineRule="auto"/>
        <w:rPr>
          <w:rFonts w:ascii="宋体" w:hAnsi="宋体" w:eastAsia="宋体" w:cs="宋体"/>
          <w:b/>
          <w:bCs/>
          <w:sz w:val="21"/>
          <w:szCs w:val="21"/>
        </w:rPr>
      </w:pPr>
      <w:r>
        <w:rPr>
          <w:rFonts w:hint="eastAsia" w:ascii="宋体" w:hAnsi="宋体" w:eastAsia="宋体" w:cs="宋体"/>
          <w:b/>
          <w:bCs/>
          <w:sz w:val="21"/>
          <w:szCs w:val="21"/>
        </w:rPr>
        <w:t xml:space="preserve">3、客流分析</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1）客流趋势分析</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rPr>
        <w:t xml:space="preserve">按部门、车辆、线路、方向、站点、日期等维度，按日期统计客流数据，支持图表及列表模式。</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rPr>
        <w:t xml:space="preserve">2）OD数据</w:t>
      </w:r>
      <w:r>
        <w:rPr>
          <w:rFonts w:hint="eastAsia" w:ascii="宋体" w:hAnsi="宋体" w:eastAsia="宋体" w:cs="宋体"/>
          <w:sz w:val="21"/>
          <w:szCs w:val="21"/>
          <w:lang w:val="zh-CN"/>
        </w:rPr>
        <w:t xml:space="preserve">分析</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统计每条线路各站点的上车人数及下车人数，使用图表、数据列表2种方式展示。</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线路运能匹配分析</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按部门、车辆、线路、方向、日期(时间段)维度，统计线路时间段的客流总人数、实际班次数量、计划班次数量数据，支持图表及列表模式。</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客流时空分布</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按部门、车辆、线路、方向、日期维度，在地图上用饼图将每个站上下车人数比例展示出来，鼠标放置饼图上会提示本站上、下车人数。</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车厢满载率分析</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按部门、车辆、线路、方向、站点、日期、荷载数（自定义、出厂定义）维度，统计线路下所有车辆的实际荷载率，以及展示线路最佳载客率；支持图表及列表模式。支持曲线图上的载客数据回放，且支持回放的暂停和停止。</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6）客流对比分析</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rPr>
        <w:t xml:space="preserve">按部门、线路、方向、年季度等时间为维度，统计同一线路方向不同时间维度的客流信息。</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7）运距分析</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按部门、车辆、线路、方向、日期等维度，按日期统计运距数据，支持图表及列表模式。</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8）客流分析</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按部门、车辆、线路、方向、日期类型、天气类型等维度，按日期统计客流数据，不同日期类型通过不同颜色的柱状图区分，支持图表及列表模式。</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9）客流异常数据分析</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按部门、车辆、线路、方向客流总人数小于某个值等维度，按线路统计客流异常数据。</w:t>
      </w:r>
      <w:r/>
    </w:p>
    <w:p>
      <w:pPr>
        <w:pStyle w:val="970"/>
        <w:tabs>
          <w:tab w:val="left" w:pos="312" w:leader="none"/>
        </w:tabs>
      </w:pPr>
      <w:r>
        <w:rPr>
          <w:rFonts w:hint="eastAsia"/>
        </w:rPr>
        <w:t xml:space="preserve">主要设备参数</w:t>
      </w:r>
      <w:r/>
    </w:p>
    <w:p>
      <w:pPr>
        <w:numPr>
          <w:ilvl w:val="255"/>
          <w:numId w:val="0"/>
        </w:numPr>
        <w:ind w:left="440"/>
        <w:spacing w:line="360" w:lineRule="auto"/>
        <w:rPr>
          <w:rFonts w:ascii="宋体" w:hAnsi="宋体" w:eastAsia="宋体" w:cs="宋体"/>
          <w:b/>
          <w:bCs/>
          <w:sz w:val="21"/>
          <w:szCs w:val="21"/>
        </w:rPr>
      </w:pPr>
      <w:r>
        <w:rPr>
          <w:rFonts w:hint="eastAsia" w:ascii="宋体" w:hAnsi="宋体" w:eastAsia="宋体" w:cs="宋体"/>
          <w:b/>
          <w:bCs/>
          <w:sz w:val="21"/>
          <w:szCs w:val="21"/>
        </w:rPr>
        <w:t xml:space="preserve">客流分析仪</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1）主机参数</w:t>
      </w:r>
      <w:r/>
    </w:p>
    <w:tbl>
      <w:tblPr>
        <w:tblStyle w:val="976"/>
        <w:tblW w:w="49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0"/>
        <w:gridCol w:w="1555"/>
        <w:gridCol w:w="5972"/>
      </w:tblGrid>
      <w:tr>
        <w:trPr>
          <w:jc w:val="center"/>
          <w:trHeight w:val="317"/>
          <w:tblHeader/>
        </w:trPr>
        <w:tc>
          <w:tcPr>
            <w:gridSpan w:val="2"/>
            <w:shd w:val="clear" w:color="auto" w:fill="bebebe" w:themeFill="background1" w:themeFillShade="BF"/>
            <w:tcW w:w="1427" w:type="pct"/>
            <w:vAlign w:val="center"/>
            <w:textDirection w:val="lrTb"/>
            <w:noWrap w:val="false"/>
          </w:tcPr>
          <w:p>
            <w:pPr>
              <w:ind w:firstLine="0"/>
              <w:jc w:val="center"/>
              <w:spacing w:line="240" w:lineRule="auto"/>
              <w:rPr>
                <w:rFonts w:ascii="宋体" w:hAnsi="宋体" w:eastAsia="宋体" w:cs="宋体"/>
                <w:b/>
                <w:bCs/>
                <w:sz w:val="21"/>
                <w:szCs w:val="21"/>
              </w:rPr>
            </w:pPr>
            <w:r>
              <w:rPr>
                <w:rFonts w:hint="eastAsia" w:ascii="宋体" w:hAnsi="宋体" w:eastAsia="宋体" w:cs="宋体"/>
                <w:b/>
                <w:bCs/>
                <w:sz w:val="21"/>
                <w:szCs w:val="21"/>
              </w:rPr>
              <w:t xml:space="preserve">项目</w:t>
            </w:r>
            <w:r/>
          </w:p>
        </w:tc>
        <w:tc>
          <w:tcPr>
            <w:shd w:val="clear" w:color="auto" w:fill="bebebe" w:themeFill="background1" w:themeFillShade="BF"/>
            <w:tcW w:w="3572" w:type="pct"/>
            <w:vAlign w:val="center"/>
            <w:textDirection w:val="lrTb"/>
            <w:noWrap w:val="false"/>
          </w:tcPr>
          <w:p>
            <w:pPr>
              <w:ind w:firstLine="0"/>
              <w:jc w:val="center"/>
              <w:spacing w:line="240" w:lineRule="auto"/>
              <w:rPr>
                <w:rFonts w:ascii="宋体" w:hAnsi="宋体" w:eastAsia="宋体" w:cs="宋体"/>
                <w:b/>
                <w:bCs/>
                <w:sz w:val="21"/>
                <w:szCs w:val="21"/>
              </w:rPr>
            </w:pPr>
            <w:r>
              <w:rPr>
                <w:rFonts w:hint="eastAsia" w:ascii="宋体" w:hAnsi="宋体" w:eastAsia="宋体" w:cs="宋体"/>
                <w:b/>
                <w:bCs/>
                <w:sz w:val="21"/>
                <w:szCs w:val="21"/>
              </w:rPr>
              <w:t xml:space="preserve">描述</w:t>
            </w:r>
            <w:r/>
          </w:p>
        </w:tc>
      </w:tr>
      <w:tr>
        <w:trPr>
          <w:jc w:val="center"/>
          <w:trHeight w:val="317"/>
        </w:trPr>
        <w:tc>
          <w:tcPr>
            <w:gridSpan w:val="2"/>
            <w:tcW w:w="1427" w:type="pct"/>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操作系统</w:t>
            </w:r>
            <w:r/>
          </w:p>
        </w:tc>
        <w:tc>
          <w:tcPr>
            <w:tcW w:w="3572" w:type="pct"/>
            <w:vAlign w:val="center"/>
            <w:textDirection w:val="lrTb"/>
            <w:noWrap w:val="false"/>
          </w:tcPr>
          <w:p>
            <w:pPr>
              <w:ind w:firstLine="0"/>
              <w:spacing w:line="240" w:lineRule="auto"/>
              <w:rPr>
                <w:rFonts w:ascii="宋体" w:hAnsi="宋体" w:eastAsia="宋体" w:cs="宋体"/>
                <w:sz w:val="21"/>
                <w:szCs w:val="21"/>
              </w:rPr>
            </w:pPr>
            <w:r>
              <w:rPr>
                <w:rFonts w:hint="eastAsia" w:ascii="宋体" w:hAnsi="宋体" w:eastAsia="宋体" w:cs="宋体"/>
                <w:sz w:val="21"/>
                <w:szCs w:val="21"/>
              </w:rPr>
              <w:t xml:space="preserve">Linux</w:t>
            </w:r>
            <w:r/>
          </w:p>
        </w:tc>
      </w:tr>
      <w:tr>
        <w:trPr>
          <w:jc w:val="center"/>
          <w:trHeight w:val="317"/>
        </w:trPr>
        <w:tc>
          <w:tcPr>
            <w:tcW w:w="497" w:type="pct"/>
            <w:vAlign w:val="center"/>
            <w:vMerge w:val="restart"/>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视频及预览</w:t>
            </w:r>
            <w:r/>
          </w:p>
        </w:tc>
        <w:tc>
          <w:tcPr>
            <w:tcW w:w="930" w:type="pct"/>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视频输入输出</w:t>
            </w:r>
            <w:r/>
          </w:p>
        </w:tc>
        <w:tc>
          <w:tcPr>
            <w:tcW w:w="3572" w:type="pct"/>
            <w:vAlign w:val="center"/>
            <w:textDirection w:val="lrTb"/>
            <w:noWrap w:val="false"/>
          </w:tcPr>
          <w:p>
            <w:pPr>
              <w:ind w:firstLine="0"/>
              <w:spacing w:line="240" w:lineRule="auto"/>
              <w:rPr>
                <w:rFonts w:ascii="宋体" w:hAnsi="宋体" w:eastAsia="宋体" w:cs="宋体"/>
                <w:sz w:val="21"/>
                <w:szCs w:val="21"/>
              </w:rPr>
            </w:pPr>
            <w:r>
              <w:rPr>
                <w:rFonts w:hint="eastAsia" w:ascii="宋体" w:hAnsi="宋体" w:eastAsia="宋体" w:cs="宋体"/>
                <w:sz w:val="21"/>
                <w:szCs w:val="21"/>
              </w:rPr>
              <w:t xml:space="preserve">至少4路视频输入、至少1路CVBS视频输出；</w:t>
            </w:r>
            <w:r/>
          </w:p>
        </w:tc>
      </w:tr>
      <w:tr>
        <w:trPr>
          <w:jc w:val="center"/>
          <w:trHeight w:val="317"/>
        </w:trPr>
        <w:tc>
          <w:tcPr>
            <w:tcW w:w="497" w:type="pct"/>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W w:w="930" w:type="pct"/>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OSD</w:t>
            </w:r>
            <w:r/>
          </w:p>
        </w:tc>
        <w:tc>
          <w:tcPr>
            <w:tcW w:w="3572" w:type="pct"/>
            <w:vAlign w:val="center"/>
            <w:textDirection w:val="lrTb"/>
            <w:noWrap w:val="false"/>
          </w:tcPr>
          <w:p>
            <w:pPr>
              <w:ind w:firstLine="0"/>
              <w:spacing w:line="240" w:lineRule="auto"/>
              <w:rPr>
                <w:rFonts w:ascii="宋体" w:hAnsi="宋体" w:eastAsia="宋体" w:cs="宋体"/>
                <w:sz w:val="21"/>
                <w:szCs w:val="21"/>
              </w:rPr>
            </w:pPr>
            <w:r>
              <w:rPr>
                <w:rFonts w:hint="eastAsia" w:ascii="宋体" w:hAnsi="宋体" w:eastAsia="宋体" w:cs="宋体"/>
                <w:sz w:val="21"/>
                <w:szCs w:val="21"/>
              </w:rPr>
              <w:t xml:space="preserve">字符叠加功能，时间日期、客流数据、车辆ID等信息图像叠加</w:t>
            </w:r>
            <w:r/>
          </w:p>
        </w:tc>
      </w:tr>
      <w:tr>
        <w:trPr>
          <w:jc w:val="center"/>
          <w:trHeight w:val="317"/>
        </w:trPr>
        <w:tc>
          <w:tcPr>
            <w:tcW w:w="497" w:type="pct"/>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W w:w="930" w:type="pct"/>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视频压缩格式</w:t>
            </w:r>
            <w:r/>
          </w:p>
        </w:tc>
        <w:tc>
          <w:tcPr>
            <w:tcW w:w="3572" w:type="pct"/>
            <w:vAlign w:val="center"/>
            <w:textDirection w:val="lrTb"/>
            <w:noWrap w:val="false"/>
          </w:tcPr>
          <w:p>
            <w:pPr>
              <w:ind w:firstLine="0"/>
              <w:spacing w:line="240" w:lineRule="auto"/>
              <w:rPr>
                <w:rFonts w:ascii="宋体" w:hAnsi="宋体" w:eastAsia="宋体" w:cs="宋体"/>
                <w:sz w:val="21"/>
                <w:szCs w:val="21"/>
              </w:rPr>
            </w:pPr>
            <w:r>
              <w:rPr>
                <w:rFonts w:hint="eastAsia" w:ascii="宋体" w:hAnsi="宋体" w:eastAsia="宋体" w:cs="宋体"/>
                <w:sz w:val="21"/>
                <w:szCs w:val="21"/>
              </w:rPr>
              <w:t xml:space="preserve">H.265压缩编码. </w:t>
            </w:r>
            <w:r/>
          </w:p>
        </w:tc>
      </w:tr>
      <w:tr>
        <w:trPr>
          <w:jc w:val="center"/>
          <w:trHeight w:val="317"/>
        </w:trPr>
        <w:tc>
          <w:tcPr>
            <w:tcW w:w="497" w:type="pct"/>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W w:w="930" w:type="pct"/>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帧率</w:t>
            </w:r>
            <w:r/>
          </w:p>
        </w:tc>
        <w:tc>
          <w:tcPr>
            <w:tcW w:w="3572" w:type="pct"/>
            <w:vAlign w:val="center"/>
            <w:textDirection w:val="lrTb"/>
            <w:noWrap w:val="false"/>
          </w:tcPr>
          <w:p>
            <w:pPr>
              <w:ind w:firstLine="0"/>
              <w:spacing w:line="240" w:lineRule="auto"/>
              <w:rPr>
                <w:rFonts w:ascii="宋体" w:hAnsi="宋体" w:eastAsia="宋体" w:cs="宋体"/>
                <w:sz w:val="21"/>
                <w:szCs w:val="21"/>
              </w:rPr>
            </w:pPr>
            <w:r>
              <w:rPr>
                <w:rFonts w:hint="eastAsia" w:ascii="宋体" w:hAnsi="宋体" w:eastAsia="宋体" w:cs="宋体"/>
                <w:sz w:val="21"/>
                <w:szCs w:val="21"/>
              </w:rPr>
              <w:t xml:space="preserve">至少4路1080/25fps  向下兼容至少4路720P/25fps</w:t>
            </w:r>
            <w:r/>
          </w:p>
        </w:tc>
      </w:tr>
      <w:tr>
        <w:trPr>
          <w:jc w:val="center"/>
          <w:trHeight w:val="404"/>
        </w:trPr>
        <w:tc>
          <w:tcPr>
            <w:tcW w:w="497" w:type="pct"/>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W w:w="930" w:type="pct"/>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分辨率</w:t>
            </w:r>
            <w:r/>
          </w:p>
        </w:tc>
        <w:tc>
          <w:tcPr>
            <w:tcW w:w="3572" w:type="pct"/>
            <w:vAlign w:val="center"/>
            <w:textDirection w:val="lrTb"/>
            <w:noWrap w:val="false"/>
          </w:tcPr>
          <w:p>
            <w:pPr>
              <w:ind w:firstLine="0"/>
              <w:spacing w:line="240" w:lineRule="auto"/>
              <w:rPr>
                <w:rFonts w:ascii="宋体" w:hAnsi="宋体" w:eastAsia="宋体" w:cs="宋体"/>
                <w:sz w:val="21"/>
                <w:szCs w:val="21"/>
              </w:rPr>
            </w:pPr>
            <w:r>
              <w:rPr>
                <w:rFonts w:hint="eastAsia" w:ascii="宋体" w:hAnsi="宋体" w:eastAsia="宋体" w:cs="宋体"/>
                <w:sz w:val="21"/>
                <w:szCs w:val="21"/>
              </w:rPr>
              <w:t xml:space="preserve">可支持1080P、720P、D1编码格式</w:t>
            </w:r>
            <w:r/>
          </w:p>
        </w:tc>
      </w:tr>
      <w:tr>
        <w:trPr>
          <w:jc w:val="center"/>
          <w:trHeight w:val="910"/>
        </w:trPr>
        <w:tc>
          <w:tcPr>
            <w:tcW w:w="497" w:type="pct"/>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W w:w="930" w:type="pct"/>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码率</w:t>
            </w:r>
            <w:r/>
          </w:p>
        </w:tc>
        <w:tc>
          <w:tcPr>
            <w:tcW w:w="3572" w:type="pct"/>
            <w:vAlign w:val="center"/>
            <w:textDirection w:val="lrTb"/>
            <w:noWrap w:val="false"/>
          </w:tcPr>
          <w:p>
            <w:pPr>
              <w:ind w:firstLine="0"/>
              <w:spacing w:line="240" w:lineRule="auto"/>
              <w:rPr>
                <w:rFonts w:ascii="宋体" w:hAnsi="宋体" w:eastAsia="宋体" w:cs="宋体"/>
                <w:sz w:val="21"/>
                <w:szCs w:val="21"/>
              </w:rPr>
            </w:pPr>
            <w:r>
              <w:rPr>
                <w:rFonts w:hint="eastAsia" w:ascii="宋体" w:hAnsi="宋体" w:eastAsia="宋体" w:cs="宋体"/>
                <w:sz w:val="21"/>
                <w:szCs w:val="21"/>
              </w:rPr>
              <w:t xml:space="preserve">D1：512,768,1024,1536,2044，五级可选</w:t>
            </w:r>
            <w:r/>
          </w:p>
          <w:p>
            <w:pPr>
              <w:ind w:firstLine="0"/>
              <w:spacing w:line="240" w:lineRule="auto"/>
              <w:rPr>
                <w:rFonts w:ascii="宋体" w:hAnsi="宋体" w:eastAsia="宋体" w:cs="宋体"/>
                <w:sz w:val="21"/>
                <w:szCs w:val="21"/>
              </w:rPr>
            </w:pPr>
            <w:r>
              <w:rPr>
                <w:rFonts w:hint="eastAsia" w:ascii="宋体" w:hAnsi="宋体" w:eastAsia="宋体" w:cs="宋体"/>
                <w:sz w:val="21"/>
                <w:szCs w:val="21"/>
              </w:rPr>
              <w:t xml:space="preserve">720P：1024,1536,2048,3072,4096, 五级可选</w:t>
            </w:r>
            <w:r/>
          </w:p>
          <w:p>
            <w:pPr>
              <w:ind w:firstLine="0"/>
              <w:spacing w:line="240" w:lineRule="auto"/>
              <w:rPr>
                <w:rFonts w:ascii="宋体" w:hAnsi="宋体" w:eastAsia="宋体" w:cs="宋体"/>
                <w:sz w:val="21"/>
                <w:szCs w:val="21"/>
              </w:rPr>
            </w:pPr>
            <w:r>
              <w:rPr>
                <w:rFonts w:hint="eastAsia" w:ascii="宋体" w:hAnsi="宋体" w:eastAsia="宋体" w:cs="宋体"/>
                <w:sz w:val="21"/>
                <w:szCs w:val="21"/>
              </w:rPr>
              <w:t xml:space="preserve">1080P：2048,3072,4096,5120,6144，五级可选</w:t>
            </w:r>
            <w:r/>
          </w:p>
        </w:tc>
      </w:tr>
      <w:tr>
        <w:trPr>
          <w:jc w:val="center"/>
          <w:trHeight w:val="317"/>
        </w:trPr>
        <w:tc>
          <w:tcPr>
            <w:tcW w:w="497" w:type="pct"/>
            <w:vAlign w:val="center"/>
            <w:vMerge w:val="restart"/>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报警</w:t>
            </w:r>
            <w:r/>
          </w:p>
        </w:tc>
        <w:tc>
          <w:tcPr>
            <w:tcW w:w="930" w:type="pct"/>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报警输入</w:t>
            </w:r>
            <w:r/>
          </w:p>
        </w:tc>
        <w:tc>
          <w:tcPr>
            <w:tcW w:w="3572" w:type="pct"/>
            <w:vAlign w:val="center"/>
            <w:textDirection w:val="lrTb"/>
            <w:noWrap w:val="false"/>
          </w:tcPr>
          <w:p>
            <w:pPr>
              <w:ind w:firstLine="0"/>
              <w:spacing w:line="240" w:lineRule="auto"/>
              <w:rPr>
                <w:rFonts w:ascii="宋体" w:hAnsi="宋体" w:eastAsia="宋体" w:cs="宋体"/>
                <w:sz w:val="21"/>
                <w:szCs w:val="21"/>
              </w:rPr>
            </w:pPr>
            <w:r>
              <w:rPr>
                <w:rFonts w:hint="eastAsia" w:ascii="宋体" w:hAnsi="宋体" w:eastAsia="宋体" w:cs="宋体"/>
                <w:sz w:val="21"/>
                <w:szCs w:val="21"/>
              </w:rPr>
              <w:t xml:space="preserve">至少4路开关量信号报警输入 </w:t>
            </w:r>
            <w:r/>
          </w:p>
        </w:tc>
      </w:tr>
      <w:tr>
        <w:trPr>
          <w:jc w:val="center"/>
          <w:trHeight w:val="317"/>
        </w:trPr>
        <w:tc>
          <w:tcPr>
            <w:tcW w:w="497" w:type="pct"/>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W w:w="930" w:type="pct"/>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功能报警</w:t>
            </w:r>
            <w:r/>
          </w:p>
        </w:tc>
        <w:tc>
          <w:tcPr>
            <w:tcW w:w="3572" w:type="pct"/>
            <w:vAlign w:val="center"/>
            <w:textDirection w:val="lrTb"/>
            <w:noWrap w:val="false"/>
          </w:tcPr>
          <w:p>
            <w:pPr>
              <w:ind w:firstLine="0"/>
              <w:spacing w:line="240" w:lineRule="auto"/>
              <w:rPr>
                <w:rFonts w:ascii="宋体" w:hAnsi="宋体" w:eastAsia="宋体" w:cs="宋体"/>
                <w:sz w:val="21"/>
                <w:szCs w:val="21"/>
              </w:rPr>
            </w:pPr>
            <w:r>
              <w:rPr>
                <w:rFonts w:hint="eastAsia" w:ascii="宋体" w:hAnsi="宋体" w:eastAsia="宋体" w:cs="宋体"/>
                <w:sz w:val="21"/>
                <w:szCs w:val="21"/>
              </w:rPr>
              <w:t xml:space="preserve">视频丢失，视频遮挡，超员报警</w:t>
            </w:r>
            <w:r/>
          </w:p>
        </w:tc>
      </w:tr>
      <w:tr>
        <w:trPr>
          <w:jc w:val="center"/>
          <w:trHeight w:val="317"/>
        </w:trPr>
        <w:tc>
          <w:tcPr>
            <w:tcW w:w="497" w:type="pct"/>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存储</w:t>
            </w:r>
            <w:r/>
          </w:p>
        </w:tc>
        <w:tc>
          <w:tcPr>
            <w:tcW w:w="930" w:type="pct"/>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SD卡</w:t>
            </w:r>
            <w:r/>
          </w:p>
        </w:tc>
        <w:tc>
          <w:tcPr>
            <w:tcW w:w="3572" w:type="pct"/>
            <w:vAlign w:val="center"/>
            <w:textDirection w:val="lrTb"/>
            <w:noWrap w:val="false"/>
          </w:tcPr>
          <w:p>
            <w:pPr>
              <w:ind w:firstLine="0"/>
              <w:spacing w:line="240" w:lineRule="auto"/>
              <w:rPr>
                <w:rFonts w:ascii="宋体" w:hAnsi="宋体" w:eastAsia="宋体" w:cs="宋体"/>
                <w:sz w:val="21"/>
                <w:szCs w:val="21"/>
              </w:rPr>
            </w:pPr>
            <w:r>
              <w:rPr>
                <w:rFonts w:hint="eastAsia" w:ascii="宋体" w:hAnsi="宋体" w:eastAsia="宋体" w:cs="宋体"/>
                <w:sz w:val="21"/>
                <w:szCs w:val="21"/>
              </w:rPr>
              <w:t xml:space="preserve">支持至少两张SD卡，最大256G容量</w:t>
            </w:r>
            <w:r/>
          </w:p>
        </w:tc>
      </w:tr>
      <w:tr>
        <w:trPr>
          <w:jc w:val="center"/>
          <w:trHeight w:val="317"/>
        </w:trPr>
        <w:tc>
          <w:tcPr>
            <w:gridSpan w:val="2"/>
            <w:tcW w:w="1427" w:type="pct"/>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网络（可定制）</w:t>
            </w:r>
            <w:r/>
          </w:p>
        </w:tc>
        <w:tc>
          <w:tcPr>
            <w:tcW w:w="3572" w:type="pct"/>
            <w:vAlign w:val="center"/>
            <w:textDirection w:val="lrTb"/>
            <w:noWrap w:val="false"/>
          </w:tcPr>
          <w:p>
            <w:pPr>
              <w:ind w:firstLine="0"/>
              <w:spacing w:line="240" w:lineRule="auto"/>
              <w:rPr>
                <w:rFonts w:ascii="宋体" w:hAnsi="宋体" w:eastAsia="宋体" w:cs="宋体"/>
                <w:sz w:val="21"/>
                <w:szCs w:val="21"/>
              </w:rPr>
            </w:pPr>
            <w:r>
              <w:rPr>
                <w:rFonts w:hint="eastAsia" w:ascii="宋体" w:hAnsi="宋体" w:eastAsia="宋体" w:cs="宋体"/>
                <w:sz w:val="21"/>
                <w:szCs w:val="21"/>
              </w:rPr>
              <w:t xml:space="preserve">支持3G、4G、WIFI、以太网网口</w:t>
            </w:r>
            <w:r/>
          </w:p>
        </w:tc>
      </w:tr>
      <w:tr>
        <w:trPr>
          <w:jc w:val="center"/>
          <w:trHeight w:val="317"/>
        </w:trPr>
        <w:tc>
          <w:tcPr>
            <w:tcW w:w="497" w:type="pct"/>
            <w:vAlign w:val="center"/>
            <w:vMerge w:val="restart"/>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电源</w:t>
            </w:r>
            <w:r/>
          </w:p>
        </w:tc>
        <w:tc>
          <w:tcPr>
            <w:tcW w:w="930" w:type="pct"/>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电源管理</w:t>
            </w:r>
            <w:r/>
          </w:p>
        </w:tc>
        <w:tc>
          <w:tcPr>
            <w:tcW w:w="3572" w:type="pct"/>
            <w:vAlign w:val="center"/>
            <w:textDirection w:val="lrTb"/>
            <w:noWrap w:val="false"/>
          </w:tcPr>
          <w:p>
            <w:pPr>
              <w:ind w:firstLine="0"/>
              <w:spacing w:line="240" w:lineRule="auto"/>
              <w:rPr>
                <w:rFonts w:ascii="宋体" w:hAnsi="宋体" w:eastAsia="宋体" w:cs="宋体"/>
                <w:sz w:val="21"/>
                <w:szCs w:val="21"/>
              </w:rPr>
            </w:pPr>
            <w:r>
              <w:rPr>
                <w:rFonts w:hint="eastAsia" w:ascii="宋体" w:hAnsi="宋体" w:eastAsia="宋体" w:cs="宋体"/>
                <w:sz w:val="21"/>
                <w:szCs w:val="21"/>
              </w:rPr>
              <w:t xml:space="preserve">1、ACC开关机；2、延时关机</w:t>
            </w:r>
            <w:r/>
          </w:p>
        </w:tc>
      </w:tr>
      <w:tr>
        <w:trPr>
          <w:jc w:val="center"/>
          <w:trHeight w:val="317"/>
        </w:trPr>
        <w:tc>
          <w:tcPr>
            <w:tcW w:w="497" w:type="pct"/>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W w:w="930" w:type="pct"/>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输入电压</w:t>
            </w:r>
            <w:r/>
          </w:p>
        </w:tc>
        <w:tc>
          <w:tcPr>
            <w:tcW w:w="3572" w:type="pct"/>
            <w:vAlign w:val="center"/>
            <w:textDirection w:val="lrTb"/>
            <w:noWrap w:val="false"/>
          </w:tcPr>
          <w:p>
            <w:pPr>
              <w:ind w:firstLine="0"/>
              <w:spacing w:line="240" w:lineRule="auto"/>
              <w:rPr>
                <w:rFonts w:ascii="宋体" w:hAnsi="宋体" w:eastAsia="宋体" w:cs="宋体"/>
                <w:sz w:val="21"/>
                <w:szCs w:val="21"/>
              </w:rPr>
            </w:pPr>
            <w:r>
              <w:rPr>
                <w:rFonts w:hint="eastAsia" w:ascii="宋体" w:hAnsi="宋体" w:eastAsia="宋体" w:cs="宋体"/>
                <w:sz w:val="21"/>
                <w:szCs w:val="21"/>
              </w:rPr>
              <w:t xml:space="preserve">DC：8V ~ 36V</w:t>
            </w:r>
            <w:r/>
          </w:p>
        </w:tc>
      </w:tr>
      <w:tr>
        <w:trPr>
          <w:jc w:val="center"/>
          <w:trHeight w:val="317"/>
        </w:trPr>
        <w:tc>
          <w:tcPr>
            <w:tcW w:w="497" w:type="pct"/>
            <w:vAlign w:val="center"/>
            <w:vMerge w:val="restart"/>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工作环境</w:t>
            </w:r>
            <w:r/>
          </w:p>
        </w:tc>
        <w:tc>
          <w:tcPr>
            <w:tcW w:w="930" w:type="pct"/>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温度</w:t>
            </w:r>
            <w:r/>
          </w:p>
        </w:tc>
        <w:tc>
          <w:tcPr>
            <w:tcW w:w="3572" w:type="pct"/>
            <w:vAlign w:val="center"/>
            <w:textDirection w:val="lrTb"/>
            <w:noWrap w:val="false"/>
          </w:tcPr>
          <w:p>
            <w:pPr>
              <w:ind w:firstLine="0"/>
              <w:spacing w:line="240" w:lineRule="auto"/>
              <w:rPr>
                <w:rFonts w:ascii="宋体" w:hAnsi="宋体" w:eastAsia="宋体" w:cs="宋体"/>
                <w:sz w:val="21"/>
                <w:szCs w:val="21"/>
              </w:rPr>
            </w:pPr>
            <w:r>
              <w:rPr>
                <w:rFonts w:hint="eastAsia" w:ascii="宋体" w:hAnsi="宋体" w:eastAsia="宋体" w:cs="宋体"/>
                <w:sz w:val="21"/>
                <w:szCs w:val="21"/>
              </w:rPr>
              <w:t xml:space="preserve">常规：-20℃ ~ +70℃</w:t>
            </w:r>
            <w:r/>
          </w:p>
        </w:tc>
      </w:tr>
      <w:tr>
        <w:trPr>
          <w:jc w:val="center"/>
          <w:trHeight w:val="338"/>
        </w:trPr>
        <w:tc>
          <w:tcPr>
            <w:tcW w:w="497" w:type="pct"/>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W w:w="930" w:type="pct"/>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相对湿度</w:t>
            </w:r>
            <w:r/>
          </w:p>
        </w:tc>
        <w:tc>
          <w:tcPr>
            <w:tcW w:w="3572" w:type="pct"/>
            <w:vAlign w:val="center"/>
            <w:textDirection w:val="lrTb"/>
            <w:noWrap w:val="false"/>
          </w:tcPr>
          <w:p>
            <w:pPr>
              <w:ind w:firstLine="0"/>
              <w:spacing w:line="240" w:lineRule="auto"/>
              <w:rPr>
                <w:rFonts w:ascii="宋体" w:hAnsi="宋体" w:eastAsia="宋体" w:cs="宋体"/>
                <w:sz w:val="21"/>
                <w:szCs w:val="21"/>
              </w:rPr>
            </w:pPr>
            <w:r>
              <w:rPr>
                <w:rFonts w:hint="eastAsia" w:ascii="宋体" w:hAnsi="宋体" w:eastAsia="宋体" w:cs="宋体"/>
                <w:sz w:val="21"/>
                <w:szCs w:val="21"/>
              </w:rPr>
              <w:t xml:space="preserve">10%-90%</w:t>
            </w:r>
            <w:r/>
          </w:p>
        </w:tc>
      </w:tr>
    </w:tbl>
    <w:p>
      <w:pPr>
        <w:ind w:firstLine="422"/>
        <w:spacing w:before="156" w:line="360" w:lineRule="auto"/>
        <w:rPr>
          <w:rFonts w:ascii="宋体" w:hAnsi="宋体" w:eastAsia="宋体" w:cs="宋体"/>
          <w:b/>
          <w:bCs/>
          <w:sz w:val="21"/>
          <w:szCs w:val="21"/>
        </w:rPr>
      </w:pPr>
      <w:r>
        <w:rPr>
          <w:rFonts w:hint="eastAsia" w:ascii="宋体" w:hAnsi="宋体" w:eastAsia="宋体" w:cs="宋体"/>
          <w:b/>
          <w:bCs/>
          <w:sz w:val="21"/>
          <w:szCs w:val="21"/>
        </w:rPr>
        <w:t xml:space="preserve">2）客流摄像头参数</w:t>
      </w:r>
      <w:r/>
    </w:p>
    <w:tbl>
      <w:tblPr>
        <w:tblStyle w:val="976"/>
        <w:tblW w:w="4904" w:type="pct"/>
        <w:jc w:val="center"/>
        <w:shd w:val="clear" w:color="auto" w:fill="ffffff"/>
        <w:tblLayout w:type="autofit"/>
        <w:tblCellMar>
          <w:left w:w="0" w:type="dxa"/>
          <w:top w:w="0" w:type="dxa"/>
          <w:right w:w="0" w:type="dxa"/>
          <w:bottom w:w="0" w:type="dxa"/>
        </w:tblCellMar>
        <w:tblLook w:val="04A0" w:firstRow="1" w:lastRow="0" w:firstColumn="1" w:lastColumn="0" w:noHBand="0" w:noVBand="1"/>
      </w:tblPr>
      <w:tblGrid>
        <w:gridCol w:w="1921"/>
        <w:gridCol w:w="6437"/>
      </w:tblGrid>
      <w:tr>
        <w:trPr>
          <w:jc w:val="center"/>
          <w:trHeight w:val="326"/>
        </w:trPr>
        <w:tc>
          <w:tcPr>
            <w:shd w:val="clear" w:color="auto" w:fill="bebebe" w:themeFill="background1" w:themeFillShade="B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1149" w:type="pct"/>
            <w:textDirection w:val="lrTb"/>
            <w:noWrap w:val="false"/>
          </w:tcPr>
          <w:p>
            <w:pPr>
              <w:ind w:firstLine="0"/>
              <w:jc w:val="center"/>
              <w:spacing w:line="240" w:lineRule="auto"/>
              <w:rPr>
                <w:rFonts w:ascii="宋体" w:hAnsi="宋体" w:eastAsia="宋体" w:cs="宋体"/>
                <w:b/>
                <w:bCs/>
                <w:sz w:val="21"/>
                <w:szCs w:val="21"/>
              </w:rPr>
            </w:pPr>
            <w:r>
              <w:rPr>
                <w:rFonts w:hint="eastAsia" w:ascii="宋体" w:hAnsi="宋体" w:eastAsia="宋体" w:cs="宋体"/>
                <w:b/>
                <w:bCs/>
                <w:sz w:val="21"/>
                <w:szCs w:val="21"/>
              </w:rPr>
              <w:t xml:space="preserve">规格</w:t>
            </w:r>
            <w:r/>
          </w:p>
        </w:tc>
        <w:tc>
          <w:tcPr>
            <w:shd w:val="clear" w:color="auto" w:fill="bebebe" w:themeFill="background1" w:themeFillShade="BF"/>
            <w:tcBorders>
              <w:top w:val="single" w:color="auto" w:sz="8" w:space="0"/>
              <w:left w:val="single" w:color="auto" w:sz="0" w:space="0"/>
              <w:bottom w:val="single" w:color="auto" w:sz="8" w:space="0"/>
              <w:right w:val="single" w:color="auto" w:sz="8" w:space="0"/>
            </w:tcBorders>
            <w:tcMar>
              <w:left w:w="108" w:type="dxa"/>
              <w:top w:w="0" w:type="dxa"/>
              <w:right w:w="108" w:type="dxa"/>
              <w:bottom w:w="0" w:type="dxa"/>
            </w:tcMar>
            <w:tcW w:w="3850" w:type="pct"/>
            <w:textDirection w:val="lrTb"/>
            <w:noWrap w:val="false"/>
          </w:tcPr>
          <w:p>
            <w:pPr>
              <w:ind w:firstLine="0"/>
              <w:jc w:val="center"/>
              <w:spacing w:line="240" w:lineRule="auto"/>
              <w:rPr>
                <w:rFonts w:ascii="宋体" w:hAnsi="宋体" w:eastAsia="宋体" w:cs="宋体"/>
                <w:b/>
                <w:bCs/>
                <w:sz w:val="21"/>
                <w:szCs w:val="21"/>
              </w:rPr>
            </w:pPr>
            <w:r>
              <w:rPr>
                <w:rFonts w:hint="eastAsia" w:ascii="宋体" w:hAnsi="宋体" w:eastAsia="宋体" w:cs="宋体"/>
                <w:b/>
                <w:bCs/>
                <w:sz w:val="21"/>
                <w:szCs w:val="21"/>
              </w:rPr>
              <w:t xml:space="preserve">参数</w:t>
            </w:r>
            <w:r/>
          </w:p>
        </w:tc>
      </w:tr>
      <w:tr>
        <w:trPr>
          <w:jc w:val="center"/>
          <w:trHeight w:val="326"/>
        </w:trPr>
        <w:tc>
          <w:tcPr>
            <w:shd w:val="clear" w:color="auto" w:fill="ffffff"/>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1149" w:type="pct"/>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图像传感器</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50" w:type="pct"/>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不低于1/3 CCD</w:t>
            </w:r>
            <w:r/>
          </w:p>
        </w:tc>
      </w:tr>
      <w:tr>
        <w:trPr>
          <w:jc w:val="center"/>
          <w:trHeight w:val="326"/>
        </w:trPr>
        <w:tc>
          <w:tcPr>
            <w:shd w:val="clear" w:color="auto" w:fill="ffffff"/>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1149" w:type="pct"/>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视频制式</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50" w:type="pct"/>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PAL/</w:t>
            </w:r>
            <w:r>
              <w:rPr>
                <w:rFonts w:hint="eastAsia" w:ascii="宋体" w:hAnsi="宋体" w:eastAsia="宋体" w:cs="宋体"/>
                <w:sz w:val="21"/>
                <w:szCs w:val="21"/>
                <w:shd w:val="clear" w:color="auto" w:fill="ffffff"/>
              </w:rPr>
              <w:t xml:space="preserve">NTSC（可选）</w:t>
            </w:r>
            <w:r/>
          </w:p>
        </w:tc>
      </w:tr>
      <w:tr>
        <w:trPr>
          <w:jc w:val="center"/>
          <w:trHeight w:val="326"/>
        </w:trPr>
        <w:tc>
          <w:tcPr>
            <w:shd w:val="clear" w:color="auto" w:fill="ffffff"/>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1149" w:type="pct"/>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水平清晰度</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50" w:type="pct"/>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不低于700 TV Lines</w:t>
            </w:r>
            <w:r/>
          </w:p>
        </w:tc>
      </w:tr>
      <w:tr>
        <w:trPr>
          <w:jc w:val="center"/>
          <w:trHeight w:val="326"/>
        </w:trPr>
        <w:tc>
          <w:tcPr>
            <w:shd w:val="clear" w:color="auto" w:fill="ffffff"/>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1149" w:type="pct"/>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图像输出</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50" w:type="pct"/>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同步采样输出</w:t>
            </w:r>
            <w:r/>
          </w:p>
        </w:tc>
      </w:tr>
      <w:tr>
        <w:trPr>
          <w:jc w:val="center"/>
          <w:trHeight w:val="326"/>
        </w:trPr>
        <w:tc>
          <w:tcPr>
            <w:shd w:val="clear" w:color="auto" w:fill="ffffff"/>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1149" w:type="pct"/>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镜头间距</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50" w:type="pct"/>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不低于5cm(12cm可选)</w:t>
            </w:r>
            <w:r/>
          </w:p>
        </w:tc>
      </w:tr>
      <w:tr>
        <w:trPr>
          <w:jc w:val="center"/>
          <w:trHeight w:val="326"/>
        </w:trPr>
        <w:tc>
          <w:tcPr>
            <w:shd w:val="clear" w:color="auto" w:fill="ffffff"/>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1149" w:type="pct"/>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镜头参数</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50" w:type="pct"/>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不低于960*576像素，2.8mm（2.8mm/3.6mm/4mm/6mm可选）</w:t>
            </w:r>
            <w:r/>
          </w:p>
        </w:tc>
      </w:tr>
      <w:tr>
        <w:trPr>
          <w:jc w:val="center"/>
          <w:trHeight w:val="326"/>
        </w:trPr>
        <w:tc>
          <w:tcPr>
            <w:shd w:val="clear" w:color="auto" w:fill="ffffff"/>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1149" w:type="pct"/>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白平衡</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50" w:type="pct"/>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自动白平衡</w:t>
            </w:r>
            <w:r/>
          </w:p>
        </w:tc>
      </w:tr>
      <w:tr>
        <w:trPr>
          <w:jc w:val="center"/>
          <w:trHeight w:val="326"/>
        </w:trPr>
        <w:tc>
          <w:tcPr>
            <w:shd w:val="clear" w:color="auto" w:fill="ffffff"/>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1149" w:type="pct"/>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快门</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50" w:type="pct"/>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1/50-1/80000（秒）  1/60-1/80000（秒）</w:t>
            </w:r>
            <w:r/>
          </w:p>
        </w:tc>
      </w:tr>
      <w:tr>
        <w:trPr>
          <w:jc w:val="center"/>
          <w:trHeight w:val="326"/>
        </w:trPr>
        <w:tc>
          <w:tcPr>
            <w:shd w:val="clear" w:color="auto" w:fill="ffffff"/>
            <w:tcBorders>
              <w:top w:val="none" w:color="000000" w:sz="4" w:space="0"/>
              <w:left w:val="single" w:color="auto" w:sz="8" w:space="0"/>
              <w:bottom w:val="single" w:color="auto" w:sz="4" w:space="0"/>
              <w:right w:val="single" w:color="auto" w:sz="8" w:space="0"/>
            </w:tcBorders>
            <w:tcMar>
              <w:left w:w="108" w:type="dxa"/>
              <w:top w:w="0" w:type="dxa"/>
              <w:right w:w="108" w:type="dxa"/>
              <w:bottom w:w="0" w:type="dxa"/>
            </w:tcMar>
            <w:tcW w:w="1149" w:type="pct"/>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帧率</w:t>
            </w:r>
            <w:r/>
          </w:p>
        </w:tc>
        <w:tc>
          <w:tcPr>
            <w:shd w:val="clear" w:color="auto" w:fill="ffffff"/>
            <w:tcBorders>
              <w:top w:val="none" w:color="000000" w:sz="4" w:space="0"/>
              <w:left w:val="none" w:color="000000" w:sz="4" w:space="0"/>
              <w:bottom w:val="single" w:color="auto" w:sz="4" w:space="0"/>
              <w:right w:val="single" w:color="auto" w:sz="8" w:space="0"/>
            </w:tcBorders>
            <w:tcMar>
              <w:left w:w="108" w:type="dxa"/>
              <w:top w:w="0" w:type="dxa"/>
              <w:right w:w="108" w:type="dxa"/>
              <w:bottom w:w="0" w:type="dxa"/>
            </w:tcMar>
            <w:tcW w:w="3850" w:type="pct"/>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不低于25帧/秒</w:t>
            </w:r>
            <w:r/>
          </w:p>
        </w:tc>
      </w:tr>
      <w:tr>
        <w:trPr>
          <w:jc w:val="center"/>
          <w:trHeight w:val="306"/>
        </w:trPr>
        <w:tc>
          <w:tcPr>
            <w:shd w:val="clear" w:color="auto" w:fill="ffffff"/>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49" w:type="pct"/>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视频输出接口</w:t>
            </w:r>
            <w:r/>
          </w:p>
        </w:tc>
        <w:tc>
          <w:tcPr>
            <w:shd w:val="clear" w:color="auto" w:fill="ffffff"/>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850" w:type="pct"/>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4芯航空头</w:t>
            </w:r>
            <w:r/>
          </w:p>
        </w:tc>
      </w:tr>
      <w:tr>
        <w:trPr>
          <w:jc w:val="center"/>
          <w:trHeight w:val="306"/>
        </w:trPr>
        <w:tc>
          <w:tcPr>
            <w:shd w:val="clear" w:color="auto" w:fill="ffffff"/>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49" w:type="pct"/>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增益</w:t>
            </w:r>
            <w:r/>
          </w:p>
        </w:tc>
        <w:tc>
          <w:tcPr>
            <w:shd w:val="clear" w:color="auto" w:fill="ffffff"/>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850" w:type="pct"/>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自动增益控制</w:t>
            </w:r>
            <w:r/>
          </w:p>
        </w:tc>
      </w:tr>
      <w:tr>
        <w:trPr>
          <w:jc w:val="center"/>
          <w:trHeight w:val="326"/>
        </w:trPr>
        <w:tc>
          <w:tcPr>
            <w:shd w:val="clear" w:color="auto" w:fill="ffffff"/>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49" w:type="pct"/>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信噪比</w:t>
            </w:r>
            <w:r/>
          </w:p>
        </w:tc>
        <w:tc>
          <w:tcPr>
            <w:shd w:val="clear" w:color="auto" w:fill="ffffff"/>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850" w:type="pct"/>
            <w:vAlign w:val="center"/>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＞48db</w:t>
            </w:r>
            <w:r/>
          </w:p>
        </w:tc>
      </w:tr>
    </w:tbl>
    <w:p>
      <w:pPr>
        <w:pStyle w:val="977"/>
        <w:ind w:firstLine="0"/>
        <w:spacing w:after="156"/>
        <w:rPr>
          <w:rFonts w:ascii="宋体" w:hAnsi="宋体" w:eastAsia="宋体" w:cs="宋体"/>
          <w:sz w:val="21"/>
          <w:szCs w:val="21"/>
        </w:rPr>
      </w:pPr>
      <w:r>
        <w:rPr>
          <w:rFonts w:ascii="宋体" w:hAnsi="宋体" w:eastAsia="宋体" w:cs="宋体"/>
          <w:sz w:val="21"/>
          <w:szCs w:val="21"/>
        </w:rPr>
      </w:r>
      <w:r/>
    </w:p>
    <w:p>
      <w:pPr>
        <w:pStyle w:val="968"/>
      </w:pPr>
      <w:r>
        <w:rPr>
          <w:rFonts w:hint="eastAsia"/>
        </w:rPr>
        <w:t xml:space="preserve">科技兴安道路安全预警系统</w:t>
      </w:r>
      <w:r/>
    </w:p>
    <w:p>
      <w:pPr>
        <w:pStyle w:val="969"/>
        <w:rPr>
          <w:rFonts w:ascii="宋体" w:hAnsi="宋体" w:cs="宋体"/>
        </w:rPr>
      </w:pPr>
      <w:r>
        <w:rPr>
          <w:rFonts w:hint="eastAsia" w:ascii="宋体" w:hAnsi="宋体" w:cs="宋体"/>
        </w:rPr>
        <w:t xml:space="preserve">交通数字安全驾驶舱</w:t>
      </w:r>
      <w:r/>
    </w:p>
    <w:p>
      <w:pPr>
        <w:pStyle w:val="970"/>
        <w:tabs>
          <w:tab w:val="left" w:pos="312" w:leader="none"/>
        </w:tabs>
      </w:pPr>
      <w:r>
        <w:rPr>
          <w:rFonts w:hint="eastAsia"/>
        </w:rPr>
        <w:t xml:space="preserve">系统概述</w:t>
      </w:r>
      <w:r/>
    </w:p>
    <w:p>
      <w:pPr>
        <w:pStyle w:val="1090"/>
        <w:rPr>
          <w:rFonts w:ascii="宋体" w:hAnsi="宋体" w:eastAsia="宋体" w:cs="宋体"/>
          <w:sz w:val="21"/>
          <w:szCs w:val="21"/>
        </w:rPr>
      </w:pPr>
      <w:r>
        <w:rPr>
          <w:rFonts w:hint="eastAsia" w:ascii="宋体" w:hAnsi="宋体" w:eastAsia="宋体" w:cs="宋体"/>
          <w:sz w:val="21"/>
          <w:szCs w:val="21"/>
        </w:rPr>
        <w:t xml:space="preserve">基于交通运输</w:t>
      </w:r>
      <w:r>
        <w:rPr>
          <w:rFonts w:hint="eastAsia" w:ascii="宋体" w:hAnsi="宋体" w:eastAsia="宋体" w:cs="宋体"/>
          <w:sz w:val="21"/>
          <w:szCs w:val="21"/>
        </w:rPr>
        <w:t xml:space="preserve">管理部门建设的相关业务系统，有效集成覆盖全行业的各类交通信息，在此基础上对信息进行统一融合、分析、挖掘和加工处理，构建交通运输协调与应急指挥平台，基于物联网的AI云技术，覆盖交通安全防范盲点，精确掌控交通风险信息，利用大数据技术实现交通运输管控的智能决策，达到事前安全预警，降低交通安全事故发生，提升交通安全管理水平，提高交通参与者安全意识。提升交通运输综合监管水平，为政府决策、交通管理部门和广大驾乘人员提供管理、控制、决策和各类交通信息服务，进而打通交通运输行业全流程步骤，使交通运输安全处于有序可控的状态。</w:t>
      </w:r>
      <w:r/>
    </w:p>
    <w:p>
      <w:pPr>
        <w:pStyle w:val="970"/>
        <w:tabs>
          <w:tab w:val="left" w:pos="312" w:leader="none"/>
        </w:tabs>
      </w:pPr>
      <w:r>
        <w:rPr>
          <w:rFonts w:hint="eastAsia"/>
        </w:rPr>
        <w:t xml:space="preserve">系统功能</w:t>
      </w:r>
      <w:r/>
    </w:p>
    <w:p>
      <w:pPr>
        <w:numPr>
          <w:ilvl w:val="255"/>
          <w:numId w:val="0"/>
        </w:numPr>
        <w:ind w:left="440"/>
        <w:spacing w:line="360" w:lineRule="auto"/>
        <w:rPr>
          <w:rFonts w:ascii="宋体" w:hAnsi="宋体" w:eastAsia="宋体" w:cs="宋体"/>
          <w:b/>
          <w:bCs/>
          <w:sz w:val="21"/>
          <w:szCs w:val="21"/>
        </w:rPr>
      </w:pPr>
      <w:r>
        <w:rPr>
          <w:rFonts w:hint="eastAsia" w:ascii="宋体" w:hAnsi="宋体" w:eastAsia="宋体" w:cs="宋体"/>
          <w:b/>
          <w:bCs/>
          <w:sz w:val="21"/>
          <w:szCs w:val="21"/>
        </w:rPr>
        <w:t xml:space="preserve">1、管理端</w:t>
      </w:r>
      <w:r/>
    </w:p>
    <w:p>
      <w:pPr>
        <w:pStyle w:val="1066"/>
        <w:ind w:firstLine="420"/>
        <w:rPr>
          <w:rFonts w:hAnsi="宋体" w:cs="宋体"/>
          <w:sz w:val="21"/>
          <w:szCs w:val="21"/>
        </w:rPr>
      </w:pPr>
      <w:r>
        <w:rPr>
          <w:rFonts w:hint="eastAsia" w:hAnsi="宋体" w:cs="宋体"/>
          <w:sz w:val="21"/>
          <w:szCs w:val="21"/>
        </w:rPr>
        <w:t xml:space="preserve">1）数字驾驶舱</w:t>
      </w:r>
      <w:r/>
    </w:p>
    <w:p>
      <w:pPr>
        <w:pStyle w:val="1066"/>
        <w:ind w:firstLine="420"/>
        <w:rPr>
          <w:rFonts w:hAnsi="宋体" w:cs="宋体"/>
          <w:sz w:val="21"/>
          <w:szCs w:val="21"/>
        </w:rPr>
      </w:pPr>
      <w:r>
        <w:rPr>
          <w:rFonts w:hint="eastAsia" w:hAnsi="宋体" w:cs="宋体"/>
          <w:sz w:val="21"/>
          <w:szCs w:val="21"/>
        </w:rPr>
        <w:t xml:space="preserve">包括：交通概况一张图、应急指挥一张图、道路运行监测看板、水上运行监测看板、节假日看板、行业发展动态、热线服务看板、城厢交通运输一体化、链接超市、道路交通运输事故情况等。</w:t>
      </w:r>
      <w:r/>
    </w:p>
    <w:p>
      <w:pPr>
        <w:pStyle w:val="1066"/>
        <w:ind w:firstLine="420"/>
        <w:rPr>
          <w:rFonts w:hAnsi="宋体" w:cs="宋体"/>
          <w:sz w:val="21"/>
          <w:szCs w:val="21"/>
        </w:rPr>
      </w:pPr>
      <w:r>
        <w:rPr>
          <w:rFonts w:hint="eastAsia" w:hAnsi="宋体" w:cs="宋体"/>
          <w:sz w:val="21"/>
          <w:szCs w:val="21"/>
        </w:rPr>
        <w:t xml:space="preserve">2）预测预警</w:t>
      </w:r>
      <w:r/>
    </w:p>
    <w:p>
      <w:pPr>
        <w:pStyle w:val="1066"/>
        <w:ind w:firstLine="420"/>
        <w:rPr>
          <w:rFonts w:hAnsi="宋体" w:cs="宋体"/>
          <w:sz w:val="21"/>
          <w:szCs w:val="21"/>
        </w:rPr>
      </w:pPr>
      <w:r>
        <w:rPr>
          <w:rFonts w:hint="eastAsia" w:hAnsi="宋体" w:cs="宋体"/>
          <w:sz w:val="21"/>
          <w:szCs w:val="21"/>
        </w:rPr>
        <w:t xml:space="preserve">包括：模板管理、群组管理、信息发布、水位监测、通航净高、道路安全预警等。</w:t>
      </w:r>
      <w:r/>
    </w:p>
    <w:p>
      <w:pPr>
        <w:pStyle w:val="1066"/>
        <w:ind w:firstLine="420"/>
        <w:rPr>
          <w:rFonts w:hAnsi="宋体" w:cs="宋体"/>
          <w:sz w:val="21"/>
          <w:szCs w:val="21"/>
        </w:rPr>
      </w:pPr>
      <w:r>
        <w:rPr>
          <w:rFonts w:hint="eastAsia" w:hAnsi="宋体" w:cs="宋体"/>
          <w:sz w:val="21"/>
          <w:szCs w:val="21"/>
        </w:rPr>
        <w:t xml:space="preserve">3）应急指挥</w:t>
      </w:r>
      <w:r/>
    </w:p>
    <w:p>
      <w:pPr>
        <w:pStyle w:val="1066"/>
        <w:ind w:firstLine="420"/>
        <w:rPr>
          <w:rFonts w:hAnsi="宋体" w:cs="宋体"/>
          <w:sz w:val="21"/>
          <w:szCs w:val="21"/>
        </w:rPr>
      </w:pPr>
      <w:r>
        <w:rPr>
          <w:rFonts w:hint="eastAsia" w:hAnsi="宋体" w:cs="宋体"/>
          <w:sz w:val="21"/>
          <w:szCs w:val="21"/>
        </w:rPr>
        <w:t xml:space="preserve">包括：应急指挥（接处警、我的待办）、运行监测（运行监测、我的待办）、事故填报、事故应急处置救援等。</w:t>
      </w:r>
      <w:r/>
    </w:p>
    <w:p>
      <w:pPr>
        <w:pStyle w:val="1066"/>
        <w:ind w:firstLine="420"/>
        <w:rPr>
          <w:rFonts w:hAnsi="宋体" w:cs="宋体"/>
          <w:sz w:val="21"/>
          <w:szCs w:val="21"/>
        </w:rPr>
      </w:pPr>
      <w:r>
        <w:rPr>
          <w:rFonts w:hint="eastAsia" w:hAnsi="宋体" w:cs="宋体"/>
          <w:sz w:val="21"/>
          <w:szCs w:val="21"/>
        </w:rPr>
        <w:t xml:space="preserve">4）数据上报</w:t>
      </w:r>
      <w:r/>
    </w:p>
    <w:p>
      <w:pPr>
        <w:pStyle w:val="1066"/>
        <w:ind w:firstLine="420"/>
        <w:rPr>
          <w:rFonts w:hAnsi="宋体" w:cs="宋体"/>
          <w:sz w:val="21"/>
          <w:szCs w:val="21"/>
        </w:rPr>
      </w:pPr>
      <w:r>
        <w:rPr>
          <w:rFonts w:hint="eastAsia" w:hAnsi="宋体" w:cs="宋体"/>
          <w:sz w:val="21"/>
          <w:szCs w:val="21"/>
        </w:rPr>
        <w:t xml:space="preserve">包括：数据上报（报表定义、报表导航）、报表填报、报表查看等。</w:t>
      </w:r>
      <w:r/>
    </w:p>
    <w:p>
      <w:pPr>
        <w:numPr>
          <w:ilvl w:val="255"/>
          <w:numId w:val="0"/>
        </w:numPr>
        <w:ind w:left="440"/>
        <w:spacing w:line="360" w:lineRule="auto"/>
        <w:rPr>
          <w:rFonts w:ascii="宋体" w:hAnsi="宋体" w:eastAsia="宋体" w:cs="宋体"/>
          <w:b/>
          <w:bCs/>
          <w:sz w:val="21"/>
          <w:szCs w:val="21"/>
        </w:rPr>
      </w:pPr>
      <w:r>
        <w:rPr>
          <w:rFonts w:hint="eastAsia" w:ascii="宋体" w:hAnsi="宋体" w:eastAsia="宋体" w:cs="宋体"/>
          <w:b/>
          <w:bCs/>
          <w:sz w:val="21"/>
          <w:szCs w:val="21"/>
        </w:rPr>
        <w:t xml:space="preserve">2、小程序</w:t>
      </w:r>
      <w:r/>
    </w:p>
    <w:p>
      <w:pPr>
        <w:pStyle w:val="1066"/>
        <w:ind w:firstLine="420"/>
        <w:rPr>
          <w:rFonts w:hAnsi="宋体" w:cs="宋体"/>
          <w:sz w:val="21"/>
          <w:szCs w:val="21"/>
        </w:rPr>
      </w:pPr>
      <w:r>
        <w:rPr>
          <w:rFonts w:hint="eastAsia" w:hAnsi="宋体" w:cs="宋体"/>
          <w:sz w:val="21"/>
          <w:szCs w:val="21"/>
        </w:rPr>
        <w:t xml:space="preserve">包括：应急指挥（接处警、运行监测）等。</w:t>
      </w:r>
      <w:r/>
    </w:p>
    <w:p>
      <w:pPr>
        <w:pStyle w:val="969"/>
        <w:rPr>
          <w:rFonts w:ascii="宋体" w:hAnsi="宋体" w:cs="宋体"/>
        </w:rPr>
      </w:pPr>
      <w:r>
        <w:rPr>
          <w:rFonts w:hint="eastAsia" w:ascii="宋体" w:hAnsi="宋体" w:cs="宋体"/>
        </w:rPr>
        <w:t xml:space="preserve">出租车智能调度管理平台</w:t>
      </w:r>
      <w:r/>
    </w:p>
    <w:p>
      <w:pPr>
        <w:pStyle w:val="970"/>
        <w:tabs>
          <w:tab w:val="left" w:pos="312" w:leader="none"/>
        </w:tabs>
      </w:pPr>
      <w:r>
        <w:rPr>
          <w:rFonts w:hint="eastAsia"/>
        </w:rPr>
        <w:t xml:space="preserve">系统概述</w:t>
      </w:r>
      <w:r/>
    </w:p>
    <w:p>
      <w:pPr>
        <w:pStyle w:val="1066"/>
        <w:ind w:firstLine="420"/>
        <w:rPr>
          <w:rFonts w:hAnsi="宋体" w:cs="宋体"/>
          <w:sz w:val="21"/>
          <w:szCs w:val="21"/>
        </w:rPr>
      </w:pPr>
      <w:r>
        <w:rPr>
          <w:rFonts w:hint="eastAsia" w:hAnsi="宋体" w:cs="宋体"/>
          <w:sz w:val="21"/>
          <w:szCs w:val="21"/>
        </w:rPr>
        <w:t xml:space="preserve">通过建设太仓市出租</w:t>
      </w:r>
      <w:r>
        <w:rPr>
          <w:rFonts w:hint="eastAsia" w:hAnsi="宋体" w:cs="宋体"/>
          <w:sz w:val="21"/>
          <w:szCs w:val="21"/>
        </w:rPr>
        <w:t xml:space="preserve">车在线智能调度管理平台，为出租汽车行业监管和社会服务提供行之有效的技术手段，规范出租汽车驾驶员经营行为，改善市场环境，全面提升出租汽车行业服务质量，保障乘客出行合法权益；促进出租行业稳定、规范、有序、健康发展。利用“高清摄像设备+算法智能识别”设备，承载在车上收集数据的方式来代替人工、自动识别并抓取、传输到后台，对太仓市国、省、县道等道路隐患开展自动化巡检。通过分布式运算分析与电子地图相结合，在电子地图上实时显示最新道路交通安全预警信息，包括交通流量、预警统计、实时报警、预警分布等并定位发生预警的点位位置。</w:t>
      </w:r>
      <w:r/>
    </w:p>
    <w:p>
      <w:pPr>
        <w:pStyle w:val="970"/>
        <w:tabs>
          <w:tab w:val="left" w:pos="312" w:leader="none"/>
        </w:tabs>
      </w:pPr>
      <w:r>
        <w:rPr>
          <w:rFonts w:hint="eastAsia"/>
        </w:rPr>
        <w:t xml:space="preserve">系统功能</w:t>
      </w:r>
      <w:r/>
    </w:p>
    <w:p>
      <w:pPr>
        <w:numPr>
          <w:ilvl w:val="255"/>
          <w:numId w:val="0"/>
        </w:numPr>
        <w:ind w:left="440"/>
        <w:spacing w:line="360" w:lineRule="auto"/>
        <w:rPr>
          <w:rFonts w:ascii="宋体" w:hAnsi="宋体" w:eastAsia="宋体" w:cs="宋体"/>
          <w:b/>
          <w:bCs/>
          <w:sz w:val="21"/>
          <w:szCs w:val="21"/>
        </w:rPr>
      </w:pPr>
      <w:r>
        <w:rPr>
          <w:rFonts w:hint="eastAsia" w:ascii="宋体" w:hAnsi="宋体" w:eastAsia="宋体" w:cs="宋体"/>
          <w:b/>
          <w:bCs/>
          <w:sz w:val="21"/>
          <w:szCs w:val="21"/>
        </w:rPr>
        <w:t xml:space="preserve">1、指挥调度中心系统</w:t>
      </w:r>
      <w:r/>
    </w:p>
    <w:p>
      <w:pPr>
        <w:pStyle w:val="1066"/>
        <w:ind w:firstLine="420"/>
        <w:rPr>
          <w:rFonts w:hAnsi="宋体" w:cs="宋体"/>
          <w:sz w:val="21"/>
          <w:szCs w:val="21"/>
        </w:rPr>
      </w:pPr>
      <w:r>
        <w:rPr>
          <w:rFonts w:hint="eastAsia" w:hAnsi="宋体" w:cs="宋体"/>
          <w:sz w:val="21"/>
          <w:szCs w:val="21"/>
        </w:rPr>
        <w:t xml:space="preserve">包括：车辆定位监控（车辆位置查询、轨迹回放、失物查找、电子围栏、重点区域监控）、音视频图像监控、车辆调度、报警和体系（超速报警、防劫报警）等。</w:t>
      </w:r>
      <w:r/>
    </w:p>
    <w:p>
      <w:pPr>
        <w:numPr>
          <w:ilvl w:val="255"/>
          <w:numId w:val="0"/>
        </w:numPr>
        <w:ind w:left="440"/>
        <w:spacing w:line="360" w:lineRule="auto"/>
        <w:rPr>
          <w:rFonts w:ascii="宋体" w:hAnsi="宋体" w:eastAsia="宋体" w:cs="宋体"/>
          <w:b/>
          <w:bCs/>
          <w:sz w:val="21"/>
          <w:szCs w:val="21"/>
        </w:rPr>
      </w:pPr>
      <w:r>
        <w:rPr>
          <w:rFonts w:hint="eastAsia" w:ascii="宋体" w:hAnsi="宋体" w:eastAsia="宋体" w:cs="宋体"/>
          <w:b/>
          <w:bCs/>
          <w:sz w:val="21"/>
          <w:szCs w:val="21"/>
        </w:rPr>
        <w:t xml:space="preserve">2、出租车电召平台</w:t>
      </w:r>
      <w:r/>
    </w:p>
    <w:p>
      <w:pPr>
        <w:pStyle w:val="1066"/>
        <w:ind w:firstLine="420"/>
        <w:rPr>
          <w:rFonts w:hAnsi="宋体" w:cs="宋体"/>
          <w:sz w:val="21"/>
          <w:szCs w:val="21"/>
        </w:rPr>
      </w:pPr>
      <w:r>
        <w:rPr>
          <w:rFonts w:hint="eastAsia" w:hAnsi="宋体" w:cs="宋体"/>
          <w:sz w:val="21"/>
          <w:szCs w:val="21"/>
        </w:rPr>
        <w:t xml:space="preserve">实现乘客电话叫车后的订单下发，乘客投诉信息录入等功能。</w:t>
      </w:r>
      <w:r/>
    </w:p>
    <w:p>
      <w:pPr>
        <w:numPr>
          <w:ilvl w:val="255"/>
          <w:numId w:val="0"/>
        </w:numPr>
        <w:ind w:left="440"/>
        <w:spacing w:line="360" w:lineRule="auto"/>
        <w:rPr>
          <w:rFonts w:ascii="宋体" w:hAnsi="宋体" w:eastAsia="宋体" w:cs="宋体"/>
          <w:b/>
          <w:bCs/>
          <w:sz w:val="21"/>
          <w:szCs w:val="21"/>
        </w:rPr>
      </w:pPr>
      <w:r>
        <w:rPr>
          <w:rFonts w:hint="eastAsia" w:ascii="宋体" w:hAnsi="宋体" w:eastAsia="宋体" w:cs="宋体"/>
          <w:b/>
          <w:bCs/>
          <w:sz w:val="21"/>
          <w:szCs w:val="21"/>
        </w:rPr>
        <w:t xml:space="preserve">3、综合运行分析系统</w:t>
      </w:r>
      <w:r/>
    </w:p>
    <w:p>
      <w:pPr>
        <w:pStyle w:val="1066"/>
        <w:ind w:firstLine="420"/>
        <w:rPr>
          <w:rFonts w:hAnsi="宋体" w:cs="宋体"/>
          <w:sz w:val="21"/>
          <w:szCs w:val="21"/>
        </w:rPr>
      </w:pPr>
      <w:r>
        <w:rPr>
          <w:rFonts w:hint="eastAsia" w:hAnsi="宋体" w:cs="宋体"/>
          <w:sz w:val="21"/>
          <w:szCs w:val="21"/>
        </w:rPr>
        <w:t xml:space="preserve">包括：营运统计、报警统计分析等。</w:t>
      </w:r>
      <w:r/>
    </w:p>
    <w:p>
      <w:pPr>
        <w:numPr>
          <w:ilvl w:val="255"/>
          <w:numId w:val="0"/>
        </w:numPr>
        <w:ind w:left="440"/>
        <w:spacing w:line="360" w:lineRule="auto"/>
        <w:rPr>
          <w:rFonts w:ascii="宋体" w:hAnsi="宋体" w:eastAsia="宋体" w:cs="宋体"/>
          <w:b/>
          <w:bCs/>
          <w:sz w:val="21"/>
          <w:szCs w:val="21"/>
        </w:rPr>
      </w:pPr>
      <w:r>
        <w:rPr>
          <w:rFonts w:hint="eastAsia" w:ascii="宋体" w:hAnsi="宋体" w:eastAsia="宋体" w:cs="宋体"/>
          <w:b/>
          <w:bCs/>
          <w:sz w:val="21"/>
          <w:szCs w:val="21"/>
        </w:rPr>
        <w:t xml:space="preserve">4、运维系统</w:t>
      </w:r>
      <w:r/>
    </w:p>
    <w:p>
      <w:pPr>
        <w:pStyle w:val="1066"/>
        <w:ind w:firstLine="420"/>
        <w:rPr>
          <w:rFonts w:hAnsi="宋体" w:cs="宋体"/>
          <w:sz w:val="21"/>
          <w:szCs w:val="21"/>
        </w:rPr>
      </w:pPr>
      <w:r>
        <w:rPr>
          <w:rFonts w:hint="eastAsia" w:hAnsi="宋体" w:cs="宋体"/>
          <w:sz w:val="21"/>
          <w:szCs w:val="21"/>
        </w:rPr>
        <w:t xml:space="preserve">包括：设备升级、升级状态查看、终端远程配置、设备故障查看等。</w:t>
      </w:r>
      <w:r/>
    </w:p>
    <w:p>
      <w:pPr>
        <w:numPr>
          <w:ilvl w:val="255"/>
          <w:numId w:val="0"/>
        </w:numPr>
        <w:ind w:left="440"/>
        <w:spacing w:line="360" w:lineRule="auto"/>
        <w:rPr>
          <w:rFonts w:ascii="宋体" w:hAnsi="宋体" w:eastAsia="宋体" w:cs="宋体"/>
          <w:b/>
          <w:bCs/>
          <w:sz w:val="21"/>
          <w:szCs w:val="21"/>
        </w:rPr>
      </w:pPr>
      <w:r>
        <w:rPr>
          <w:rFonts w:hint="eastAsia" w:ascii="宋体" w:hAnsi="宋体" w:eastAsia="宋体" w:cs="宋体"/>
          <w:b/>
          <w:bCs/>
          <w:sz w:val="21"/>
          <w:szCs w:val="21"/>
        </w:rPr>
        <w:t xml:space="preserve">5、营运数据可视化展示系统</w:t>
      </w:r>
      <w:r/>
    </w:p>
    <w:p>
      <w:pPr>
        <w:pStyle w:val="1066"/>
        <w:ind w:firstLine="420"/>
        <w:rPr>
          <w:rFonts w:hAnsi="宋体" w:cs="宋体"/>
          <w:sz w:val="21"/>
          <w:szCs w:val="21"/>
        </w:rPr>
      </w:pPr>
      <w:r>
        <w:rPr>
          <w:rFonts w:hint="eastAsia" w:hAnsi="宋体" w:cs="宋体"/>
          <w:sz w:val="21"/>
          <w:szCs w:val="21"/>
        </w:rPr>
        <w:t xml:space="preserve">包括：总体看板（至少可查看基础信息、车辆在线率、报警统计、营运违规统计等）、营收分析（概况展示、营运效率）等。</w:t>
      </w:r>
      <w:r/>
    </w:p>
    <w:p>
      <w:pPr>
        <w:numPr>
          <w:ilvl w:val="255"/>
          <w:numId w:val="0"/>
        </w:numPr>
        <w:ind w:left="440"/>
        <w:spacing w:line="360" w:lineRule="auto"/>
        <w:rPr>
          <w:rFonts w:ascii="宋体" w:hAnsi="宋体" w:eastAsia="宋体" w:cs="宋体"/>
          <w:b/>
          <w:bCs/>
          <w:sz w:val="21"/>
          <w:szCs w:val="21"/>
        </w:rPr>
      </w:pPr>
      <w:r>
        <w:rPr>
          <w:rFonts w:hint="eastAsia" w:ascii="宋体" w:hAnsi="宋体" w:eastAsia="宋体" w:cs="宋体"/>
          <w:b/>
          <w:bCs/>
          <w:sz w:val="21"/>
          <w:szCs w:val="21"/>
        </w:rPr>
        <w:t xml:space="preserve">6、AI图像分析</w:t>
      </w:r>
      <w:r/>
    </w:p>
    <w:p>
      <w:pPr>
        <w:pStyle w:val="1066"/>
        <w:ind w:firstLine="420"/>
        <w:rPr>
          <w:rFonts w:hAnsi="宋体" w:cs="宋体"/>
          <w:sz w:val="21"/>
          <w:szCs w:val="21"/>
        </w:rPr>
      </w:pPr>
      <w:r>
        <w:rPr>
          <w:rFonts w:hint="eastAsia" w:hAnsi="宋体" w:cs="宋体"/>
          <w:sz w:val="21"/>
          <w:szCs w:val="21"/>
        </w:rPr>
        <w:t xml:space="preserve">建立全市出租车AI分析能力，利用全市出租车车载图像数据，实现智慧交通应用。</w:t>
      </w:r>
      <w:r/>
    </w:p>
    <w:p>
      <w:pPr>
        <w:pStyle w:val="1066"/>
        <w:ind w:firstLine="420"/>
        <w:rPr>
          <w:rFonts w:hAnsi="宋体" w:cs="宋体"/>
          <w:sz w:val="21"/>
          <w:szCs w:val="21"/>
        </w:rPr>
      </w:pPr>
      <w:r>
        <w:rPr>
          <w:rFonts w:hint="eastAsia" w:hAnsi="宋体" w:cs="宋体"/>
          <w:sz w:val="21"/>
          <w:szCs w:val="21"/>
        </w:rPr>
        <w:t xml:space="preserve">包括：驾驶员考勤分析（动态查岗）、驾驶员主动安全分析、车辆非法运营分析、乘客人脸采集等。</w:t>
      </w:r>
      <w:r/>
    </w:p>
    <w:p>
      <w:pPr>
        <w:pStyle w:val="970"/>
        <w:tabs>
          <w:tab w:val="left" w:pos="312" w:leader="none"/>
        </w:tabs>
      </w:pPr>
      <w:r>
        <w:rPr>
          <w:rFonts w:hint="eastAsia"/>
        </w:rPr>
        <w:t xml:space="preserve">主要设备参数</w:t>
      </w:r>
      <w:r/>
    </w:p>
    <w:p>
      <w:pPr>
        <w:numPr>
          <w:ilvl w:val="255"/>
          <w:numId w:val="0"/>
        </w:numPr>
        <w:ind w:left="440"/>
        <w:spacing w:line="360" w:lineRule="auto"/>
        <w:rPr>
          <w:rFonts w:ascii="宋体" w:hAnsi="宋体" w:eastAsia="宋体" w:cs="宋体"/>
          <w:b/>
          <w:bCs/>
          <w:sz w:val="21"/>
          <w:szCs w:val="21"/>
        </w:rPr>
      </w:pPr>
      <w:r>
        <w:rPr>
          <w:rFonts w:hint="eastAsia" w:ascii="宋体" w:hAnsi="宋体" w:eastAsia="宋体" w:cs="宋体"/>
          <w:b/>
          <w:bCs/>
          <w:sz w:val="21"/>
          <w:szCs w:val="21"/>
        </w:rPr>
        <w:t xml:space="preserve">1、智能服务终端</w:t>
      </w:r>
      <w:r/>
    </w:p>
    <w:tbl>
      <w:tblPr>
        <w:tblStyle w:val="976"/>
        <w:tblW w:w="8219"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670"/>
        <w:gridCol w:w="6549"/>
      </w:tblGrid>
      <w:tr>
        <w:trPr>
          <w:jc w:val="center"/>
          <w:trHeight w:val="316"/>
        </w:trPr>
        <w:tc>
          <w:tcPr>
            <w:shd w:val="clear" w:color="auto" w:fill="auto"/>
            <w:tcW w:w="1670" w:type="dxa"/>
            <w:vAlign w:val="center"/>
            <w:textDirection w:val="lrTb"/>
            <w:noWrap w:val="false"/>
          </w:tcPr>
          <w:p>
            <w:pPr>
              <w:ind w:firstLine="0"/>
              <w:spacing w:line="240" w:lineRule="auto"/>
              <w:widowControl/>
              <w:rPr>
                <w:rFonts w:ascii="宋体" w:hAnsi="宋体" w:eastAsia="宋体" w:cs="宋体"/>
                <w:sz w:val="21"/>
                <w:szCs w:val="21"/>
              </w:rPr>
            </w:pPr>
            <w:r>
              <w:rPr>
                <w:rFonts w:hint="eastAsia" w:ascii="宋体" w:hAnsi="宋体" w:eastAsia="宋体" w:cs="宋体"/>
                <w:sz w:val="21"/>
                <w:szCs w:val="21"/>
              </w:rPr>
              <w:t xml:space="preserve">屏幕</w:t>
            </w:r>
            <w:r/>
          </w:p>
        </w:tc>
        <w:tc>
          <w:tcPr>
            <w:shd w:val="clear" w:color="auto" w:fill="auto"/>
            <w:tcW w:w="6549"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屏幕尺寸：不低于7寸，分辨率：≥1024*600</w:t>
            </w:r>
            <w:r/>
          </w:p>
        </w:tc>
      </w:tr>
      <w:tr>
        <w:trPr>
          <w:jc w:val="center"/>
          <w:trHeight w:val="316"/>
        </w:trPr>
        <w:tc>
          <w:tcPr>
            <w:shd w:val="clear" w:color="auto" w:fill="auto"/>
            <w:tcW w:w="1670"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WIFI</w:t>
            </w:r>
            <w:r/>
          </w:p>
        </w:tc>
        <w:tc>
          <w:tcPr>
            <w:shd w:val="clear" w:color="auto" w:fill="auto"/>
            <w:tcW w:w="6549"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支持</w:t>
            </w:r>
            <w:r/>
          </w:p>
        </w:tc>
      </w:tr>
      <w:tr>
        <w:trPr>
          <w:jc w:val="center"/>
          <w:trHeight w:val="316"/>
        </w:trPr>
        <w:tc>
          <w:tcPr>
            <w:shd w:val="clear" w:color="auto" w:fill="auto"/>
            <w:tcW w:w="1670"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4G</w:t>
            </w:r>
            <w:r/>
          </w:p>
        </w:tc>
        <w:tc>
          <w:tcPr>
            <w:shd w:val="clear" w:color="auto" w:fill="auto"/>
            <w:tcW w:w="6549"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支持</w:t>
            </w:r>
            <w:r/>
          </w:p>
        </w:tc>
      </w:tr>
      <w:tr>
        <w:trPr>
          <w:jc w:val="center"/>
          <w:trHeight w:val="316"/>
        </w:trPr>
        <w:tc>
          <w:tcPr>
            <w:shd w:val="clear" w:color="auto" w:fill="auto"/>
            <w:tcW w:w="1670"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内存</w:t>
            </w:r>
            <w:r/>
          </w:p>
        </w:tc>
        <w:tc>
          <w:tcPr>
            <w:shd w:val="clear" w:color="auto" w:fill="auto"/>
            <w:tcW w:w="6549"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≥2G+8G</w:t>
            </w:r>
            <w:r/>
          </w:p>
        </w:tc>
      </w:tr>
      <w:tr>
        <w:trPr>
          <w:jc w:val="center"/>
          <w:trHeight w:val="316"/>
        </w:trPr>
        <w:tc>
          <w:tcPr>
            <w:shd w:val="clear" w:color="auto" w:fill="auto"/>
            <w:tcW w:w="1670"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刷卡模块</w:t>
            </w:r>
            <w:r/>
          </w:p>
        </w:tc>
        <w:tc>
          <w:tcPr>
            <w:shd w:val="clear" w:color="auto" w:fill="auto"/>
            <w:tcW w:w="6549"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自制刷卡模块</w:t>
            </w:r>
            <w:r/>
          </w:p>
        </w:tc>
      </w:tr>
      <w:tr>
        <w:trPr>
          <w:jc w:val="center"/>
          <w:trHeight w:val="316"/>
        </w:trPr>
        <w:tc>
          <w:tcPr>
            <w:shd w:val="clear" w:color="auto" w:fill="auto"/>
            <w:tcW w:w="1670"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TF 卡</w:t>
            </w:r>
            <w:r/>
          </w:p>
        </w:tc>
        <w:tc>
          <w:tcPr>
            <w:shd w:val="clear" w:color="auto" w:fill="auto"/>
            <w:tcW w:w="6549"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至少2路TF卡，最大存储容量可达 2*512G</w:t>
            </w:r>
            <w:r/>
          </w:p>
        </w:tc>
      </w:tr>
      <w:tr>
        <w:trPr>
          <w:jc w:val="center"/>
          <w:trHeight w:val="316"/>
        </w:trPr>
        <w:tc>
          <w:tcPr>
            <w:shd w:val="clear" w:color="auto" w:fill="auto"/>
            <w:tcW w:w="1670"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IO</w:t>
            </w:r>
            <w:r/>
          </w:p>
        </w:tc>
        <w:tc>
          <w:tcPr>
            <w:shd w:val="clear" w:color="auto" w:fill="auto"/>
            <w:tcW w:w="6549"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DataHub: ≥8*sensor in + 4*sensor out</w:t>
            </w:r>
            <w:r/>
          </w:p>
        </w:tc>
      </w:tr>
      <w:tr>
        <w:trPr>
          <w:jc w:val="center"/>
          <w:trHeight w:val="316"/>
        </w:trPr>
        <w:tc>
          <w:tcPr>
            <w:shd w:val="clear" w:color="auto" w:fill="auto"/>
            <w:tcW w:w="1670"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串口</w:t>
            </w:r>
            <w:r/>
          </w:p>
        </w:tc>
        <w:tc>
          <w:tcPr>
            <w:shd w:val="clear" w:color="auto" w:fill="auto"/>
            <w:tcW w:w="6549"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至少3*RS232 + 1*RS485</w:t>
            </w:r>
            <w:r/>
          </w:p>
        </w:tc>
      </w:tr>
      <w:tr>
        <w:trPr>
          <w:jc w:val="center"/>
          <w:trHeight w:val="316"/>
        </w:trPr>
        <w:tc>
          <w:tcPr>
            <w:shd w:val="clear" w:color="auto" w:fill="auto"/>
            <w:tcW w:w="1670"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脉冲</w:t>
            </w:r>
            <w:r/>
          </w:p>
        </w:tc>
        <w:tc>
          <w:tcPr>
            <w:shd w:val="clear" w:color="auto" w:fill="auto"/>
            <w:tcW w:w="6549"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至少1路脉冲接入</w:t>
            </w:r>
            <w:r/>
          </w:p>
        </w:tc>
      </w:tr>
      <w:tr>
        <w:trPr>
          <w:jc w:val="center"/>
          <w:trHeight w:val="316"/>
        </w:trPr>
        <w:tc>
          <w:tcPr>
            <w:shd w:val="clear" w:color="auto" w:fill="auto"/>
            <w:tcW w:w="1670"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USB</w:t>
            </w:r>
            <w:r/>
          </w:p>
        </w:tc>
        <w:tc>
          <w:tcPr>
            <w:shd w:val="clear" w:color="auto" w:fill="auto"/>
            <w:tcW w:w="6549"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至少1路usb接口</w:t>
            </w:r>
            <w:r/>
          </w:p>
        </w:tc>
      </w:tr>
      <w:tr>
        <w:trPr>
          <w:jc w:val="center"/>
          <w:trHeight w:val="521"/>
        </w:trPr>
        <w:tc>
          <w:tcPr>
            <w:shd w:val="clear" w:color="auto" w:fill="auto"/>
            <w:tcW w:w="1670"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音频/视频编码</w:t>
            </w:r>
            <w:r/>
          </w:p>
        </w:tc>
        <w:tc>
          <w:tcPr>
            <w:shd w:val="clear" w:color="auto" w:fill="auto"/>
            <w:tcW w:w="6549"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至少4路AHD视频</w:t>
            </w:r>
            <w:r/>
          </w:p>
        </w:tc>
      </w:tr>
      <w:tr>
        <w:trPr>
          <w:jc w:val="center"/>
          <w:trHeight w:val="593"/>
        </w:trPr>
        <w:tc>
          <w:tcPr>
            <w:shd w:val="clear" w:color="auto" w:fill="auto"/>
            <w:tcW w:w="1670"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主码流码率及帧率</w:t>
            </w:r>
            <w:r/>
          </w:p>
        </w:tc>
        <w:tc>
          <w:tcPr>
            <w:shd w:val="clear" w:color="auto" w:fill="auto"/>
            <w:tcW w:w="6549"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ADAS:1080P@25FPS、DMS:720P@25FPS 、DSC：720P@25FPS、后排：720P@25FPS</w:t>
            </w:r>
            <w:r/>
          </w:p>
        </w:tc>
      </w:tr>
      <w:tr>
        <w:trPr>
          <w:jc w:val="center"/>
          <w:trHeight w:val="593"/>
        </w:trPr>
        <w:tc>
          <w:tcPr>
            <w:shd w:val="clear" w:color="auto" w:fill="auto"/>
            <w:tcW w:w="1670"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最大资源</w:t>
            </w:r>
            <w:r/>
          </w:p>
        </w:tc>
        <w:tc>
          <w:tcPr>
            <w:shd w:val="clear" w:color="auto" w:fill="auto"/>
            <w:tcW w:w="6549"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主码流：对外:1080P@30FPS+对内:720P@20FPS(DSC)+DSM:720P@20FPS+扩展 AHD:720P@20FPS；子码流:4*CIF@30FPS</w:t>
            </w:r>
            <w:r/>
          </w:p>
        </w:tc>
      </w:tr>
      <w:tr>
        <w:trPr>
          <w:jc w:val="center"/>
          <w:trHeight w:val="316"/>
        </w:trPr>
        <w:tc>
          <w:tcPr>
            <w:shd w:val="clear" w:color="auto" w:fill="auto"/>
            <w:tcW w:w="1670"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图像设置</w:t>
            </w:r>
            <w:r/>
          </w:p>
        </w:tc>
        <w:tc>
          <w:tcPr>
            <w:shd w:val="clear" w:color="auto" w:fill="auto"/>
            <w:tcW w:w="6549"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可调节亮度、色度、对比度、色彩饱和度和清晰度</w:t>
            </w:r>
            <w:r/>
          </w:p>
        </w:tc>
      </w:tr>
      <w:tr>
        <w:trPr>
          <w:jc w:val="center"/>
          <w:trHeight w:val="316"/>
        </w:trPr>
        <w:tc>
          <w:tcPr>
            <w:shd w:val="clear" w:color="auto" w:fill="auto"/>
            <w:tcW w:w="1670"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视频编码</w:t>
            </w:r>
            <w:r/>
          </w:p>
        </w:tc>
        <w:tc>
          <w:tcPr>
            <w:shd w:val="clear" w:color="auto" w:fill="auto"/>
            <w:tcW w:w="6549"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H.264/H.265</w:t>
            </w:r>
            <w:r/>
          </w:p>
        </w:tc>
      </w:tr>
      <w:tr>
        <w:trPr>
          <w:jc w:val="center"/>
          <w:trHeight w:val="316"/>
        </w:trPr>
        <w:tc>
          <w:tcPr>
            <w:shd w:val="clear" w:color="auto" w:fill="auto"/>
            <w:tcW w:w="1670"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音频压缩方式</w:t>
            </w:r>
            <w:r/>
          </w:p>
        </w:tc>
        <w:tc>
          <w:tcPr>
            <w:shd w:val="clear" w:color="auto" w:fill="auto"/>
            <w:tcW w:w="6549"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ADPCM/G.711/G.726 (default: G.711)</w:t>
            </w:r>
            <w:r/>
          </w:p>
        </w:tc>
      </w:tr>
      <w:tr>
        <w:trPr>
          <w:jc w:val="center"/>
          <w:trHeight w:val="316"/>
        </w:trPr>
        <w:tc>
          <w:tcPr>
            <w:shd w:val="clear" w:color="auto" w:fill="auto"/>
            <w:tcW w:w="1670"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CBR/VBR</w:t>
            </w:r>
            <w:r/>
          </w:p>
        </w:tc>
        <w:tc>
          <w:tcPr>
            <w:shd w:val="clear" w:color="auto" w:fill="auto"/>
            <w:tcW w:w="6549"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默认VBR,可配置CBR</w:t>
            </w:r>
            <w:r/>
          </w:p>
        </w:tc>
      </w:tr>
      <w:tr>
        <w:trPr>
          <w:jc w:val="center"/>
          <w:trHeight w:val="316"/>
        </w:trPr>
        <w:tc>
          <w:tcPr>
            <w:shd w:val="clear" w:color="auto" w:fill="auto"/>
            <w:tcW w:w="1670"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Audio</w:t>
            </w:r>
            <w:r/>
          </w:p>
        </w:tc>
        <w:tc>
          <w:tcPr>
            <w:shd w:val="clear" w:color="auto" w:fill="auto"/>
            <w:tcW w:w="6549"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内置至少2路mic</w:t>
            </w:r>
            <w:r/>
          </w:p>
        </w:tc>
      </w:tr>
      <w:tr>
        <w:trPr>
          <w:jc w:val="center"/>
          <w:trHeight w:val="316"/>
        </w:trPr>
        <w:tc>
          <w:tcPr>
            <w:shd w:val="clear" w:color="auto" w:fill="auto"/>
            <w:tcW w:w="1670"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功放</w:t>
            </w:r>
            <w:r/>
          </w:p>
        </w:tc>
        <w:tc>
          <w:tcPr>
            <w:shd w:val="clear" w:color="auto" w:fill="auto"/>
            <w:tcW w:w="6549"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内置不低于3W</w:t>
            </w:r>
            <w:r/>
          </w:p>
        </w:tc>
      </w:tr>
      <w:tr>
        <w:trPr>
          <w:jc w:val="center"/>
          <w:trHeight w:val="316"/>
        </w:trPr>
        <w:tc>
          <w:tcPr>
            <w:shd w:val="clear" w:color="auto" w:fill="auto"/>
            <w:tcW w:w="1670"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电源</w:t>
            </w:r>
            <w:r/>
          </w:p>
        </w:tc>
        <w:tc>
          <w:tcPr>
            <w:shd w:val="clear" w:color="auto" w:fill="auto"/>
            <w:tcW w:w="6549"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9~16V</w:t>
            </w:r>
            <w:r/>
          </w:p>
        </w:tc>
      </w:tr>
      <w:tr>
        <w:trPr>
          <w:jc w:val="center"/>
          <w:trHeight w:val="316"/>
        </w:trPr>
        <w:tc>
          <w:tcPr>
            <w:shd w:val="clear" w:color="auto" w:fill="auto"/>
            <w:tcW w:w="1670"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温度</w:t>
            </w:r>
            <w:r/>
          </w:p>
        </w:tc>
        <w:tc>
          <w:tcPr>
            <w:shd w:val="clear" w:color="auto" w:fill="auto"/>
            <w:tcW w:w="6549"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工作温度 -30~70℃ ，存储温度 -40~85℃</w:t>
            </w:r>
            <w:r/>
          </w:p>
        </w:tc>
      </w:tr>
      <w:tr>
        <w:trPr>
          <w:jc w:val="center"/>
          <w:trHeight w:val="357"/>
        </w:trPr>
        <w:tc>
          <w:tcPr>
            <w:shd w:val="clear" w:color="auto" w:fill="auto"/>
            <w:tcW w:w="1670"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湿度 </w:t>
            </w:r>
            <w:r/>
          </w:p>
        </w:tc>
        <w:tc>
          <w:tcPr>
            <w:shd w:val="clear" w:color="auto" w:fill="auto"/>
            <w:tcW w:w="6549"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0%~90%</w:t>
            </w:r>
            <w:r/>
          </w:p>
        </w:tc>
      </w:tr>
    </w:tbl>
    <w:p>
      <w:pPr>
        <w:pStyle w:val="1066"/>
        <w:numPr>
          <w:ilvl w:val="0"/>
          <w:numId w:val="32"/>
        </w:numPr>
        <w:ind w:left="0" w:firstLine="422"/>
        <w:spacing w:before="156"/>
        <w:rPr>
          <w:rFonts w:hAnsi="宋体" w:cs="宋体"/>
          <w:b/>
          <w:bCs/>
          <w:sz w:val="21"/>
          <w:szCs w:val="21"/>
        </w:rPr>
      </w:pPr>
      <w:r>
        <w:rPr>
          <w:rFonts w:hint="eastAsia" w:hAnsi="宋体" w:cs="宋体"/>
          <w:b/>
          <w:bCs/>
          <w:sz w:val="21"/>
          <w:szCs w:val="21"/>
        </w:rPr>
        <w:t xml:space="preserve">主要功能</w:t>
      </w:r>
      <w:r/>
    </w:p>
    <w:p>
      <w:pPr>
        <w:pStyle w:val="1066"/>
        <w:ind w:firstLine="420"/>
        <w:rPr>
          <w:rFonts w:hAnsi="宋体" w:cs="宋体"/>
          <w:sz w:val="21"/>
          <w:szCs w:val="21"/>
        </w:rPr>
      </w:pPr>
      <w:r>
        <w:rPr>
          <w:rFonts w:hint="eastAsia" w:hAnsi="宋体" w:cs="宋体"/>
          <w:sz w:val="21"/>
          <w:szCs w:val="21"/>
        </w:rPr>
        <w:t xml:space="preserve">1）设备自检</w:t>
      </w:r>
      <w:r/>
    </w:p>
    <w:p>
      <w:pPr>
        <w:pStyle w:val="1066"/>
        <w:ind w:firstLine="420"/>
        <w:rPr>
          <w:rFonts w:hAnsi="宋体" w:cs="宋体"/>
          <w:sz w:val="21"/>
          <w:szCs w:val="21"/>
        </w:rPr>
      </w:pPr>
      <w:r>
        <w:rPr>
          <w:rFonts w:hint="eastAsia" w:hAnsi="宋体" w:cs="宋体"/>
          <w:sz w:val="21"/>
          <w:szCs w:val="21"/>
        </w:rPr>
        <w:t xml:space="preserve">应能通过液晶显示屏指示当前运营专用设备的工作状态，包括摄像机连接状态、通信定位模块状态、计价器连接状态、电源状态。支持根据平台指令向平台反馈自检信息。</w:t>
      </w:r>
      <w:r/>
    </w:p>
    <w:p>
      <w:pPr>
        <w:pStyle w:val="1066"/>
        <w:ind w:firstLine="420"/>
        <w:rPr>
          <w:rFonts w:hAnsi="宋体" w:cs="宋体"/>
          <w:sz w:val="21"/>
          <w:szCs w:val="21"/>
        </w:rPr>
      </w:pPr>
      <w:r>
        <w:rPr>
          <w:rFonts w:hint="eastAsia" w:hAnsi="宋体" w:cs="宋体"/>
          <w:sz w:val="21"/>
          <w:szCs w:val="21"/>
        </w:rPr>
        <w:t xml:space="preserve">2）分级电源管理</w:t>
      </w:r>
      <w:r/>
    </w:p>
    <w:p>
      <w:pPr>
        <w:pStyle w:val="1066"/>
        <w:ind w:firstLine="420"/>
        <w:rPr>
          <w:rFonts w:hAnsi="宋体" w:cs="宋体"/>
          <w:sz w:val="21"/>
          <w:szCs w:val="21"/>
        </w:rPr>
      </w:pPr>
      <w:r>
        <w:rPr>
          <w:rFonts w:hint="eastAsia" w:hAnsi="宋体" w:cs="宋体"/>
          <w:sz w:val="21"/>
          <w:szCs w:val="21"/>
        </w:rPr>
        <w:t xml:space="preserve">应支持不同工作模式下的分级电源管理，在空车、电召、预约、停运（暂停）等非载客营运状态下，应将服务评价器等外设关闭或使之进入低功耗状态。</w:t>
      </w:r>
      <w:r/>
    </w:p>
    <w:p>
      <w:pPr>
        <w:pStyle w:val="1066"/>
        <w:ind w:firstLine="420"/>
        <w:rPr>
          <w:rFonts w:hAnsi="宋体" w:cs="宋体"/>
          <w:sz w:val="21"/>
          <w:szCs w:val="21"/>
        </w:rPr>
      </w:pPr>
      <w:r>
        <w:rPr>
          <w:rFonts w:hint="eastAsia" w:hAnsi="宋体" w:cs="宋体"/>
          <w:sz w:val="21"/>
          <w:szCs w:val="21"/>
        </w:rPr>
        <w:t xml:space="preserve">应支持ACC检测，当车辆熄火时应向平台上传熄火信息，空车状态时自动进入休眠状态。休眠功能应满足以下要求：</w:t>
      </w:r>
      <w:r/>
    </w:p>
    <w:p>
      <w:pPr>
        <w:pStyle w:val="1066"/>
        <w:numPr>
          <w:ilvl w:val="0"/>
          <w:numId w:val="33"/>
        </w:numPr>
        <w:ind w:left="0" w:firstLine="420"/>
        <w:rPr>
          <w:rFonts w:hAnsi="宋体" w:cs="宋体"/>
          <w:sz w:val="21"/>
          <w:szCs w:val="21"/>
        </w:rPr>
      </w:pPr>
      <w:r>
        <w:rPr>
          <w:rFonts w:hint="eastAsia" w:hAnsi="宋体" w:cs="宋体"/>
          <w:sz w:val="21"/>
          <w:szCs w:val="21"/>
        </w:rPr>
        <w:t xml:space="preserve">关闭除无线通讯模块、卫星定位模块之外其它不必要设备，卫星定位模块在需要上传时自动唤醒；</w:t>
      </w:r>
      <w:r/>
    </w:p>
    <w:p>
      <w:pPr>
        <w:pStyle w:val="1066"/>
        <w:numPr>
          <w:ilvl w:val="0"/>
          <w:numId w:val="33"/>
        </w:numPr>
        <w:ind w:left="0" w:firstLine="420"/>
        <w:rPr>
          <w:rFonts w:hAnsi="宋体" w:cs="宋体"/>
          <w:sz w:val="21"/>
          <w:szCs w:val="21"/>
        </w:rPr>
      </w:pPr>
      <w:r>
        <w:rPr>
          <w:rFonts w:hint="eastAsia" w:hAnsi="宋体" w:cs="宋体"/>
          <w:sz w:val="21"/>
          <w:szCs w:val="21"/>
        </w:rPr>
        <w:t xml:space="preserve">休眠期间数据上传频率可由监控指挥中心远程设置或者按照初始化时设置的参数自动持续降低数据上传频率；</w:t>
      </w:r>
      <w:r/>
    </w:p>
    <w:p>
      <w:pPr>
        <w:pStyle w:val="1066"/>
        <w:ind w:firstLine="420"/>
        <w:rPr>
          <w:rFonts w:hAnsi="宋体" w:cs="宋体"/>
          <w:sz w:val="21"/>
          <w:szCs w:val="21"/>
        </w:rPr>
      </w:pPr>
      <w:r>
        <w:rPr>
          <w:rFonts w:hint="eastAsia" w:hAnsi="宋体" w:cs="宋体"/>
          <w:sz w:val="21"/>
          <w:szCs w:val="21"/>
        </w:rPr>
        <w:t xml:space="preserve">3）通信</w:t>
      </w:r>
      <w:r/>
    </w:p>
    <w:p>
      <w:pPr>
        <w:pStyle w:val="1066"/>
        <w:ind w:firstLine="420"/>
        <w:rPr>
          <w:rFonts w:hAnsi="宋体" w:cs="宋体"/>
          <w:sz w:val="21"/>
          <w:szCs w:val="21"/>
        </w:rPr>
      </w:pPr>
      <w:r>
        <w:rPr>
          <w:rFonts w:hint="eastAsia" w:hAnsi="宋体" w:cs="宋体"/>
          <w:sz w:val="21"/>
          <w:szCs w:val="21"/>
        </w:rPr>
        <w:t xml:space="preserve">通信功能应满足以下要求：</w:t>
      </w:r>
      <w:r/>
    </w:p>
    <w:p>
      <w:pPr>
        <w:pStyle w:val="1066"/>
        <w:numPr>
          <w:ilvl w:val="0"/>
          <w:numId w:val="33"/>
        </w:numPr>
        <w:ind w:left="0" w:firstLine="420"/>
        <w:rPr>
          <w:rFonts w:hAnsi="宋体" w:cs="宋体"/>
          <w:sz w:val="21"/>
          <w:szCs w:val="21"/>
        </w:rPr>
      </w:pPr>
      <w:r>
        <w:rPr>
          <w:rFonts w:hint="eastAsia" w:hAnsi="宋体" w:cs="宋体"/>
          <w:sz w:val="21"/>
          <w:szCs w:val="21"/>
        </w:rPr>
        <w:t xml:space="preserve">支持基于4G通信模式；</w:t>
      </w:r>
      <w:r/>
    </w:p>
    <w:p>
      <w:pPr>
        <w:pStyle w:val="1066"/>
        <w:numPr>
          <w:ilvl w:val="0"/>
          <w:numId w:val="33"/>
        </w:numPr>
        <w:ind w:left="0" w:firstLine="420"/>
        <w:rPr>
          <w:rFonts w:hAnsi="宋体" w:cs="宋体"/>
          <w:sz w:val="21"/>
          <w:szCs w:val="21"/>
        </w:rPr>
      </w:pPr>
      <w:r>
        <w:rPr>
          <w:rFonts w:hint="eastAsia" w:hAnsi="宋体" w:cs="宋体"/>
          <w:sz w:val="21"/>
          <w:szCs w:val="21"/>
        </w:rPr>
        <w:t xml:space="preserve">无线通信功能应采用模块化设计，预留可不用更换主机升级通信模块的接口；</w:t>
      </w:r>
      <w:r/>
    </w:p>
    <w:p>
      <w:pPr>
        <w:pStyle w:val="1066"/>
        <w:numPr>
          <w:ilvl w:val="0"/>
          <w:numId w:val="33"/>
        </w:numPr>
        <w:ind w:left="0" w:firstLine="420"/>
        <w:rPr>
          <w:rFonts w:hAnsi="宋体" w:cs="宋体"/>
          <w:sz w:val="21"/>
          <w:szCs w:val="21"/>
        </w:rPr>
      </w:pPr>
      <w:r>
        <w:rPr>
          <w:rFonts w:hint="eastAsia" w:hAnsi="宋体" w:cs="宋体"/>
          <w:sz w:val="21"/>
          <w:szCs w:val="21"/>
        </w:rPr>
        <w:t xml:space="preserve">支持虚拟专网（VPN）连接；</w:t>
      </w:r>
      <w:r/>
    </w:p>
    <w:p>
      <w:pPr>
        <w:pStyle w:val="1066"/>
        <w:numPr>
          <w:ilvl w:val="0"/>
          <w:numId w:val="33"/>
        </w:numPr>
        <w:ind w:left="0" w:firstLine="420"/>
        <w:rPr>
          <w:rFonts w:hAnsi="宋体" w:cs="宋体"/>
          <w:sz w:val="21"/>
          <w:szCs w:val="21"/>
        </w:rPr>
      </w:pPr>
      <w:r>
        <w:rPr>
          <w:rFonts w:hint="eastAsia" w:hAnsi="宋体" w:cs="宋体"/>
          <w:sz w:val="21"/>
          <w:szCs w:val="21"/>
        </w:rPr>
        <w:t xml:space="preserve">支持语音包、视频包的实时传送；</w:t>
      </w:r>
      <w:r/>
    </w:p>
    <w:p>
      <w:pPr>
        <w:pStyle w:val="1066"/>
        <w:numPr>
          <w:ilvl w:val="0"/>
          <w:numId w:val="33"/>
        </w:numPr>
        <w:ind w:left="0" w:firstLine="420"/>
        <w:rPr>
          <w:rFonts w:hAnsi="宋体" w:cs="宋体"/>
          <w:sz w:val="21"/>
          <w:szCs w:val="21"/>
        </w:rPr>
      </w:pPr>
      <w:r>
        <w:rPr>
          <w:rFonts w:hint="eastAsia" w:hAnsi="宋体" w:cs="宋体"/>
          <w:sz w:val="21"/>
          <w:szCs w:val="21"/>
        </w:rPr>
        <w:t xml:space="preserve">支持数据批量接收与发送、断点续传；</w:t>
      </w:r>
      <w:r/>
    </w:p>
    <w:p>
      <w:pPr>
        <w:pStyle w:val="1066"/>
        <w:numPr>
          <w:ilvl w:val="0"/>
          <w:numId w:val="33"/>
        </w:numPr>
        <w:ind w:left="0" w:firstLine="420"/>
        <w:rPr>
          <w:rFonts w:hAnsi="宋体" w:cs="宋体"/>
          <w:sz w:val="21"/>
          <w:szCs w:val="21"/>
        </w:rPr>
      </w:pPr>
      <w:r>
        <w:rPr>
          <w:rFonts w:hint="eastAsia" w:hAnsi="宋体" w:cs="宋体"/>
          <w:sz w:val="21"/>
          <w:szCs w:val="21"/>
        </w:rPr>
        <w:t xml:space="preserve">出现故障时应缓存各项数据，故障恢复后应对缓存数据进行重传，营运和刷卡数据应100％上传成功。</w:t>
      </w:r>
      <w:r/>
    </w:p>
    <w:p>
      <w:pPr>
        <w:pStyle w:val="1066"/>
        <w:numPr>
          <w:ilvl w:val="0"/>
          <w:numId w:val="33"/>
        </w:numPr>
        <w:ind w:left="0" w:firstLine="420"/>
        <w:rPr>
          <w:rFonts w:hAnsi="宋体" w:cs="宋体"/>
          <w:sz w:val="21"/>
          <w:szCs w:val="21"/>
        </w:rPr>
      </w:pPr>
      <w:r>
        <w:rPr>
          <w:rFonts w:hint="eastAsia" w:hAnsi="宋体" w:cs="宋体"/>
          <w:sz w:val="21"/>
          <w:szCs w:val="21"/>
        </w:rPr>
        <w:t xml:space="preserve">支持域名解析；</w:t>
      </w:r>
      <w:r/>
    </w:p>
    <w:p>
      <w:pPr>
        <w:pStyle w:val="1066"/>
        <w:numPr>
          <w:ilvl w:val="0"/>
          <w:numId w:val="33"/>
        </w:numPr>
        <w:ind w:left="0" w:firstLine="420"/>
        <w:rPr>
          <w:rFonts w:hAnsi="宋体" w:cs="宋体"/>
          <w:sz w:val="21"/>
          <w:szCs w:val="21"/>
        </w:rPr>
      </w:pPr>
      <w:r>
        <w:rPr>
          <w:rFonts w:hint="eastAsia" w:hAnsi="宋体" w:cs="宋体"/>
          <w:sz w:val="21"/>
          <w:szCs w:val="21"/>
        </w:rPr>
        <w:t xml:space="preserve">支持主/副服务器连接切换。</w:t>
      </w:r>
      <w:r/>
    </w:p>
    <w:p>
      <w:pPr>
        <w:pStyle w:val="1066"/>
        <w:ind w:firstLine="420"/>
        <w:rPr>
          <w:rFonts w:hAnsi="宋体" w:cs="宋体"/>
          <w:sz w:val="21"/>
          <w:szCs w:val="21"/>
        </w:rPr>
      </w:pPr>
      <w:r>
        <w:rPr>
          <w:rFonts w:hint="eastAsia" w:hAnsi="宋体" w:cs="宋体"/>
          <w:sz w:val="21"/>
          <w:szCs w:val="21"/>
        </w:rPr>
        <w:t xml:space="preserve">4）IP语音通话</w:t>
      </w:r>
      <w:r/>
    </w:p>
    <w:p>
      <w:pPr>
        <w:pStyle w:val="1066"/>
        <w:ind w:firstLine="420"/>
        <w:rPr>
          <w:rFonts w:hAnsi="宋体" w:cs="宋体"/>
          <w:sz w:val="21"/>
          <w:szCs w:val="21"/>
        </w:rPr>
      </w:pPr>
      <w:r>
        <w:rPr>
          <w:rFonts w:hint="eastAsia" w:hAnsi="宋体" w:cs="宋体"/>
          <w:sz w:val="21"/>
          <w:szCs w:val="21"/>
        </w:rPr>
        <w:t xml:space="preserve">终端应支持IP对讲和IP监听，在IP对讲期间支持移动数据传输。管理员可在IP对讲期间下发报文到终端上。</w:t>
      </w:r>
      <w:r/>
    </w:p>
    <w:p>
      <w:pPr>
        <w:pStyle w:val="1066"/>
        <w:ind w:firstLine="420"/>
        <w:rPr>
          <w:rFonts w:hAnsi="宋体" w:cs="宋体"/>
          <w:sz w:val="21"/>
          <w:szCs w:val="21"/>
        </w:rPr>
      </w:pPr>
      <w:r>
        <w:rPr>
          <w:rFonts w:hint="eastAsia" w:hAnsi="宋体" w:cs="宋体"/>
          <w:sz w:val="21"/>
          <w:szCs w:val="21"/>
        </w:rPr>
        <w:t xml:space="preserve">5）定位</w:t>
      </w:r>
      <w:r/>
    </w:p>
    <w:p>
      <w:pPr>
        <w:pStyle w:val="1066"/>
        <w:ind w:firstLine="420"/>
        <w:rPr>
          <w:rFonts w:hAnsi="宋体" w:cs="宋体"/>
          <w:sz w:val="21"/>
          <w:szCs w:val="21"/>
        </w:rPr>
      </w:pPr>
      <w:r>
        <w:rPr>
          <w:rFonts w:hint="eastAsia" w:hAnsi="宋体" w:cs="宋体"/>
          <w:sz w:val="21"/>
          <w:szCs w:val="21"/>
        </w:rPr>
        <w:t xml:space="preserve">定位功能应满足以下要求：</w:t>
      </w:r>
      <w:r/>
    </w:p>
    <w:p>
      <w:pPr>
        <w:pStyle w:val="1066"/>
        <w:numPr>
          <w:ilvl w:val="0"/>
          <w:numId w:val="33"/>
        </w:numPr>
        <w:ind w:left="0" w:firstLine="420"/>
        <w:rPr>
          <w:rFonts w:hAnsi="宋体" w:cs="宋体"/>
          <w:sz w:val="21"/>
          <w:szCs w:val="21"/>
        </w:rPr>
      </w:pPr>
      <w:r>
        <w:rPr>
          <w:rFonts w:hint="eastAsia" w:hAnsi="宋体" w:cs="宋体"/>
          <w:sz w:val="21"/>
          <w:szCs w:val="21"/>
        </w:rPr>
        <w:t xml:space="preserve">应提供实时时间、经度、纬度、速度和方向等定位状态信息，可存储到本地，同时通过无线通信方式上传至平台；</w:t>
      </w:r>
      <w:r/>
    </w:p>
    <w:p>
      <w:pPr>
        <w:pStyle w:val="1066"/>
        <w:numPr>
          <w:ilvl w:val="0"/>
          <w:numId w:val="33"/>
        </w:numPr>
        <w:ind w:left="0" w:firstLine="420"/>
        <w:rPr>
          <w:rFonts w:hAnsi="宋体" w:cs="宋体"/>
          <w:sz w:val="21"/>
          <w:szCs w:val="21"/>
        </w:rPr>
      </w:pPr>
      <w:r>
        <w:rPr>
          <w:rFonts w:hint="eastAsia" w:hAnsi="宋体" w:cs="宋体"/>
          <w:sz w:val="21"/>
          <w:szCs w:val="21"/>
        </w:rPr>
        <w:t xml:space="preserve">应支持接收多个平台的定位请求进行定位信息上传，能按平台要求中止对应信息上报；</w:t>
      </w:r>
      <w:r/>
    </w:p>
    <w:p>
      <w:pPr>
        <w:pStyle w:val="1066"/>
        <w:numPr>
          <w:ilvl w:val="0"/>
          <w:numId w:val="33"/>
        </w:numPr>
        <w:ind w:left="0" w:firstLine="420"/>
        <w:rPr>
          <w:rFonts w:hAnsi="宋体" w:cs="宋体"/>
          <w:sz w:val="21"/>
          <w:szCs w:val="21"/>
        </w:rPr>
      </w:pPr>
      <w:r>
        <w:rPr>
          <w:rFonts w:hint="eastAsia" w:hAnsi="宋体" w:cs="宋体"/>
          <w:sz w:val="21"/>
          <w:szCs w:val="21"/>
        </w:rPr>
        <w:t xml:space="preserve">支持位置报告信息的盲区补报，当无法注册到所在地的无线网络时，应以先进先出方式本地至少缓存20000笔位置汇报信息，至注册到无线网络时一并传送。当保存数据超过最大容量，按时间顺序依次作丢弃处理；</w:t>
      </w:r>
      <w:r/>
    </w:p>
    <w:p>
      <w:pPr>
        <w:pStyle w:val="1066"/>
        <w:numPr>
          <w:ilvl w:val="0"/>
          <w:numId w:val="33"/>
        </w:numPr>
        <w:ind w:left="0" w:firstLine="420"/>
        <w:rPr>
          <w:rFonts w:hAnsi="宋体" w:cs="宋体"/>
          <w:sz w:val="21"/>
          <w:szCs w:val="21"/>
        </w:rPr>
      </w:pPr>
      <w:r>
        <w:rPr>
          <w:rFonts w:hint="eastAsia" w:hAnsi="宋体" w:cs="宋体"/>
          <w:sz w:val="21"/>
          <w:szCs w:val="21"/>
        </w:rPr>
        <w:t xml:space="preserve">应根据时间、距离或外部事件触发上传定位信息，当车辆长时间停放或终端处于休眠状态时，也应以一定间隔上传定位信息，且时间、距离的间隔或外部事件触发条件可由平台设定；</w:t>
      </w:r>
      <w:r/>
    </w:p>
    <w:p>
      <w:pPr>
        <w:pStyle w:val="1066"/>
        <w:numPr>
          <w:ilvl w:val="0"/>
          <w:numId w:val="33"/>
        </w:numPr>
        <w:ind w:left="0" w:firstLine="420"/>
        <w:rPr>
          <w:rFonts w:hAnsi="宋体" w:cs="宋体"/>
          <w:sz w:val="21"/>
          <w:szCs w:val="21"/>
        </w:rPr>
      </w:pPr>
      <w:r>
        <w:rPr>
          <w:rFonts w:hint="eastAsia" w:hAnsi="宋体" w:cs="宋体"/>
          <w:sz w:val="21"/>
          <w:szCs w:val="21"/>
        </w:rPr>
        <w:t xml:space="preserve">可自动对报警车辆或重点车辆按平台设定的定位方式及间隔上传定位数据；</w:t>
      </w:r>
      <w:r/>
    </w:p>
    <w:p>
      <w:pPr>
        <w:pStyle w:val="1066"/>
        <w:numPr>
          <w:ilvl w:val="0"/>
          <w:numId w:val="33"/>
        </w:numPr>
        <w:ind w:left="0" w:firstLine="420"/>
        <w:rPr>
          <w:rFonts w:hAnsi="宋体" w:cs="宋体"/>
          <w:sz w:val="21"/>
          <w:szCs w:val="21"/>
        </w:rPr>
      </w:pPr>
      <w:r>
        <w:rPr>
          <w:rFonts w:hint="eastAsia" w:hAnsi="宋体" w:cs="宋体"/>
          <w:sz w:val="21"/>
          <w:szCs w:val="21"/>
        </w:rPr>
        <w:t xml:space="preserve">根据平台的指令，立即返回位置信息并进行车辆跟踪。</w:t>
      </w:r>
      <w:r/>
    </w:p>
    <w:p>
      <w:pPr>
        <w:pStyle w:val="1066"/>
        <w:ind w:firstLine="420"/>
        <w:rPr>
          <w:rFonts w:hAnsi="宋体" w:cs="宋体"/>
          <w:sz w:val="21"/>
          <w:szCs w:val="21"/>
        </w:rPr>
      </w:pPr>
      <w:r>
        <w:rPr>
          <w:rFonts w:hint="eastAsia" w:hAnsi="宋体" w:cs="宋体"/>
          <w:sz w:val="21"/>
          <w:szCs w:val="21"/>
        </w:rPr>
        <w:t xml:space="preserve">6）驾驶员信息采集</w:t>
      </w:r>
      <w:r/>
    </w:p>
    <w:p>
      <w:pPr>
        <w:pStyle w:val="1066"/>
        <w:ind w:firstLine="420"/>
        <w:rPr>
          <w:rFonts w:hAnsi="宋体" w:cs="宋体"/>
          <w:sz w:val="21"/>
          <w:szCs w:val="21"/>
        </w:rPr>
      </w:pPr>
      <w:r>
        <w:rPr>
          <w:rFonts w:hint="eastAsia" w:hAnsi="宋体" w:cs="宋体"/>
          <w:sz w:val="21"/>
          <w:szCs w:val="21"/>
        </w:rPr>
        <w:t xml:space="preserve">驾驶员信息采集功能应满足以下要求：</w:t>
      </w:r>
      <w:r/>
    </w:p>
    <w:p>
      <w:pPr>
        <w:pStyle w:val="1066"/>
        <w:ind w:firstLine="420"/>
        <w:rPr>
          <w:rFonts w:hAnsi="宋体" w:cs="宋体"/>
          <w:sz w:val="21"/>
          <w:szCs w:val="21"/>
        </w:rPr>
      </w:pPr>
      <w:r>
        <w:rPr>
          <w:rFonts w:hint="eastAsia" w:hAnsi="宋体" w:cs="宋体"/>
          <w:sz w:val="21"/>
          <w:szCs w:val="21"/>
        </w:rPr>
        <w:t xml:space="preserve">支持通过IC卡刷卡、人脸识别等方式进行考勤，并在终端显示屏显示电子服务监督卡；</w:t>
      </w:r>
      <w:r/>
    </w:p>
    <w:p>
      <w:pPr>
        <w:pStyle w:val="1066"/>
        <w:ind w:firstLine="420"/>
        <w:rPr>
          <w:rFonts w:hAnsi="宋体" w:cs="宋体"/>
          <w:sz w:val="21"/>
          <w:szCs w:val="21"/>
        </w:rPr>
      </w:pPr>
      <w:r>
        <w:rPr>
          <w:rFonts w:hint="eastAsia" w:hAnsi="宋体" w:cs="宋体"/>
          <w:sz w:val="21"/>
          <w:szCs w:val="21"/>
        </w:rPr>
        <w:t xml:space="preserve">驾驶员可选择通过人脸识的方式签到考勤。使用人脸识别功能签到时，驾驶员只需要对准摄像头拍照，系统通过智能分析算法将驾驶员与营运证照片进行比对识别，实现自动登录。</w:t>
      </w:r>
      <w:r/>
    </w:p>
    <w:p>
      <w:pPr>
        <w:pStyle w:val="1066"/>
        <w:ind w:firstLine="420"/>
        <w:rPr>
          <w:rFonts w:hAnsi="宋体" w:cs="宋体"/>
          <w:sz w:val="21"/>
          <w:szCs w:val="21"/>
        </w:rPr>
      </w:pPr>
      <w:r>
        <w:rPr>
          <w:rFonts w:hint="eastAsia" w:hAnsi="宋体" w:cs="宋体"/>
          <w:sz w:val="21"/>
          <w:szCs w:val="21"/>
        </w:rPr>
        <w:t xml:space="preserve">支持上班签到、下班签退，记录驾驶员签到签的时间、位置等信息并实时上传至平台，签退时终端显示屏能够展示车辆行驶里程、载客里程、营运次数、营收金额。</w:t>
      </w:r>
      <w:r/>
    </w:p>
    <w:p>
      <w:pPr>
        <w:pStyle w:val="1066"/>
        <w:ind w:firstLine="420"/>
        <w:rPr>
          <w:rFonts w:hAnsi="宋体" w:cs="宋体"/>
          <w:sz w:val="21"/>
          <w:szCs w:val="21"/>
        </w:rPr>
      </w:pPr>
      <w:r>
        <w:rPr>
          <w:rFonts w:hint="eastAsia" w:hAnsi="宋体" w:cs="宋体"/>
          <w:sz w:val="21"/>
          <w:szCs w:val="21"/>
        </w:rPr>
        <w:t xml:space="preserve">驾驶员身份认证满足以下要求：</w:t>
      </w:r>
      <w:r/>
    </w:p>
    <w:p>
      <w:pPr>
        <w:pStyle w:val="1066"/>
        <w:ind w:firstLine="420"/>
        <w:rPr>
          <w:rFonts w:hAnsi="宋体" w:cs="宋体"/>
          <w:sz w:val="21"/>
          <w:szCs w:val="21"/>
        </w:rPr>
      </w:pPr>
      <w:r>
        <w:rPr>
          <w:rFonts w:hint="eastAsia" w:hAnsi="宋体" w:cs="宋体"/>
          <w:sz w:val="21"/>
          <w:szCs w:val="21"/>
        </w:rPr>
        <w:t xml:space="preserve">支持终端在驾驶员上班时对驾驶员进行人脸抓拍并进行驾驶员身份认证；准确率应不低于90%，人脸识别平均响应时间应小于2秒；</w:t>
      </w:r>
      <w:r/>
    </w:p>
    <w:p>
      <w:pPr>
        <w:pStyle w:val="1066"/>
        <w:ind w:firstLine="420"/>
        <w:rPr>
          <w:rFonts w:hAnsi="宋体" w:cs="宋体"/>
          <w:sz w:val="21"/>
          <w:szCs w:val="21"/>
        </w:rPr>
      </w:pPr>
      <w:r>
        <w:rPr>
          <w:rFonts w:hint="eastAsia" w:hAnsi="宋体" w:cs="宋体"/>
          <w:sz w:val="21"/>
          <w:szCs w:val="21"/>
        </w:rPr>
        <w:t xml:space="preserve">支持终端在乘客上车或定时对驾驶员进行人脸抓拍并进行驾驶员身份认证，准确率应不低于80%；</w:t>
      </w:r>
      <w:r/>
    </w:p>
    <w:p>
      <w:pPr>
        <w:pStyle w:val="1066"/>
        <w:ind w:firstLine="420"/>
        <w:rPr>
          <w:rFonts w:hAnsi="宋体" w:cs="宋体"/>
          <w:sz w:val="21"/>
          <w:szCs w:val="21"/>
        </w:rPr>
      </w:pPr>
      <w:r>
        <w:rPr>
          <w:rFonts w:hint="eastAsia" w:hAnsi="宋体" w:cs="宋体"/>
          <w:sz w:val="21"/>
          <w:szCs w:val="21"/>
        </w:rPr>
        <w:t xml:space="preserve">应支持终端在离线时，对驾驶员进行人脸识别，终端识别失败后上报到云端识别。</w:t>
      </w:r>
      <w:r/>
    </w:p>
    <w:p>
      <w:pPr>
        <w:pStyle w:val="1066"/>
        <w:ind w:firstLine="420"/>
        <w:rPr>
          <w:rFonts w:hAnsi="宋体" w:cs="宋体"/>
          <w:sz w:val="21"/>
          <w:szCs w:val="21"/>
        </w:rPr>
      </w:pPr>
      <w:r>
        <w:rPr>
          <w:rFonts w:hint="eastAsia" w:hAnsi="宋体" w:cs="宋体"/>
          <w:sz w:val="21"/>
          <w:szCs w:val="21"/>
        </w:rPr>
        <w:t xml:space="preserve">7）乘客信息采集</w:t>
      </w:r>
      <w:r/>
    </w:p>
    <w:p>
      <w:pPr>
        <w:pStyle w:val="1066"/>
        <w:ind w:firstLine="420"/>
        <w:rPr>
          <w:rFonts w:hAnsi="宋体" w:cs="宋体"/>
          <w:sz w:val="21"/>
          <w:szCs w:val="21"/>
        </w:rPr>
      </w:pPr>
      <w:r>
        <w:rPr>
          <w:rFonts w:hint="eastAsia" w:hAnsi="宋体" w:cs="宋体"/>
          <w:sz w:val="21"/>
          <w:szCs w:val="21"/>
        </w:rPr>
        <w:t xml:space="preserve">支持在乘客上车或定时对前后排乘客进行人脸抓拍，并将抓拍的人脸照片上传到平台。</w:t>
      </w:r>
      <w:r/>
    </w:p>
    <w:p>
      <w:pPr>
        <w:pStyle w:val="1066"/>
        <w:ind w:firstLine="420"/>
        <w:rPr>
          <w:rFonts w:hAnsi="宋体" w:cs="宋体"/>
          <w:sz w:val="21"/>
          <w:szCs w:val="21"/>
        </w:rPr>
      </w:pPr>
      <w:r>
        <w:rPr>
          <w:rFonts w:hint="eastAsia" w:hAnsi="宋体" w:cs="宋体"/>
          <w:sz w:val="21"/>
          <w:szCs w:val="21"/>
        </w:rPr>
        <w:t xml:space="preserve">8）音视频信息采集</w:t>
      </w:r>
      <w:r/>
    </w:p>
    <w:p>
      <w:pPr>
        <w:pStyle w:val="1066"/>
        <w:ind w:firstLine="420"/>
        <w:rPr>
          <w:rFonts w:hAnsi="宋体" w:cs="宋体"/>
          <w:sz w:val="21"/>
          <w:szCs w:val="21"/>
        </w:rPr>
      </w:pPr>
      <w:r>
        <w:rPr>
          <w:rFonts w:hint="eastAsia" w:hAnsi="宋体" w:cs="宋体"/>
          <w:sz w:val="21"/>
          <w:szCs w:val="21"/>
        </w:rPr>
        <w:t xml:space="preserve">应具有音视频信息采集、压缩、存储、远程调用及检索上传功能；支持平台控制和事件触发方式实现视频信息的实时上传功能，视频数据应与位置、速度、方向、时间等卫星定位信息关联。</w:t>
      </w:r>
      <w:r/>
    </w:p>
    <w:p>
      <w:pPr>
        <w:pStyle w:val="1066"/>
        <w:ind w:firstLine="420"/>
        <w:rPr>
          <w:rFonts w:hAnsi="宋体" w:cs="宋体"/>
          <w:sz w:val="21"/>
          <w:szCs w:val="21"/>
        </w:rPr>
      </w:pPr>
      <w:r>
        <w:rPr>
          <w:rFonts w:hint="eastAsia" w:hAnsi="宋体" w:cs="宋体"/>
          <w:sz w:val="21"/>
          <w:szCs w:val="21"/>
        </w:rPr>
        <w:t xml:space="preserve">9）图像信息采集</w:t>
      </w:r>
      <w:r/>
    </w:p>
    <w:p>
      <w:pPr>
        <w:pStyle w:val="1066"/>
        <w:ind w:firstLine="420"/>
        <w:rPr>
          <w:rFonts w:hAnsi="宋体" w:cs="宋体"/>
          <w:sz w:val="21"/>
          <w:szCs w:val="21"/>
        </w:rPr>
      </w:pPr>
      <w:r>
        <w:rPr>
          <w:rFonts w:hint="eastAsia" w:hAnsi="宋体" w:cs="宋体"/>
          <w:sz w:val="21"/>
          <w:szCs w:val="21"/>
        </w:rPr>
        <w:t xml:space="preserve">应具有图片信息采集及存储功能，支持平台控制、车辆点火、驾驶员每次签到、签退、计价器打表、车辆紧急报警、车门开关、固定时间间隔等情况下自动拍摄、上传图像。图像信息采集应满足以下技术要求：</w:t>
      </w:r>
      <w:r/>
    </w:p>
    <w:p>
      <w:pPr>
        <w:pStyle w:val="1066"/>
        <w:numPr>
          <w:ilvl w:val="0"/>
          <w:numId w:val="33"/>
        </w:numPr>
        <w:ind w:left="0" w:firstLine="420"/>
        <w:rPr>
          <w:rFonts w:hAnsi="宋体" w:cs="宋体"/>
          <w:sz w:val="21"/>
          <w:szCs w:val="21"/>
        </w:rPr>
      </w:pPr>
      <w:r>
        <w:rPr>
          <w:rFonts w:hint="eastAsia" w:hAnsi="宋体" w:cs="宋体"/>
          <w:sz w:val="21"/>
          <w:szCs w:val="21"/>
        </w:rPr>
        <w:t xml:space="preserve">图片中应附加相关信息，如车牌号，时间，位置，速度等数据；</w:t>
      </w:r>
      <w:r/>
    </w:p>
    <w:p>
      <w:pPr>
        <w:pStyle w:val="1066"/>
        <w:numPr>
          <w:ilvl w:val="0"/>
          <w:numId w:val="33"/>
        </w:numPr>
        <w:ind w:left="0" w:firstLine="420"/>
        <w:rPr>
          <w:rFonts w:hAnsi="宋体" w:cs="宋体"/>
          <w:sz w:val="21"/>
          <w:szCs w:val="21"/>
        </w:rPr>
      </w:pPr>
      <w:r>
        <w:rPr>
          <w:rFonts w:hint="eastAsia" w:hAnsi="宋体" w:cs="宋体"/>
          <w:sz w:val="21"/>
          <w:szCs w:val="21"/>
        </w:rPr>
        <w:t xml:space="preserve">可设置多种成像分辨率，至少支持640*480、800*600、1280*720；</w:t>
      </w:r>
      <w:r/>
    </w:p>
    <w:p>
      <w:pPr>
        <w:pStyle w:val="1066"/>
        <w:numPr>
          <w:ilvl w:val="0"/>
          <w:numId w:val="33"/>
        </w:numPr>
        <w:ind w:left="0" w:firstLine="420"/>
        <w:rPr>
          <w:rFonts w:hAnsi="宋体" w:cs="宋体"/>
          <w:sz w:val="21"/>
          <w:szCs w:val="21"/>
        </w:rPr>
      </w:pPr>
      <w:r>
        <w:rPr>
          <w:rFonts w:hint="eastAsia" w:hAnsi="宋体" w:cs="宋体"/>
          <w:sz w:val="21"/>
          <w:szCs w:val="21"/>
        </w:rPr>
        <w:t xml:space="preserve">至少支持以JPEG格式存储图像；</w:t>
      </w:r>
      <w:r/>
    </w:p>
    <w:p>
      <w:pPr>
        <w:pStyle w:val="1066"/>
        <w:numPr>
          <w:ilvl w:val="0"/>
          <w:numId w:val="33"/>
        </w:numPr>
        <w:ind w:left="0" w:firstLine="420"/>
        <w:rPr>
          <w:rFonts w:hAnsi="宋体" w:cs="宋体"/>
          <w:sz w:val="21"/>
          <w:szCs w:val="21"/>
        </w:rPr>
      </w:pPr>
      <w:r>
        <w:rPr>
          <w:rFonts w:hint="eastAsia" w:hAnsi="宋体" w:cs="宋体"/>
          <w:sz w:val="21"/>
          <w:szCs w:val="21"/>
        </w:rPr>
        <w:t xml:space="preserve">存储容量：以先进先出方式至少可存储2000张图像；</w:t>
      </w:r>
      <w:r/>
    </w:p>
    <w:p>
      <w:pPr>
        <w:pStyle w:val="1066"/>
        <w:numPr>
          <w:ilvl w:val="0"/>
          <w:numId w:val="33"/>
        </w:numPr>
        <w:ind w:left="0" w:firstLine="420"/>
        <w:rPr>
          <w:rFonts w:hAnsi="宋体" w:cs="宋体"/>
          <w:sz w:val="21"/>
          <w:szCs w:val="21"/>
        </w:rPr>
      </w:pPr>
      <w:r>
        <w:rPr>
          <w:rFonts w:hint="eastAsia" w:hAnsi="宋体" w:cs="宋体"/>
          <w:sz w:val="21"/>
          <w:szCs w:val="21"/>
        </w:rPr>
        <w:t xml:space="preserve">支持对图像数据添加和删除标记，有标记的图像不允许被覆盖。</w:t>
      </w:r>
      <w:r/>
    </w:p>
    <w:p>
      <w:pPr>
        <w:pStyle w:val="1066"/>
        <w:numPr>
          <w:ilvl w:val="0"/>
          <w:numId w:val="33"/>
        </w:numPr>
        <w:ind w:left="0" w:firstLine="420"/>
        <w:rPr>
          <w:rFonts w:hAnsi="宋体" w:cs="宋体"/>
          <w:sz w:val="21"/>
          <w:szCs w:val="21"/>
        </w:rPr>
      </w:pPr>
      <w:r>
        <w:rPr>
          <w:rFonts w:hint="eastAsia" w:hAnsi="宋体" w:cs="宋体"/>
          <w:sz w:val="21"/>
          <w:szCs w:val="21"/>
        </w:rPr>
        <w:t xml:space="preserve">能接收后台管理系统指令检索、上传终端内存储的照片，每幅照片数据前需附加拍摄时的位置等基本信息。终端上传到监控指挥中心图像文件均为添加过该照片文件头的数据。</w:t>
      </w:r>
      <w:r/>
    </w:p>
    <w:p>
      <w:pPr>
        <w:pStyle w:val="1066"/>
        <w:ind w:firstLine="420"/>
        <w:rPr>
          <w:rFonts w:hAnsi="宋体" w:cs="宋体"/>
          <w:sz w:val="21"/>
          <w:szCs w:val="21"/>
        </w:rPr>
      </w:pPr>
      <w:r>
        <w:rPr>
          <w:rFonts w:hint="eastAsia" w:hAnsi="宋体" w:cs="宋体"/>
          <w:sz w:val="21"/>
          <w:szCs w:val="21"/>
        </w:rPr>
        <w:t xml:space="preserve">10）计价器数据采集</w:t>
      </w:r>
      <w:r/>
    </w:p>
    <w:p>
      <w:pPr>
        <w:pStyle w:val="1066"/>
        <w:ind w:firstLine="420"/>
        <w:rPr>
          <w:rFonts w:hAnsi="宋体" w:cs="宋体"/>
          <w:sz w:val="21"/>
          <w:szCs w:val="21"/>
        </w:rPr>
      </w:pPr>
      <w:r>
        <w:rPr>
          <w:rFonts w:hint="eastAsia" w:hAnsi="宋体" w:cs="宋体"/>
          <w:sz w:val="21"/>
          <w:szCs w:val="21"/>
        </w:rPr>
        <w:t xml:space="preserve">具备与计价器连接的物理接口。通过与计价器的连接，应支持实现以下功能：</w:t>
      </w:r>
      <w:r/>
    </w:p>
    <w:p>
      <w:pPr>
        <w:pStyle w:val="1066"/>
        <w:numPr>
          <w:ilvl w:val="0"/>
          <w:numId w:val="33"/>
        </w:numPr>
        <w:ind w:left="0" w:firstLine="420"/>
        <w:rPr>
          <w:rFonts w:hAnsi="宋体" w:cs="宋体"/>
          <w:sz w:val="21"/>
          <w:szCs w:val="21"/>
        </w:rPr>
      </w:pPr>
      <w:r>
        <w:rPr>
          <w:rFonts w:hint="eastAsia" w:hAnsi="宋体" w:cs="宋体"/>
          <w:sz w:val="21"/>
          <w:szCs w:val="21"/>
        </w:rPr>
        <w:t xml:space="preserve">计价器空重车状态变化时将状态数据传送给智能服务终端；当空车转重车后，在终端信息显示屏上显示从业资格证相关信息；</w:t>
      </w:r>
      <w:r/>
    </w:p>
    <w:p>
      <w:pPr>
        <w:pStyle w:val="1066"/>
        <w:numPr>
          <w:ilvl w:val="0"/>
          <w:numId w:val="33"/>
        </w:numPr>
        <w:ind w:left="0" w:firstLine="420"/>
        <w:rPr>
          <w:rFonts w:hAnsi="宋体" w:cs="宋体"/>
          <w:sz w:val="21"/>
          <w:szCs w:val="21"/>
        </w:rPr>
      </w:pPr>
      <w:r>
        <w:rPr>
          <w:rFonts w:hint="eastAsia" w:hAnsi="宋体" w:cs="宋体"/>
          <w:sz w:val="21"/>
          <w:szCs w:val="21"/>
        </w:rPr>
        <w:t xml:space="preserve">支持采集计价器产生的营运数据（包括上车时间、下车时间、计程公里、空驶公里、等待计时时间、交易金额等），记录并上传至平台；</w:t>
      </w:r>
      <w:r/>
    </w:p>
    <w:p>
      <w:pPr>
        <w:pStyle w:val="1066"/>
        <w:numPr>
          <w:ilvl w:val="0"/>
          <w:numId w:val="33"/>
        </w:numPr>
        <w:ind w:left="0" w:firstLine="420"/>
        <w:rPr>
          <w:rFonts w:hAnsi="宋体" w:cs="宋体"/>
          <w:sz w:val="21"/>
          <w:szCs w:val="21"/>
        </w:rPr>
      </w:pPr>
      <w:r>
        <w:rPr>
          <w:rFonts w:hint="eastAsia" w:hAnsi="宋体" w:cs="宋体"/>
          <w:sz w:val="21"/>
          <w:szCs w:val="21"/>
        </w:rPr>
        <w:t xml:space="preserve">当通信故障时，至少能将500笔营运数据存储到本地存储器中。</w:t>
      </w:r>
      <w:r/>
    </w:p>
    <w:p>
      <w:pPr>
        <w:pStyle w:val="1066"/>
        <w:numPr>
          <w:ilvl w:val="0"/>
          <w:numId w:val="33"/>
        </w:numPr>
        <w:ind w:left="0" w:firstLine="420"/>
        <w:rPr>
          <w:rFonts w:hAnsi="宋体" w:cs="宋体"/>
          <w:sz w:val="21"/>
          <w:szCs w:val="21"/>
        </w:rPr>
      </w:pPr>
      <w:r>
        <w:rPr>
          <w:rFonts w:hint="eastAsia" w:hAnsi="宋体" w:cs="宋体"/>
          <w:sz w:val="21"/>
          <w:szCs w:val="21"/>
        </w:rPr>
        <w:t xml:space="preserve">当通信故障时，能将营运数据通过本地串口、USB方式导出。</w:t>
      </w:r>
      <w:r/>
    </w:p>
    <w:p>
      <w:pPr>
        <w:pStyle w:val="1066"/>
        <w:ind w:firstLine="420"/>
        <w:rPr>
          <w:rFonts w:hAnsi="宋体" w:cs="宋体"/>
          <w:sz w:val="21"/>
          <w:szCs w:val="21"/>
        </w:rPr>
      </w:pPr>
      <w:r>
        <w:rPr>
          <w:rFonts w:hint="eastAsia" w:hAnsi="宋体" w:cs="宋体"/>
          <w:sz w:val="21"/>
          <w:szCs w:val="21"/>
        </w:rPr>
        <w:t xml:space="preserve">11）终端信息显示屏</w:t>
      </w:r>
      <w:r/>
    </w:p>
    <w:p>
      <w:pPr>
        <w:pStyle w:val="1066"/>
        <w:ind w:firstLine="420"/>
        <w:rPr>
          <w:rFonts w:hAnsi="宋体" w:cs="宋体"/>
          <w:sz w:val="21"/>
          <w:szCs w:val="21"/>
        </w:rPr>
      </w:pPr>
      <w:r>
        <w:rPr>
          <w:rFonts w:hint="eastAsia" w:hAnsi="宋体" w:cs="宋体"/>
          <w:sz w:val="21"/>
          <w:szCs w:val="21"/>
        </w:rPr>
        <w:t xml:space="preserve">应具备与终端信息显示屏连接的物理接口或者集成终端信息显示屏。通过终端信息显示屏，应支持发布平台下发或本地存储的数据和信息，支持平台下发数据与终端信息显示屏进行数据透传，支持动态数据更新功能。</w:t>
      </w:r>
      <w:r/>
    </w:p>
    <w:p>
      <w:pPr>
        <w:pStyle w:val="1066"/>
        <w:ind w:firstLine="420"/>
        <w:rPr>
          <w:rFonts w:hAnsi="宋体" w:cs="宋体"/>
          <w:sz w:val="21"/>
          <w:szCs w:val="21"/>
        </w:rPr>
      </w:pPr>
      <w:r>
        <w:rPr>
          <w:rFonts w:hint="eastAsia" w:hAnsi="宋体" w:cs="宋体"/>
          <w:sz w:val="21"/>
          <w:szCs w:val="21"/>
        </w:rPr>
        <w:t xml:space="preserve">出租车载客时，显示屏能够显示从业资格信息（显示的信息包括：姓名、单位、卡号、有效期、投诉电话、核发单位、驾驶员星级、照片）；</w:t>
      </w:r>
      <w:r/>
    </w:p>
    <w:p>
      <w:pPr>
        <w:pStyle w:val="1066"/>
        <w:ind w:firstLine="420"/>
        <w:rPr>
          <w:rFonts w:hAnsi="宋体" w:cs="宋体"/>
          <w:sz w:val="21"/>
          <w:szCs w:val="21"/>
        </w:rPr>
      </w:pPr>
      <w:r>
        <w:rPr>
          <w:rFonts w:hint="eastAsia" w:hAnsi="宋体" w:cs="宋体"/>
          <w:sz w:val="21"/>
          <w:szCs w:val="21"/>
        </w:rPr>
        <w:t xml:space="preserve">12）警示提醒</w:t>
      </w:r>
      <w:r/>
    </w:p>
    <w:p>
      <w:pPr>
        <w:pStyle w:val="1066"/>
        <w:ind w:firstLine="420"/>
        <w:rPr>
          <w:rFonts w:hAnsi="宋体" w:cs="宋体"/>
          <w:sz w:val="21"/>
          <w:szCs w:val="21"/>
        </w:rPr>
      </w:pPr>
      <w:r>
        <w:rPr>
          <w:rFonts w:hint="eastAsia" w:hAnsi="宋体" w:cs="宋体"/>
          <w:sz w:val="21"/>
          <w:szCs w:val="21"/>
        </w:rPr>
        <w:t xml:space="preserve">应支持平台设置对主要参数、数据、状态等进行监控，判断异常并进行报警与警示。触发警示时应向平台上传警示信息或根据需要向指定手机发送短消息，能够接收平台指令取消警示。</w:t>
      </w:r>
      <w:r/>
    </w:p>
    <w:p>
      <w:pPr>
        <w:pStyle w:val="1066"/>
        <w:ind w:firstLine="420"/>
        <w:rPr>
          <w:rFonts w:hAnsi="宋体" w:cs="宋体"/>
          <w:sz w:val="21"/>
          <w:szCs w:val="21"/>
        </w:rPr>
      </w:pPr>
      <w:r>
        <w:rPr>
          <w:rFonts w:hint="eastAsia" w:hAnsi="宋体" w:cs="宋体"/>
          <w:sz w:val="21"/>
          <w:szCs w:val="21"/>
        </w:rPr>
        <w:t xml:space="preserve">警示功能分为人工报警与自动警示：</w:t>
      </w:r>
      <w:r/>
    </w:p>
    <w:p>
      <w:pPr>
        <w:pStyle w:val="1066"/>
        <w:numPr>
          <w:ilvl w:val="0"/>
          <w:numId w:val="33"/>
        </w:numPr>
        <w:ind w:left="0" w:firstLine="420"/>
        <w:rPr>
          <w:rFonts w:hAnsi="宋体" w:cs="宋体"/>
          <w:sz w:val="21"/>
          <w:szCs w:val="21"/>
        </w:rPr>
      </w:pPr>
      <w:r>
        <w:rPr>
          <w:rFonts w:hint="eastAsia" w:hAnsi="宋体" w:cs="宋体"/>
          <w:sz w:val="21"/>
          <w:szCs w:val="21"/>
        </w:rPr>
        <w:t xml:space="preserve">人工报警是驾驶员根据现场实际情况触发的报警，当发生紧急情况，驾驶员通过触动人工报警按钮向平台报警。按下预警报警按钮时，立即向中心发出报警信息，并自动录制音频、视频信息，定时拍摄图片信息。平台可根据具体情况选择启动音视频数据实时无线传输或语音监控，当平台下发取消指令后，人工报警应结束。系统可通过专用APP提示报警信息，并进行报警位置地图查看和车辆信息查看，并可查看车内图像。</w:t>
      </w:r>
      <w:r/>
    </w:p>
    <w:p>
      <w:pPr>
        <w:pStyle w:val="1066"/>
        <w:numPr>
          <w:ilvl w:val="0"/>
          <w:numId w:val="33"/>
        </w:numPr>
        <w:ind w:left="0" w:firstLine="420"/>
        <w:rPr>
          <w:rFonts w:hAnsi="宋体" w:cs="宋体"/>
          <w:sz w:val="21"/>
          <w:szCs w:val="21"/>
        </w:rPr>
      </w:pPr>
      <w:r>
        <w:rPr>
          <w:rFonts w:hint="eastAsia" w:hAnsi="宋体" w:cs="宋体"/>
          <w:sz w:val="21"/>
          <w:szCs w:val="21"/>
        </w:rPr>
        <w:t xml:space="preserve">自动警示是驾驶员不进行任何操作，根据设备预置或平台设置条件触发报警，包括：</w:t>
      </w:r>
      <w:r/>
    </w:p>
    <w:p>
      <w:pPr>
        <w:pStyle w:val="1066"/>
        <w:ind w:firstLine="420"/>
        <w:widowControl w:val="off"/>
        <w:rPr>
          <w:rFonts w:hAnsi="宋体" w:cs="宋体"/>
          <w:sz w:val="21"/>
          <w:szCs w:val="21"/>
        </w:rPr>
      </w:pPr>
      <w:r>
        <w:rPr>
          <w:rFonts w:hint="eastAsia" w:hAnsi="宋体" w:cs="宋体"/>
          <w:sz w:val="21"/>
          <w:szCs w:val="21"/>
        </w:rPr>
        <w:t xml:space="preserve">超速警示：可根据预设的速度阈值或通过接收平台下发的信息触发，警示驾驶员当前处于超速状态。当即将达到预设限速值，应发出提示；如车辆到达预设限速值，应发出警告同时将车辆超速信息发送到平台；</w:t>
      </w:r>
      <w:r/>
    </w:p>
    <w:p>
      <w:pPr>
        <w:pStyle w:val="1066"/>
        <w:ind w:firstLine="420"/>
        <w:rPr>
          <w:rFonts w:hAnsi="宋体" w:cs="宋体"/>
          <w:sz w:val="21"/>
          <w:szCs w:val="21"/>
        </w:rPr>
      </w:pPr>
      <w:r>
        <w:rPr>
          <w:rFonts w:hint="eastAsia" w:hAnsi="宋体" w:cs="宋体"/>
          <w:sz w:val="21"/>
          <w:szCs w:val="21"/>
        </w:rPr>
        <w:t xml:space="preserve">设备故障警示：当主机及与主机连接的外部设备工作异常时触发；</w:t>
      </w:r>
      <w:r/>
    </w:p>
    <w:p>
      <w:pPr>
        <w:pStyle w:val="1066"/>
        <w:ind w:firstLine="420"/>
        <w:rPr>
          <w:rFonts w:hAnsi="宋体" w:cs="宋体"/>
          <w:sz w:val="21"/>
          <w:szCs w:val="21"/>
        </w:rPr>
      </w:pPr>
      <w:r>
        <w:rPr>
          <w:rFonts w:hint="eastAsia" w:hAnsi="宋体" w:cs="宋体"/>
          <w:sz w:val="21"/>
          <w:szCs w:val="21"/>
        </w:rPr>
        <w:t xml:space="preserve">违规营运报警：当计价器处在空车状态，终端定时对车内进行图像分析，如果车内有乘客时，后台进行违规营运报警。</w:t>
      </w:r>
      <w:r/>
    </w:p>
    <w:p>
      <w:pPr>
        <w:pStyle w:val="1066"/>
        <w:ind w:firstLine="420"/>
        <w:rPr>
          <w:rFonts w:hAnsi="宋体" w:cs="宋体"/>
          <w:sz w:val="21"/>
          <w:szCs w:val="21"/>
        </w:rPr>
      </w:pPr>
      <w:r>
        <w:rPr>
          <w:rFonts w:hint="eastAsia" w:hAnsi="宋体" w:cs="宋体"/>
          <w:sz w:val="21"/>
          <w:szCs w:val="21"/>
        </w:rPr>
        <w:t xml:space="preserve">13）信息服务</w:t>
      </w:r>
      <w:r/>
    </w:p>
    <w:p>
      <w:pPr>
        <w:pStyle w:val="1066"/>
        <w:ind w:firstLine="420"/>
        <w:rPr>
          <w:rFonts w:hAnsi="宋体" w:cs="宋体"/>
          <w:sz w:val="21"/>
          <w:szCs w:val="21"/>
        </w:rPr>
      </w:pPr>
      <w:r>
        <w:rPr>
          <w:rFonts w:hint="eastAsia" w:hAnsi="宋体" w:cs="宋体"/>
          <w:sz w:val="21"/>
          <w:szCs w:val="21"/>
        </w:rPr>
        <w:t xml:space="preserve">应具有信息服务功能，与平台进行信息交互。应支持平台直接下发信息以及驾驶员主动上报信息；可通过终端信息显示屏向驾驶员提示平台下发的信息，驾驶员可向平台回传应答信息；应至少可存储所有信息类型的最近20条记录，支持条件查询功能。</w:t>
      </w:r>
      <w:r/>
    </w:p>
    <w:p>
      <w:pPr>
        <w:pStyle w:val="1066"/>
        <w:ind w:firstLine="420"/>
        <w:rPr>
          <w:rFonts w:hAnsi="宋体" w:cs="宋体"/>
          <w:sz w:val="21"/>
          <w:szCs w:val="21"/>
        </w:rPr>
      </w:pPr>
      <w:r>
        <w:rPr>
          <w:rFonts w:hint="eastAsia" w:hAnsi="宋体" w:cs="宋体"/>
          <w:sz w:val="21"/>
          <w:szCs w:val="21"/>
        </w:rPr>
        <w:t xml:space="preserve">14）电召服务及业务调度</w:t>
      </w:r>
      <w:r/>
    </w:p>
    <w:p>
      <w:pPr>
        <w:pStyle w:val="1066"/>
        <w:ind w:firstLine="420"/>
        <w:rPr>
          <w:rFonts w:hAnsi="宋体" w:cs="宋体"/>
          <w:sz w:val="21"/>
          <w:szCs w:val="21"/>
        </w:rPr>
      </w:pPr>
      <w:r>
        <w:rPr>
          <w:rFonts w:hint="eastAsia" w:hAnsi="宋体" w:cs="宋体"/>
          <w:sz w:val="21"/>
          <w:szCs w:val="21"/>
        </w:rPr>
        <w:t xml:space="preserve">应支持接收并在终端信息显示屏上显示电召服务中心下发的电召和调度指令，并可通过相关按键及时将抢答信息传输到电召服务中心。</w:t>
      </w:r>
      <w:r/>
    </w:p>
    <w:p>
      <w:pPr>
        <w:pStyle w:val="1066"/>
        <w:ind w:firstLine="420"/>
        <w:rPr>
          <w:rFonts w:hAnsi="宋体" w:cs="宋体"/>
          <w:sz w:val="21"/>
          <w:szCs w:val="21"/>
        </w:rPr>
      </w:pPr>
      <w:r>
        <w:rPr>
          <w:rFonts w:hint="eastAsia" w:hAnsi="宋体" w:cs="宋体"/>
          <w:sz w:val="21"/>
          <w:szCs w:val="21"/>
        </w:rPr>
        <w:t xml:space="preserve">15）服务评价功能</w:t>
      </w:r>
      <w:r/>
    </w:p>
    <w:p>
      <w:pPr>
        <w:pStyle w:val="1066"/>
        <w:ind w:firstLine="420"/>
        <w:rPr>
          <w:rFonts w:hAnsi="宋体" w:cs="宋体"/>
          <w:sz w:val="21"/>
          <w:szCs w:val="21"/>
        </w:rPr>
      </w:pPr>
      <w:r>
        <w:rPr>
          <w:rFonts w:hint="eastAsia" w:hAnsi="宋体" w:cs="宋体"/>
          <w:sz w:val="21"/>
          <w:szCs w:val="21"/>
        </w:rPr>
        <w:t xml:space="preserve">终端信息显示屏右侧配置相应物理按键或采用触摸液晶显示的方式，支持至少3个评价结果，包括“非常满意”、“满意”、“不满意”；</w:t>
      </w:r>
      <w:r/>
    </w:p>
    <w:p>
      <w:pPr>
        <w:pStyle w:val="1066"/>
        <w:ind w:firstLine="420"/>
        <w:rPr>
          <w:rFonts w:hAnsi="宋体" w:cs="宋体"/>
          <w:sz w:val="21"/>
          <w:szCs w:val="21"/>
        </w:rPr>
      </w:pPr>
      <w:r>
        <w:rPr>
          <w:rFonts w:hint="eastAsia" w:hAnsi="宋体" w:cs="宋体"/>
          <w:sz w:val="21"/>
          <w:szCs w:val="21"/>
        </w:rPr>
        <w:t xml:space="preserve">在完成重车至空车转换后，服务评价功能开启，显示本次营运信息，播放服务评价提醒，服务评价提醒开始后在设定时间（预设15s）内如不评价则默认未评价并关闭评价功能。</w:t>
      </w:r>
      <w:r/>
    </w:p>
    <w:p>
      <w:pPr>
        <w:pStyle w:val="1066"/>
        <w:ind w:firstLine="420"/>
        <w:rPr>
          <w:rFonts w:hAnsi="宋体" w:cs="宋体"/>
          <w:sz w:val="21"/>
          <w:szCs w:val="21"/>
        </w:rPr>
      </w:pPr>
      <w:r>
        <w:rPr>
          <w:rFonts w:hint="eastAsia" w:hAnsi="宋体" w:cs="宋体"/>
          <w:sz w:val="21"/>
          <w:szCs w:val="21"/>
        </w:rPr>
        <w:t xml:space="preserve">16）设备维护管理</w:t>
      </w:r>
      <w:r/>
    </w:p>
    <w:p>
      <w:pPr>
        <w:pStyle w:val="1066"/>
        <w:ind w:firstLine="420"/>
        <w:rPr>
          <w:rFonts w:hAnsi="宋体" w:cs="宋体"/>
          <w:sz w:val="21"/>
          <w:szCs w:val="21"/>
        </w:rPr>
      </w:pPr>
      <w:r>
        <w:rPr>
          <w:rFonts w:hint="eastAsia" w:hAnsi="宋体" w:cs="宋体"/>
          <w:sz w:val="21"/>
          <w:szCs w:val="21"/>
        </w:rPr>
        <w:t xml:space="preserve">维护管理功能应满足以下要求：</w:t>
      </w:r>
      <w:r/>
    </w:p>
    <w:p>
      <w:pPr>
        <w:pStyle w:val="1066"/>
        <w:numPr>
          <w:ilvl w:val="0"/>
          <w:numId w:val="33"/>
        </w:numPr>
        <w:ind w:left="0" w:firstLine="420"/>
        <w:rPr>
          <w:rFonts w:hAnsi="宋体" w:cs="宋体"/>
          <w:sz w:val="21"/>
          <w:szCs w:val="21"/>
        </w:rPr>
      </w:pPr>
      <w:r>
        <w:rPr>
          <w:rFonts w:hint="eastAsia" w:hAnsi="宋体" w:cs="宋体"/>
          <w:sz w:val="21"/>
          <w:szCs w:val="21"/>
        </w:rPr>
        <w:t xml:space="preserve">以远程、本地（串口或USB口）等方式对车载终端设备进行维护、管理、设置/查询参数和固件升级；</w:t>
      </w:r>
      <w:r/>
    </w:p>
    <w:p>
      <w:pPr>
        <w:pStyle w:val="1066"/>
        <w:numPr>
          <w:ilvl w:val="0"/>
          <w:numId w:val="33"/>
        </w:numPr>
        <w:ind w:left="0" w:firstLine="420"/>
        <w:rPr>
          <w:rFonts w:hAnsi="宋体" w:cs="宋体"/>
          <w:sz w:val="21"/>
          <w:szCs w:val="21"/>
        </w:rPr>
      </w:pPr>
      <w:r>
        <w:rPr>
          <w:rFonts w:hint="eastAsia" w:hAnsi="宋体" w:cs="宋体"/>
          <w:sz w:val="21"/>
          <w:szCs w:val="21"/>
        </w:rPr>
        <w:t xml:space="preserve">具有调试串口功能，用于车载终端设备的现场调试、运行维护、安全模块的初始化；</w:t>
      </w:r>
      <w:r/>
    </w:p>
    <w:p>
      <w:pPr>
        <w:pStyle w:val="1066"/>
        <w:numPr>
          <w:ilvl w:val="0"/>
          <w:numId w:val="33"/>
        </w:numPr>
        <w:ind w:left="0" w:firstLine="420"/>
        <w:rPr>
          <w:rFonts w:hAnsi="宋体" w:cs="宋体"/>
          <w:sz w:val="21"/>
          <w:szCs w:val="21"/>
        </w:rPr>
      </w:pPr>
      <w:r>
        <w:rPr>
          <w:rFonts w:hint="eastAsia" w:hAnsi="宋体" w:cs="宋体"/>
          <w:sz w:val="21"/>
          <w:szCs w:val="21"/>
        </w:rPr>
        <w:t xml:space="preserve">通过U盘或存储卡能够导出终端中的历史数据，如营运记录、签到签退记录等；</w:t>
      </w:r>
      <w:r/>
    </w:p>
    <w:p>
      <w:pPr>
        <w:pStyle w:val="1066"/>
        <w:numPr>
          <w:ilvl w:val="0"/>
          <w:numId w:val="33"/>
        </w:numPr>
        <w:ind w:left="0" w:firstLine="420"/>
        <w:rPr>
          <w:rFonts w:hAnsi="宋体" w:cs="宋体"/>
          <w:sz w:val="21"/>
          <w:szCs w:val="21"/>
        </w:rPr>
      </w:pPr>
      <w:r>
        <w:rPr>
          <w:rFonts w:hint="eastAsia" w:hAnsi="宋体" w:cs="宋体"/>
          <w:sz w:val="21"/>
          <w:szCs w:val="21"/>
        </w:rPr>
        <w:t xml:space="preserve">控制终端复位及恢复出厂设置。</w:t>
      </w:r>
      <w:r/>
    </w:p>
    <w:p>
      <w:pPr>
        <w:numPr>
          <w:ilvl w:val="255"/>
          <w:numId w:val="0"/>
        </w:numPr>
        <w:ind w:left="440"/>
        <w:spacing w:line="360" w:lineRule="auto"/>
        <w:rPr>
          <w:rFonts w:ascii="宋体" w:hAnsi="宋体" w:eastAsia="宋体" w:cs="宋体"/>
          <w:b/>
          <w:bCs/>
          <w:sz w:val="21"/>
          <w:szCs w:val="21"/>
        </w:rPr>
      </w:pPr>
      <w:r>
        <w:rPr>
          <w:rFonts w:hint="eastAsia" w:ascii="宋体" w:hAnsi="宋体" w:eastAsia="宋体" w:cs="宋体"/>
          <w:b/>
          <w:bCs/>
          <w:sz w:val="21"/>
          <w:szCs w:val="21"/>
        </w:rPr>
        <w:t xml:space="preserve">2、对车外摄像机</w:t>
      </w:r>
      <w:r/>
    </w:p>
    <w:tbl>
      <w:tblPr>
        <w:tblStyle w:val="976"/>
        <w:tblW w:w="81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56"/>
        <w:gridCol w:w="5883"/>
      </w:tblGrid>
      <w:tr>
        <w:trPr>
          <w:jc w:val="center"/>
          <w:trHeight w:val="295"/>
        </w:trPr>
        <w:tc>
          <w:tcPr>
            <w:shd w:val="clear" w:color="auto" w:fill="auto"/>
            <w:tcW w:w="225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成像器件</w:t>
            </w:r>
            <w:r/>
          </w:p>
        </w:tc>
        <w:tc>
          <w:tcPr>
            <w:shd w:val="clear" w:color="auto" w:fill="auto"/>
            <w:tcW w:w="588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不低于1/2.8〃2M pixel CMOS</w:t>
            </w:r>
            <w:r/>
          </w:p>
        </w:tc>
      </w:tr>
      <w:tr>
        <w:trPr>
          <w:jc w:val="center"/>
          <w:trHeight w:val="295"/>
        </w:trPr>
        <w:tc>
          <w:tcPr>
            <w:shd w:val="clear" w:color="auto" w:fill="auto"/>
            <w:tcW w:w="225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分辨率</w:t>
            </w:r>
            <w:r/>
          </w:p>
        </w:tc>
        <w:tc>
          <w:tcPr>
            <w:shd w:val="clear" w:color="auto" w:fill="auto"/>
            <w:tcW w:w="588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不低于1920H*1080V </w:t>
            </w:r>
            <w:r/>
          </w:p>
        </w:tc>
      </w:tr>
      <w:tr>
        <w:trPr>
          <w:jc w:val="center"/>
          <w:trHeight w:val="295"/>
        </w:trPr>
        <w:tc>
          <w:tcPr>
            <w:shd w:val="clear" w:color="auto" w:fill="auto"/>
            <w:tcW w:w="225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制式</w:t>
            </w:r>
            <w:r/>
          </w:p>
        </w:tc>
        <w:tc>
          <w:tcPr>
            <w:shd w:val="clear" w:color="auto" w:fill="auto"/>
            <w:tcW w:w="588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P制</w:t>
            </w:r>
            <w:r/>
          </w:p>
        </w:tc>
      </w:tr>
      <w:tr>
        <w:trPr>
          <w:jc w:val="center"/>
          <w:trHeight w:val="295"/>
        </w:trPr>
        <w:tc>
          <w:tcPr>
            <w:shd w:val="clear" w:color="auto" w:fill="auto"/>
            <w:tcW w:w="225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最低照度</w:t>
            </w:r>
            <w:r/>
          </w:p>
        </w:tc>
        <w:tc>
          <w:tcPr>
            <w:shd w:val="clear" w:color="auto" w:fill="auto"/>
            <w:tcW w:w="588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不高于0.01lux</w:t>
            </w:r>
            <w:r/>
          </w:p>
        </w:tc>
      </w:tr>
      <w:tr>
        <w:trPr>
          <w:jc w:val="center"/>
          <w:trHeight w:val="295"/>
        </w:trPr>
        <w:tc>
          <w:tcPr>
            <w:shd w:val="clear" w:color="auto" w:fill="auto"/>
            <w:tcW w:w="225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同步系统</w:t>
            </w:r>
            <w:r/>
          </w:p>
        </w:tc>
        <w:tc>
          <w:tcPr>
            <w:shd w:val="clear" w:color="auto" w:fill="auto"/>
            <w:tcW w:w="588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内同步</w:t>
            </w:r>
            <w:r/>
          </w:p>
        </w:tc>
      </w:tr>
      <w:tr>
        <w:trPr>
          <w:jc w:val="center"/>
          <w:trHeight w:val="295"/>
        </w:trPr>
        <w:tc>
          <w:tcPr>
            <w:shd w:val="clear" w:color="auto" w:fill="auto"/>
            <w:tcW w:w="225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扫描系统</w:t>
            </w:r>
            <w:r/>
          </w:p>
        </w:tc>
        <w:tc>
          <w:tcPr>
            <w:shd w:val="clear" w:color="auto" w:fill="auto"/>
            <w:tcW w:w="588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逐行扫描</w:t>
            </w:r>
            <w:r/>
          </w:p>
        </w:tc>
      </w:tr>
      <w:tr>
        <w:trPr>
          <w:jc w:val="center"/>
          <w:trHeight w:val="295"/>
        </w:trPr>
        <w:tc>
          <w:tcPr>
            <w:shd w:val="clear" w:color="auto" w:fill="auto"/>
            <w:tcW w:w="225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信噪比</w:t>
            </w:r>
            <w:r/>
          </w:p>
        </w:tc>
        <w:tc>
          <w:tcPr>
            <w:shd w:val="clear" w:color="auto" w:fill="auto"/>
            <w:tcW w:w="588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大于 50dB</w:t>
            </w:r>
            <w:r/>
          </w:p>
        </w:tc>
      </w:tr>
      <w:tr>
        <w:trPr>
          <w:jc w:val="center"/>
          <w:trHeight w:val="295"/>
        </w:trPr>
        <w:tc>
          <w:tcPr>
            <w:shd w:val="clear" w:color="auto" w:fill="auto"/>
            <w:tcW w:w="225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镜头</w:t>
            </w:r>
            <w:r/>
          </w:p>
        </w:tc>
        <w:tc>
          <w:tcPr>
            <w:shd w:val="clear" w:color="auto" w:fill="auto"/>
            <w:tcW w:w="588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4mm  M12镜头</w:t>
            </w:r>
            <w:r/>
          </w:p>
        </w:tc>
      </w:tr>
      <w:tr>
        <w:trPr>
          <w:jc w:val="center"/>
          <w:trHeight w:val="295"/>
        </w:trPr>
        <w:tc>
          <w:tcPr>
            <w:shd w:val="clear" w:color="auto" w:fill="auto"/>
            <w:tcW w:w="225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电子快门</w:t>
            </w:r>
            <w:r/>
          </w:p>
        </w:tc>
        <w:tc>
          <w:tcPr>
            <w:shd w:val="clear" w:color="auto" w:fill="auto"/>
            <w:tcW w:w="588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自动</w:t>
            </w:r>
            <w:r/>
          </w:p>
        </w:tc>
      </w:tr>
      <w:tr>
        <w:trPr>
          <w:jc w:val="center"/>
          <w:trHeight w:val="295"/>
        </w:trPr>
        <w:tc>
          <w:tcPr>
            <w:shd w:val="clear" w:color="auto" w:fill="auto"/>
            <w:tcW w:w="225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白平衡</w:t>
            </w:r>
            <w:r/>
          </w:p>
        </w:tc>
        <w:tc>
          <w:tcPr>
            <w:shd w:val="clear" w:color="auto" w:fill="auto"/>
            <w:tcW w:w="588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自动追踪白平衡</w:t>
            </w:r>
            <w:r/>
          </w:p>
        </w:tc>
      </w:tr>
      <w:tr>
        <w:trPr>
          <w:jc w:val="center"/>
          <w:trHeight w:val="295"/>
        </w:trPr>
        <w:tc>
          <w:tcPr>
            <w:shd w:val="clear" w:color="auto" w:fill="auto"/>
            <w:tcW w:w="225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彩转黑</w:t>
            </w:r>
            <w:r/>
          </w:p>
        </w:tc>
        <w:tc>
          <w:tcPr>
            <w:shd w:val="clear" w:color="auto" w:fill="auto"/>
            <w:tcW w:w="588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全彩</w:t>
            </w:r>
            <w:r/>
          </w:p>
        </w:tc>
      </w:tr>
      <w:tr>
        <w:trPr>
          <w:jc w:val="center"/>
          <w:trHeight w:val="295"/>
        </w:trPr>
        <w:tc>
          <w:tcPr>
            <w:shd w:val="clear" w:color="auto" w:fill="auto"/>
            <w:tcW w:w="225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伽码校正</w:t>
            </w:r>
            <w:r/>
          </w:p>
        </w:tc>
        <w:tc>
          <w:tcPr>
            <w:shd w:val="clear" w:color="auto" w:fill="auto"/>
            <w:tcW w:w="588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0.55</w:t>
            </w:r>
            <w:r/>
          </w:p>
        </w:tc>
      </w:tr>
      <w:tr>
        <w:trPr>
          <w:jc w:val="center"/>
          <w:trHeight w:val="295"/>
        </w:trPr>
        <w:tc>
          <w:tcPr>
            <w:shd w:val="clear" w:color="auto" w:fill="auto"/>
            <w:tcW w:w="225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红外距离</w:t>
            </w:r>
            <w:r/>
          </w:p>
        </w:tc>
        <w:tc>
          <w:tcPr>
            <w:shd w:val="clear" w:color="auto" w:fill="auto"/>
            <w:tcW w:w="588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无</w:t>
            </w:r>
            <w:r/>
          </w:p>
        </w:tc>
      </w:tr>
      <w:tr>
        <w:trPr>
          <w:jc w:val="center"/>
          <w:trHeight w:val="295"/>
        </w:trPr>
        <w:tc>
          <w:tcPr>
            <w:shd w:val="clear" w:color="auto" w:fill="auto"/>
            <w:tcW w:w="225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视频输出</w:t>
            </w:r>
            <w:r/>
          </w:p>
        </w:tc>
        <w:tc>
          <w:tcPr>
            <w:shd w:val="clear" w:color="auto" w:fill="auto"/>
            <w:tcW w:w="588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AHD同轴高清标准，4pin航空头线</w:t>
            </w:r>
            <w:r/>
          </w:p>
        </w:tc>
      </w:tr>
      <w:tr>
        <w:trPr>
          <w:jc w:val="center"/>
          <w:trHeight w:val="295"/>
        </w:trPr>
        <w:tc>
          <w:tcPr>
            <w:shd w:val="clear" w:color="auto" w:fill="auto"/>
            <w:tcW w:w="225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电源</w:t>
            </w:r>
            <w:r/>
          </w:p>
        </w:tc>
        <w:tc>
          <w:tcPr>
            <w:shd w:val="clear" w:color="auto" w:fill="auto"/>
            <w:tcW w:w="588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DC12V± 10% </w:t>
            </w:r>
            <w:r/>
          </w:p>
        </w:tc>
      </w:tr>
      <w:tr>
        <w:trPr>
          <w:jc w:val="center"/>
          <w:trHeight w:val="332"/>
        </w:trPr>
        <w:tc>
          <w:tcPr>
            <w:shd w:val="clear" w:color="auto" w:fill="auto"/>
            <w:tcW w:w="225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工作温度</w:t>
            </w:r>
            <w:r/>
          </w:p>
        </w:tc>
        <w:tc>
          <w:tcPr>
            <w:shd w:val="clear" w:color="auto" w:fill="auto"/>
            <w:tcW w:w="588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-40°C ~ 70°C</w:t>
            </w:r>
            <w:r/>
          </w:p>
        </w:tc>
      </w:tr>
    </w:tbl>
    <w:p>
      <w:pPr>
        <w:numPr>
          <w:ilvl w:val="255"/>
          <w:numId w:val="0"/>
        </w:numPr>
        <w:ind w:left="440"/>
        <w:spacing w:before="156" w:line="360" w:lineRule="auto"/>
        <w:rPr>
          <w:rFonts w:ascii="宋体" w:hAnsi="宋体" w:eastAsia="宋体" w:cs="宋体"/>
          <w:b/>
          <w:bCs/>
          <w:sz w:val="21"/>
          <w:szCs w:val="21"/>
        </w:rPr>
      </w:pPr>
      <w:r>
        <w:rPr>
          <w:rFonts w:hint="eastAsia" w:ascii="宋体" w:hAnsi="宋体" w:eastAsia="宋体" w:cs="宋体"/>
          <w:b/>
          <w:bCs/>
          <w:sz w:val="21"/>
          <w:szCs w:val="21"/>
        </w:rPr>
        <w:t xml:space="preserve">3、车内全景摄像机</w:t>
      </w:r>
      <w:r/>
    </w:p>
    <w:tbl>
      <w:tblPr>
        <w:tblStyle w:val="976"/>
        <w:tblW w:w="82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76"/>
        <w:gridCol w:w="5943"/>
      </w:tblGrid>
      <w:tr>
        <w:trPr>
          <w:jc w:val="center"/>
          <w:trHeight w:val="290"/>
        </w:trPr>
        <w:tc>
          <w:tcPr>
            <w:shd w:val="clear" w:color="auto" w:fill="auto"/>
            <w:tcW w:w="227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成像器件</w:t>
            </w:r>
            <w:r/>
          </w:p>
        </w:tc>
        <w:tc>
          <w:tcPr>
            <w:shd w:val="clear" w:color="auto" w:fill="auto"/>
            <w:tcW w:w="594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不低于1/4〃1.0 Mega Progressive Scan CMOS</w:t>
            </w:r>
            <w:r/>
          </w:p>
        </w:tc>
      </w:tr>
      <w:tr>
        <w:trPr>
          <w:jc w:val="center"/>
          <w:trHeight w:val="290"/>
        </w:trPr>
        <w:tc>
          <w:tcPr>
            <w:shd w:val="clear" w:color="auto" w:fill="auto"/>
            <w:tcW w:w="227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分辨率</w:t>
            </w:r>
            <w:r/>
          </w:p>
        </w:tc>
        <w:tc>
          <w:tcPr>
            <w:shd w:val="clear" w:color="auto" w:fill="auto"/>
            <w:tcW w:w="594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不低于1280H*720V</w:t>
            </w:r>
            <w:r/>
          </w:p>
        </w:tc>
      </w:tr>
      <w:tr>
        <w:trPr>
          <w:jc w:val="center"/>
          <w:trHeight w:val="290"/>
        </w:trPr>
        <w:tc>
          <w:tcPr>
            <w:shd w:val="clear" w:color="auto" w:fill="auto"/>
            <w:tcW w:w="227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制式</w:t>
            </w:r>
            <w:r/>
          </w:p>
        </w:tc>
        <w:tc>
          <w:tcPr>
            <w:shd w:val="clear" w:color="auto" w:fill="auto"/>
            <w:tcW w:w="594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P制</w:t>
            </w:r>
            <w:r/>
          </w:p>
        </w:tc>
      </w:tr>
      <w:tr>
        <w:trPr>
          <w:jc w:val="center"/>
          <w:trHeight w:val="290"/>
        </w:trPr>
        <w:tc>
          <w:tcPr>
            <w:shd w:val="clear" w:color="auto" w:fill="auto"/>
            <w:tcW w:w="227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最低照度</w:t>
            </w:r>
            <w:r/>
          </w:p>
        </w:tc>
        <w:tc>
          <w:tcPr>
            <w:shd w:val="clear" w:color="auto" w:fill="auto"/>
            <w:tcW w:w="594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不高于0lux(红外开）</w:t>
            </w:r>
            <w:r/>
          </w:p>
        </w:tc>
      </w:tr>
      <w:tr>
        <w:trPr>
          <w:jc w:val="center"/>
          <w:trHeight w:val="290"/>
        </w:trPr>
        <w:tc>
          <w:tcPr>
            <w:shd w:val="clear" w:color="auto" w:fill="auto"/>
            <w:tcW w:w="227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同步系统</w:t>
            </w:r>
            <w:r/>
          </w:p>
        </w:tc>
        <w:tc>
          <w:tcPr>
            <w:shd w:val="clear" w:color="auto" w:fill="auto"/>
            <w:tcW w:w="594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内同步</w:t>
            </w:r>
            <w:r/>
          </w:p>
        </w:tc>
      </w:tr>
      <w:tr>
        <w:trPr>
          <w:jc w:val="center"/>
          <w:trHeight w:val="290"/>
        </w:trPr>
        <w:tc>
          <w:tcPr>
            <w:shd w:val="clear" w:color="auto" w:fill="auto"/>
            <w:tcW w:w="227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扫描系统</w:t>
            </w:r>
            <w:r/>
          </w:p>
        </w:tc>
        <w:tc>
          <w:tcPr>
            <w:shd w:val="clear" w:color="auto" w:fill="auto"/>
            <w:tcW w:w="594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逐行扫描</w:t>
            </w:r>
            <w:r/>
          </w:p>
        </w:tc>
      </w:tr>
      <w:tr>
        <w:trPr>
          <w:jc w:val="center"/>
          <w:trHeight w:val="290"/>
        </w:trPr>
        <w:tc>
          <w:tcPr>
            <w:shd w:val="clear" w:color="auto" w:fill="auto"/>
            <w:tcW w:w="227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信噪比</w:t>
            </w:r>
            <w:r/>
          </w:p>
        </w:tc>
        <w:tc>
          <w:tcPr>
            <w:shd w:val="clear" w:color="auto" w:fill="auto"/>
            <w:tcW w:w="594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大于 52dB</w:t>
            </w:r>
            <w:r/>
          </w:p>
        </w:tc>
      </w:tr>
      <w:tr>
        <w:trPr>
          <w:jc w:val="center"/>
          <w:trHeight w:val="290"/>
        </w:trPr>
        <w:tc>
          <w:tcPr>
            <w:shd w:val="clear" w:color="auto" w:fill="auto"/>
            <w:tcW w:w="227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镜头</w:t>
            </w:r>
            <w:r/>
          </w:p>
        </w:tc>
        <w:tc>
          <w:tcPr>
            <w:shd w:val="clear" w:color="auto" w:fill="auto"/>
            <w:tcW w:w="594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2.6mm  M12镜头</w:t>
            </w:r>
            <w:r/>
          </w:p>
        </w:tc>
      </w:tr>
      <w:tr>
        <w:trPr>
          <w:jc w:val="center"/>
          <w:trHeight w:val="290"/>
        </w:trPr>
        <w:tc>
          <w:tcPr>
            <w:shd w:val="clear" w:color="auto" w:fill="auto"/>
            <w:tcW w:w="227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电子快门</w:t>
            </w:r>
            <w:r/>
          </w:p>
        </w:tc>
        <w:tc>
          <w:tcPr>
            <w:shd w:val="clear" w:color="auto" w:fill="auto"/>
            <w:tcW w:w="594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自动</w:t>
            </w:r>
            <w:r/>
          </w:p>
        </w:tc>
      </w:tr>
      <w:tr>
        <w:trPr>
          <w:jc w:val="center"/>
          <w:trHeight w:val="290"/>
        </w:trPr>
        <w:tc>
          <w:tcPr>
            <w:shd w:val="clear" w:color="auto" w:fill="auto"/>
            <w:tcW w:w="227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白平衡</w:t>
            </w:r>
            <w:r/>
          </w:p>
        </w:tc>
        <w:tc>
          <w:tcPr>
            <w:shd w:val="clear" w:color="auto" w:fill="auto"/>
            <w:tcW w:w="594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自动追踪白平衡</w:t>
            </w:r>
            <w:r/>
          </w:p>
        </w:tc>
      </w:tr>
      <w:tr>
        <w:trPr>
          <w:jc w:val="center"/>
          <w:trHeight w:val="290"/>
        </w:trPr>
        <w:tc>
          <w:tcPr>
            <w:shd w:val="clear" w:color="auto" w:fill="auto"/>
            <w:tcW w:w="227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彩转黑</w:t>
            </w:r>
            <w:r/>
          </w:p>
        </w:tc>
        <w:tc>
          <w:tcPr>
            <w:shd w:val="clear" w:color="auto" w:fill="auto"/>
            <w:tcW w:w="594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外部同步控制</w:t>
            </w:r>
            <w:r/>
          </w:p>
        </w:tc>
      </w:tr>
      <w:tr>
        <w:trPr>
          <w:jc w:val="center"/>
          <w:trHeight w:val="290"/>
        </w:trPr>
        <w:tc>
          <w:tcPr>
            <w:shd w:val="clear" w:color="auto" w:fill="auto"/>
            <w:tcW w:w="227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伽码校正</w:t>
            </w:r>
            <w:r/>
          </w:p>
        </w:tc>
        <w:tc>
          <w:tcPr>
            <w:shd w:val="clear" w:color="auto" w:fill="auto"/>
            <w:tcW w:w="594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0.45</w:t>
            </w:r>
            <w:r/>
          </w:p>
        </w:tc>
      </w:tr>
      <w:tr>
        <w:trPr>
          <w:jc w:val="center"/>
          <w:trHeight w:val="290"/>
        </w:trPr>
        <w:tc>
          <w:tcPr>
            <w:shd w:val="clear" w:color="auto" w:fill="auto"/>
            <w:tcW w:w="227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红外距离</w:t>
            </w:r>
            <w:r/>
          </w:p>
        </w:tc>
        <w:tc>
          <w:tcPr>
            <w:shd w:val="clear" w:color="auto" w:fill="auto"/>
            <w:tcW w:w="594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不低于2~3m(≥4颗灯)</w:t>
            </w:r>
            <w:r/>
          </w:p>
        </w:tc>
      </w:tr>
      <w:tr>
        <w:trPr>
          <w:jc w:val="center"/>
          <w:trHeight w:val="290"/>
        </w:trPr>
        <w:tc>
          <w:tcPr>
            <w:shd w:val="clear" w:color="auto" w:fill="auto"/>
            <w:tcW w:w="227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视频输出</w:t>
            </w:r>
            <w:r/>
          </w:p>
        </w:tc>
        <w:tc>
          <w:tcPr>
            <w:shd w:val="clear" w:color="auto" w:fill="auto"/>
            <w:tcW w:w="594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AHD同轴高清标准，4pin宝马头线</w:t>
            </w:r>
            <w:r/>
          </w:p>
        </w:tc>
      </w:tr>
      <w:tr>
        <w:trPr>
          <w:jc w:val="center"/>
          <w:trHeight w:val="290"/>
        </w:trPr>
        <w:tc>
          <w:tcPr>
            <w:shd w:val="clear" w:color="auto" w:fill="auto"/>
            <w:tcW w:w="227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电源</w:t>
            </w:r>
            <w:r/>
          </w:p>
        </w:tc>
        <w:tc>
          <w:tcPr>
            <w:shd w:val="clear" w:color="auto" w:fill="auto"/>
            <w:tcW w:w="594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DC12V± 10% </w:t>
            </w:r>
            <w:r/>
          </w:p>
        </w:tc>
      </w:tr>
      <w:tr>
        <w:trPr>
          <w:jc w:val="center"/>
          <w:trHeight w:val="300"/>
        </w:trPr>
        <w:tc>
          <w:tcPr>
            <w:shd w:val="clear" w:color="auto" w:fill="auto"/>
            <w:tcW w:w="227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工作温度</w:t>
            </w:r>
            <w:r/>
          </w:p>
        </w:tc>
        <w:tc>
          <w:tcPr>
            <w:shd w:val="clear" w:color="auto" w:fill="auto"/>
            <w:tcW w:w="594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-40°C ~ 70°C</w:t>
            </w:r>
            <w:r/>
          </w:p>
        </w:tc>
      </w:tr>
    </w:tbl>
    <w:p>
      <w:pPr>
        <w:numPr>
          <w:ilvl w:val="255"/>
          <w:numId w:val="0"/>
        </w:numPr>
        <w:ind w:left="440"/>
        <w:spacing w:before="156" w:line="360" w:lineRule="auto"/>
        <w:rPr>
          <w:rFonts w:ascii="宋体" w:hAnsi="宋体" w:eastAsia="宋体" w:cs="宋体"/>
          <w:b/>
          <w:bCs/>
          <w:sz w:val="21"/>
          <w:szCs w:val="21"/>
        </w:rPr>
      </w:pPr>
      <w:r>
        <w:rPr>
          <w:rFonts w:hint="eastAsia" w:ascii="宋体" w:hAnsi="宋体" w:eastAsia="宋体" w:cs="宋体"/>
          <w:b/>
          <w:bCs/>
          <w:sz w:val="21"/>
          <w:szCs w:val="21"/>
        </w:rPr>
        <w:t xml:space="preserve">4、DSM摄像机</w:t>
      </w:r>
      <w:r/>
    </w:p>
    <w:tbl>
      <w:tblPr>
        <w:tblStyle w:val="976"/>
        <w:tblW w:w="8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73"/>
        <w:gridCol w:w="5926"/>
      </w:tblGrid>
      <w:tr>
        <w:trPr>
          <w:jc w:val="center"/>
          <w:trHeight w:val="316"/>
        </w:trPr>
        <w:tc>
          <w:tcPr>
            <w:shd w:val="clear" w:color="auto" w:fill="auto"/>
            <w:tcW w:w="227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成像器件</w:t>
            </w:r>
            <w:r/>
          </w:p>
        </w:tc>
        <w:tc>
          <w:tcPr>
            <w:shd w:val="clear" w:color="auto" w:fill="auto"/>
            <w:tcW w:w="592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不低于1/3〃1.3M pixel CMOS</w:t>
            </w:r>
            <w:r/>
          </w:p>
        </w:tc>
      </w:tr>
      <w:tr>
        <w:trPr>
          <w:jc w:val="center"/>
          <w:trHeight w:val="316"/>
        </w:trPr>
        <w:tc>
          <w:tcPr>
            <w:shd w:val="clear" w:color="auto" w:fill="auto"/>
            <w:tcW w:w="227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分辨率</w:t>
            </w:r>
            <w:r/>
          </w:p>
        </w:tc>
        <w:tc>
          <w:tcPr>
            <w:shd w:val="clear" w:color="auto" w:fill="auto"/>
            <w:tcW w:w="592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不低于1280H*720V</w:t>
            </w:r>
            <w:r/>
          </w:p>
        </w:tc>
      </w:tr>
      <w:tr>
        <w:trPr>
          <w:jc w:val="center"/>
          <w:trHeight w:val="316"/>
        </w:trPr>
        <w:tc>
          <w:tcPr>
            <w:shd w:val="clear" w:color="auto" w:fill="auto"/>
            <w:tcW w:w="227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制式</w:t>
            </w:r>
            <w:r/>
          </w:p>
        </w:tc>
        <w:tc>
          <w:tcPr>
            <w:shd w:val="clear" w:color="auto" w:fill="auto"/>
            <w:tcW w:w="592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P制</w:t>
            </w:r>
            <w:r/>
          </w:p>
        </w:tc>
      </w:tr>
      <w:tr>
        <w:trPr>
          <w:jc w:val="center"/>
          <w:trHeight w:val="316"/>
        </w:trPr>
        <w:tc>
          <w:tcPr>
            <w:shd w:val="clear" w:color="auto" w:fill="auto"/>
            <w:tcW w:w="227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最低照度</w:t>
            </w:r>
            <w:r/>
          </w:p>
        </w:tc>
        <w:tc>
          <w:tcPr>
            <w:shd w:val="clear" w:color="auto" w:fill="auto"/>
            <w:tcW w:w="592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不高于0lux(红外开）</w:t>
            </w:r>
            <w:r/>
          </w:p>
        </w:tc>
      </w:tr>
      <w:tr>
        <w:trPr>
          <w:jc w:val="center"/>
          <w:trHeight w:val="316"/>
        </w:trPr>
        <w:tc>
          <w:tcPr>
            <w:shd w:val="clear" w:color="auto" w:fill="auto"/>
            <w:tcW w:w="227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同步系统</w:t>
            </w:r>
            <w:r/>
          </w:p>
        </w:tc>
        <w:tc>
          <w:tcPr>
            <w:shd w:val="clear" w:color="auto" w:fill="auto"/>
            <w:tcW w:w="592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内同步</w:t>
            </w:r>
            <w:r/>
          </w:p>
        </w:tc>
      </w:tr>
      <w:tr>
        <w:trPr>
          <w:jc w:val="center"/>
          <w:trHeight w:val="316"/>
        </w:trPr>
        <w:tc>
          <w:tcPr>
            <w:shd w:val="clear" w:color="auto" w:fill="auto"/>
            <w:tcW w:w="227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扫描系统</w:t>
            </w:r>
            <w:r/>
          </w:p>
        </w:tc>
        <w:tc>
          <w:tcPr>
            <w:shd w:val="clear" w:color="auto" w:fill="auto"/>
            <w:tcW w:w="592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逐行扫描</w:t>
            </w:r>
            <w:r/>
          </w:p>
        </w:tc>
      </w:tr>
      <w:tr>
        <w:trPr>
          <w:jc w:val="center"/>
          <w:trHeight w:val="316"/>
        </w:trPr>
        <w:tc>
          <w:tcPr>
            <w:shd w:val="clear" w:color="auto" w:fill="auto"/>
            <w:tcW w:w="227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信噪比</w:t>
            </w:r>
            <w:r/>
          </w:p>
        </w:tc>
        <w:tc>
          <w:tcPr>
            <w:shd w:val="clear" w:color="auto" w:fill="auto"/>
            <w:tcW w:w="592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大于 50dB</w:t>
            </w:r>
            <w:r/>
          </w:p>
        </w:tc>
      </w:tr>
      <w:tr>
        <w:trPr>
          <w:jc w:val="center"/>
          <w:trHeight w:val="316"/>
        </w:trPr>
        <w:tc>
          <w:tcPr>
            <w:shd w:val="clear" w:color="auto" w:fill="auto"/>
            <w:tcW w:w="227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镜头</w:t>
            </w:r>
            <w:r/>
          </w:p>
        </w:tc>
        <w:tc>
          <w:tcPr>
            <w:shd w:val="clear" w:color="auto" w:fill="auto"/>
            <w:tcW w:w="592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6mm  M12镜头</w:t>
            </w:r>
            <w:r/>
          </w:p>
        </w:tc>
      </w:tr>
      <w:tr>
        <w:trPr>
          <w:jc w:val="center"/>
          <w:trHeight w:val="316"/>
        </w:trPr>
        <w:tc>
          <w:tcPr>
            <w:shd w:val="clear" w:color="auto" w:fill="auto"/>
            <w:tcW w:w="227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电子快门</w:t>
            </w:r>
            <w:r/>
          </w:p>
        </w:tc>
        <w:tc>
          <w:tcPr>
            <w:shd w:val="clear" w:color="auto" w:fill="auto"/>
            <w:tcW w:w="592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自动</w:t>
            </w:r>
            <w:r/>
          </w:p>
        </w:tc>
      </w:tr>
      <w:tr>
        <w:trPr>
          <w:jc w:val="center"/>
          <w:trHeight w:val="316"/>
        </w:trPr>
        <w:tc>
          <w:tcPr>
            <w:shd w:val="clear" w:color="auto" w:fill="auto"/>
            <w:tcW w:w="227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白平衡</w:t>
            </w:r>
            <w:r/>
          </w:p>
        </w:tc>
        <w:tc>
          <w:tcPr>
            <w:shd w:val="clear" w:color="auto" w:fill="auto"/>
            <w:tcW w:w="592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自动追踪白平衡</w:t>
            </w:r>
            <w:r/>
          </w:p>
        </w:tc>
      </w:tr>
      <w:tr>
        <w:trPr>
          <w:jc w:val="center"/>
          <w:trHeight w:val="316"/>
        </w:trPr>
        <w:tc>
          <w:tcPr>
            <w:shd w:val="clear" w:color="auto" w:fill="auto"/>
            <w:tcW w:w="227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彩转黑</w:t>
            </w:r>
            <w:r/>
          </w:p>
        </w:tc>
        <w:tc>
          <w:tcPr>
            <w:shd w:val="clear" w:color="auto" w:fill="auto"/>
            <w:tcW w:w="592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黑白</w:t>
            </w:r>
            <w:r/>
          </w:p>
        </w:tc>
      </w:tr>
      <w:tr>
        <w:trPr>
          <w:jc w:val="center"/>
          <w:trHeight w:val="316"/>
        </w:trPr>
        <w:tc>
          <w:tcPr>
            <w:shd w:val="clear" w:color="auto" w:fill="auto"/>
            <w:tcW w:w="227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伽码校正</w:t>
            </w:r>
            <w:r/>
          </w:p>
        </w:tc>
        <w:tc>
          <w:tcPr>
            <w:shd w:val="clear" w:color="auto" w:fill="auto"/>
            <w:tcW w:w="592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0.45</w:t>
            </w:r>
            <w:r/>
          </w:p>
        </w:tc>
      </w:tr>
      <w:tr>
        <w:trPr>
          <w:jc w:val="center"/>
          <w:trHeight w:val="316"/>
        </w:trPr>
        <w:tc>
          <w:tcPr>
            <w:shd w:val="clear" w:color="auto" w:fill="auto"/>
            <w:tcW w:w="227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红外距离</w:t>
            </w:r>
            <w:r/>
          </w:p>
        </w:tc>
        <w:tc>
          <w:tcPr>
            <w:shd w:val="clear" w:color="auto" w:fill="auto"/>
            <w:tcW w:w="592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不低于0.5~2m(≥2颗灯)</w:t>
            </w:r>
            <w:r/>
          </w:p>
        </w:tc>
      </w:tr>
      <w:tr>
        <w:trPr>
          <w:jc w:val="center"/>
          <w:trHeight w:val="316"/>
        </w:trPr>
        <w:tc>
          <w:tcPr>
            <w:shd w:val="clear" w:color="auto" w:fill="auto"/>
            <w:tcW w:w="227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视频输出</w:t>
            </w:r>
            <w:r/>
          </w:p>
        </w:tc>
        <w:tc>
          <w:tcPr>
            <w:shd w:val="clear" w:color="auto" w:fill="auto"/>
            <w:tcW w:w="592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AHD同轴高清标准，4pin航空线</w:t>
            </w:r>
            <w:r/>
          </w:p>
        </w:tc>
      </w:tr>
      <w:tr>
        <w:trPr>
          <w:jc w:val="center"/>
          <w:trHeight w:val="316"/>
        </w:trPr>
        <w:tc>
          <w:tcPr>
            <w:shd w:val="clear" w:color="auto" w:fill="auto"/>
            <w:tcW w:w="227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电源</w:t>
            </w:r>
            <w:r/>
          </w:p>
        </w:tc>
        <w:tc>
          <w:tcPr>
            <w:shd w:val="clear" w:color="auto" w:fill="auto"/>
            <w:tcW w:w="592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DC12V± 10% </w:t>
            </w:r>
            <w:r/>
          </w:p>
        </w:tc>
      </w:tr>
      <w:tr>
        <w:trPr>
          <w:jc w:val="center"/>
          <w:trHeight w:val="337"/>
        </w:trPr>
        <w:tc>
          <w:tcPr>
            <w:shd w:val="clear" w:color="auto" w:fill="auto"/>
            <w:tcW w:w="2273"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工作温度</w:t>
            </w:r>
            <w:r/>
          </w:p>
        </w:tc>
        <w:tc>
          <w:tcPr>
            <w:shd w:val="clear" w:color="auto" w:fill="auto"/>
            <w:tcW w:w="5926" w:type="dxa"/>
            <w:vAlign w:val="center"/>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sz w:val="21"/>
                <w:szCs w:val="21"/>
              </w:rPr>
              <w:t xml:space="preserve">-40°C ~ 70°C</w:t>
            </w:r>
            <w:r/>
          </w:p>
        </w:tc>
      </w:tr>
    </w:tbl>
    <w:p>
      <w:pPr>
        <w:numPr>
          <w:ilvl w:val="255"/>
          <w:numId w:val="0"/>
        </w:numPr>
        <w:ind w:left="440"/>
        <w:spacing w:before="156" w:line="360" w:lineRule="auto"/>
        <w:rPr>
          <w:rFonts w:ascii="宋体" w:hAnsi="宋体" w:eastAsia="宋体" w:cs="宋体"/>
          <w:b/>
          <w:bCs/>
          <w:sz w:val="21"/>
          <w:szCs w:val="21"/>
        </w:rPr>
      </w:pPr>
      <w:r>
        <w:rPr>
          <w:rFonts w:hint="eastAsia" w:ascii="宋体" w:hAnsi="宋体" w:eastAsia="宋体" w:cs="宋体"/>
          <w:b/>
          <w:bCs/>
          <w:sz w:val="21"/>
          <w:szCs w:val="21"/>
        </w:rPr>
        <w:t xml:space="preserve">5、TF卡</w:t>
      </w:r>
      <w:r/>
    </w:p>
    <w:tbl>
      <w:tblPr>
        <w:tblStyle w:val="9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9"/>
        <w:gridCol w:w="5960"/>
      </w:tblGrid>
      <w:tr>
        <w:trPr>
          <w:jc w:val="center"/>
          <w:trHeight w:val="162"/>
        </w:trPr>
        <w:tc>
          <w:tcPr>
            <w:tcW w:w="2239" w:type="dxa"/>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名称</w:t>
            </w:r>
            <w:r/>
          </w:p>
        </w:tc>
        <w:tc>
          <w:tcPr>
            <w:tcW w:w="5960" w:type="dxa"/>
            <w:textDirection w:val="lrTb"/>
            <w:noWrap w:val="false"/>
          </w:tcPr>
          <w:p>
            <w:pPr>
              <w:ind w:firstLine="0"/>
              <w:jc w:val="center"/>
              <w:spacing w:line="240" w:lineRule="auto"/>
              <w:rPr>
                <w:rFonts w:ascii="宋体" w:hAnsi="宋体" w:eastAsia="宋体" w:cs="宋体"/>
                <w:sz w:val="21"/>
                <w:szCs w:val="21"/>
              </w:rPr>
            </w:pPr>
            <w:r>
              <w:rPr>
                <w:rFonts w:hint="eastAsia" w:ascii="宋体" w:hAnsi="宋体" w:eastAsia="宋体" w:cs="宋体"/>
                <w:sz w:val="21"/>
                <w:szCs w:val="21"/>
              </w:rPr>
              <w:t xml:space="preserve">说明</w:t>
            </w:r>
            <w:r/>
          </w:p>
        </w:tc>
      </w:tr>
      <w:tr>
        <w:trPr>
          <w:jc w:val="center"/>
          <w:trHeight w:val="162"/>
        </w:trPr>
        <w:tc>
          <w:tcPr>
            <w:tcW w:w="2239" w:type="dxa"/>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容量</w:t>
            </w:r>
            <w:r/>
          </w:p>
        </w:tc>
        <w:tc>
          <w:tcPr>
            <w:tcW w:w="5960" w:type="dxa"/>
            <w:textDirection w:val="lrTb"/>
            <w:noWrap w:val="false"/>
          </w:tcPr>
          <w:p>
            <w:pPr>
              <w:ind w:firstLine="0"/>
              <w:jc w:val="center"/>
              <w:spacing w:line="240" w:lineRule="auto"/>
              <w:rPr>
                <w:rFonts w:ascii="宋体" w:hAnsi="宋体" w:eastAsia="宋体" w:cs="宋体"/>
                <w:sz w:val="21"/>
                <w:szCs w:val="21"/>
              </w:rPr>
            </w:pPr>
            <w:r>
              <w:rPr>
                <w:rFonts w:hint="eastAsia" w:ascii="宋体" w:hAnsi="宋体" w:eastAsia="宋体" w:cs="宋体"/>
                <w:sz w:val="21"/>
                <w:szCs w:val="21"/>
              </w:rPr>
              <w:t xml:space="preserve">不低于512GB</w:t>
            </w:r>
            <w:r/>
          </w:p>
        </w:tc>
      </w:tr>
      <w:tr>
        <w:trPr>
          <w:jc w:val="center"/>
          <w:trHeight w:val="162"/>
        </w:trPr>
        <w:tc>
          <w:tcPr>
            <w:tcW w:w="2239" w:type="dxa"/>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读写速率</w:t>
            </w:r>
            <w:r/>
          </w:p>
        </w:tc>
        <w:tc>
          <w:tcPr>
            <w:tcW w:w="5960" w:type="dxa"/>
            <w:textDirection w:val="lrTb"/>
            <w:noWrap w:val="false"/>
          </w:tcPr>
          <w:p>
            <w:pPr>
              <w:ind w:firstLine="0"/>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CLASS 10</w:t>
            </w:r>
            <w:r/>
          </w:p>
        </w:tc>
      </w:tr>
      <w:tr>
        <w:trPr>
          <w:jc w:val="center"/>
          <w:trHeight w:val="162"/>
        </w:trPr>
        <w:tc>
          <w:tcPr>
            <w:tcW w:w="2239" w:type="dxa"/>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读写循环周期</w:t>
            </w:r>
            <w:r/>
          </w:p>
        </w:tc>
        <w:tc>
          <w:tcPr>
            <w:tcW w:w="5960" w:type="dxa"/>
            <w:textDirection w:val="lrTb"/>
            <w:noWrap w:val="false"/>
          </w:tcPr>
          <w:p>
            <w:pPr>
              <w:ind w:firstLine="0"/>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大于3000次</w:t>
            </w:r>
            <w:r/>
          </w:p>
        </w:tc>
      </w:tr>
      <w:tr>
        <w:trPr>
          <w:jc w:val="center"/>
          <w:trHeight w:val="162"/>
        </w:trPr>
        <w:tc>
          <w:tcPr>
            <w:tcW w:w="2239" w:type="dxa"/>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工作温度</w:t>
            </w:r>
            <w:r/>
          </w:p>
        </w:tc>
        <w:tc>
          <w:tcPr>
            <w:tcW w:w="5960" w:type="dxa"/>
            <w:textDirection w:val="lrTb"/>
            <w:noWrap w:val="false"/>
          </w:tcPr>
          <w:p>
            <w:pPr>
              <w:ind w:firstLine="0"/>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rPr>
              <w:t xml:space="preserve">-40℃～85℃</w:t>
            </w:r>
            <w:r/>
          </w:p>
        </w:tc>
      </w:tr>
      <w:tr>
        <w:trPr>
          <w:jc w:val="center"/>
          <w:trHeight w:val="171"/>
        </w:trPr>
        <w:tc>
          <w:tcPr>
            <w:tcW w:w="2239" w:type="dxa"/>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其他特性</w:t>
            </w:r>
            <w:r/>
          </w:p>
        </w:tc>
        <w:tc>
          <w:tcPr>
            <w:tcW w:w="5960" w:type="dxa"/>
            <w:textDirection w:val="lrTb"/>
            <w:noWrap w:val="false"/>
          </w:tcPr>
          <w:p>
            <w:pPr>
              <w:ind w:firstLine="0"/>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防震</w:t>
            </w:r>
            <w:r/>
          </w:p>
        </w:tc>
      </w:tr>
    </w:tbl>
    <w:p>
      <w:pPr>
        <w:pStyle w:val="1066"/>
        <w:ind w:firstLine="480"/>
        <w:spacing w:before="156"/>
        <w:tabs>
          <w:tab w:val="left" w:pos="312" w:leader="none"/>
        </w:tabs>
        <w:rPr>
          <w:rFonts w:hAnsi="宋体" w:cs="宋体"/>
        </w:rPr>
      </w:pPr>
      <w:r>
        <w:rPr>
          <w:rFonts w:hAnsi="宋体" w:cs="宋体"/>
        </w:rPr>
      </w:r>
      <w:r/>
    </w:p>
    <w:p>
      <w:pPr>
        <w:pStyle w:val="969"/>
        <w:rPr>
          <w:rFonts w:ascii="宋体" w:hAnsi="宋体" w:cs="宋体"/>
        </w:rPr>
      </w:pPr>
      <w:r>
        <w:rPr>
          <w:rFonts w:hint="eastAsia" w:ascii="宋体" w:hAnsi="宋体" w:cs="宋体"/>
        </w:rPr>
        <w:t xml:space="preserve">水上智能安全监管系统</w:t>
      </w:r>
      <w:r/>
    </w:p>
    <w:p>
      <w:pPr>
        <w:pStyle w:val="970"/>
        <w:tabs>
          <w:tab w:val="left" w:pos="312" w:leader="none"/>
        </w:tabs>
      </w:pPr>
      <w:r>
        <w:rPr>
          <w:rFonts w:hint="eastAsia"/>
        </w:rPr>
        <w:t xml:space="preserve">系统概述</w:t>
      </w:r>
      <w:r/>
    </w:p>
    <w:p>
      <w:pPr>
        <w:pStyle w:val="1066"/>
        <w:ind w:firstLine="420"/>
        <w:rPr>
          <w:rFonts w:hAnsi="宋体" w:cs="宋体"/>
          <w:sz w:val="21"/>
          <w:szCs w:val="21"/>
        </w:rPr>
      </w:pPr>
      <w:r>
        <w:rPr>
          <w:rFonts w:hint="eastAsia" w:hAnsi="宋体" w:cs="宋体"/>
          <w:sz w:val="21"/>
          <w:szCs w:val="21"/>
        </w:rPr>
        <w:t xml:space="preserve">通过在太仓辖区内覆盖视频及AIS信号，在河道交叉处布设视频流分析点位，结合已建的边界智能电子卡口及河道监控。开发和集成内河船舶交通智能监管执法系统，将航道内已建和新建的视频监控点接入电子巡航系统，开发卡口与视频流联动分析点、渣土船舶的预警等功能，实现对太仓市航道及视频监控所覆盖范围内的公路、桥梁、内河港口的安全监管。</w:t>
      </w:r>
      <w:r/>
    </w:p>
    <w:p>
      <w:pPr>
        <w:pStyle w:val="970"/>
        <w:tabs>
          <w:tab w:val="left" w:pos="312" w:leader="none"/>
        </w:tabs>
      </w:pPr>
      <w:r>
        <w:rPr>
          <w:rFonts w:hint="eastAsia"/>
        </w:rPr>
        <w:t xml:space="preserve">系统功能</w:t>
      </w:r>
      <w:r/>
    </w:p>
    <w:p>
      <w:pPr>
        <w:numPr>
          <w:ilvl w:val="255"/>
          <w:numId w:val="0"/>
        </w:numPr>
        <w:ind w:left="440"/>
        <w:spacing w:line="360" w:lineRule="auto"/>
        <w:rPr>
          <w:rFonts w:ascii="宋体" w:hAnsi="宋体" w:eastAsia="宋体" w:cs="宋体"/>
          <w:b/>
          <w:bCs/>
          <w:sz w:val="21"/>
          <w:szCs w:val="21"/>
        </w:rPr>
      </w:pPr>
      <w:r>
        <w:rPr>
          <w:rFonts w:hint="eastAsia" w:ascii="宋体" w:hAnsi="宋体" w:eastAsia="宋体" w:cs="宋体"/>
          <w:b/>
          <w:bCs/>
          <w:sz w:val="21"/>
          <w:szCs w:val="21"/>
        </w:rPr>
        <w:t xml:space="preserve">1、电子海图/电子地图显示引擎</w:t>
      </w:r>
      <w:r/>
    </w:p>
    <w:p>
      <w:pPr>
        <w:pStyle w:val="1066"/>
        <w:ind w:firstLine="420"/>
        <w:rPr>
          <w:rFonts w:hAnsi="宋体" w:cs="宋体"/>
          <w:sz w:val="21"/>
          <w:szCs w:val="21"/>
        </w:rPr>
      </w:pPr>
      <w:r>
        <w:rPr>
          <w:rFonts w:hint="eastAsia" w:hAnsi="宋体" w:cs="宋体"/>
          <w:sz w:val="21"/>
          <w:szCs w:val="21"/>
        </w:rPr>
        <w:t xml:space="preserve">1）电子地图服务</w:t>
      </w:r>
      <w:r/>
    </w:p>
    <w:p>
      <w:pPr>
        <w:pStyle w:val="1066"/>
        <w:ind w:firstLine="420"/>
        <w:rPr>
          <w:rFonts w:hAnsi="宋体" w:cs="宋体"/>
          <w:sz w:val="21"/>
          <w:szCs w:val="21"/>
        </w:rPr>
      </w:pPr>
      <w:r>
        <w:rPr>
          <w:rFonts w:hint="eastAsia" w:hAnsi="宋体" w:cs="宋体"/>
          <w:sz w:val="21"/>
          <w:szCs w:val="21"/>
        </w:rPr>
        <w:t xml:space="preserve">以地图服务形式提供，系统的各类数据都将基于该地图服务进行展现，支持电子海图与电子地图、卫星遥感图的叠加显示，提供丰富的底层平台界面，性能稳定，功能强大。</w:t>
      </w:r>
      <w:r/>
    </w:p>
    <w:p>
      <w:pPr>
        <w:pStyle w:val="1066"/>
        <w:ind w:firstLine="420"/>
        <w:rPr>
          <w:rFonts w:hAnsi="宋体" w:cs="宋体"/>
          <w:sz w:val="21"/>
          <w:szCs w:val="21"/>
        </w:rPr>
      </w:pPr>
      <w:r>
        <w:rPr>
          <w:rFonts w:hint="eastAsia" w:hAnsi="宋体" w:cs="宋体"/>
          <w:sz w:val="21"/>
          <w:szCs w:val="21"/>
        </w:rPr>
        <w:t xml:space="preserve">2）电子地图辅助功能</w:t>
      </w:r>
      <w:r/>
    </w:p>
    <w:p>
      <w:pPr>
        <w:pStyle w:val="1066"/>
        <w:ind w:firstLine="420"/>
        <w:rPr>
          <w:rFonts w:hAnsi="宋体" w:cs="宋体"/>
          <w:sz w:val="21"/>
          <w:szCs w:val="21"/>
        </w:rPr>
      </w:pPr>
      <w:r>
        <w:rPr>
          <w:rFonts w:hint="eastAsia" w:hAnsi="宋体" w:cs="宋体"/>
          <w:sz w:val="21"/>
          <w:szCs w:val="21"/>
        </w:rPr>
        <w:t xml:space="preserve">包括：快速定位、圈选、量算、抓图、书签等功能。</w:t>
      </w:r>
      <w:r/>
    </w:p>
    <w:p>
      <w:pPr>
        <w:numPr>
          <w:ilvl w:val="255"/>
          <w:numId w:val="0"/>
        </w:numPr>
        <w:ind w:left="440"/>
        <w:spacing w:line="360" w:lineRule="auto"/>
        <w:rPr>
          <w:rFonts w:ascii="宋体" w:hAnsi="宋体" w:eastAsia="宋体" w:cs="宋体"/>
          <w:b/>
          <w:bCs/>
          <w:sz w:val="21"/>
          <w:szCs w:val="21"/>
        </w:rPr>
      </w:pPr>
      <w:r>
        <w:rPr>
          <w:rFonts w:hint="eastAsia" w:ascii="宋体" w:hAnsi="宋体" w:eastAsia="宋体" w:cs="宋体"/>
          <w:b/>
          <w:bCs/>
          <w:sz w:val="21"/>
          <w:szCs w:val="21"/>
        </w:rPr>
        <w:t xml:space="preserve">2、多信号综合监控</w:t>
      </w:r>
      <w:r/>
    </w:p>
    <w:p>
      <w:pPr>
        <w:pStyle w:val="1066"/>
        <w:ind w:firstLine="420"/>
        <w:rPr>
          <w:rFonts w:hAnsi="宋体" w:cs="宋体"/>
          <w:sz w:val="21"/>
          <w:szCs w:val="21"/>
        </w:rPr>
      </w:pPr>
      <w:r>
        <w:rPr>
          <w:rFonts w:hint="eastAsia" w:hAnsi="宋体" w:cs="宋体"/>
          <w:sz w:val="21"/>
          <w:szCs w:val="21"/>
        </w:rPr>
        <w:t xml:space="preserve">支持在电子海图/地图平台上同时显示多个系统的实时信号，对同一目标的多个信号自动进行融合处理。</w:t>
      </w:r>
      <w:r/>
    </w:p>
    <w:p>
      <w:pPr>
        <w:numPr>
          <w:ilvl w:val="255"/>
          <w:numId w:val="0"/>
        </w:numPr>
        <w:ind w:left="440"/>
        <w:spacing w:line="360" w:lineRule="auto"/>
        <w:rPr>
          <w:rFonts w:ascii="宋体" w:hAnsi="宋体" w:eastAsia="宋体" w:cs="宋体"/>
          <w:b/>
          <w:bCs/>
          <w:sz w:val="21"/>
          <w:szCs w:val="21"/>
        </w:rPr>
      </w:pPr>
      <w:r>
        <w:rPr>
          <w:rFonts w:hint="eastAsia" w:ascii="宋体" w:hAnsi="宋体" w:eastAsia="宋体" w:cs="宋体"/>
          <w:b/>
          <w:bCs/>
          <w:sz w:val="21"/>
          <w:szCs w:val="21"/>
        </w:rPr>
        <w:t xml:space="preserve">3、物标分组</w:t>
      </w:r>
      <w:r/>
    </w:p>
    <w:p>
      <w:pPr>
        <w:pStyle w:val="1066"/>
        <w:ind w:firstLine="420"/>
        <w:rPr>
          <w:rFonts w:hAnsi="宋体" w:cs="宋体"/>
          <w:sz w:val="21"/>
          <w:szCs w:val="21"/>
        </w:rPr>
      </w:pPr>
      <w:r>
        <w:rPr>
          <w:rFonts w:hint="eastAsia" w:hAnsi="宋体" w:cs="宋体"/>
          <w:sz w:val="21"/>
          <w:szCs w:val="21"/>
        </w:rPr>
        <w:t xml:space="preserve">实现对所接入的动态物标进行分组管理，分组后的船舶在显示上更突出、直观，在统计上更便利。</w:t>
      </w:r>
      <w:r/>
    </w:p>
    <w:p>
      <w:pPr>
        <w:numPr>
          <w:ilvl w:val="255"/>
          <w:numId w:val="0"/>
        </w:numPr>
        <w:ind w:left="440"/>
        <w:spacing w:line="360" w:lineRule="auto"/>
        <w:rPr>
          <w:rFonts w:ascii="宋体" w:hAnsi="宋体" w:eastAsia="宋体" w:cs="宋体"/>
          <w:b/>
          <w:bCs/>
          <w:sz w:val="21"/>
          <w:szCs w:val="21"/>
        </w:rPr>
      </w:pPr>
      <w:r>
        <w:rPr>
          <w:rFonts w:hint="eastAsia" w:ascii="宋体" w:hAnsi="宋体" w:eastAsia="宋体" w:cs="宋体"/>
          <w:b/>
          <w:bCs/>
          <w:sz w:val="21"/>
          <w:szCs w:val="21"/>
        </w:rPr>
        <w:t xml:space="preserve">4、重点船舶监控</w:t>
      </w:r>
      <w:r/>
    </w:p>
    <w:p>
      <w:pPr>
        <w:pStyle w:val="1066"/>
        <w:ind w:firstLine="420"/>
        <w:rPr>
          <w:rFonts w:hAnsi="宋体" w:cs="宋体"/>
          <w:sz w:val="21"/>
          <w:szCs w:val="21"/>
        </w:rPr>
      </w:pPr>
      <w:r>
        <w:rPr>
          <w:rFonts w:hint="eastAsia" w:hAnsi="宋体" w:cs="宋体"/>
          <w:sz w:val="21"/>
          <w:szCs w:val="21"/>
        </w:rPr>
        <w:t xml:space="preserve">对重点跟踪船舶、危险品船舶、渣土船进行分类管理，除对其进行特殊标识外，还具备自动预警功能，一旦这几类船舶进入监管预警水域，系统自动进行预警提醒，并主动进行视频接力跟踪，实现对其进行重点关注。</w:t>
      </w:r>
      <w:r/>
    </w:p>
    <w:p>
      <w:pPr>
        <w:numPr>
          <w:ilvl w:val="255"/>
          <w:numId w:val="0"/>
        </w:numPr>
        <w:ind w:left="440"/>
        <w:spacing w:line="360" w:lineRule="auto"/>
        <w:rPr>
          <w:rFonts w:ascii="宋体" w:hAnsi="宋体" w:eastAsia="宋体" w:cs="宋体"/>
          <w:b/>
          <w:bCs/>
          <w:sz w:val="21"/>
          <w:szCs w:val="21"/>
        </w:rPr>
      </w:pPr>
      <w:r>
        <w:rPr>
          <w:rFonts w:hint="eastAsia" w:ascii="宋体" w:hAnsi="宋体" w:eastAsia="宋体" w:cs="宋体"/>
          <w:b/>
          <w:bCs/>
          <w:sz w:val="21"/>
          <w:szCs w:val="21"/>
        </w:rPr>
        <w:t xml:space="preserve">5、重点区域监控</w:t>
      </w:r>
      <w:r/>
    </w:p>
    <w:p>
      <w:pPr>
        <w:pStyle w:val="1066"/>
        <w:ind w:firstLine="420"/>
        <w:rPr>
          <w:rFonts w:hAnsi="宋体" w:cs="宋体"/>
          <w:sz w:val="21"/>
          <w:szCs w:val="21"/>
        </w:rPr>
      </w:pPr>
      <w:r>
        <w:rPr>
          <w:rFonts w:hint="eastAsia" w:hAnsi="宋体" w:cs="宋体"/>
          <w:sz w:val="21"/>
          <w:szCs w:val="21"/>
        </w:rPr>
        <w:t xml:space="preserve">重点区域监控功能让监管人员可在单独的电子地图窗口中监管重点水域，如进出辖区的卡口水域、易发生拥堵水域等。通过自定义重点区域，可实现对船舶擅闯禁区、涉水工程施工区、非法停靠码头等行为的重点预警。 </w:t>
      </w:r>
      <w:r/>
    </w:p>
    <w:p>
      <w:pPr>
        <w:numPr>
          <w:ilvl w:val="255"/>
          <w:numId w:val="0"/>
        </w:numPr>
        <w:ind w:left="440"/>
        <w:spacing w:line="360" w:lineRule="auto"/>
        <w:rPr>
          <w:rFonts w:ascii="宋体" w:hAnsi="宋体" w:eastAsia="宋体" w:cs="宋体"/>
          <w:b/>
          <w:bCs/>
          <w:sz w:val="21"/>
          <w:szCs w:val="21"/>
        </w:rPr>
      </w:pPr>
      <w:r>
        <w:rPr>
          <w:rFonts w:hint="eastAsia" w:ascii="宋体" w:hAnsi="宋体" w:eastAsia="宋体" w:cs="宋体"/>
          <w:b/>
          <w:bCs/>
          <w:sz w:val="21"/>
          <w:szCs w:val="21"/>
        </w:rPr>
        <w:t xml:space="preserve">6、联动跟踪</w:t>
      </w:r>
      <w:r/>
    </w:p>
    <w:p>
      <w:pPr>
        <w:pStyle w:val="1066"/>
        <w:ind w:firstLine="420"/>
        <w:widowControl w:val="off"/>
        <w:rPr>
          <w:rFonts w:hAnsi="宋体" w:cs="宋体"/>
          <w:sz w:val="21"/>
          <w:szCs w:val="21"/>
        </w:rPr>
      </w:pPr>
      <w:r>
        <w:rPr>
          <w:rFonts w:hint="eastAsia" w:hAnsi="宋体" w:cs="宋体"/>
          <w:sz w:val="21"/>
          <w:szCs w:val="21"/>
        </w:rPr>
        <w:t xml:space="preserve">可选择要联动追踪的AIS船舶目标，系统自动选择最近的联动摄像头对该船舶进行追踪，并将船舶的定位位置传递至视频前端，使视频前端自动跟随指定船舶的移动而转动，并在超出该视频前端覆盖范围后，由下一个视频前端自动接力跟踪。</w:t>
      </w:r>
      <w:r/>
    </w:p>
    <w:p>
      <w:pPr>
        <w:numPr>
          <w:ilvl w:val="255"/>
          <w:numId w:val="0"/>
        </w:numPr>
        <w:ind w:left="440"/>
        <w:spacing w:line="360" w:lineRule="auto"/>
        <w:rPr>
          <w:rFonts w:ascii="宋体" w:hAnsi="宋体" w:eastAsia="宋体" w:cs="宋体"/>
          <w:b/>
          <w:bCs/>
          <w:sz w:val="21"/>
          <w:szCs w:val="21"/>
        </w:rPr>
      </w:pPr>
      <w:r>
        <w:rPr>
          <w:rFonts w:hint="eastAsia" w:ascii="宋体" w:hAnsi="宋体" w:eastAsia="宋体" w:cs="宋体"/>
          <w:b/>
          <w:bCs/>
          <w:sz w:val="21"/>
          <w:szCs w:val="21"/>
        </w:rPr>
        <w:t xml:space="preserve">7、船舶回放</w:t>
      </w:r>
      <w:r/>
    </w:p>
    <w:p>
      <w:pPr>
        <w:pStyle w:val="1066"/>
        <w:ind w:firstLine="420"/>
        <w:widowControl w:val="off"/>
        <w:rPr>
          <w:rFonts w:hAnsi="宋体" w:cs="宋体"/>
          <w:sz w:val="21"/>
          <w:szCs w:val="21"/>
        </w:rPr>
      </w:pPr>
      <w:r>
        <w:rPr>
          <w:rFonts w:hint="eastAsia" w:hAnsi="宋体" w:cs="宋体"/>
          <w:sz w:val="21"/>
          <w:szCs w:val="21"/>
        </w:rPr>
        <w:t xml:space="preserve">可查询指定时间段内单条船舶或多条船舶的航迹，并进行回放；也可自定义区域，回放该区域在指定时间段内通过该区域的所有船舶航迹，支持CCTV/AIS目标的同步回放。</w:t>
      </w:r>
      <w:r/>
    </w:p>
    <w:p>
      <w:pPr>
        <w:numPr>
          <w:ilvl w:val="255"/>
          <w:numId w:val="0"/>
        </w:numPr>
        <w:ind w:left="440"/>
        <w:spacing w:line="360" w:lineRule="auto"/>
        <w:rPr>
          <w:rFonts w:ascii="宋体" w:hAnsi="宋体" w:eastAsia="宋体" w:cs="宋体"/>
          <w:b/>
          <w:bCs/>
          <w:sz w:val="21"/>
          <w:szCs w:val="21"/>
        </w:rPr>
      </w:pPr>
      <w:r>
        <w:rPr>
          <w:rFonts w:hint="eastAsia" w:ascii="宋体" w:hAnsi="宋体" w:eastAsia="宋体" w:cs="宋体"/>
          <w:b/>
          <w:bCs/>
          <w:sz w:val="21"/>
          <w:szCs w:val="21"/>
        </w:rPr>
        <w:t xml:space="preserve">8、船舶流量统计</w:t>
      </w:r>
      <w:r/>
    </w:p>
    <w:p>
      <w:pPr>
        <w:pStyle w:val="1066"/>
        <w:ind w:firstLine="420"/>
        <w:widowControl w:val="off"/>
        <w:rPr>
          <w:rFonts w:hAnsi="宋体" w:cs="宋体"/>
          <w:sz w:val="21"/>
          <w:szCs w:val="21"/>
        </w:rPr>
      </w:pPr>
      <w:r>
        <w:rPr>
          <w:rFonts w:hint="eastAsia" w:hAnsi="宋体" w:cs="宋体"/>
          <w:sz w:val="21"/>
          <w:szCs w:val="21"/>
        </w:rPr>
        <w:t xml:space="preserve">可自定义管辖区域，统计分析该区域某个时间段内的船舶流量情况，生成直观的区域流量分析图。或对该区域任意的横截面按照船舶种类进行统计，并以图表方式显示统计结果。</w:t>
      </w:r>
      <w:r/>
    </w:p>
    <w:p>
      <w:pPr>
        <w:numPr>
          <w:ilvl w:val="255"/>
          <w:numId w:val="0"/>
        </w:numPr>
        <w:ind w:left="440"/>
        <w:spacing w:line="360" w:lineRule="auto"/>
        <w:rPr>
          <w:rFonts w:ascii="宋体" w:hAnsi="宋体" w:eastAsia="宋体" w:cs="宋体"/>
          <w:b/>
          <w:bCs/>
          <w:sz w:val="21"/>
          <w:szCs w:val="21"/>
        </w:rPr>
      </w:pPr>
      <w:r>
        <w:rPr>
          <w:rFonts w:hint="eastAsia" w:ascii="宋体" w:hAnsi="宋体" w:eastAsia="宋体" w:cs="宋体"/>
          <w:b/>
          <w:bCs/>
          <w:sz w:val="21"/>
          <w:szCs w:val="21"/>
        </w:rPr>
        <w:t xml:space="preserve">9、通航环境管理</w:t>
      </w:r>
      <w:r/>
    </w:p>
    <w:p>
      <w:pPr>
        <w:pStyle w:val="1066"/>
        <w:ind w:firstLine="420"/>
        <w:widowControl w:val="off"/>
        <w:rPr>
          <w:rFonts w:hAnsi="宋体" w:cs="宋体"/>
          <w:sz w:val="21"/>
          <w:szCs w:val="21"/>
        </w:rPr>
      </w:pPr>
      <w:r>
        <w:rPr>
          <w:rFonts w:hint="eastAsia" w:hAnsi="宋体" w:cs="宋体"/>
          <w:sz w:val="21"/>
          <w:szCs w:val="21"/>
        </w:rPr>
        <w:t xml:space="preserve">通过接入通航环境数据库，可在电子海图/电子地图界面上查看辖区内所有相关通航要素的动静态信息，大大降低管理难度，提高交通管理水平。</w:t>
      </w:r>
      <w:r/>
    </w:p>
    <w:p>
      <w:pPr>
        <w:numPr>
          <w:ilvl w:val="255"/>
          <w:numId w:val="0"/>
        </w:numPr>
        <w:ind w:left="440"/>
        <w:spacing w:line="360" w:lineRule="auto"/>
        <w:rPr>
          <w:rFonts w:ascii="宋体" w:hAnsi="宋体" w:eastAsia="宋体" w:cs="宋体"/>
          <w:b/>
          <w:bCs/>
          <w:sz w:val="21"/>
          <w:szCs w:val="21"/>
        </w:rPr>
      </w:pPr>
      <w:r>
        <w:rPr>
          <w:rFonts w:hint="eastAsia" w:ascii="宋体" w:hAnsi="宋体" w:eastAsia="宋体" w:cs="宋体"/>
          <w:b/>
          <w:bCs/>
          <w:sz w:val="21"/>
          <w:szCs w:val="21"/>
        </w:rPr>
        <w:t xml:space="preserve">10、船舶档案管理</w:t>
      </w:r>
      <w:r/>
    </w:p>
    <w:p>
      <w:pPr>
        <w:pStyle w:val="1066"/>
        <w:ind w:firstLine="420"/>
        <w:widowControl w:val="off"/>
        <w:rPr>
          <w:rFonts w:hAnsi="宋体" w:cs="宋体"/>
          <w:sz w:val="21"/>
          <w:szCs w:val="21"/>
        </w:rPr>
      </w:pPr>
      <w:r>
        <w:rPr>
          <w:rFonts w:hint="eastAsia" w:hAnsi="宋体" w:cs="宋体"/>
          <w:sz w:val="21"/>
          <w:szCs w:val="21"/>
        </w:rPr>
        <w:t xml:space="preserve">包括：船舶档案数据导入和船舶档案数据的增删改查等功能。</w:t>
      </w:r>
      <w:r/>
    </w:p>
    <w:p>
      <w:pPr>
        <w:numPr>
          <w:ilvl w:val="255"/>
          <w:numId w:val="0"/>
        </w:numPr>
        <w:ind w:left="440"/>
        <w:spacing w:line="360" w:lineRule="auto"/>
        <w:rPr>
          <w:rFonts w:ascii="宋体" w:hAnsi="宋体" w:eastAsia="宋体" w:cs="宋体"/>
          <w:b/>
          <w:bCs/>
          <w:sz w:val="21"/>
          <w:szCs w:val="21"/>
        </w:rPr>
      </w:pPr>
      <w:r>
        <w:rPr>
          <w:rFonts w:hint="eastAsia" w:ascii="宋体" w:hAnsi="宋体" w:eastAsia="宋体" w:cs="宋体"/>
          <w:b/>
          <w:bCs/>
          <w:sz w:val="21"/>
          <w:szCs w:val="21"/>
        </w:rPr>
        <w:t xml:space="preserve">11、电子警察</w:t>
      </w:r>
      <w:r/>
    </w:p>
    <w:p>
      <w:pPr>
        <w:pStyle w:val="1066"/>
        <w:ind w:firstLine="420"/>
        <w:widowControl w:val="off"/>
        <w:rPr>
          <w:rFonts w:hAnsi="宋体" w:cs="宋体"/>
          <w:sz w:val="21"/>
          <w:szCs w:val="21"/>
        </w:rPr>
      </w:pPr>
      <w:r>
        <w:rPr>
          <w:rFonts w:hint="eastAsia" w:hAnsi="宋体" w:cs="宋体"/>
          <w:sz w:val="21"/>
          <w:szCs w:val="21"/>
        </w:rPr>
        <w:t xml:space="preserve">提供动态监控列表功能，自动记录和排序通过前端重点水域卡口的船舶信息，通过预设的电子警察规则，一旦发现违章行为，系统立即进行报警，提示监管人员做出相应处理。</w:t>
      </w:r>
      <w:r/>
    </w:p>
    <w:p>
      <w:pPr>
        <w:numPr>
          <w:ilvl w:val="255"/>
          <w:numId w:val="0"/>
        </w:numPr>
        <w:ind w:left="440"/>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12、电子巡航</w:t>
      </w:r>
      <w:r/>
    </w:p>
    <w:p>
      <w:pPr>
        <w:pStyle w:val="1066"/>
        <w:ind w:firstLine="420"/>
        <w:widowControl w:val="off"/>
        <w:rPr>
          <w:rFonts w:hAnsi="宋体" w:cs="宋体"/>
          <w:sz w:val="21"/>
          <w:szCs w:val="21"/>
        </w:rPr>
      </w:pPr>
      <w:r>
        <w:rPr>
          <w:rFonts w:hint="eastAsia" w:hAnsi="宋体" w:cs="宋体"/>
          <w:sz w:val="21"/>
          <w:szCs w:val="21"/>
        </w:rPr>
        <w:t xml:space="preserve">通过信息化监管手段，单独或联合运用CCTV、AIS和无人机等系统，对选定的监管对象进行实时、远程巡查的监管方式。</w:t>
      </w:r>
      <w:r/>
    </w:p>
    <w:p>
      <w:pPr>
        <w:numPr>
          <w:ilvl w:val="255"/>
          <w:numId w:val="0"/>
        </w:numPr>
        <w:ind w:left="440"/>
        <w:spacing w:line="360" w:lineRule="auto"/>
        <w:rPr>
          <w:rFonts w:ascii="宋体" w:hAnsi="宋体" w:eastAsia="宋体" w:cs="宋体"/>
          <w:b/>
          <w:bCs/>
          <w:sz w:val="21"/>
          <w:szCs w:val="21"/>
        </w:rPr>
      </w:pPr>
      <w:r>
        <w:rPr>
          <w:rFonts w:hint="eastAsia" w:ascii="宋体" w:hAnsi="宋体" w:eastAsia="宋体" w:cs="宋体"/>
          <w:b/>
          <w:bCs/>
          <w:sz w:val="21"/>
          <w:szCs w:val="21"/>
        </w:rPr>
        <w:t xml:space="preserve">13、船舶行为识别（显性违章）</w:t>
      </w:r>
      <w:r/>
    </w:p>
    <w:p>
      <w:pPr>
        <w:pStyle w:val="1066"/>
        <w:ind w:firstLine="420"/>
        <w:widowControl w:val="off"/>
        <w:rPr>
          <w:rFonts w:hAnsi="宋体" w:cs="宋体"/>
          <w:sz w:val="21"/>
          <w:szCs w:val="21"/>
        </w:rPr>
      </w:pPr>
      <w:r>
        <w:rPr>
          <w:rFonts w:hint="eastAsia" w:hAnsi="宋体" w:cs="宋体"/>
          <w:sz w:val="21"/>
          <w:szCs w:val="21"/>
        </w:rPr>
        <w:t xml:space="preserve">采用图像处理与深度学习技术，对船舶违章行为进行综合判别，再根据船舶违章现象进行分类告警。</w:t>
      </w:r>
      <w:r/>
    </w:p>
    <w:p>
      <w:pPr>
        <w:numPr>
          <w:ilvl w:val="255"/>
          <w:numId w:val="0"/>
        </w:numPr>
        <w:ind w:left="440"/>
        <w:spacing w:line="360" w:lineRule="auto"/>
        <w:rPr>
          <w:rFonts w:ascii="宋体" w:hAnsi="宋体" w:eastAsia="宋体" w:cs="宋体"/>
          <w:b/>
          <w:bCs/>
          <w:sz w:val="21"/>
          <w:szCs w:val="21"/>
        </w:rPr>
      </w:pPr>
      <w:r>
        <w:rPr>
          <w:rFonts w:hint="eastAsia" w:ascii="宋体" w:hAnsi="宋体" w:eastAsia="宋体" w:cs="宋体"/>
          <w:b/>
          <w:bCs/>
          <w:sz w:val="21"/>
          <w:szCs w:val="21"/>
        </w:rPr>
        <w:t xml:space="preserve">14、AIS数据接入</w:t>
      </w:r>
      <w:r/>
    </w:p>
    <w:p>
      <w:pPr>
        <w:pStyle w:val="1066"/>
        <w:ind w:firstLine="420"/>
        <w:widowControl w:val="off"/>
        <w:rPr>
          <w:rFonts w:hAnsi="宋体" w:cs="宋体"/>
          <w:sz w:val="21"/>
          <w:szCs w:val="21"/>
        </w:rPr>
      </w:pPr>
      <w:r>
        <w:rPr>
          <w:rFonts w:hint="eastAsia" w:hAnsi="宋体" w:cs="宋体"/>
          <w:sz w:val="21"/>
          <w:szCs w:val="21"/>
        </w:rPr>
        <w:t xml:space="preserve">前端自建AIS接收机，监控到当前船舶的动静态信息，同时对接交通部AIS系统。实现与视频信号融合，后台可进行AIS设备为正常开启等综合预判。</w:t>
      </w:r>
      <w:r/>
    </w:p>
    <w:p>
      <w:pPr>
        <w:numPr>
          <w:ilvl w:val="255"/>
          <w:numId w:val="0"/>
        </w:numPr>
        <w:ind w:left="440"/>
        <w:spacing w:line="360" w:lineRule="auto"/>
        <w:rPr>
          <w:rFonts w:ascii="宋体" w:hAnsi="宋体" w:eastAsia="宋体" w:cs="宋体"/>
          <w:b/>
          <w:bCs/>
          <w:sz w:val="21"/>
          <w:szCs w:val="21"/>
        </w:rPr>
      </w:pPr>
      <w:r>
        <w:rPr>
          <w:rFonts w:hint="eastAsia" w:ascii="宋体" w:hAnsi="宋体" w:eastAsia="宋体" w:cs="宋体"/>
          <w:b/>
          <w:bCs/>
          <w:sz w:val="21"/>
          <w:szCs w:val="21"/>
        </w:rPr>
        <w:t xml:space="preserve">15、卡口、视频流分析点数据接入</w:t>
      </w:r>
      <w:r/>
    </w:p>
    <w:p>
      <w:pPr>
        <w:pStyle w:val="1066"/>
        <w:ind w:firstLine="420"/>
        <w:widowControl w:val="off"/>
        <w:rPr>
          <w:rFonts w:hAnsi="宋体" w:cs="宋体"/>
          <w:sz w:val="21"/>
          <w:szCs w:val="21"/>
        </w:rPr>
      </w:pPr>
      <w:r>
        <w:rPr>
          <w:rFonts w:hint="eastAsia" w:hAnsi="宋体" w:cs="宋体"/>
          <w:sz w:val="21"/>
          <w:szCs w:val="21"/>
        </w:rPr>
        <w:t xml:space="preserve">对于每个艘次的船舶航行，通过后台识别模块将前端抓拍的高清细节图像识别分析后，监管中台将这些数据深度融合整合后在系统上展示。</w:t>
      </w:r>
      <w:r/>
    </w:p>
    <w:p>
      <w:pPr>
        <w:numPr>
          <w:ilvl w:val="255"/>
          <w:numId w:val="0"/>
        </w:numPr>
        <w:ind w:left="440"/>
        <w:spacing w:line="372" w:lineRule="auto"/>
        <w:rPr>
          <w:rFonts w:ascii="宋体" w:hAnsi="宋体" w:eastAsia="宋体" w:cs="宋体"/>
          <w:b/>
          <w:bCs/>
          <w:sz w:val="21"/>
          <w:szCs w:val="21"/>
        </w:rPr>
      </w:pPr>
      <w:r>
        <w:rPr>
          <w:rFonts w:hint="eastAsia" w:ascii="宋体" w:hAnsi="宋体" w:eastAsia="宋体" w:cs="宋体"/>
          <w:b/>
          <w:bCs/>
          <w:sz w:val="21"/>
          <w:szCs w:val="21"/>
        </w:rPr>
        <w:t xml:space="preserve">16、卡口、视频流点位联动分析模块</w:t>
      </w:r>
      <w:r/>
    </w:p>
    <w:p>
      <w:pPr>
        <w:pStyle w:val="1066"/>
        <w:ind w:firstLine="420"/>
        <w:spacing w:line="372" w:lineRule="auto"/>
        <w:widowControl w:val="off"/>
        <w:rPr>
          <w:rFonts w:hAnsi="宋体" w:cs="宋体"/>
          <w:sz w:val="21"/>
          <w:szCs w:val="21"/>
        </w:rPr>
      </w:pPr>
      <w:r>
        <w:rPr>
          <w:rFonts w:hint="eastAsia" w:hAnsi="宋体" w:cs="宋体"/>
          <w:sz w:val="21"/>
          <w:szCs w:val="21"/>
        </w:rPr>
        <w:t xml:space="preserve">将边界电子卡口与视频流分析点进行关联和数据碰撞，对船舶抓拍识别的数据在监管中台进行分析和归类，集成到监管系统中做关联统一展示。</w:t>
      </w:r>
      <w:r/>
    </w:p>
    <w:p>
      <w:pPr>
        <w:pStyle w:val="970"/>
        <w:spacing w:line="372" w:lineRule="auto"/>
        <w:tabs>
          <w:tab w:val="left" w:pos="312" w:leader="none"/>
        </w:tabs>
      </w:pPr>
      <w:r>
        <w:rPr>
          <w:rFonts w:hint="eastAsia"/>
        </w:rPr>
        <w:t xml:space="preserve">视频流分析点建设</w:t>
      </w:r>
      <w:r/>
    </w:p>
    <w:p>
      <w:pPr>
        <w:numPr>
          <w:ilvl w:val="255"/>
          <w:numId w:val="0"/>
        </w:numPr>
        <w:ind w:left="440"/>
        <w:spacing w:line="372" w:lineRule="auto"/>
        <w:rPr>
          <w:rFonts w:ascii="宋体" w:hAnsi="宋体" w:eastAsia="宋体" w:cs="宋体"/>
          <w:b/>
          <w:bCs/>
          <w:sz w:val="21"/>
          <w:szCs w:val="21"/>
        </w:rPr>
      </w:pPr>
      <w:r>
        <w:rPr>
          <w:rFonts w:hint="eastAsia" w:ascii="宋体" w:hAnsi="宋体" w:eastAsia="宋体" w:cs="宋体"/>
          <w:b/>
          <w:bCs/>
          <w:sz w:val="21"/>
          <w:szCs w:val="21"/>
        </w:rPr>
        <w:t xml:space="preserve">1、船舶抓拍模块</w:t>
      </w:r>
      <w:r/>
    </w:p>
    <w:p>
      <w:pPr>
        <w:pStyle w:val="1066"/>
        <w:ind w:firstLine="420"/>
        <w:spacing w:line="372" w:lineRule="auto"/>
        <w:widowControl w:val="off"/>
        <w:rPr>
          <w:rFonts w:hAnsi="宋体" w:cs="宋体"/>
          <w:sz w:val="21"/>
          <w:szCs w:val="21"/>
        </w:rPr>
      </w:pPr>
      <w:r>
        <w:rPr>
          <w:rFonts w:hint="eastAsia" w:hAnsi="宋体" w:cs="宋体"/>
          <w:sz w:val="21"/>
          <w:szCs w:val="21"/>
        </w:rPr>
        <w:t xml:space="preserve">包括：细节抓拍（昼间、夜间船舶抓拍率不低于95%）、抓拍拼接（包含1张船舶场景图、1张全貌图、不少于5张细节图）、抓拍记录存储（视频与图片存储时间不低于90天）等。</w:t>
      </w:r>
      <w:r/>
    </w:p>
    <w:p>
      <w:pPr>
        <w:numPr>
          <w:ilvl w:val="255"/>
          <w:numId w:val="0"/>
        </w:numPr>
        <w:ind w:left="440"/>
        <w:spacing w:line="372" w:lineRule="auto"/>
        <w:rPr>
          <w:rFonts w:ascii="宋体" w:hAnsi="宋体" w:eastAsia="宋体" w:cs="宋体"/>
          <w:b/>
          <w:bCs/>
          <w:sz w:val="21"/>
          <w:szCs w:val="21"/>
        </w:rPr>
      </w:pPr>
      <w:r>
        <w:rPr>
          <w:rFonts w:hint="eastAsia" w:ascii="宋体" w:hAnsi="宋体" w:eastAsia="宋体" w:cs="宋体"/>
          <w:b/>
          <w:bCs/>
          <w:sz w:val="21"/>
          <w:szCs w:val="21"/>
        </w:rPr>
        <w:t xml:space="preserve">2、船舶识别模块</w:t>
      </w:r>
      <w:r/>
    </w:p>
    <w:p>
      <w:pPr>
        <w:pStyle w:val="1066"/>
        <w:ind w:firstLine="420"/>
        <w:spacing w:line="372" w:lineRule="auto"/>
        <w:widowControl w:val="off"/>
        <w:rPr>
          <w:rFonts w:hAnsi="宋体" w:cs="宋体"/>
          <w:sz w:val="21"/>
          <w:szCs w:val="21"/>
        </w:rPr>
      </w:pPr>
      <w:r>
        <w:rPr>
          <w:rFonts w:hint="eastAsia" w:hAnsi="宋体" w:cs="宋体"/>
          <w:sz w:val="21"/>
          <w:szCs w:val="21"/>
        </w:rPr>
        <w:t xml:space="preserve">包括：船名识别（昼间船名识别准确率不低于97%，夜间船名识别准确率不低于93%）、船型识别（船型识别准确率不低于85%）、船舶行为识别（综合预警准确率不低于85%）、船舶分类、多源融合识别（航速检测误差不超过±10%）、船舶特征识别、船舶备选库与标准库、船舶特征库等。</w:t>
      </w:r>
      <w:r/>
    </w:p>
    <w:p>
      <w:pPr>
        <w:numPr>
          <w:ilvl w:val="255"/>
          <w:numId w:val="0"/>
        </w:numPr>
        <w:ind w:left="440"/>
        <w:spacing w:line="372" w:lineRule="auto"/>
        <w:rPr>
          <w:rFonts w:ascii="宋体" w:hAnsi="宋体" w:eastAsia="宋体" w:cs="宋体"/>
          <w:b/>
          <w:bCs/>
          <w:sz w:val="21"/>
          <w:szCs w:val="21"/>
        </w:rPr>
      </w:pPr>
      <w:r>
        <w:rPr>
          <w:rFonts w:hint="eastAsia" w:ascii="宋体" w:hAnsi="宋体" w:eastAsia="宋体" w:cs="宋体"/>
          <w:b/>
          <w:bCs/>
          <w:sz w:val="21"/>
          <w:szCs w:val="21"/>
        </w:rPr>
        <w:t xml:space="preserve">3、其他应用功能</w:t>
      </w:r>
      <w:r/>
    </w:p>
    <w:p>
      <w:pPr>
        <w:pStyle w:val="1066"/>
        <w:ind w:firstLine="420"/>
        <w:spacing w:line="372" w:lineRule="auto"/>
        <w:widowControl w:val="off"/>
        <w:rPr>
          <w:rFonts w:hAnsi="宋体" w:cs="宋体"/>
          <w:sz w:val="21"/>
          <w:szCs w:val="21"/>
        </w:rPr>
      </w:pPr>
      <w:r>
        <w:rPr>
          <w:rFonts w:hint="eastAsia" w:hAnsi="宋体" w:cs="宋体"/>
          <w:sz w:val="21"/>
          <w:szCs w:val="21"/>
        </w:rPr>
        <w:t xml:space="preserve">包括：船舶查询功能、船舶类型查询统计功能、流量统计功能、船舶违规统计功能、可视化管理功能等。</w:t>
      </w:r>
      <w:r/>
    </w:p>
    <w:p>
      <w:pPr>
        <w:pStyle w:val="970"/>
        <w:spacing w:line="372" w:lineRule="auto"/>
        <w:tabs>
          <w:tab w:val="left" w:pos="312" w:leader="none"/>
        </w:tabs>
      </w:pPr>
      <w:r>
        <w:rPr>
          <w:rFonts w:hint="eastAsia"/>
        </w:rPr>
        <w:t xml:space="preserve">主要设备参数</w:t>
      </w:r>
      <w:r/>
    </w:p>
    <w:p>
      <w:pPr>
        <w:numPr>
          <w:ilvl w:val="255"/>
          <w:numId w:val="0"/>
        </w:numPr>
        <w:ind w:left="440"/>
        <w:spacing w:line="372" w:lineRule="auto"/>
        <w:rPr>
          <w:rFonts w:ascii="宋体" w:hAnsi="宋体" w:eastAsia="宋体" w:cs="宋体"/>
          <w:b/>
          <w:bCs/>
          <w:sz w:val="21"/>
          <w:szCs w:val="21"/>
        </w:rPr>
      </w:pPr>
      <w:r>
        <w:rPr>
          <w:rFonts w:hint="eastAsia" w:ascii="宋体" w:hAnsi="宋体" w:eastAsia="宋体" w:cs="宋体"/>
          <w:b/>
          <w:bCs/>
          <w:sz w:val="21"/>
          <w:szCs w:val="21"/>
        </w:rPr>
        <w:t xml:space="preserve">1、监控球机800W</w:t>
      </w:r>
      <w:r/>
    </w:p>
    <w:p>
      <w:pPr>
        <w:pStyle w:val="1066"/>
        <w:ind w:firstLine="420"/>
        <w:spacing w:line="372" w:lineRule="auto"/>
        <w:widowControl w:val="off"/>
        <w:rPr>
          <w:rFonts w:hAnsi="宋体" w:cs="宋体"/>
          <w:sz w:val="21"/>
          <w:szCs w:val="21"/>
        </w:rPr>
      </w:pPr>
      <w:r>
        <w:rPr>
          <w:rFonts w:hint="eastAsia" w:hAnsi="宋体" w:cs="宋体"/>
          <w:sz w:val="21"/>
          <w:szCs w:val="21"/>
        </w:rPr>
        <w:t xml:space="preserve">传感器不低于1/1.2＂progressive scan CMOS；最低照度 彩色：≤0.0004 Lux @（F1.6，AGC ON），黑白：≤0.0001 Lux @（F1.6，AGC ON），0 Lux with IR；快门 1/1~1/30,000 s；焦距 7.4~259 mm；视场角 60.4~2.3度（广角~望远）；最大图像尺寸 3840 × 2160</w:t>
      </w:r>
      <w:r/>
    </w:p>
    <w:p>
      <w:pPr>
        <w:numPr>
          <w:ilvl w:val="255"/>
          <w:numId w:val="0"/>
        </w:numPr>
        <w:ind w:left="440"/>
        <w:spacing w:line="372" w:lineRule="auto"/>
        <w:rPr>
          <w:rFonts w:ascii="宋体" w:hAnsi="宋体" w:eastAsia="宋体" w:cs="宋体"/>
          <w:b/>
          <w:bCs/>
          <w:sz w:val="21"/>
          <w:szCs w:val="21"/>
        </w:rPr>
      </w:pPr>
      <w:r>
        <w:rPr>
          <w:rFonts w:hint="eastAsia" w:ascii="宋体" w:hAnsi="宋体" w:eastAsia="宋体" w:cs="宋体"/>
          <w:b/>
          <w:bCs/>
          <w:sz w:val="21"/>
          <w:szCs w:val="21"/>
        </w:rPr>
        <w:t xml:space="preserve">2、全千兆工业交换机</w:t>
      </w:r>
      <w:r/>
    </w:p>
    <w:p>
      <w:pPr>
        <w:pStyle w:val="1066"/>
        <w:ind w:firstLine="420"/>
        <w:spacing w:line="372" w:lineRule="auto"/>
        <w:tabs>
          <w:tab w:val="left" w:pos="312" w:leader="none"/>
        </w:tabs>
        <w:rPr>
          <w:rFonts w:hAnsi="宋体" w:cs="宋体"/>
          <w:sz w:val="21"/>
          <w:szCs w:val="21"/>
        </w:rPr>
      </w:pPr>
      <w:r>
        <w:rPr>
          <w:rFonts w:hint="eastAsia" w:hAnsi="宋体" w:cs="宋体"/>
          <w:sz w:val="21"/>
          <w:szCs w:val="21"/>
        </w:rPr>
        <w:t xml:space="preserve">至少2个千兆SFP光口+至少8个千兆电，不低于IP40防护等级，DC12-52V供电，宽温（-40℃-85℃），导轨式，二层管理型。</w:t>
      </w:r>
      <w:r/>
    </w:p>
    <w:p>
      <w:pPr>
        <w:ind w:firstLine="264"/>
        <w:spacing w:line="372" w:lineRule="auto"/>
      </w:pPr>
      <w:r/>
      <w:r/>
    </w:p>
    <w:p>
      <w:pPr>
        <w:pStyle w:val="968"/>
        <w:spacing w:line="372" w:lineRule="auto"/>
      </w:pPr>
      <w:r>
        <w:rPr>
          <w:rFonts w:hint="eastAsia"/>
        </w:rPr>
        <w:t xml:space="preserve">智慧公交信号优先控制系统</w:t>
      </w:r>
      <w:r/>
    </w:p>
    <w:p>
      <w:pPr>
        <w:pStyle w:val="1066"/>
        <w:ind w:firstLine="420"/>
        <w:spacing w:line="372" w:lineRule="auto"/>
        <w:rPr>
          <w:rFonts w:hAnsi="宋体" w:cs="宋体"/>
          <w:sz w:val="21"/>
          <w:szCs w:val="21"/>
        </w:rPr>
      </w:pPr>
      <w:r>
        <w:rPr>
          <w:rFonts w:hint="eastAsia" w:hAnsi="宋体" w:cs="宋体"/>
          <w:sz w:val="21"/>
          <w:szCs w:val="21"/>
        </w:rPr>
        <w:t xml:space="preserve">系统从满足市民出行需求和提高市民出行质量的目标出发，通过采用公交车载定位系统与信控系统联动的方式来实现公交车辆的优先通行，提高公交整体运行效率，从而提高公交运行的可靠性，增强公共交通吸引力，有效提升公共交通服务对市民的获得感。</w:t>
      </w:r>
      <w:r/>
    </w:p>
    <w:p>
      <w:pPr>
        <w:pStyle w:val="969"/>
        <w:spacing w:line="372" w:lineRule="auto"/>
        <w:rPr>
          <w:rFonts w:ascii="宋体" w:hAnsi="宋体" w:cs="宋体"/>
        </w:rPr>
      </w:pPr>
      <w:r>
        <w:rPr>
          <w:rFonts w:hint="eastAsia" w:ascii="宋体" w:hAnsi="宋体" w:cs="宋体"/>
        </w:rPr>
        <w:t xml:space="preserve">公交定位采集分析系统</w:t>
      </w:r>
      <w:r/>
    </w:p>
    <w:p>
      <w:pPr>
        <w:pStyle w:val="970"/>
        <w:spacing w:line="372" w:lineRule="auto"/>
      </w:pPr>
      <w:r>
        <w:rPr>
          <w:rFonts w:hint="eastAsia"/>
        </w:rPr>
        <w:t xml:space="preserve">系统概述</w:t>
      </w:r>
      <w:r/>
    </w:p>
    <w:p>
      <w:pPr>
        <w:pStyle w:val="1066"/>
        <w:ind w:firstLine="420"/>
        <w:spacing w:line="372" w:lineRule="auto"/>
        <w:rPr>
          <w:rFonts w:hAnsi="宋体" w:cs="宋体"/>
          <w:sz w:val="21"/>
          <w:szCs w:val="21"/>
        </w:rPr>
      </w:pPr>
      <w:r>
        <w:rPr>
          <w:rFonts w:hint="eastAsia" w:hAnsi="宋体" w:cs="宋体"/>
          <w:sz w:val="21"/>
          <w:szCs w:val="21"/>
        </w:rPr>
        <w:t xml:space="preserve">公交信号优先控制要求车辆定位精度达到米级，通过实时定位，实现公交车辆的实时位置、速度、方向等信息采集。把采集的位置信息通过网络实时传回控制中心,控制中心经过对信息融合、处理和分析后,与路口信号机实时通信，实施公交信号优先控制。</w:t>
      </w:r>
      <w:r/>
    </w:p>
    <w:p>
      <w:pPr>
        <w:pStyle w:val="970"/>
      </w:pPr>
      <w:r>
        <w:rPr>
          <w:rFonts w:hint="eastAsia"/>
        </w:rPr>
        <w:t xml:space="preserve">系统功能</w:t>
      </w:r>
      <w:r/>
    </w:p>
    <w:p>
      <w:pPr>
        <w:pStyle w:val="1066"/>
        <w:ind w:firstLine="420"/>
        <w:rPr>
          <w:rFonts w:hAnsi="宋体" w:cs="宋体"/>
          <w:sz w:val="21"/>
          <w:szCs w:val="21"/>
        </w:rPr>
      </w:pPr>
      <w:r>
        <w:rPr>
          <w:rFonts w:hint="eastAsia" w:hAnsi="宋体" w:cs="宋体"/>
          <w:sz w:val="21"/>
          <w:szCs w:val="21"/>
        </w:rPr>
        <w:t xml:space="preserve">1）公交定位信息分析</w:t>
      </w:r>
      <w:r/>
    </w:p>
    <w:p>
      <w:pPr>
        <w:pStyle w:val="1066"/>
        <w:ind w:firstLine="420"/>
        <w:widowControl w:val="off"/>
        <w:rPr>
          <w:rFonts w:hAnsi="宋体" w:cs="宋体"/>
          <w:sz w:val="21"/>
          <w:szCs w:val="21"/>
        </w:rPr>
      </w:pPr>
      <w:r>
        <w:rPr>
          <w:rFonts w:hint="eastAsia" w:hAnsi="宋体" w:cs="宋体"/>
          <w:sz w:val="21"/>
          <w:szCs w:val="21"/>
        </w:rPr>
        <w:t xml:space="preserve">对定位数据进行综合分析，给出公交车辆当前的行进状态，实时提供进出公交站台、进入控制触发区域、进出公交场站等信息，为信号控制子系统提供决策支持；分析处理后的数据以一定的周期频率进行本地存储，并与交通局等相关部门实现数据共享。</w:t>
      </w:r>
      <w:r/>
    </w:p>
    <w:p>
      <w:pPr>
        <w:pStyle w:val="1066"/>
        <w:ind w:firstLine="420"/>
        <w:widowControl w:val="off"/>
        <w:rPr>
          <w:rFonts w:hAnsi="宋体" w:cs="宋体"/>
          <w:sz w:val="21"/>
          <w:szCs w:val="21"/>
        </w:rPr>
      </w:pPr>
      <w:r>
        <w:rPr>
          <w:rFonts w:hint="eastAsia" w:hAnsi="宋体" w:cs="宋体"/>
          <w:sz w:val="21"/>
          <w:szCs w:val="21"/>
        </w:rPr>
        <w:t xml:space="preserve">定位数据分析的时间不大于1秒，本地存储时间不少于一年。</w:t>
      </w:r>
      <w:r/>
    </w:p>
    <w:p>
      <w:pPr>
        <w:pStyle w:val="1066"/>
        <w:ind w:firstLine="420"/>
        <w:rPr>
          <w:rFonts w:hAnsi="宋体" w:cs="宋体"/>
          <w:sz w:val="21"/>
          <w:szCs w:val="21"/>
        </w:rPr>
      </w:pPr>
      <w:r>
        <w:rPr>
          <w:rFonts w:hint="eastAsia" w:hAnsi="宋体" w:cs="宋体"/>
          <w:sz w:val="21"/>
          <w:szCs w:val="21"/>
        </w:rPr>
        <w:t xml:space="preserve">2）公交车载定位</w:t>
      </w:r>
      <w:r/>
    </w:p>
    <w:p>
      <w:pPr>
        <w:pStyle w:val="1066"/>
        <w:ind w:firstLine="420"/>
        <w:rPr>
          <w:rFonts w:hAnsi="宋体" w:cs="宋体"/>
          <w:sz w:val="21"/>
          <w:szCs w:val="21"/>
        </w:rPr>
      </w:pPr>
      <w:r>
        <w:rPr>
          <w:rFonts w:hint="eastAsia" w:hAnsi="宋体" w:cs="宋体"/>
          <w:sz w:val="21"/>
          <w:szCs w:val="21"/>
        </w:rPr>
        <w:t xml:space="preserve">在公交车上安装定位设备，实时采集公交车辆定位信息，满足公交信号优先控制的需要。通过定位系统可以实时获取车载移动终端的经纬度信息，即车辆的实时位置，这些信息可以用于城市交通智能化管理，在以下几个方面起到重要作用：</w:t>
      </w:r>
      <w:r/>
    </w:p>
    <w:p>
      <w:pPr>
        <w:pStyle w:val="1066"/>
        <w:numPr>
          <w:ilvl w:val="0"/>
          <w:numId w:val="34"/>
        </w:numPr>
        <w:ind w:left="0" w:firstLine="420"/>
        <w:rPr>
          <w:rFonts w:hAnsi="宋体" w:cs="宋体"/>
          <w:sz w:val="21"/>
          <w:szCs w:val="21"/>
        </w:rPr>
      </w:pPr>
      <w:r>
        <w:rPr>
          <w:rFonts w:hint="eastAsia" w:hAnsi="宋体" w:cs="宋体"/>
          <w:sz w:val="21"/>
          <w:szCs w:val="21"/>
        </w:rPr>
        <w:t xml:space="preserve">公交优先通行：在公交车上安装北斗移动终端，车辆行驶过程中，可以通过北斗系统提供的数据实时监控公交车位置。公交车通过路口前，根据公交车的位置调整路口信号灯执行方案，提前放行公交车，实施公交优先。</w:t>
      </w:r>
      <w:r/>
    </w:p>
    <w:p>
      <w:pPr>
        <w:pStyle w:val="1066"/>
        <w:numPr>
          <w:ilvl w:val="0"/>
          <w:numId w:val="34"/>
        </w:numPr>
        <w:ind w:left="0" w:firstLine="420"/>
        <w:rPr>
          <w:rFonts w:hAnsi="宋体" w:cs="宋体"/>
          <w:sz w:val="21"/>
          <w:szCs w:val="21"/>
        </w:rPr>
      </w:pPr>
      <w:r>
        <w:rPr>
          <w:rFonts w:hint="eastAsia" w:hAnsi="宋体" w:cs="宋体"/>
          <w:sz w:val="21"/>
          <w:szCs w:val="21"/>
        </w:rPr>
        <w:t xml:space="preserve">交通流量采集：通过定位系统，采集部分当前行驶路段的车流量数据。</w:t>
      </w:r>
      <w:r/>
    </w:p>
    <w:p>
      <w:pPr>
        <w:pStyle w:val="969"/>
        <w:rPr>
          <w:rFonts w:ascii="宋体" w:hAnsi="宋体" w:cs="宋体"/>
        </w:rPr>
      </w:pPr>
      <w:r>
        <w:rPr>
          <w:rFonts w:hint="eastAsia" w:ascii="宋体" w:hAnsi="宋体" w:cs="宋体"/>
        </w:rPr>
        <w:t xml:space="preserve">信号优先控制系统</w:t>
      </w:r>
      <w:r/>
    </w:p>
    <w:p>
      <w:pPr>
        <w:pStyle w:val="970"/>
      </w:pPr>
      <w:r>
        <w:rPr>
          <w:rFonts w:hint="eastAsia"/>
        </w:rPr>
        <w:t xml:space="preserve">系统概述</w:t>
      </w:r>
      <w:r/>
    </w:p>
    <w:p>
      <w:pPr>
        <w:pStyle w:val="1066"/>
        <w:ind w:firstLine="420"/>
        <w:rPr>
          <w:rFonts w:hAnsi="宋体" w:cs="宋体"/>
          <w:sz w:val="21"/>
          <w:szCs w:val="21"/>
        </w:rPr>
      </w:pPr>
      <w:r>
        <w:rPr>
          <w:rFonts w:hint="eastAsia" w:hAnsi="宋体" w:cs="宋体"/>
          <w:sz w:val="21"/>
          <w:szCs w:val="21"/>
        </w:rPr>
        <w:t xml:space="preserve">本项目总体设计结合大量交通和公交数据，升级太仓市智能交通信号控制系统，实现公交信号优先应用。</w:t>
      </w:r>
      <w:r/>
    </w:p>
    <w:p>
      <w:pPr>
        <w:pStyle w:val="970"/>
      </w:pPr>
      <w:r>
        <w:rPr>
          <w:rFonts w:hint="eastAsia"/>
        </w:rPr>
        <w:t xml:space="preserve">系统功能</w:t>
      </w:r>
      <w:r/>
    </w:p>
    <w:p>
      <w:pPr>
        <w:pStyle w:val="1066"/>
        <w:ind w:firstLine="420"/>
        <w:rPr>
          <w:rFonts w:hAnsi="宋体" w:cs="宋体"/>
          <w:sz w:val="21"/>
          <w:szCs w:val="21"/>
        </w:rPr>
      </w:pPr>
      <w:r>
        <w:rPr>
          <w:rFonts w:hint="eastAsia" w:hAnsi="宋体" w:cs="宋体"/>
          <w:sz w:val="21"/>
          <w:szCs w:val="21"/>
        </w:rPr>
        <w:t xml:space="preserve">1）公交车优先方案配置</w:t>
      </w:r>
      <w:r/>
    </w:p>
    <w:p>
      <w:pPr>
        <w:pStyle w:val="1066"/>
        <w:ind w:firstLine="420"/>
        <w:rPr>
          <w:rFonts w:hAnsi="宋体" w:cs="宋体"/>
          <w:sz w:val="21"/>
          <w:szCs w:val="21"/>
        </w:rPr>
      </w:pPr>
      <w:r>
        <w:rPr>
          <w:rFonts w:hint="eastAsia" w:hAnsi="宋体" w:cs="宋体"/>
          <w:sz w:val="21"/>
          <w:szCs w:val="21"/>
        </w:rPr>
        <w:t xml:space="preserve">基于地图配置公交车行驶路径，对沿途路口公交优先策略配置。当公交优先道路上行驶的公交车辆的通行需求发生冲突时，首先，必须满足交叉口的基本需求（基本相序不变、最短绿灯时长），其次，根据公交车辆的优先级别、车辆数等信息，确定“延长绿灯时间”、“提前绿灯时间”或“变频控制”等方法，判断能否保障公交车通过下游交叉口，若能，则实施相应控制方法。对优先车辆行驶方向采取优先措施后，对相应的冲突相位进行补偿。</w:t>
      </w:r>
      <w:r/>
    </w:p>
    <w:p>
      <w:pPr>
        <w:pStyle w:val="1066"/>
        <w:ind w:firstLine="420"/>
        <w:rPr>
          <w:rFonts w:hAnsi="宋体" w:cs="宋体"/>
          <w:sz w:val="21"/>
          <w:szCs w:val="21"/>
        </w:rPr>
      </w:pPr>
      <w:r>
        <w:rPr>
          <w:rFonts w:hint="eastAsia" w:hAnsi="宋体" w:cs="宋体"/>
          <w:sz w:val="21"/>
          <w:szCs w:val="21"/>
        </w:rPr>
        <w:t xml:space="preserve">2）校车优先控制</w:t>
      </w:r>
      <w:r/>
    </w:p>
    <w:p>
      <w:pPr>
        <w:pStyle w:val="1066"/>
        <w:ind w:firstLine="420"/>
        <w:rPr>
          <w:rFonts w:hAnsi="宋体" w:cs="宋体"/>
          <w:sz w:val="21"/>
          <w:szCs w:val="21"/>
        </w:rPr>
      </w:pPr>
      <w:r>
        <w:rPr>
          <w:rFonts w:hint="eastAsia" w:hAnsi="宋体" w:cs="宋体"/>
          <w:sz w:val="21"/>
          <w:szCs w:val="21"/>
        </w:rPr>
        <w:t xml:space="preserve">在系统顺利通过试运行测试后，可根据交通出行者出行需求，进行公交优先系统的普及推广。围绕校车管理，可通过与相关运输部门的协商，将校车纳入公交优先控制系统管理对象，进行校车优先控制。</w:t>
      </w:r>
      <w:r/>
    </w:p>
    <w:p>
      <w:pPr>
        <w:pStyle w:val="969"/>
        <w:rPr>
          <w:rFonts w:ascii="宋体" w:hAnsi="宋体" w:cs="宋体"/>
        </w:rPr>
      </w:pPr>
      <w:r>
        <w:rPr>
          <w:rFonts w:hint="eastAsia" w:ascii="宋体" w:hAnsi="宋体" w:cs="宋体"/>
        </w:rPr>
        <w:t xml:space="preserve">公交优先可视化系统</w:t>
      </w:r>
      <w:r/>
    </w:p>
    <w:p>
      <w:pPr>
        <w:pStyle w:val="970"/>
      </w:pPr>
      <w:r>
        <w:rPr>
          <w:rFonts w:hint="eastAsia"/>
        </w:rPr>
        <w:t xml:space="preserve">系统概述</w:t>
      </w:r>
      <w:r/>
    </w:p>
    <w:p>
      <w:pPr>
        <w:pStyle w:val="1066"/>
        <w:ind w:firstLine="420"/>
        <w:rPr>
          <w:rFonts w:hAnsi="宋体" w:cs="宋体"/>
          <w:sz w:val="21"/>
          <w:szCs w:val="21"/>
        </w:rPr>
      </w:pPr>
      <w:r>
        <w:rPr>
          <w:rFonts w:hint="eastAsia" w:hAnsi="宋体" w:cs="宋体"/>
          <w:sz w:val="21"/>
          <w:szCs w:val="21"/>
        </w:rPr>
        <w:t xml:space="preserve">基于电子地图公交车运行的综合可视化，实现公交车优先控制与公交车运行状态的数据化展示，通过GIS地图把道路路网、公交线路、交通附属设施、公交车运行信息、公交车优先通行情况等信息数字化展示。</w:t>
      </w:r>
      <w:r/>
    </w:p>
    <w:p>
      <w:pPr>
        <w:pStyle w:val="970"/>
      </w:pPr>
      <w:r>
        <w:rPr>
          <w:rFonts w:hint="eastAsia"/>
        </w:rPr>
        <w:t xml:space="preserve">系统功能</w:t>
      </w:r>
      <w:r/>
    </w:p>
    <w:p>
      <w:pPr>
        <w:pStyle w:val="1066"/>
        <w:ind w:firstLine="420"/>
        <w:rPr>
          <w:rFonts w:hAnsi="宋体" w:cs="宋体"/>
          <w:sz w:val="21"/>
          <w:szCs w:val="21"/>
        </w:rPr>
      </w:pPr>
      <w:r>
        <w:rPr>
          <w:rFonts w:hint="eastAsia" w:hAnsi="宋体" w:cs="宋体"/>
          <w:sz w:val="21"/>
          <w:szCs w:val="21"/>
        </w:rPr>
        <w:t xml:space="preserve">1）GIS基本功能</w:t>
      </w:r>
      <w:r/>
    </w:p>
    <w:p>
      <w:pPr>
        <w:pStyle w:val="1066"/>
        <w:ind w:firstLine="420"/>
        <w:widowControl w:val="off"/>
        <w:rPr>
          <w:rFonts w:hAnsi="宋体" w:cs="宋体"/>
          <w:sz w:val="21"/>
          <w:szCs w:val="21"/>
        </w:rPr>
      </w:pPr>
      <w:r>
        <w:rPr>
          <w:rFonts w:hint="eastAsia" w:hAnsi="宋体" w:cs="宋体"/>
          <w:sz w:val="21"/>
          <w:szCs w:val="21"/>
        </w:rPr>
        <w:t xml:space="preserve">通过综合性可视化查询与分析，能够快速找到所需信息并显示其位置。同时也可以查看设备工作状态，显示设备故障信息，达到集成显示与集成控制的目标。</w:t>
      </w:r>
      <w:r/>
    </w:p>
    <w:p>
      <w:pPr>
        <w:pStyle w:val="1066"/>
        <w:ind w:firstLine="420"/>
        <w:widowControl w:val="off"/>
        <w:rPr>
          <w:rFonts w:hAnsi="宋体" w:cs="宋体"/>
          <w:sz w:val="21"/>
          <w:szCs w:val="21"/>
        </w:rPr>
      </w:pPr>
      <w:r>
        <w:rPr>
          <w:rFonts w:hint="eastAsia" w:hAnsi="宋体" w:cs="宋体"/>
          <w:sz w:val="21"/>
          <w:szCs w:val="21"/>
        </w:rPr>
        <w:t xml:space="preserve">包括：地图展示功能、地图基本操作功能等。</w:t>
      </w:r>
      <w:r/>
    </w:p>
    <w:p>
      <w:pPr>
        <w:pStyle w:val="1066"/>
        <w:ind w:firstLine="420"/>
        <w:rPr>
          <w:rFonts w:hAnsi="宋体" w:cs="宋体"/>
          <w:sz w:val="21"/>
          <w:szCs w:val="21"/>
        </w:rPr>
      </w:pPr>
      <w:r>
        <w:rPr>
          <w:rFonts w:hint="eastAsia" w:hAnsi="宋体" w:cs="宋体"/>
          <w:sz w:val="21"/>
          <w:szCs w:val="21"/>
        </w:rPr>
        <w:t xml:space="preserve">2）综合监测</w:t>
      </w:r>
      <w:r/>
    </w:p>
    <w:p>
      <w:pPr>
        <w:pStyle w:val="1066"/>
        <w:ind w:firstLine="420"/>
        <w:rPr>
          <w:rFonts w:hAnsi="宋体" w:cs="宋体"/>
          <w:sz w:val="21"/>
          <w:szCs w:val="21"/>
        </w:rPr>
      </w:pPr>
      <w:r>
        <w:rPr>
          <w:rFonts w:hint="eastAsia" w:hAnsi="宋体" w:cs="宋体"/>
          <w:sz w:val="21"/>
          <w:szCs w:val="21"/>
        </w:rPr>
        <w:t xml:space="preserve">基于地图展示公交车实时定位信息，通过列表的方式展示公交车优先控制情况，包括对公交车通用优先控制节约的时间、优先控制的类型、优先控制的结果等。</w:t>
      </w:r>
      <w:r/>
    </w:p>
    <w:p>
      <w:pPr>
        <w:pStyle w:val="1066"/>
        <w:ind w:firstLine="420"/>
        <w:rPr>
          <w:rFonts w:hAnsi="宋体" w:cs="宋体"/>
          <w:sz w:val="21"/>
          <w:szCs w:val="21"/>
        </w:rPr>
      </w:pPr>
      <w:r>
        <w:rPr>
          <w:rFonts w:hint="eastAsia" w:hAnsi="宋体" w:cs="宋体"/>
          <w:sz w:val="21"/>
          <w:szCs w:val="21"/>
        </w:rPr>
        <w:t xml:space="preserve">3）公交管理</w:t>
      </w:r>
      <w:r/>
    </w:p>
    <w:p>
      <w:pPr>
        <w:pStyle w:val="1066"/>
        <w:ind w:firstLine="420"/>
        <w:rPr>
          <w:rFonts w:hAnsi="宋体" w:cs="宋体"/>
          <w:sz w:val="21"/>
          <w:szCs w:val="21"/>
        </w:rPr>
      </w:pPr>
      <w:r>
        <w:rPr>
          <w:rFonts w:hint="eastAsia" w:hAnsi="宋体" w:cs="宋体"/>
          <w:sz w:val="21"/>
          <w:szCs w:val="21"/>
        </w:rPr>
        <w:t xml:space="preserve">系统中可以自行配置公交车信息，包括路线名称、车辆信息、车辆类型等。</w:t>
      </w:r>
      <w:r/>
    </w:p>
    <w:p>
      <w:pPr>
        <w:pStyle w:val="1066"/>
        <w:ind w:firstLine="420"/>
        <w:rPr>
          <w:rFonts w:hAnsi="宋体" w:cs="宋体"/>
          <w:sz w:val="21"/>
          <w:szCs w:val="21"/>
        </w:rPr>
      </w:pPr>
      <w:r>
        <w:rPr>
          <w:rFonts w:hint="eastAsia" w:hAnsi="宋体" w:cs="宋体"/>
          <w:sz w:val="21"/>
          <w:szCs w:val="21"/>
        </w:rPr>
        <w:t xml:space="preserve">4）线路管理</w:t>
      </w:r>
      <w:r/>
    </w:p>
    <w:p>
      <w:pPr>
        <w:pStyle w:val="1066"/>
        <w:ind w:firstLine="420"/>
        <w:rPr>
          <w:rFonts w:hAnsi="宋体" w:cs="宋体"/>
          <w:sz w:val="21"/>
          <w:szCs w:val="21"/>
        </w:rPr>
      </w:pPr>
      <w:r>
        <w:rPr>
          <w:rFonts w:hint="eastAsia" w:hAnsi="宋体" w:cs="宋体"/>
          <w:sz w:val="21"/>
          <w:szCs w:val="21"/>
        </w:rPr>
        <w:t xml:space="preserve">基于电子地图绘制公交车路线信息，并对沿途路口的公交通行相位和通行需求配置。</w:t>
      </w:r>
      <w:r/>
    </w:p>
    <w:p>
      <w:pPr>
        <w:pStyle w:val="1066"/>
        <w:ind w:firstLine="420"/>
        <w:rPr>
          <w:rFonts w:hAnsi="宋体" w:cs="宋体"/>
          <w:sz w:val="21"/>
          <w:szCs w:val="21"/>
        </w:rPr>
      </w:pPr>
      <w:r>
        <w:rPr>
          <w:rFonts w:hint="eastAsia" w:hAnsi="宋体" w:cs="宋体"/>
          <w:sz w:val="21"/>
          <w:szCs w:val="21"/>
        </w:rPr>
        <w:t xml:space="preserve">5）公交优先效果评估</w:t>
      </w:r>
      <w:r/>
    </w:p>
    <w:p>
      <w:pPr>
        <w:pStyle w:val="1066"/>
        <w:ind w:firstLine="420"/>
        <w:rPr>
          <w:rFonts w:hAnsi="宋体" w:cs="宋体"/>
          <w:sz w:val="21"/>
          <w:szCs w:val="21"/>
        </w:rPr>
      </w:pPr>
      <w:r>
        <w:rPr>
          <w:rFonts w:hint="eastAsia" w:hAnsi="宋体" w:cs="宋体"/>
          <w:sz w:val="21"/>
          <w:szCs w:val="21"/>
        </w:rPr>
        <w:t xml:space="preserve">通过获取的信号优先、公交运行和道路交通运行数据，分析评价公交在实施信号优先后的效果，对优化效果进行直观描述。</w:t>
      </w:r>
      <w:r/>
    </w:p>
    <w:p>
      <w:pPr>
        <w:pStyle w:val="1066"/>
        <w:ind w:firstLine="420"/>
        <w:rPr>
          <w:rFonts w:hAnsi="宋体" w:cs="宋体"/>
          <w:sz w:val="21"/>
          <w:szCs w:val="21"/>
        </w:rPr>
      </w:pPr>
      <w:r>
        <w:rPr>
          <w:rFonts w:hint="eastAsia" w:hAnsi="宋体" w:cs="宋体"/>
          <w:sz w:val="21"/>
          <w:szCs w:val="21"/>
        </w:rPr>
        <w:t xml:space="preserve">包括：行程速度分析、行程延误分析、线路详情分析、评估报告生成等。</w:t>
      </w:r>
      <w:r/>
    </w:p>
    <w:p>
      <w:pPr>
        <w:pStyle w:val="1066"/>
        <w:ind w:firstLine="420"/>
        <w:rPr>
          <w:rFonts w:hAnsi="宋体" w:cs="宋体"/>
          <w:sz w:val="21"/>
          <w:szCs w:val="21"/>
        </w:rPr>
      </w:pPr>
      <w:r>
        <w:rPr>
          <w:rFonts w:hint="eastAsia" w:hAnsi="宋体" w:cs="宋体"/>
          <w:sz w:val="21"/>
          <w:szCs w:val="21"/>
        </w:rPr>
        <w:t xml:space="preserve">6）用户管理</w:t>
      </w:r>
      <w:r/>
    </w:p>
    <w:p>
      <w:pPr>
        <w:pStyle w:val="1066"/>
        <w:ind w:firstLine="420"/>
        <w:rPr>
          <w:rFonts w:hAnsi="宋体" w:cs="宋体"/>
          <w:sz w:val="21"/>
          <w:szCs w:val="21"/>
        </w:rPr>
      </w:pPr>
      <w:r>
        <w:rPr>
          <w:rFonts w:hint="eastAsia" w:hAnsi="宋体" w:cs="宋体"/>
          <w:sz w:val="21"/>
          <w:szCs w:val="21"/>
        </w:rPr>
        <w:t xml:space="preserve">包括：身份认证、用户管理、权限管理、日志管理等。</w:t>
      </w:r>
      <w:r/>
    </w:p>
    <w:p>
      <w:pPr>
        <w:pStyle w:val="1066"/>
        <w:ind w:firstLine="420"/>
        <w:rPr>
          <w:rFonts w:hAnsi="宋体" w:cs="宋体"/>
          <w:sz w:val="21"/>
          <w:szCs w:val="21"/>
        </w:rPr>
      </w:pPr>
      <w:r>
        <w:rPr>
          <w:rFonts w:hAnsi="宋体" w:cs="宋体"/>
          <w:sz w:val="21"/>
          <w:szCs w:val="21"/>
        </w:rPr>
      </w:r>
      <w:r/>
    </w:p>
    <w:p>
      <w:pPr>
        <w:pStyle w:val="968"/>
      </w:pPr>
      <w:r>
        <w:rPr>
          <w:rFonts w:hint="eastAsia"/>
        </w:rPr>
        <w:t xml:space="preserve">客流线网分析辅助设计系统</w:t>
      </w:r>
      <w:r/>
    </w:p>
    <w:p>
      <w:pPr>
        <w:pStyle w:val="969"/>
        <w:rPr>
          <w:rFonts w:ascii="宋体" w:hAnsi="宋体" w:cs="宋体"/>
        </w:rPr>
      </w:pPr>
      <w:r>
        <w:rPr>
          <w:rFonts w:hint="eastAsia" w:ascii="宋体" w:hAnsi="宋体" w:cs="宋体"/>
        </w:rPr>
        <w:t xml:space="preserve">系统概述</w:t>
      </w:r>
      <w:r/>
    </w:p>
    <w:p>
      <w:pPr>
        <w:pStyle w:val="1066"/>
        <w:ind w:firstLine="420"/>
        <w:rPr>
          <w:rFonts w:hAnsi="宋体" w:cs="宋体"/>
          <w:sz w:val="21"/>
          <w:szCs w:val="21"/>
          <w:lang w:eastAsia="zh-Hans"/>
        </w:rPr>
      </w:pPr>
      <w:r>
        <w:rPr>
          <w:rFonts w:hint="eastAsia" w:hAnsi="宋体" w:cs="宋体"/>
          <w:sz w:val="21"/>
          <w:szCs w:val="21"/>
        </w:rPr>
        <w:t xml:space="preserve">系统从时间和空间两个维度对公交客流、发班班次、运营速度、投入运力进行精细颗粒度的深入分析，旨在从微观层面挖掘公交客流分布规律及特点，掌握运力与客流的实际匹配情况，为公交企业调整线路排班计划、运营调度计划、增加车辆运力投放等决策管理提供第一手数据资料与引导方案，为公交管理部门公交线网优化、缓解交通拥堵、降低空乘率、降低碳达峰提供辅助决策支持。</w:t>
      </w:r>
      <w:r/>
    </w:p>
    <w:p>
      <w:pPr>
        <w:pStyle w:val="969"/>
        <w:rPr>
          <w:rFonts w:ascii="宋体" w:hAnsi="宋体" w:cs="宋体"/>
        </w:rPr>
      </w:pPr>
      <w:r>
        <w:rPr>
          <w:rFonts w:hint="eastAsia" w:ascii="宋体" w:hAnsi="宋体" w:cs="宋体"/>
        </w:rPr>
        <w:t xml:space="preserve">系统功能</w:t>
      </w:r>
      <w:r/>
    </w:p>
    <w:p>
      <w:pPr>
        <w:pStyle w:val="970"/>
      </w:pPr>
      <w:r>
        <w:rPr>
          <w:rFonts w:hint="eastAsia"/>
        </w:rPr>
        <w:t xml:space="preserve">数据总览</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展示线路长度、非直线系数、站点覆盖率、线网密度、平均站距、线路重复系数、平均车速、线路拥挤度、客流指标、站点客流排名、客流、时间不均匀指数、昨日线路客流人数、近一个月客流情况等信息。</w:t>
      </w:r>
      <w:r/>
    </w:p>
    <w:p>
      <w:pPr>
        <w:pStyle w:val="970"/>
      </w:pPr>
      <w:r>
        <w:rPr>
          <w:rFonts w:hint="eastAsia"/>
        </w:rPr>
        <w:t xml:space="preserve">客流数据分析</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展示线路客流、班次客流、时间客流、断面客流、线路客流变化率、线路TOP5、客流时变图等。</w:t>
      </w:r>
      <w:r/>
    </w:p>
    <w:p>
      <w:pPr>
        <w:pStyle w:val="970"/>
      </w:pPr>
      <w:r>
        <w:rPr>
          <w:rFonts w:hint="eastAsia"/>
        </w:rPr>
        <w:t xml:space="preserve">客流运力分析</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包括对线路、站点信息的统计，对公交公司动力配备情况的统计，对客流调查数据的统计等，可以输出图文一体化的报表。</w:t>
      </w:r>
      <w:r/>
    </w:p>
    <w:p>
      <w:pPr>
        <w:pStyle w:val="970"/>
      </w:pPr>
      <w:r>
        <w:rPr>
          <w:rFonts w:hint="eastAsia"/>
        </w:rPr>
        <w:t xml:space="preserve">高峰断面分析</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可通过时间查询客流的高峰断面客流信息、高峰断面月变图等。</w:t>
      </w:r>
      <w:r/>
    </w:p>
    <w:p>
      <w:pPr>
        <w:pStyle w:val="970"/>
      </w:pPr>
      <w:r>
        <w:rPr>
          <w:rFonts w:hint="eastAsia"/>
        </w:rPr>
        <w:t xml:space="preserve">客流OD分析</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利用乘客刷卡、扫码数据计算城市OD客流量，分析区域到区域的核载人数与实际客流数的对比分析，找到问题的突出点，辅助工作人员优化线路、线网。</w:t>
      </w:r>
      <w:r/>
    </w:p>
    <w:p>
      <w:pPr>
        <w:pStyle w:val="970"/>
      </w:pPr>
      <w:r>
        <w:rPr>
          <w:rFonts w:hint="eastAsia"/>
        </w:rPr>
        <w:t xml:space="preserve">换乘分析</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利用乘客刷卡、扫码数据计算站点的换乘与线路的换乘，分析线路到线路的换乘数据，，为线路换乘优化提供有效的数据支撑。</w:t>
      </w:r>
      <w:r/>
    </w:p>
    <w:p>
      <w:pPr>
        <w:pStyle w:val="970"/>
      </w:pPr>
      <w:r>
        <w:rPr>
          <w:rFonts w:hint="eastAsia"/>
        </w:rPr>
        <w:t xml:space="preserve">运营智能评估</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可通过时间等查询准点率日统计报表、部门发车准点率、部门计划趟次完成率和部门高峰期运行车速的</w:t>
      </w:r>
      <w:r>
        <w:rPr>
          <w:rFonts w:hint="eastAsia" w:ascii="宋体" w:hAnsi="宋体" w:eastAsia="宋体" w:cs="宋体"/>
          <w:iCs/>
          <w:sz w:val="21"/>
          <w:szCs w:val="21"/>
        </w:rPr>
        <w:t xml:space="preserve">视图</w:t>
      </w:r>
      <w:r>
        <w:rPr>
          <w:rFonts w:hint="eastAsia" w:ascii="宋体" w:hAnsi="宋体" w:eastAsia="宋体" w:cs="宋体"/>
          <w:sz w:val="21"/>
          <w:szCs w:val="21"/>
        </w:rPr>
        <w:t xml:space="preserve">和数据信息。</w:t>
      </w:r>
      <w:r/>
    </w:p>
    <w:p>
      <w:pPr>
        <w:pStyle w:val="970"/>
      </w:pPr>
      <w:r>
        <w:rPr>
          <w:rFonts w:hint="eastAsia"/>
        </w:rPr>
        <w:t xml:space="preserve">线路指标展示</w:t>
      </w:r>
      <w:r/>
    </w:p>
    <w:p>
      <w:pPr>
        <w:ind w:firstLine="420"/>
        <w:spacing w:line="360" w:lineRule="auto"/>
        <w:rPr>
          <w:rFonts w:ascii="宋体" w:hAnsi="宋体" w:eastAsia="宋体" w:cs="宋体"/>
          <w:iCs/>
          <w:sz w:val="21"/>
          <w:szCs w:val="21"/>
        </w:rPr>
      </w:pPr>
      <w:r>
        <w:rPr>
          <w:rFonts w:hint="eastAsia" w:ascii="宋体" w:hAnsi="宋体" w:eastAsia="宋体" w:cs="宋体"/>
          <w:sz w:val="21"/>
          <w:szCs w:val="21"/>
        </w:rPr>
        <w:t xml:space="preserve">展示线路客流量排名前十的</w:t>
      </w:r>
      <w:r>
        <w:rPr>
          <w:rFonts w:hint="eastAsia" w:ascii="宋体" w:hAnsi="宋体" w:eastAsia="宋体" w:cs="宋体"/>
          <w:iCs/>
          <w:sz w:val="21"/>
          <w:szCs w:val="21"/>
        </w:rPr>
        <w:t xml:space="preserve">线路</w:t>
      </w:r>
      <w:r>
        <w:rPr>
          <w:rFonts w:hint="eastAsia" w:ascii="宋体" w:hAnsi="宋体" w:eastAsia="宋体" w:cs="宋体"/>
          <w:sz w:val="21"/>
          <w:szCs w:val="21"/>
        </w:rPr>
        <w:t xml:space="preserve">柱状图和非直线系数排名前十的线路轮状图，可以很直观的看出哪些线路客流大，哪些线路非直线系数大，展示线路的各项指标的列表。</w:t>
      </w:r>
      <w:r/>
    </w:p>
    <w:p>
      <w:pPr>
        <w:pStyle w:val="970"/>
      </w:pPr>
      <w:r>
        <w:rPr>
          <w:rFonts w:hint="eastAsia"/>
        </w:rPr>
        <w:t xml:space="preserve">公交线网覆盖率分析</w:t>
      </w:r>
      <w:r/>
    </w:p>
    <w:p>
      <w:pPr>
        <w:ind w:firstLine="420"/>
        <w:spacing w:line="360" w:lineRule="auto"/>
        <w:rPr>
          <w:rFonts w:ascii="宋体" w:hAnsi="宋体" w:eastAsia="宋体" w:cs="宋体"/>
          <w:iCs/>
          <w:sz w:val="21"/>
          <w:szCs w:val="21"/>
        </w:rPr>
      </w:pPr>
      <w:r>
        <w:rPr>
          <w:rFonts w:hint="eastAsia" w:ascii="宋体" w:hAnsi="宋体" w:eastAsia="宋体" w:cs="宋体"/>
          <w:iCs/>
          <w:sz w:val="21"/>
          <w:szCs w:val="21"/>
        </w:rPr>
        <w:t xml:space="preserve">通过公交线网长度与区域面积计算全区公交线路的覆盖率，并结合太仓板块与人口分布及常乘客的流动迁，分析线网的整体覆盖，实现扫盲。</w:t>
      </w:r>
      <w:r/>
    </w:p>
    <w:p>
      <w:pPr>
        <w:pStyle w:val="970"/>
      </w:pPr>
      <w:r>
        <w:rPr>
          <w:rFonts w:hint="eastAsia"/>
        </w:rPr>
        <w:t xml:space="preserve">公交线网重复度分析</w:t>
      </w:r>
      <w:r/>
    </w:p>
    <w:p>
      <w:pPr>
        <w:ind w:firstLine="420"/>
        <w:spacing w:line="360" w:lineRule="auto"/>
        <w:rPr>
          <w:rFonts w:ascii="宋体" w:hAnsi="宋体" w:eastAsia="宋体" w:cs="宋体"/>
          <w:iCs/>
          <w:sz w:val="21"/>
          <w:szCs w:val="21"/>
        </w:rPr>
      </w:pPr>
      <w:r>
        <w:rPr>
          <w:rFonts w:hint="eastAsia" w:ascii="宋体" w:hAnsi="宋体" w:eastAsia="宋体" w:cs="宋体"/>
          <w:iCs/>
          <w:sz w:val="21"/>
          <w:szCs w:val="21"/>
        </w:rPr>
        <w:t xml:space="preserve">系统能够通过公交线路总长度与道路长度计算，分析出全区线路重复程度。</w:t>
      </w:r>
      <w:r/>
    </w:p>
    <w:p>
      <w:pPr>
        <w:pStyle w:val="970"/>
      </w:pPr>
      <w:r>
        <w:rPr>
          <w:rFonts w:hint="eastAsia"/>
        </w:rPr>
        <w:t xml:space="preserve">公交线路评估</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以乘客刷卡、扫码数据为基础，计算并提供高峰期建议时段评估、断面客流优化建议评估、行车间隔优化建议评估、客流预测优化建议评估等评估建议。</w:t>
      </w:r>
      <w:r/>
    </w:p>
    <w:p>
      <w:pPr>
        <w:pStyle w:val="970"/>
      </w:pPr>
      <w:r>
        <w:rPr>
          <w:rFonts w:hint="eastAsia"/>
        </w:rPr>
        <w:t xml:space="preserve">车次优化建议</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选择线路，不仅仅可展示线路与颗粒的分析展示，系统能够结合</w:t>
      </w:r>
      <w:r>
        <w:rPr>
          <w:rFonts w:hint="eastAsia" w:ascii="宋体" w:hAnsi="宋体" w:eastAsia="宋体" w:cs="宋体"/>
          <w:iCs/>
          <w:sz w:val="21"/>
          <w:szCs w:val="21"/>
        </w:rPr>
        <w:t xml:space="preserve">客运</w:t>
      </w:r>
      <w:r>
        <w:rPr>
          <w:rFonts w:hint="eastAsia" w:ascii="宋体" w:hAnsi="宋体" w:eastAsia="宋体" w:cs="宋体"/>
          <w:sz w:val="21"/>
          <w:szCs w:val="21"/>
        </w:rPr>
        <w:t xml:space="preserve">周转量、满载率、原路牌数据，分析并提供早高峰、晚高峰、平峰满载率、车辆空间舒适度、运力投放建议，辅助优化时刻表和参与时刻表自动计算。</w:t>
      </w:r>
      <w:r/>
    </w:p>
    <w:p>
      <w:pPr>
        <w:pStyle w:val="970"/>
      </w:pPr>
      <w:r>
        <w:rPr>
          <w:rFonts w:hint="eastAsia"/>
        </w:rPr>
        <w:t xml:space="preserve">线路辅助设计</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支持线路规划辅助分析，在修改规划线路过程中，会对当前的线路进行基础指标的计算对比，辅助</w:t>
      </w:r>
      <w:r>
        <w:rPr>
          <w:rFonts w:hint="eastAsia" w:ascii="宋体" w:hAnsi="宋体" w:eastAsia="宋体" w:cs="宋体"/>
          <w:iCs/>
          <w:sz w:val="21"/>
          <w:szCs w:val="21"/>
        </w:rPr>
        <w:t xml:space="preserve">工作人员</w:t>
      </w:r>
      <w:r>
        <w:rPr>
          <w:rFonts w:hint="eastAsia" w:ascii="宋体" w:hAnsi="宋体" w:eastAsia="宋体" w:cs="宋体"/>
          <w:sz w:val="21"/>
          <w:szCs w:val="21"/>
        </w:rPr>
        <w:t xml:space="preserve">做好日常规划。</w:t>
      </w:r>
      <w:r/>
    </w:p>
    <w:p>
      <w:pPr>
        <w:pStyle w:val="970"/>
      </w:pPr>
      <w:r>
        <w:rPr>
          <w:rFonts w:hint="eastAsia"/>
        </w:rPr>
        <w:t xml:space="preserve">站点优化建议</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进行静态指标和站点使用情况分析并在GIS地图展示分析结果；对于站点规划低于其需求值时需要自动预警；对新增站点、优化站点系统能自动给出设计方案，并支持方案导出。</w:t>
      </w:r>
      <w:r/>
    </w:p>
    <w:p>
      <w:pPr>
        <w:pStyle w:val="970"/>
      </w:pPr>
      <w:r>
        <w:rPr>
          <w:rFonts w:hint="eastAsia"/>
        </w:rPr>
        <w:t xml:space="preserve">公交营收分析看板</w:t>
      </w:r>
      <w:r/>
    </w:p>
    <w:p>
      <w:pPr>
        <w:ind w:firstLine="420"/>
        <w:rPr>
          <w:rFonts w:ascii="宋体" w:hAnsi="宋体" w:eastAsia="宋体" w:cs="宋体"/>
        </w:rPr>
      </w:pPr>
      <w:r>
        <w:rPr>
          <w:rFonts w:hint="eastAsia" w:ascii="宋体" w:hAnsi="宋体" w:eastAsia="宋体" w:cs="宋体"/>
          <w:sz w:val="21"/>
          <w:szCs w:val="21"/>
        </w:rPr>
        <w:t xml:space="preserve">对企业运营指标数据的展示，通过各线路营收分析、线路站点刷卡客流统计、</w:t>
      </w:r>
      <w:r>
        <w:rPr>
          <w:rFonts w:hint="eastAsia" w:ascii="宋体" w:hAnsi="宋体" w:eastAsia="宋体" w:cs="宋体"/>
          <w:iCs/>
          <w:sz w:val="21"/>
          <w:szCs w:val="21"/>
        </w:rPr>
        <w:t xml:space="preserve">线路</w:t>
      </w:r>
      <w:r>
        <w:rPr>
          <w:rFonts w:hint="eastAsia" w:ascii="宋体" w:hAnsi="宋体" w:eastAsia="宋体" w:cs="宋体"/>
          <w:sz w:val="21"/>
          <w:szCs w:val="21"/>
        </w:rPr>
        <w:t xml:space="preserve">客流营收组成、单车运量分析等各项指标数据，让领导快速了解企业运营的质量、成效以及问题点，帮助领导做出管理决策。</w:t>
      </w:r>
      <w:r/>
    </w:p>
    <w:p>
      <w:pPr>
        <w:ind w:firstLine="420"/>
        <w:rPr>
          <w:rFonts w:ascii="宋体" w:hAnsi="宋体" w:eastAsia="宋体" w:cs="宋体"/>
          <w:sz w:val="21"/>
          <w:szCs w:val="21"/>
        </w:rPr>
      </w:pPr>
      <w:r>
        <w:rPr>
          <w:rFonts w:ascii="宋体" w:hAnsi="宋体" w:eastAsia="宋体" w:cs="宋体"/>
          <w:sz w:val="21"/>
          <w:szCs w:val="21"/>
        </w:rPr>
      </w:r>
      <w:r/>
    </w:p>
    <w:p>
      <w:pPr>
        <w:pStyle w:val="968"/>
        <w:spacing w:line="372" w:lineRule="auto"/>
      </w:pPr>
      <w:r>
        <w:rPr>
          <w:rFonts w:hint="eastAsia"/>
          <w:lang w:eastAsia="zh-Hans"/>
        </w:rPr>
        <w:t xml:space="preserve">智慧停车</w:t>
      </w:r>
      <w:r>
        <w:rPr>
          <w:rFonts w:hint="eastAsia"/>
        </w:rPr>
        <w:t xml:space="preserve">系统</w:t>
      </w:r>
      <w:r>
        <w:rPr>
          <w:rFonts w:hint="eastAsia"/>
          <w:lang w:eastAsia="zh-Hans"/>
        </w:rPr>
        <w:t xml:space="preserve">扩容提升</w:t>
      </w:r>
      <w:r/>
    </w:p>
    <w:p>
      <w:pPr>
        <w:pStyle w:val="969"/>
        <w:spacing w:line="372" w:lineRule="auto"/>
      </w:pPr>
      <w:r>
        <w:rPr>
          <w:rFonts w:hint="eastAsia"/>
        </w:rPr>
        <w:t xml:space="preserve">系统概述</w:t>
      </w:r>
      <w:r/>
    </w:p>
    <w:p>
      <w:pPr>
        <w:pStyle w:val="1066"/>
        <w:ind w:firstLine="420"/>
        <w:spacing w:line="372" w:lineRule="auto"/>
        <w:rPr>
          <w:rFonts w:hAnsi="宋体" w:cs="宋体"/>
          <w:sz w:val="21"/>
          <w:szCs w:val="21"/>
        </w:rPr>
      </w:pPr>
      <w:r>
        <w:rPr>
          <w:rFonts w:hint="eastAsia" w:hAnsi="宋体" w:cs="宋体"/>
          <w:sz w:val="21"/>
          <w:szCs w:val="21"/>
        </w:rPr>
        <w:t xml:space="preserve">本次</w:t>
      </w:r>
      <w:r>
        <w:rPr>
          <w:rFonts w:hint="eastAsia" w:hAnsi="宋体" w:cs="宋体"/>
          <w:sz w:val="21"/>
          <w:szCs w:val="21"/>
          <w:lang w:eastAsia="zh-Hans"/>
        </w:rPr>
        <w:t xml:space="preserve">智慧停车</w:t>
      </w:r>
      <w:r>
        <w:rPr>
          <w:rFonts w:hint="eastAsia" w:hAnsi="宋体" w:cs="宋体"/>
          <w:sz w:val="21"/>
          <w:szCs w:val="21"/>
        </w:rPr>
        <w:t xml:space="preserve">系统扩容提升是以“时间”换“空间”的思路、开放共享的理念，对既有停车场资源的潜力进行挖掘，了解可对外预约车场的错时预约车位数、错时包月车位数及错时时段等车场信息。摸清供需双方的需求，了解车主错时停车时间需求（包括工作日、周末和限号日需求），同时与停车场的空闲时间规律、停车场位置等进行匹配，精准对接车主停车需求和车位资源供给，实现停车资源“峰谷互补”。</w:t>
      </w:r>
      <w:r/>
    </w:p>
    <w:p>
      <w:pPr>
        <w:pStyle w:val="969"/>
        <w:spacing w:line="372" w:lineRule="auto"/>
      </w:pPr>
      <w:r/>
      <w:bookmarkStart w:id="232" w:name="_Toc173321164"/>
      <w:r>
        <w:rPr>
          <w:rFonts w:hint="eastAsia"/>
        </w:rPr>
        <w:t xml:space="preserve">建设内容</w:t>
      </w:r>
      <w:bookmarkEnd w:id="232"/>
      <w:r/>
      <w:r/>
    </w:p>
    <w:p>
      <w:pPr>
        <w:pStyle w:val="1066"/>
        <w:ind w:firstLine="420"/>
        <w:spacing w:line="372" w:lineRule="auto"/>
        <w:rPr>
          <w:rFonts w:hAnsi="宋体" w:cs="宋体"/>
          <w:sz w:val="21"/>
          <w:szCs w:val="21"/>
        </w:rPr>
      </w:pPr>
      <w:r>
        <w:rPr>
          <w:rFonts w:hint="eastAsia" w:hAnsi="宋体" w:cs="宋体"/>
          <w:sz w:val="21"/>
          <w:szCs w:val="21"/>
        </w:rPr>
        <w:t xml:space="preserve">本次扩容提升主要是针对智能地锁、机械车位以及配套服务应用、专题分析等内容。包含16套道闸、16套雷达、16套一体化车牌识别机、16套辅助摄像机、16套防倒车AI相机、16套防跟车AI相机、16台无人值守终端、16个场内码标识牌、16个车场指示牌、16个安全岛、20台智能地锁、20台车牌识别单元等主要配套硬件设施及安装调测工作，以实现16个新增共享停车场接入，20个残疾人智能地锁和20个升降式机械停车设备，以及满足残疾人预约停车和市民车主存取车辆服务等需求。</w:t>
      </w:r>
      <w:r/>
    </w:p>
    <w:p>
      <w:pPr>
        <w:pStyle w:val="969"/>
        <w:spacing w:line="372" w:lineRule="auto"/>
      </w:pPr>
      <w:r/>
      <w:bookmarkStart w:id="233" w:name="_Toc173321166"/>
      <w:r>
        <w:rPr>
          <w:rFonts w:hint="eastAsia"/>
        </w:rPr>
        <w:t xml:space="preserve">系统特点</w:t>
      </w:r>
      <w:bookmarkEnd w:id="233"/>
      <w:r/>
      <w:r/>
    </w:p>
    <w:p>
      <w:pPr>
        <w:pStyle w:val="1066"/>
        <w:ind w:firstLine="420"/>
        <w:spacing w:line="372" w:lineRule="auto"/>
        <w:rPr>
          <w:rFonts w:hAnsi="宋体" w:cs="宋体"/>
          <w:sz w:val="21"/>
          <w:szCs w:val="21"/>
        </w:rPr>
      </w:pPr>
      <w:r>
        <w:rPr>
          <w:rFonts w:hint="eastAsia" w:hAnsi="宋体" w:cs="宋体"/>
          <w:sz w:val="21"/>
          <w:szCs w:val="21"/>
        </w:rPr>
        <w:t xml:space="preserve">1）无人值守</w:t>
      </w:r>
      <w:r/>
    </w:p>
    <w:p>
      <w:pPr>
        <w:pStyle w:val="1066"/>
        <w:ind w:firstLine="420"/>
        <w:spacing w:line="372" w:lineRule="auto"/>
        <w:widowControl w:val="off"/>
        <w:rPr>
          <w:rFonts w:hAnsi="宋体" w:cs="宋体"/>
          <w:sz w:val="21"/>
          <w:szCs w:val="21"/>
        </w:rPr>
      </w:pPr>
      <w:r>
        <w:rPr>
          <w:rFonts w:hint="eastAsia" w:hAnsi="宋体" w:cs="宋体"/>
          <w:sz w:val="21"/>
          <w:szCs w:val="21"/>
        </w:rPr>
        <w:t xml:space="preserve">采用中心远程值守理念，利用视频、AI和网络技术，代替岗亭人员管理，使值守人员能远距离掌握出入口现场状况，并通过平台进行车辆匹配、账单更正和手动放行等动作，提高人员效率，降低运营成本。</w:t>
      </w:r>
      <w:r/>
    </w:p>
    <w:p>
      <w:pPr>
        <w:pStyle w:val="1066"/>
        <w:ind w:firstLine="420"/>
        <w:spacing w:line="372" w:lineRule="auto"/>
        <w:rPr>
          <w:rFonts w:hAnsi="宋体" w:cs="宋体"/>
          <w:sz w:val="21"/>
          <w:szCs w:val="21"/>
        </w:rPr>
      </w:pPr>
      <w:r>
        <w:rPr>
          <w:rFonts w:hint="eastAsia" w:hAnsi="宋体" w:cs="宋体"/>
          <w:sz w:val="21"/>
          <w:szCs w:val="21"/>
        </w:rPr>
        <w:t xml:space="preserve">2）快速通行</w:t>
      </w:r>
      <w:r/>
    </w:p>
    <w:p>
      <w:pPr>
        <w:pStyle w:val="1066"/>
        <w:ind w:firstLine="420"/>
        <w:spacing w:line="372" w:lineRule="auto"/>
        <w:rPr>
          <w:rFonts w:hAnsi="宋体" w:cs="宋体"/>
          <w:sz w:val="21"/>
          <w:szCs w:val="21"/>
        </w:rPr>
      </w:pPr>
      <w:r>
        <w:rPr>
          <w:rFonts w:hint="eastAsia" w:hAnsi="宋体" w:cs="宋体"/>
          <w:sz w:val="21"/>
          <w:szCs w:val="21"/>
        </w:rPr>
        <w:t xml:space="preserve">系统采用具有极高的车牌识别率的高清车牌识别技术，可确保固定车辆准确识别、快速通行，提高出入口控制系统工作效率和固定用户体验感。</w:t>
      </w:r>
      <w:r/>
    </w:p>
    <w:p>
      <w:pPr>
        <w:pStyle w:val="1066"/>
        <w:ind w:firstLine="420"/>
        <w:spacing w:line="372" w:lineRule="auto"/>
        <w:rPr>
          <w:rFonts w:hAnsi="宋体" w:cs="宋体"/>
          <w:sz w:val="21"/>
          <w:szCs w:val="21"/>
        </w:rPr>
      </w:pPr>
      <w:r>
        <w:rPr>
          <w:rFonts w:hint="eastAsia" w:hAnsi="宋体" w:cs="宋体"/>
          <w:sz w:val="21"/>
          <w:szCs w:val="21"/>
        </w:rPr>
        <w:t xml:space="preserve">3）便捷预约</w:t>
      </w:r>
      <w:r/>
    </w:p>
    <w:p>
      <w:pPr>
        <w:pStyle w:val="1066"/>
        <w:ind w:firstLine="420"/>
        <w:spacing w:line="372" w:lineRule="auto"/>
        <w:rPr>
          <w:rFonts w:hAnsi="宋体" w:cs="宋体"/>
          <w:sz w:val="21"/>
          <w:szCs w:val="21"/>
        </w:rPr>
      </w:pPr>
      <w:r>
        <w:rPr>
          <w:rFonts w:hint="eastAsia" w:hAnsi="宋体" w:cs="宋体"/>
          <w:sz w:val="21"/>
          <w:szCs w:val="21"/>
        </w:rPr>
        <w:t xml:space="preserve">依托太仓市智慧停车平台软件系统支持在线预约微信/支付宝扫码支付、微信/支付宝/银联无感支付等多种缴费方式，预约后进出场更便捷。</w:t>
      </w:r>
      <w:r/>
    </w:p>
    <w:p>
      <w:pPr>
        <w:pStyle w:val="1066"/>
        <w:ind w:firstLine="420"/>
        <w:spacing w:line="372" w:lineRule="auto"/>
        <w:rPr>
          <w:rFonts w:hAnsi="宋体" w:cs="宋体"/>
          <w:sz w:val="21"/>
          <w:szCs w:val="21"/>
        </w:rPr>
      </w:pPr>
      <w:r>
        <w:rPr>
          <w:rFonts w:hint="eastAsia" w:hAnsi="宋体" w:cs="宋体"/>
          <w:sz w:val="21"/>
          <w:szCs w:val="21"/>
        </w:rPr>
        <w:t xml:space="preserve">4）错时预约记录</w:t>
      </w:r>
      <w:r/>
    </w:p>
    <w:p>
      <w:pPr>
        <w:pStyle w:val="1066"/>
        <w:ind w:firstLine="420"/>
        <w:spacing w:line="372" w:lineRule="auto"/>
        <w:rPr>
          <w:rFonts w:hAnsi="宋体" w:cs="宋体"/>
          <w:sz w:val="21"/>
          <w:szCs w:val="21"/>
          <w:lang w:val="zh-CN"/>
        </w:rPr>
      </w:pPr>
      <w:r>
        <w:rPr>
          <w:rFonts w:hint="eastAsia" w:hAnsi="宋体" w:cs="宋体"/>
          <w:sz w:val="21"/>
          <w:szCs w:val="21"/>
        </w:rPr>
        <w:t xml:space="preserve">用于查看错时预约记录。错时预约记录包括车牌号码、车场名称、预约时间、预约状态、预约详情等信息。支持查看生效中、已失效、已取消的错时预约记录。生效中的错时预约支持取消并跳转至取消页面。已失效的错时预约记录支持再次预约并跳转至预约页面。</w:t>
      </w:r>
      <w:r/>
    </w:p>
    <w:p>
      <w:pPr>
        <w:pStyle w:val="969"/>
        <w:spacing w:line="372" w:lineRule="auto"/>
      </w:pPr>
      <w:r/>
      <w:bookmarkStart w:id="234" w:name="_Toc173321167"/>
      <w:r>
        <w:rPr>
          <w:rFonts w:hint="eastAsia"/>
        </w:rPr>
        <w:t xml:space="preserve">数据对接</w:t>
      </w:r>
      <w:bookmarkEnd w:id="234"/>
      <w:r/>
      <w:r/>
    </w:p>
    <w:p>
      <w:pPr>
        <w:pStyle w:val="1066"/>
        <w:ind w:firstLine="420"/>
        <w:spacing w:line="372" w:lineRule="auto"/>
        <w:rPr>
          <w:rFonts w:hAnsi="宋体" w:cs="宋体"/>
          <w:sz w:val="21"/>
          <w:szCs w:val="21"/>
        </w:rPr>
      </w:pPr>
      <w:r>
        <w:rPr>
          <w:rFonts w:hint="eastAsia" w:hAnsi="宋体" w:cs="宋体"/>
          <w:sz w:val="21"/>
          <w:szCs w:val="21"/>
        </w:rPr>
        <w:t xml:space="preserve">响应太仓市机动车停车场管理办法相关要求，公共停车场和国家机关、国有企业、事业单位等专用停车场应当接入太仓市智慧停车综合管理服务平台，按照规定标准提供出入口、实时泊位等信息。本次项目实施完成后，将实现16个共享车位设备统一接入太仓市智慧停车综合管理服务平台，依托太仓市智慧停车综合管理服务平台已经开发好的数据接口，无人值守终端完成与太仓市智慧停车综合管理服务平台接口对接，实现相关数据的接口推送，提高停车体验。</w:t>
      </w:r>
      <w:r/>
    </w:p>
    <w:p>
      <w:pPr>
        <w:pStyle w:val="969"/>
        <w:spacing w:line="372" w:lineRule="auto"/>
      </w:pPr>
      <w:r>
        <w:rPr>
          <w:rFonts w:hint="eastAsia"/>
        </w:rPr>
        <w:t xml:space="preserve">主要设备参数</w:t>
      </w:r>
      <w:r/>
    </w:p>
    <w:p>
      <w:pPr>
        <w:pStyle w:val="970"/>
        <w:spacing w:line="372" w:lineRule="auto"/>
      </w:pPr>
      <w:r>
        <w:rPr>
          <w:rFonts w:hint="eastAsia"/>
        </w:rPr>
        <w:t xml:space="preserve">道闸</w:t>
      </w:r>
      <w:r/>
    </w:p>
    <w:p>
      <w:pPr>
        <w:pStyle w:val="1066"/>
        <w:ind w:firstLine="420"/>
        <w:spacing w:line="372" w:lineRule="auto"/>
        <w:rPr>
          <w:rFonts w:hAnsi="宋体" w:cs="宋体"/>
          <w:sz w:val="21"/>
          <w:szCs w:val="21"/>
        </w:rPr>
      </w:pPr>
      <w:r>
        <w:rPr>
          <w:rFonts w:hint="eastAsia" w:hAnsi="宋体" w:cs="宋体"/>
          <w:sz w:val="21"/>
          <w:szCs w:val="21"/>
        </w:rPr>
        <w:t xml:space="preserve">闸杆长度：配置1～4米八角直杆</w:t>
      </w:r>
      <w:r/>
    </w:p>
    <w:p>
      <w:pPr>
        <w:pStyle w:val="1066"/>
        <w:ind w:firstLine="420"/>
        <w:spacing w:line="372" w:lineRule="auto"/>
        <w:rPr>
          <w:rFonts w:hAnsi="宋体" w:cs="宋体"/>
          <w:sz w:val="21"/>
          <w:szCs w:val="21"/>
        </w:rPr>
      </w:pPr>
      <w:r>
        <w:rPr>
          <w:rFonts w:hint="eastAsia" w:hAnsi="宋体" w:cs="宋体"/>
          <w:sz w:val="21"/>
          <w:szCs w:val="21"/>
        </w:rPr>
        <w:t xml:space="preserve">遥控开关：每台配2个遥控器</w:t>
      </w:r>
      <w:r/>
    </w:p>
    <w:p>
      <w:pPr>
        <w:pStyle w:val="1066"/>
        <w:ind w:firstLine="420"/>
        <w:spacing w:line="372" w:lineRule="auto"/>
        <w:rPr>
          <w:rFonts w:hAnsi="宋体" w:cs="宋体"/>
          <w:sz w:val="21"/>
          <w:szCs w:val="21"/>
        </w:rPr>
      </w:pPr>
      <w:r>
        <w:rPr>
          <w:rFonts w:hint="eastAsia" w:hAnsi="宋体" w:cs="宋体"/>
          <w:sz w:val="21"/>
          <w:szCs w:val="21"/>
        </w:rPr>
        <w:t xml:space="preserve">速度可调：支持，1-3秒，3-6秒2种机芯</w:t>
      </w:r>
      <w:r/>
    </w:p>
    <w:p>
      <w:pPr>
        <w:pStyle w:val="1066"/>
        <w:ind w:firstLine="420"/>
        <w:spacing w:line="372" w:lineRule="auto"/>
        <w:rPr>
          <w:rFonts w:hAnsi="宋体" w:cs="宋体"/>
          <w:sz w:val="21"/>
          <w:szCs w:val="21"/>
        </w:rPr>
      </w:pPr>
      <w:r>
        <w:rPr>
          <w:rFonts w:hint="eastAsia" w:hAnsi="宋体" w:cs="宋体"/>
          <w:sz w:val="21"/>
          <w:szCs w:val="21"/>
        </w:rPr>
        <w:t xml:space="preserve">直流电机：DC24V直流无刷电机</w:t>
      </w:r>
      <w:r/>
    </w:p>
    <w:p>
      <w:pPr>
        <w:pStyle w:val="1066"/>
        <w:ind w:firstLine="420"/>
        <w:spacing w:line="372" w:lineRule="auto"/>
        <w:rPr>
          <w:rFonts w:hAnsi="宋体" w:cs="宋体"/>
          <w:sz w:val="21"/>
          <w:szCs w:val="21"/>
        </w:rPr>
      </w:pPr>
      <w:r>
        <w:rPr>
          <w:rFonts w:hint="eastAsia" w:hAnsi="宋体" w:cs="宋体"/>
          <w:sz w:val="21"/>
          <w:szCs w:val="21"/>
        </w:rPr>
        <w:t xml:space="preserve">遇阻反弹：支持</w:t>
      </w:r>
      <w:r/>
    </w:p>
    <w:p>
      <w:pPr>
        <w:pStyle w:val="970"/>
        <w:spacing w:line="372" w:lineRule="auto"/>
      </w:pPr>
      <w:r>
        <w:rPr>
          <w:rFonts w:hint="eastAsia"/>
        </w:rPr>
        <w:t xml:space="preserve">雷达</w:t>
      </w:r>
      <w:r/>
    </w:p>
    <w:p>
      <w:pPr>
        <w:pStyle w:val="1066"/>
        <w:ind w:firstLine="420"/>
        <w:spacing w:line="372" w:lineRule="auto"/>
        <w:rPr>
          <w:rFonts w:hAnsi="宋体" w:cs="宋体"/>
          <w:sz w:val="21"/>
          <w:szCs w:val="21"/>
        </w:rPr>
      </w:pPr>
      <w:r>
        <w:rPr>
          <w:rFonts w:hint="eastAsia" w:hAnsi="宋体" w:cs="宋体"/>
          <w:sz w:val="21"/>
          <w:szCs w:val="21"/>
        </w:rPr>
        <w:t xml:space="preserve">工作频率范围24-24.25GHz</w:t>
      </w:r>
      <w:r/>
    </w:p>
    <w:p>
      <w:pPr>
        <w:pStyle w:val="1066"/>
        <w:ind w:firstLine="420"/>
        <w:spacing w:line="372" w:lineRule="auto"/>
        <w:rPr>
          <w:rFonts w:hAnsi="宋体" w:cs="宋体"/>
          <w:sz w:val="21"/>
          <w:szCs w:val="21"/>
        </w:rPr>
      </w:pPr>
      <w:r>
        <w:rPr>
          <w:rFonts w:hint="eastAsia" w:hAnsi="宋体" w:cs="宋体"/>
          <w:sz w:val="21"/>
          <w:szCs w:val="21"/>
        </w:rPr>
        <w:t xml:space="preserve">调制模式:FMCW</w:t>
      </w:r>
      <w:r/>
    </w:p>
    <w:p>
      <w:pPr>
        <w:pStyle w:val="1066"/>
        <w:ind w:firstLine="420"/>
        <w:spacing w:line="372" w:lineRule="auto"/>
        <w:rPr>
          <w:rFonts w:hAnsi="宋体" w:cs="宋体"/>
          <w:sz w:val="21"/>
          <w:szCs w:val="21"/>
        </w:rPr>
      </w:pPr>
      <w:r>
        <w:rPr>
          <w:rFonts w:hint="eastAsia" w:hAnsi="宋体" w:cs="宋体"/>
          <w:sz w:val="21"/>
          <w:szCs w:val="21"/>
        </w:rPr>
        <w:t xml:space="preserve">检测距离:1-6 米，±0.1 米。</w:t>
      </w:r>
      <w:r/>
    </w:p>
    <w:p>
      <w:pPr>
        <w:pStyle w:val="970"/>
        <w:spacing w:line="372" w:lineRule="auto"/>
      </w:pPr>
      <w:r>
        <w:rPr>
          <w:rFonts w:hint="eastAsia"/>
        </w:rPr>
        <w:t xml:space="preserve">控制器</w:t>
      </w:r>
      <w:r/>
    </w:p>
    <w:p>
      <w:pPr>
        <w:pStyle w:val="1066"/>
        <w:ind w:firstLine="420"/>
        <w:spacing w:line="372" w:lineRule="auto"/>
        <w:rPr>
          <w:rFonts w:hAnsi="宋体" w:cs="宋体"/>
          <w:sz w:val="21"/>
          <w:szCs w:val="21"/>
        </w:rPr>
      </w:pPr>
      <w:r>
        <w:rPr>
          <w:rFonts w:hint="eastAsia" w:hAnsi="宋体" w:cs="宋体"/>
          <w:sz w:val="21"/>
          <w:szCs w:val="21"/>
        </w:rPr>
        <w:t xml:space="preserve">外形：标准IU工控机箱，能在标准网络机柜上架</w:t>
      </w:r>
      <w:r/>
    </w:p>
    <w:p>
      <w:pPr>
        <w:pStyle w:val="1066"/>
        <w:ind w:firstLine="420"/>
        <w:spacing w:line="372" w:lineRule="auto"/>
        <w:rPr>
          <w:rFonts w:hAnsi="宋体" w:cs="宋体"/>
          <w:sz w:val="21"/>
          <w:szCs w:val="21"/>
        </w:rPr>
      </w:pPr>
      <w:r>
        <w:rPr>
          <w:rFonts w:hint="eastAsia" w:hAnsi="宋体" w:cs="宋体"/>
          <w:sz w:val="21"/>
          <w:szCs w:val="21"/>
        </w:rPr>
        <w:t xml:space="preserve">硬件资源：不低于1.5G双核、≥4G RAM、≥16G SSD、≥1TB HDD  </w:t>
      </w:r>
      <w:r/>
    </w:p>
    <w:p>
      <w:pPr>
        <w:pStyle w:val="1066"/>
        <w:ind w:firstLine="420"/>
        <w:spacing w:line="372" w:lineRule="auto"/>
        <w:rPr>
          <w:rFonts w:hAnsi="宋体" w:cs="宋体"/>
          <w:sz w:val="21"/>
          <w:szCs w:val="21"/>
        </w:rPr>
      </w:pPr>
      <w:r>
        <w:rPr>
          <w:rFonts w:hint="eastAsia" w:hAnsi="宋体" w:cs="宋体"/>
          <w:sz w:val="21"/>
          <w:szCs w:val="21"/>
        </w:rPr>
        <w:t xml:space="preserve">接口：≥5个1000Mbps内网接口、≥1个1000Mbps外网接口、≥1个VGA接口、≥2个USB2.0接口、≥1个标准COM口</w:t>
      </w:r>
      <w:r/>
    </w:p>
    <w:p>
      <w:pPr>
        <w:pStyle w:val="970"/>
        <w:spacing w:line="372" w:lineRule="auto"/>
      </w:pPr>
      <w:r>
        <w:rPr>
          <w:rFonts w:hint="eastAsia"/>
        </w:rPr>
        <w:t xml:space="preserve">一体化车牌识别机</w:t>
      </w:r>
      <w:r/>
    </w:p>
    <w:p>
      <w:pPr>
        <w:pStyle w:val="1066"/>
        <w:ind w:firstLine="420"/>
        <w:spacing w:line="372" w:lineRule="auto"/>
        <w:rPr>
          <w:rFonts w:hAnsi="宋体" w:cs="宋体"/>
          <w:sz w:val="21"/>
          <w:szCs w:val="21"/>
        </w:rPr>
      </w:pPr>
      <w:r>
        <w:rPr>
          <w:rFonts w:hint="eastAsia" w:hAnsi="宋体" w:cs="宋体"/>
          <w:sz w:val="21"/>
          <w:szCs w:val="21"/>
        </w:rPr>
        <w:t xml:space="preserve">不低于300万超清视频识别技术</w:t>
      </w:r>
      <w:r/>
    </w:p>
    <w:p>
      <w:pPr>
        <w:pStyle w:val="1066"/>
        <w:ind w:firstLine="420"/>
        <w:spacing w:line="372" w:lineRule="auto"/>
        <w:rPr>
          <w:rFonts w:hAnsi="宋体" w:cs="宋体"/>
          <w:sz w:val="21"/>
          <w:szCs w:val="21"/>
        </w:rPr>
      </w:pPr>
      <w:r>
        <w:rPr>
          <w:rFonts w:hint="eastAsia" w:hAnsi="宋体" w:cs="宋体"/>
          <w:sz w:val="21"/>
          <w:szCs w:val="21"/>
        </w:rPr>
        <w:t xml:space="preserve">抓拍率：≥99.9%</w:t>
      </w:r>
      <w:r/>
    </w:p>
    <w:p>
      <w:pPr>
        <w:pStyle w:val="1066"/>
        <w:ind w:firstLine="420"/>
        <w:spacing w:line="372" w:lineRule="auto"/>
        <w:rPr>
          <w:rFonts w:hAnsi="宋体" w:cs="宋体"/>
          <w:sz w:val="21"/>
          <w:szCs w:val="21"/>
        </w:rPr>
      </w:pPr>
      <w:r>
        <w:rPr>
          <w:rFonts w:hint="eastAsia" w:hAnsi="宋体" w:cs="宋体"/>
          <w:sz w:val="21"/>
          <w:szCs w:val="21"/>
        </w:rPr>
        <w:t xml:space="preserve">识别率：白天≥99.9，夜晚≥99.6</w:t>
      </w:r>
      <w:r/>
    </w:p>
    <w:p>
      <w:pPr>
        <w:pStyle w:val="1066"/>
        <w:ind w:firstLine="420"/>
        <w:spacing w:line="372" w:lineRule="auto"/>
        <w:rPr>
          <w:rFonts w:hAnsi="宋体" w:cs="宋体"/>
          <w:sz w:val="21"/>
          <w:szCs w:val="21"/>
        </w:rPr>
      </w:pPr>
      <w:r>
        <w:rPr>
          <w:rFonts w:hint="eastAsia" w:hAnsi="宋体" w:cs="宋体"/>
          <w:sz w:val="21"/>
          <w:szCs w:val="21"/>
        </w:rPr>
        <w:t xml:space="preserve">适应车速：10公里/小时</w:t>
      </w:r>
      <w:r/>
    </w:p>
    <w:p>
      <w:pPr>
        <w:pStyle w:val="1066"/>
        <w:ind w:firstLine="420"/>
        <w:spacing w:line="372" w:lineRule="auto"/>
        <w:rPr>
          <w:rFonts w:hAnsi="宋体" w:cs="宋体"/>
          <w:sz w:val="21"/>
          <w:szCs w:val="21"/>
        </w:rPr>
      </w:pPr>
      <w:r>
        <w:rPr>
          <w:rFonts w:hint="eastAsia" w:hAnsi="宋体" w:cs="宋体"/>
          <w:sz w:val="21"/>
          <w:szCs w:val="21"/>
        </w:rPr>
        <w:t xml:space="preserve">防水等级：≥IP66</w:t>
      </w:r>
      <w:r/>
    </w:p>
    <w:p>
      <w:pPr>
        <w:pStyle w:val="1066"/>
        <w:ind w:firstLine="420"/>
        <w:spacing w:line="372" w:lineRule="auto"/>
        <w:rPr>
          <w:rFonts w:hAnsi="宋体" w:cs="宋体"/>
          <w:sz w:val="21"/>
          <w:szCs w:val="21"/>
        </w:rPr>
      </w:pPr>
      <w:r>
        <w:rPr>
          <w:rFonts w:hint="eastAsia" w:hAnsi="宋体" w:cs="宋体"/>
          <w:sz w:val="21"/>
          <w:szCs w:val="21"/>
        </w:rPr>
        <w:t xml:space="preserve">通讯方式：TCP/IP网络通讯</w:t>
      </w:r>
      <w:r/>
    </w:p>
    <w:p>
      <w:pPr>
        <w:pStyle w:val="1066"/>
        <w:ind w:firstLine="420"/>
        <w:spacing w:line="372" w:lineRule="auto"/>
        <w:rPr>
          <w:rFonts w:hAnsi="宋体" w:cs="宋体"/>
          <w:sz w:val="21"/>
          <w:szCs w:val="21"/>
        </w:rPr>
      </w:pPr>
      <w:r>
        <w:rPr>
          <w:rFonts w:hint="eastAsia" w:hAnsi="宋体" w:cs="宋体"/>
          <w:sz w:val="21"/>
          <w:szCs w:val="21"/>
        </w:rPr>
        <w:t xml:space="preserve">显示屏：不低于32×64LED模组，三色屏、可显示文字广告、余位信息</w:t>
      </w:r>
      <w:r/>
    </w:p>
    <w:p>
      <w:pPr>
        <w:pStyle w:val="970"/>
        <w:spacing w:line="372" w:lineRule="auto"/>
      </w:pPr>
      <w:r>
        <w:rPr>
          <w:rFonts w:hint="eastAsia"/>
        </w:rPr>
        <w:t xml:space="preserve">辅助摄像机</w:t>
      </w:r>
      <w:r/>
    </w:p>
    <w:p>
      <w:pPr>
        <w:pStyle w:val="1066"/>
        <w:ind w:firstLine="420"/>
        <w:spacing w:line="372" w:lineRule="auto"/>
        <w:rPr>
          <w:rFonts w:hAnsi="宋体" w:cs="宋体"/>
          <w:sz w:val="21"/>
          <w:szCs w:val="21"/>
        </w:rPr>
      </w:pPr>
      <w:r>
        <w:rPr>
          <w:rFonts w:hint="eastAsia" w:hAnsi="宋体" w:cs="宋体"/>
          <w:sz w:val="21"/>
          <w:szCs w:val="21"/>
        </w:rPr>
        <w:t xml:space="preserve">不低于300万超清视频识别技术</w:t>
      </w:r>
      <w:r/>
    </w:p>
    <w:p>
      <w:pPr>
        <w:pStyle w:val="1066"/>
        <w:ind w:firstLine="420"/>
        <w:spacing w:line="372" w:lineRule="auto"/>
        <w:rPr>
          <w:rFonts w:hAnsi="宋体" w:cs="宋体"/>
          <w:sz w:val="21"/>
          <w:szCs w:val="21"/>
        </w:rPr>
      </w:pPr>
      <w:r>
        <w:rPr>
          <w:rFonts w:hint="eastAsia" w:hAnsi="宋体" w:cs="宋体"/>
          <w:sz w:val="21"/>
          <w:szCs w:val="21"/>
        </w:rPr>
        <w:t xml:space="preserve">抓拍率：≥99.9%</w:t>
      </w:r>
      <w:r/>
    </w:p>
    <w:p>
      <w:pPr>
        <w:pStyle w:val="1066"/>
        <w:ind w:firstLine="420"/>
        <w:spacing w:line="372" w:lineRule="auto"/>
        <w:rPr>
          <w:rFonts w:hAnsi="宋体" w:cs="宋体"/>
          <w:sz w:val="21"/>
          <w:szCs w:val="21"/>
        </w:rPr>
      </w:pPr>
      <w:r>
        <w:rPr>
          <w:rFonts w:hint="eastAsia" w:hAnsi="宋体" w:cs="宋体"/>
          <w:sz w:val="21"/>
          <w:szCs w:val="21"/>
        </w:rPr>
        <w:t xml:space="preserve">识别率：白天≥99.9，夜晚≥99.6</w:t>
      </w:r>
      <w:r/>
    </w:p>
    <w:p>
      <w:pPr>
        <w:pStyle w:val="1066"/>
        <w:ind w:firstLine="420"/>
        <w:spacing w:line="372" w:lineRule="auto"/>
        <w:rPr>
          <w:rFonts w:hAnsi="宋体" w:cs="宋体"/>
          <w:sz w:val="21"/>
          <w:szCs w:val="21"/>
        </w:rPr>
      </w:pPr>
      <w:r>
        <w:rPr>
          <w:rFonts w:hint="eastAsia" w:hAnsi="宋体" w:cs="宋体"/>
          <w:sz w:val="21"/>
          <w:szCs w:val="21"/>
        </w:rPr>
        <w:t xml:space="preserve">适应车速：10公里/小时</w:t>
      </w:r>
      <w:r/>
    </w:p>
    <w:p>
      <w:pPr>
        <w:pStyle w:val="1066"/>
        <w:ind w:firstLine="420"/>
        <w:spacing w:line="372" w:lineRule="auto"/>
        <w:rPr>
          <w:rFonts w:hAnsi="宋体" w:cs="宋体"/>
          <w:sz w:val="21"/>
          <w:szCs w:val="21"/>
        </w:rPr>
      </w:pPr>
      <w:r>
        <w:rPr>
          <w:rFonts w:hint="eastAsia" w:hAnsi="宋体" w:cs="宋体"/>
          <w:sz w:val="21"/>
          <w:szCs w:val="21"/>
        </w:rPr>
        <w:t xml:space="preserve">防水等级：≥IP66</w:t>
      </w:r>
      <w:r/>
    </w:p>
    <w:p>
      <w:pPr>
        <w:pStyle w:val="1066"/>
        <w:ind w:firstLine="420"/>
        <w:spacing w:line="372" w:lineRule="auto"/>
        <w:rPr>
          <w:rFonts w:hAnsi="宋体" w:cs="宋体"/>
          <w:sz w:val="21"/>
          <w:szCs w:val="21"/>
        </w:rPr>
      </w:pPr>
      <w:r>
        <w:rPr>
          <w:rFonts w:hint="eastAsia" w:hAnsi="宋体" w:cs="宋体"/>
          <w:sz w:val="21"/>
          <w:szCs w:val="21"/>
        </w:rPr>
        <w:t xml:space="preserve">通迅接口：RJ-45，10M/100M标准网络接口</w:t>
      </w:r>
      <w:r/>
    </w:p>
    <w:p>
      <w:pPr>
        <w:pStyle w:val="1066"/>
        <w:ind w:firstLine="420"/>
        <w:spacing w:line="372" w:lineRule="auto"/>
        <w:rPr>
          <w:rFonts w:hAnsi="宋体" w:cs="宋体"/>
          <w:sz w:val="21"/>
          <w:szCs w:val="21"/>
        </w:rPr>
      </w:pPr>
      <w:r>
        <w:rPr>
          <w:rFonts w:hint="eastAsia" w:hAnsi="宋体" w:cs="宋体"/>
          <w:sz w:val="21"/>
          <w:szCs w:val="21"/>
        </w:rPr>
        <w:t xml:space="preserve">含补光灯及立柱</w:t>
      </w:r>
      <w:r/>
    </w:p>
    <w:p>
      <w:pPr>
        <w:pStyle w:val="970"/>
        <w:spacing w:line="372" w:lineRule="auto"/>
      </w:pPr>
      <w:r>
        <w:rPr>
          <w:rFonts w:hint="eastAsia"/>
        </w:rPr>
        <w:t xml:space="preserve">防倒车AI相机</w:t>
      </w:r>
      <w:r/>
    </w:p>
    <w:p>
      <w:pPr>
        <w:pStyle w:val="1066"/>
        <w:ind w:firstLine="420"/>
        <w:spacing w:line="372" w:lineRule="auto"/>
        <w:rPr>
          <w:rFonts w:hAnsi="宋体" w:cs="宋体"/>
          <w:sz w:val="21"/>
          <w:szCs w:val="21"/>
        </w:rPr>
      </w:pPr>
      <w:r>
        <w:rPr>
          <w:rFonts w:hint="eastAsia" w:hAnsi="宋体" w:cs="宋体"/>
          <w:sz w:val="21"/>
          <w:szCs w:val="21"/>
        </w:rPr>
        <w:t xml:space="preserve">不低于300万超清视频识别技术</w:t>
      </w:r>
      <w:r/>
    </w:p>
    <w:p>
      <w:pPr>
        <w:pStyle w:val="1066"/>
        <w:ind w:firstLine="420"/>
        <w:spacing w:line="372" w:lineRule="auto"/>
        <w:rPr>
          <w:rFonts w:hAnsi="宋体" w:cs="宋体"/>
          <w:sz w:val="21"/>
          <w:szCs w:val="21"/>
        </w:rPr>
      </w:pPr>
      <w:r>
        <w:rPr>
          <w:rFonts w:hint="eastAsia" w:hAnsi="宋体" w:cs="宋体"/>
          <w:sz w:val="21"/>
          <w:szCs w:val="21"/>
        </w:rPr>
        <w:t xml:space="preserve">内置AI算法，倒车判别提示</w:t>
      </w:r>
      <w:r/>
    </w:p>
    <w:p>
      <w:pPr>
        <w:pStyle w:val="1066"/>
        <w:ind w:firstLine="420"/>
        <w:spacing w:line="372" w:lineRule="auto"/>
        <w:rPr>
          <w:rFonts w:hAnsi="宋体" w:cs="宋体"/>
          <w:sz w:val="21"/>
          <w:szCs w:val="21"/>
        </w:rPr>
      </w:pPr>
      <w:r>
        <w:rPr>
          <w:rFonts w:hint="eastAsia" w:hAnsi="宋体" w:cs="宋体"/>
          <w:sz w:val="21"/>
          <w:szCs w:val="21"/>
        </w:rPr>
        <w:t xml:space="preserve">含补光灯及立柱</w:t>
      </w:r>
      <w:r/>
    </w:p>
    <w:p>
      <w:pPr>
        <w:pStyle w:val="970"/>
        <w:spacing w:line="372" w:lineRule="auto"/>
      </w:pPr>
      <w:r>
        <w:rPr>
          <w:rFonts w:hint="eastAsia"/>
        </w:rPr>
        <w:t xml:space="preserve">防跟车AI相机</w:t>
      </w:r>
      <w:r/>
    </w:p>
    <w:p>
      <w:pPr>
        <w:pStyle w:val="1066"/>
        <w:ind w:firstLine="420"/>
        <w:spacing w:line="372" w:lineRule="auto"/>
        <w:rPr>
          <w:rFonts w:hAnsi="宋体" w:cs="宋体"/>
          <w:sz w:val="21"/>
          <w:szCs w:val="21"/>
        </w:rPr>
      </w:pPr>
      <w:r>
        <w:rPr>
          <w:rFonts w:hint="eastAsia" w:hAnsi="宋体" w:cs="宋体"/>
          <w:sz w:val="21"/>
          <w:szCs w:val="21"/>
        </w:rPr>
        <w:t xml:space="preserve">不低于300万超清视频识别技术</w:t>
      </w:r>
      <w:r/>
    </w:p>
    <w:p>
      <w:pPr>
        <w:pStyle w:val="1066"/>
        <w:ind w:firstLine="420"/>
        <w:spacing w:line="372" w:lineRule="auto"/>
        <w:rPr>
          <w:rFonts w:hAnsi="宋体" w:cs="宋体"/>
          <w:sz w:val="21"/>
          <w:szCs w:val="21"/>
        </w:rPr>
      </w:pPr>
      <w:r>
        <w:rPr>
          <w:rFonts w:hint="eastAsia" w:hAnsi="宋体" w:cs="宋体"/>
          <w:sz w:val="21"/>
          <w:szCs w:val="21"/>
        </w:rPr>
        <w:t xml:space="preserve">内置AI算法，跟车判别提示</w:t>
      </w:r>
      <w:r/>
    </w:p>
    <w:p>
      <w:pPr>
        <w:pStyle w:val="1066"/>
        <w:ind w:firstLine="420"/>
        <w:spacing w:line="372" w:lineRule="auto"/>
        <w:rPr>
          <w:rFonts w:hAnsi="宋体" w:cs="宋体"/>
          <w:sz w:val="21"/>
          <w:szCs w:val="21"/>
        </w:rPr>
      </w:pPr>
      <w:r>
        <w:rPr>
          <w:rFonts w:hint="eastAsia" w:hAnsi="宋体" w:cs="宋体"/>
          <w:sz w:val="21"/>
          <w:szCs w:val="21"/>
        </w:rPr>
        <w:t xml:space="preserve">含补光灯及立柱</w:t>
      </w:r>
      <w:r/>
    </w:p>
    <w:p>
      <w:pPr>
        <w:pStyle w:val="970"/>
        <w:spacing w:line="372" w:lineRule="auto"/>
      </w:pPr>
      <w:r>
        <w:rPr>
          <w:rFonts w:hint="eastAsia"/>
        </w:rPr>
        <w:t xml:space="preserve">无人值守终端</w:t>
      </w:r>
      <w:r/>
    </w:p>
    <w:p>
      <w:pPr>
        <w:pStyle w:val="1066"/>
        <w:ind w:firstLine="420"/>
        <w:spacing w:line="372" w:lineRule="auto"/>
        <w:rPr>
          <w:rFonts w:hAnsi="宋体" w:cs="宋体"/>
          <w:sz w:val="21"/>
          <w:szCs w:val="21"/>
        </w:rPr>
      </w:pPr>
      <w:r>
        <w:rPr>
          <w:rFonts w:hint="eastAsia" w:hAnsi="宋体" w:cs="宋体"/>
          <w:sz w:val="21"/>
          <w:szCs w:val="21"/>
        </w:rPr>
        <w:t xml:space="preserve">CPU：不低于四核 1.8GHz </w:t>
      </w:r>
      <w:r/>
    </w:p>
    <w:p>
      <w:pPr>
        <w:pStyle w:val="1066"/>
        <w:ind w:firstLine="420"/>
        <w:spacing w:line="372" w:lineRule="auto"/>
        <w:rPr>
          <w:rFonts w:hAnsi="宋体" w:cs="宋体"/>
          <w:sz w:val="21"/>
          <w:szCs w:val="21"/>
        </w:rPr>
      </w:pPr>
      <w:r>
        <w:rPr>
          <w:rFonts w:hint="eastAsia" w:hAnsi="宋体" w:cs="宋体"/>
          <w:sz w:val="21"/>
          <w:szCs w:val="21"/>
        </w:rPr>
        <w:t xml:space="preserve">内存：FFR3：≥2G（最高4G）</w:t>
      </w:r>
      <w:r/>
    </w:p>
    <w:p>
      <w:pPr>
        <w:pStyle w:val="1066"/>
        <w:ind w:firstLine="420"/>
        <w:spacing w:line="372" w:lineRule="auto"/>
        <w:rPr>
          <w:rFonts w:hAnsi="宋体" w:cs="宋体"/>
          <w:sz w:val="21"/>
          <w:szCs w:val="21"/>
        </w:rPr>
      </w:pPr>
      <w:r>
        <w:rPr>
          <w:rFonts w:hint="eastAsia" w:hAnsi="宋体" w:cs="宋体"/>
          <w:sz w:val="21"/>
          <w:szCs w:val="21"/>
        </w:rPr>
        <w:t xml:space="preserve">内置ROM:≥2KB EEPROM</w:t>
      </w:r>
      <w:r/>
    </w:p>
    <w:p>
      <w:pPr>
        <w:pStyle w:val="1066"/>
        <w:ind w:firstLine="420"/>
        <w:spacing w:line="372" w:lineRule="auto"/>
        <w:rPr>
          <w:rFonts w:hAnsi="宋体" w:cs="宋体"/>
          <w:sz w:val="21"/>
          <w:szCs w:val="21"/>
        </w:rPr>
      </w:pPr>
      <w:r>
        <w:rPr>
          <w:rFonts w:hint="eastAsia" w:hAnsi="宋体" w:cs="宋体"/>
          <w:sz w:val="21"/>
          <w:szCs w:val="21"/>
        </w:rPr>
        <w:t xml:space="preserve">解码分辨率:最高支持3840*2160</w:t>
      </w:r>
      <w:r/>
    </w:p>
    <w:p>
      <w:pPr>
        <w:pStyle w:val="1066"/>
        <w:ind w:firstLine="420"/>
        <w:spacing w:line="372" w:lineRule="auto"/>
        <w:rPr>
          <w:rFonts w:hAnsi="宋体" w:cs="宋体"/>
          <w:sz w:val="21"/>
          <w:szCs w:val="21"/>
        </w:rPr>
      </w:pPr>
      <w:r>
        <w:rPr>
          <w:rFonts w:hint="eastAsia" w:hAnsi="宋体" w:cs="宋体"/>
          <w:sz w:val="21"/>
          <w:szCs w:val="21"/>
        </w:rPr>
        <w:t xml:space="preserve">网络支持:4G、以太网</w:t>
      </w:r>
      <w:r/>
    </w:p>
    <w:p>
      <w:pPr>
        <w:pStyle w:val="1066"/>
        <w:ind w:firstLine="420"/>
        <w:spacing w:line="372" w:lineRule="auto"/>
        <w:rPr>
          <w:rFonts w:hAnsi="宋体" w:cs="宋体"/>
          <w:sz w:val="21"/>
          <w:szCs w:val="21"/>
        </w:rPr>
      </w:pPr>
      <w:r>
        <w:rPr>
          <w:rFonts w:hint="eastAsia" w:hAnsi="宋体" w:cs="宋体"/>
          <w:sz w:val="21"/>
          <w:szCs w:val="21"/>
        </w:rPr>
        <w:t xml:space="preserve">系统升级:支持SD卡/电脑更新</w:t>
      </w:r>
      <w:r/>
    </w:p>
    <w:p>
      <w:pPr>
        <w:pStyle w:val="1066"/>
        <w:ind w:firstLine="420"/>
        <w:spacing w:line="372" w:lineRule="auto"/>
        <w:rPr>
          <w:rFonts w:hAnsi="宋体" w:cs="宋体"/>
          <w:sz w:val="21"/>
          <w:szCs w:val="21"/>
        </w:rPr>
      </w:pPr>
      <w:r>
        <w:rPr>
          <w:rFonts w:hint="eastAsia" w:hAnsi="宋体" w:cs="宋体"/>
          <w:sz w:val="21"/>
          <w:szCs w:val="21"/>
        </w:rPr>
        <w:t xml:space="preserve">定时开关机:支持</w:t>
      </w:r>
      <w:r/>
    </w:p>
    <w:p>
      <w:pPr>
        <w:pStyle w:val="970"/>
        <w:spacing w:line="372" w:lineRule="auto"/>
      </w:pPr>
      <w:r>
        <w:rPr>
          <w:rFonts w:hint="eastAsia"/>
        </w:rPr>
        <w:t xml:space="preserve">无人值守中控机</w:t>
      </w:r>
      <w:r/>
    </w:p>
    <w:p>
      <w:pPr>
        <w:pStyle w:val="1066"/>
        <w:ind w:firstLine="420"/>
        <w:spacing w:line="372" w:lineRule="auto"/>
        <w:rPr>
          <w:rFonts w:hAnsi="宋体" w:cs="宋体"/>
          <w:sz w:val="21"/>
          <w:szCs w:val="21"/>
        </w:rPr>
      </w:pPr>
      <w:r>
        <w:rPr>
          <w:rFonts w:hint="eastAsia" w:hAnsi="宋体" w:cs="宋体"/>
          <w:sz w:val="21"/>
          <w:szCs w:val="21"/>
        </w:rPr>
        <w:t xml:space="preserve">CPU：不低于4核 1.8G </w:t>
      </w:r>
      <w:r/>
    </w:p>
    <w:p>
      <w:pPr>
        <w:pStyle w:val="1066"/>
        <w:ind w:firstLine="420"/>
        <w:spacing w:line="372" w:lineRule="auto"/>
        <w:rPr>
          <w:rFonts w:hAnsi="宋体" w:cs="宋体"/>
          <w:sz w:val="21"/>
          <w:szCs w:val="21"/>
        </w:rPr>
      </w:pPr>
      <w:r>
        <w:rPr>
          <w:rFonts w:hint="eastAsia" w:hAnsi="宋体" w:cs="宋体"/>
          <w:sz w:val="21"/>
          <w:szCs w:val="21"/>
        </w:rPr>
        <w:t xml:space="preserve">内存：≥2GB</w:t>
      </w:r>
      <w:r/>
    </w:p>
    <w:p>
      <w:pPr>
        <w:pStyle w:val="1066"/>
        <w:ind w:firstLine="420"/>
        <w:spacing w:line="372" w:lineRule="auto"/>
        <w:rPr>
          <w:rFonts w:hAnsi="宋体" w:cs="宋体"/>
          <w:sz w:val="21"/>
          <w:szCs w:val="21"/>
        </w:rPr>
      </w:pPr>
      <w:r>
        <w:rPr>
          <w:rFonts w:hint="eastAsia" w:hAnsi="宋体" w:cs="宋体"/>
          <w:sz w:val="21"/>
          <w:szCs w:val="21"/>
        </w:rPr>
        <w:t xml:space="preserve">显示分辨率：≥1200*1920IPS</w:t>
      </w:r>
      <w:r/>
    </w:p>
    <w:p>
      <w:pPr>
        <w:pStyle w:val="1066"/>
        <w:ind w:firstLine="420"/>
        <w:spacing w:line="372" w:lineRule="auto"/>
        <w:rPr>
          <w:rFonts w:hAnsi="宋体" w:cs="宋体"/>
          <w:sz w:val="21"/>
          <w:szCs w:val="21"/>
        </w:rPr>
      </w:pPr>
      <w:r>
        <w:rPr>
          <w:rFonts w:hint="eastAsia" w:hAnsi="宋体" w:cs="宋体"/>
          <w:sz w:val="21"/>
          <w:szCs w:val="21"/>
        </w:rPr>
        <w:t xml:space="preserve">存储空间：Nand Flash 16GB</w:t>
      </w:r>
      <w:r/>
    </w:p>
    <w:p>
      <w:pPr>
        <w:pStyle w:val="1066"/>
        <w:ind w:firstLine="420"/>
        <w:spacing w:line="372" w:lineRule="auto"/>
        <w:rPr>
          <w:rFonts w:hAnsi="宋体" w:cs="宋体"/>
          <w:sz w:val="21"/>
          <w:szCs w:val="21"/>
        </w:rPr>
      </w:pPr>
      <w:r>
        <w:rPr>
          <w:rFonts w:hint="eastAsia" w:hAnsi="宋体" w:cs="宋体"/>
          <w:sz w:val="21"/>
          <w:szCs w:val="21"/>
        </w:rPr>
        <w:t xml:space="preserve">触摸屏：G+G触摸屏</w:t>
      </w:r>
      <w:r/>
    </w:p>
    <w:p>
      <w:pPr>
        <w:pStyle w:val="970"/>
        <w:spacing w:line="372" w:lineRule="auto"/>
      </w:pPr>
      <w:r>
        <w:rPr>
          <w:rFonts w:hint="eastAsia"/>
        </w:rPr>
        <w:t xml:space="preserve">智能地锁</w:t>
      </w:r>
      <w:r/>
    </w:p>
    <w:p>
      <w:pPr>
        <w:pStyle w:val="1066"/>
        <w:ind w:firstLine="420"/>
        <w:spacing w:line="372" w:lineRule="auto"/>
        <w:rPr>
          <w:rFonts w:hAnsi="宋体" w:cs="宋体"/>
          <w:sz w:val="21"/>
          <w:szCs w:val="21"/>
        </w:rPr>
      </w:pPr>
      <w:r>
        <w:rPr>
          <w:rFonts w:hint="eastAsia" w:hAnsi="宋体" w:cs="宋体"/>
          <w:sz w:val="21"/>
          <w:szCs w:val="21"/>
        </w:rPr>
        <w:t xml:space="preserve">三种保护探测（超声波+红外+地磁）保证有车情况地锁不会升起；</w:t>
      </w:r>
      <w:r/>
    </w:p>
    <w:p>
      <w:pPr>
        <w:pStyle w:val="1066"/>
        <w:ind w:firstLine="420"/>
        <w:spacing w:line="372" w:lineRule="auto"/>
        <w:rPr>
          <w:rFonts w:hAnsi="宋体" w:cs="宋体"/>
          <w:sz w:val="21"/>
          <w:szCs w:val="21"/>
        </w:rPr>
      </w:pPr>
      <w:r>
        <w:rPr>
          <w:rFonts w:hint="eastAsia" w:hAnsi="宋体" w:cs="宋体"/>
          <w:sz w:val="21"/>
          <w:szCs w:val="21"/>
        </w:rPr>
        <w:t xml:space="preserve">配置7.4V 6000毫安锂电池，可充电，无外接电源可使用6个月以上；</w:t>
      </w:r>
      <w:r/>
    </w:p>
    <w:p>
      <w:pPr>
        <w:pStyle w:val="1066"/>
        <w:ind w:firstLine="420"/>
        <w:spacing w:line="372" w:lineRule="auto"/>
        <w:rPr>
          <w:rFonts w:hAnsi="宋体" w:cs="宋体"/>
          <w:sz w:val="21"/>
          <w:szCs w:val="21"/>
        </w:rPr>
      </w:pPr>
      <w:r>
        <w:rPr>
          <w:rFonts w:hint="eastAsia" w:hAnsi="宋体" w:cs="宋体"/>
          <w:sz w:val="21"/>
          <w:szCs w:val="21"/>
        </w:rPr>
        <w:t xml:space="preserve">锁摆臂安装液压装置（保证人为干预，自动弹起控制）</w:t>
      </w:r>
      <w:r/>
    </w:p>
    <w:p>
      <w:pPr>
        <w:pStyle w:val="970"/>
        <w:spacing w:line="372" w:lineRule="auto"/>
      </w:pPr>
      <w:r>
        <w:rPr>
          <w:rFonts w:hint="eastAsia"/>
        </w:rPr>
        <w:t xml:space="preserve">车牌识别单元</w:t>
      </w:r>
      <w:r/>
    </w:p>
    <w:p>
      <w:pPr>
        <w:pStyle w:val="1066"/>
        <w:ind w:firstLine="420"/>
        <w:spacing w:line="372" w:lineRule="auto"/>
        <w:rPr>
          <w:rFonts w:hAnsi="宋体" w:cs="宋体"/>
          <w:sz w:val="21"/>
          <w:szCs w:val="21"/>
        </w:rPr>
      </w:pPr>
      <w:r>
        <w:rPr>
          <w:rFonts w:hint="eastAsia" w:hAnsi="宋体" w:cs="宋体"/>
          <w:sz w:val="21"/>
          <w:szCs w:val="21"/>
        </w:rPr>
        <w:t xml:space="preserve">抓拍率：≥99.9%</w:t>
      </w:r>
      <w:r/>
    </w:p>
    <w:p>
      <w:pPr>
        <w:pStyle w:val="1066"/>
        <w:ind w:firstLine="420"/>
        <w:spacing w:line="372" w:lineRule="auto"/>
        <w:rPr>
          <w:rFonts w:hAnsi="宋体" w:cs="宋体"/>
          <w:sz w:val="21"/>
          <w:szCs w:val="21"/>
        </w:rPr>
      </w:pPr>
      <w:r>
        <w:rPr>
          <w:rFonts w:hint="eastAsia" w:hAnsi="宋体" w:cs="宋体"/>
          <w:sz w:val="21"/>
          <w:szCs w:val="21"/>
        </w:rPr>
        <w:t xml:space="preserve">识别率：≥99.9%(典型车牌)</w:t>
      </w:r>
      <w:r/>
    </w:p>
    <w:p>
      <w:pPr>
        <w:pStyle w:val="1066"/>
        <w:ind w:firstLine="420"/>
        <w:spacing w:line="372" w:lineRule="auto"/>
        <w:rPr>
          <w:rFonts w:hAnsi="宋体" w:cs="宋体"/>
          <w:sz w:val="21"/>
          <w:szCs w:val="21"/>
        </w:rPr>
      </w:pPr>
      <w:r>
        <w:rPr>
          <w:rFonts w:hint="eastAsia" w:hAnsi="宋体" w:cs="宋体"/>
          <w:sz w:val="21"/>
          <w:szCs w:val="21"/>
        </w:rPr>
        <w:t xml:space="preserve">适应车速：0-30 公里/小时</w:t>
      </w:r>
      <w:r/>
    </w:p>
    <w:p>
      <w:pPr>
        <w:pStyle w:val="1066"/>
        <w:ind w:firstLine="420"/>
        <w:spacing w:line="372" w:lineRule="auto"/>
        <w:rPr>
          <w:rFonts w:hAnsi="宋体" w:cs="宋体"/>
          <w:sz w:val="21"/>
          <w:szCs w:val="21"/>
        </w:rPr>
      </w:pPr>
      <w:r>
        <w:rPr>
          <w:rFonts w:hint="eastAsia" w:hAnsi="宋体" w:cs="宋体"/>
          <w:sz w:val="21"/>
          <w:szCs w:val="21"/>
        </w:rPr>
        <w:t xml:space="preserve">车牌防伪：支持异常车牌(手机拍照、打印)告警</w:t>
      </w:r>
      <w:r/>
    </w:p>
    <w:p>
      <w:pPr>
        <w:pStyle w:val="1066"/>
        <w:ind w:firstLine="420"/>
        <w:spacing w:line="372" w:lineRule="auto"/>
        <w:rPr>
          <w:rFonts w:hAnsi="宋体" w:cs="宋体"/>
          <w:sz w:val="21"/>
          <w:szCs w:val="21"/>
        </w:rPr>
      </w:pPr>
      <w:r>
        <w:rPr>
          <w:rFonts w:hint="eastAsia" w:hAnsi="宋体" w:cs="宋体"/>
          <w:sz w:val="21"/>
          <w:szCs w:val="21"/>
        </w:rPr>
        <w:t xml:space="preserve">无牌车触发：支持无牌车视频触发</w:t>
      </w:r>
      <w:r/>
    </w:p>
    <w:p>
      <w:pPr>
        <w:pStyle w:val="1066"/>
        <w:ind w:firstLine="420"/>
        <w:spacing w:line="372" w:lineRule="auto"/>
        <w:rPr>
          <w:rFonts w:hAnsi="宋体" w:cs="宋体"/>
          <w:sz w:val="21"/>
          <w:szCs w:val="21"/>
        </w:rPr>
      </w:pPr>
      <w:r>
        <w:rPr>
          <w:rFonts w:hint="eastAsia" w:hAnsi="宋体" w:cs="宋体"/>
          <w:sz w:val="21"/>
          <w:szCs w:val="21"/>
        </w:rPr>
        <w:t xml:space="preserve">通讯方式：至少1路RS485</w:t>
      </w:r>
      <w:r/>
    </w:p>
    <w:p>
      <w:pPr>
        <w:pStyle w:val="970"/>
        <w:spacing w:line="372" w:lineRule="auto"/>
      </w:pPr>
      <w:r>
        <w:rPr>
          <w:rFonts w:hint="eastAsia"/>
        </w:rPr>
        <w:t xml:space="preserve">简易升降机械车位</w:t>
      </w:r>
      <w:r/>
    </w:p>
    <w:p>
      <w:pPr>
        <w:pStyle w:val="1066"/>
        <w:ind w:firstLine="420"/>
        <w:spacing w:line="372" w:lineRule="auto"/>
        <w:rPr>
          <w:rFonts w:hAnsi="宋体" w:cs="宋体"/>
          <w:sz w:val="21"/>
          <w:szCs w:val="21"/>
        </w:rPr>
      </w:pPr>
      <w:r>
        <w:rPr>
          <w:rFonts w:hint="eastAsia" w:hAnsi="宋体" w:cs="宋体"/>
          <w:sz w:val="21"/>
          <w:szCs w:val="21"/>
        </w:rPr>
        <w:t xml:space="preserve">停车规格:地面层:不低于长5200mm*宽1950mm*高2100mm*重2500kg；第二层:不低于长5200mm*宽1950mm*高1550mm*重2000kg；</w:t>
      </w:r>
      <w:r/>
    </w:p>
    <w:p>
      <w:pPr>
        <w:pStyle w:val="970"/>
        <w:spacing w:line="372" w:lineRule="auto"/>
      </w:pPr>
      <w:r>
        <w:rPr>
          <w:rFonts w:hint="eastAsia"/>
        </w:rPr>
        <w:t xml:space="preserve">政务网核心防火墙</w:t>
      </w:r>
      <w:r/>
    </w:p>
    <w:p>
      <w:pPr>
        <w:pStyle w:val="1066"/>
        <w:ind w:firstLine="420"/>
        <w:spacing w:line="372" w:lineRule="auto"/>
        <w:widowControl w:val="off"/>
        <w:rPr>
          <w:rFonts w:hAnsi="宋体" w:cs="宋体"/>
          <w:sz w:val="21"/>
          <w:szCs w:val="21"/>
        </w:rPr>
      </w:pPr>
      <w:r>
        <w:rPr>
          <w:rFonts w:hint="eastAsia" w:hAnsi="宋体" w:cs="宋体"/>
          <w:sz w:val="21"/>
          <w:szCs w:val="21"/>
        </w:rPr>
        <w:t xml:space="preserve">标准2U设备,冗余电源；设备配置≥1</w:t>
      </w:r>
      <w:r>
        <w:rPr>
          <w:rFonts w:hint="eastAsia" w:hAnsi="宋体" w:cs="宋体"/>
          <w:sz w:val="21"/>
          <w:szCs w:val="21"/>
        </w:rPr>
        <w:t xml:space="preserve">0个10/100/1000M Base-TX，≥8个SFP插槽，≥12个SFP+万兆插槽，国产化CPU ：不低于飞腾腾锐D2000，国产化操作系统：银河麒麟 V10，≥4个扩展槽位，整机吞吐量≥120Gbps，并发连接数≥5600万，每秒新建连接数≥70万。默认配置≥256G SSD和≥4T机械硬盘；默认支持IPSec VPN和SSL VPN模块（≥200个并发用户）；此次配置至少3年硬件质保，至少3年入侵防御特征库升级授权，至少3年防病毒特征库升级授权。配置上网行为管理模块，并配置至少3年特征库升级服务。</w:t>
      </w:r>
      <w:r/>
    </w:p>
    <w:p>
      <w:pPr>
        <w:ind w:firstLine="420"/>
        <w:rPr>
          <w:rFonts w:ascii="宋体" w:hAnsi="宋体" w:eastAsia="宋体" w:cs="宋体"/>
          <w:sz w:val="21"/>
          <w:szCs w:val="21"/>
        </w:rPr>
      </w:pPr>
      <w:r>
        <w:rPr>
          <w:rFonts w:ascii="宋体" w:hAnsi="宋体" w:eastAsia="宋体" w:cs="宋体"/>
          <w:sz w:val="21"/>
          <w:szCs w:val="21"/>
        </w:rPr>
      </w:r>
      <w:r/>
    </w:p>
    <w:p>
      <w:pPr>
        <w:pStyle w:val="967"/>
      </w:pPr>
      <w:r>
        <w:rPr>
          <w:rFonts w:hint="eastAsia"/>
        </w:rPr>
        <w:t xml:space="preserve">专业团队驻场服务</w:t>
      </w:r>
      <w:r/>
    </w:p>
    <w:p>
      <w:pPr>
        <w:pStyle w:val="968"/>
      </w:pPr>
      <w:r>
        <w:rPr>
          <w:rFonts w:hint="eastAsia"/>
        </w:rPr>
        <w:t xml:space="preserve">配时优化服务</w:t>
      </w:r>
      <w:r/>
    </w:p>
    <w:p>
      <w:pPr>
        <w:pStyle w:val="969"/>
      </w:pPr>
      <w:r>
        <w:rPr>
          <w:rFonts w:hint="eastAsia"/>
        </w:rPr>
        <w:t xml:space="preserve">服务内容</w:t>
      </w:r>
      <w:r/>
    </w:p>
    <w:p>
      <w:pPr>
        <w:pStyle w:val="970"/>
      </w:pPr>
      <w:r>
        <w:rPr>
          <w:rFonts w:hint="eastAsia"/>
        </w:rPr>
        <w:t xml:space="preserve">信息化日常运营</w:t>
      </w:r>
      <w:r/>
    </w:p>
    <w:p>
      <w:pPr>
        <w:pStyle w:val="1115"/>
        <w:ind w:firstLine="420"/>
        <w:rPr>
          <w:rFonts w:ascii="宋体" w:hAnsi="宋体" w:eastAsia="宋体" w:cs="宋体"/>
          <w:bCs/>
          <w:sz w:val="21"/>
          <w:szCs w:val="21"/>
        </w:rPr>
      </w:pPr>
      <w:r>
        <w:rPr>
          <w:rFonts w:hint="eastAsia" w:ascii="宋体" w:hAnsi="宋体" w:eastAsia="宋体" w:cs="宋体"/>
          <w:bCs/>
          <w:sz w:val="21"/>
          <w:szCs w:val="21"/>
        </w:rPr>
        <w:t xml:space="preserve">1）交通信息化运营</w:t>
      </w:r>
      <w:r/>
    </w:p>
    <w:p>
      <w:pPr>
        <w:pStyle w:val="1115"/>
        <w:ind w:firstLine="420"/>
        <w:rPr>
          <w:rFonts w:ascii="宋体" w:hAnsi="宋体" w:eastAsia="宋体" w:cs="宋体"/>
          <w:sz w:val="21"/>
          <w:szCs w:val="21"/>
        </w:rPr>
      </w:pPr>
      <w:r>
        <w:rPr>
          <w:rFonts w:hint="eastAsia" w:ascii="宋体" w:hAnsi="宋体" w:eastAsia="宋体" w:cs="宋体"/>
          <w:sz w:val="21"/>
          <w:szCs w:val="21"/>
        </w:rPr>
        <w:t xml:space="preserve">熟练、专业地操作信号控制系统、视频监控系统、可变车道控制系统、诱导系统等智能交通系统，团队必须具备相关的业务操作能力。</w:t>
      </w:r>
      <w:r/>
    </w:p>
    <w:p>
      <w:pPr>
        <w:pStyle w:val="1115"/>
        <w:ind w:firstLine="420"/>
        <w:rPr>
          <w:rFonts w:ascii="宋体" w:hAnsi="宋体" w:eastAsia="宋体" w:cs="宋体"/>
          <w:sz w:val="21"/>
          <w:szCs w:val="21"/>
        </w:rPr>
      </w:pPr>
      <w:r>
        <w:rPr>
          <w:rFonts w:hint="eastAsia" w:ascii="宋体" w:hAnsi="宋体" w:eastAsia="宋体" w:cs="宋体"/>
          <w:sz w:val="21"/>
          <w:szCs w:val="21"/>
        </w:rPr>
        <w:t xml:space="preserve">采用视频监控以及各类拥堵事件发现系统监控道路通行情况及异常事件，做到5分内发现道路异常情况，并及时向太仓市公安局交通警察大队提出预警并协助的相关信息处理。太仓市公安局交通警察大队对未能及时发现交通异常事件,保留追究乙方责任和索赔的权利。</w:t>
      </w:r>
      <w:r/>
    </w:p>
    <w:p>
      <w:pPr>
        <w:pStyle w:val="1115"/>
        <w:ind w:firstLine="420"/>
        <w:rPr>
          <w:rFonts w:ascii="宋体" w:hAnsi="宋体" w:eastAsia="宋体" w:cs="宋体"/>
          <w:sz w:val="21"/>
          <w:szCs w:val="21"/>
        </w:rPr>
      </w:pPr>
      <w:r>
        <w:rPr>
          <w:rFonts w:hint="eastAsia" w:ascii="宋体" w:hAnsi="宋体" w:eastAsia="宋体" w:cs="宋体"/>
          <w:sz w:val="21"/>
          <w:szCs w:val="21"/>
        </w:rPr>
        <w:t xml:space="preserve">积极调查和协助警务人员根据现场警力反馈的交通运行情况按权限进行处置，处置结束后按要求对事件进行归档保存。</w:t>
      </w:r>
      <w:r/>
    </w:p>
    <w:p>
      <w:pPr>
        <w:pStyle w:val="1115"/>
        <w:ind w:firstLine="420"/>
        <w:rPr>
          <w:rFonts w:ascii="宋体" w:hAnsi="宋体" w:eastAsia="宋体" w:cs="宋体"/>
          <w:sz w:val="21"/>
          <w:szCs w:val="21"/>
        </w:rPr>
      </w:pPr>
      <w:r>
        <w:rPr>
          <w:rFonts w:hint="eastAsia" w:ascii="宋体" w:hAnsi="宋体" w:eastAsia="宋体" w:cs="宋体"/>
          <w:sz w:val="21"/>
          <w:szCs w:val="21"/>
        </w:rPr>
        <w:t xml:space="preserve">建立优化范围</w:t>
      </w:r>
      <w:r>
        <w:rPr>
          <w:rFonts w:hint="eastAsia" w:ascii="宋体" w:hAnsi="宋体" w:eastAsia="宋体" w:cs="宋体"/>
          <w:sz w:val="21"/>
          <w:szCs w:val="21"/>
        </w:rPr>
        <w:t xml:space="preserve">内的路口台账，主要包含交叉口的静态数据（各进口道的渠化信息、灯具监控信息、关键路口的地理信息）、动态数据（高峰小时流量、排队长度、饱和流率、空放时间等）、配时（绿灯时间、黄灯时间全红时间、早切断时间、迟开时间等）、协调数据（关键路口、周期、相位差）、控制策略（关键路口的疏解、学校周边路口的专项方案、商业区的疏解方案）等交通优化方案进行数据资料共享，对重点关键的资料进行纸质备份存档，做到档案数据化、电子化。按照太仓市公安局交通警察大队需求汇总（每日、每周、每月、每季度、每年）后发至太仓市公安局交通警察大队处。</w:t>
      </w:r>
      <w:r/>
    </w:p>
    <w:p>
      <w:pPr>
        <w:pStyle w:val="1115"/>
        <w:ind w:firstLine="420"/>
        <w:rPr>
          <w:rFonts w:ascii="宋体" w:hAnsi="宋体" w:eastAsia="宋体" w:cs="宋体"/>
          <w:sz w:val="21"/>
          <w:szCs w:val="21"/>
        </w:rPr>
      </w:pPr>
      <w:r>
        <w:rPr>
          <w:rFonts w:hint="eastAsia" w:ascii="宋体" w:hAnsi="宋体" w:eastAsia="宋体" w:cs="宋体"/>
          <w:sz w:val="21"/>
          <w:szCs w:val="21"/>
        </w:rPr>
        <w:t xml:space="preserve">交通健康管理电子化档案具体包含且不限于以下内容：</w:t>
      </w:r>
      <w:r/>
    </w:p>
    <w:tbl>
      <w:tblPr>
        <w:tblStyle w:val="976"/>
        <w:tblW w:w="8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6917"/>
      </w:tblGrid>
      <w:tr>
        <w:trPr>
          <w:jc w:val="center"/>
          <w:trHeight w:val="300"/>
          <w:tblHeader/>
        </w:trPr>
        <w:tc>
          <w:tcPr>
            <w:tcW w:w="1242" w:type="dxa"/>
            <w:vAlign w:val="center"/>
            <w:textDirection w:val="lrTb"/>
            <w:noWrap w:val="false"/>
          </w:tcPr>
          <w:p>
            <w:pPr>
              <w:pStyle w:val="1115"/>
              <w:ind w:firstLine="0"/>
              <w:jc w:val="center"/>
              <w:spacing w:line="240" w:lineRule="auto"/>
              <w:rPr>
                <w:rFonts w:ascii="宋体" w:hAnsi="宋体" w:eastAsia="宋体" w:cs="宋体"/>
                <w:b/>
                <w:bCs/>
                <w:sz w:val="21"/>
                <w:szCs w:val="21"/>
              </w:rPr>
            </w:pPr>
            <w:r>
              <w:rPr>
                <w:rFonts w:hint="eastAsia" w:ascii="宋体" w:hAnsi="宋体" w:eastAsia="宋体" w:cs="宋体"/>
                <w:b/>
                <w:bCs/>
                <w:sz w:val="21"/>
                <w:szCs w:val="21"/>
              </w:rPr>
              <w:t xml:space="preserve">名称</w:t>
            </w:r>
            <w:r/>
          </w:p>
        </w:tc>
        <w:tc>
          <w:tcPr>
            <w:tcW w:w="6917" w:type="dxa"/>
            <w:vAlign w:val="center"/>
            <w:textDirection w:val="lrTb"/>
            <w:noWrap w:val="false"/>
          </w:tcPr>
          <w:p>
            <w:pPr>
              <w:pStyle w:val="1115"/>
              <w:ind w:firstLine="0"/>
              <w:jc w:val="center"/>
              <w:spacing w:line="240" w:lineRule="auto"/>
              <w:rPr>
                <w:rFonts w:ascii="宋体" w:hAnsi="宋体" w:eastAsia="宋体" w:cs="宋体"/>
                <w:b/>
                <w:bCs/>
                <w:sz w:val="21"/>
                <w:szCs w:val="21"/>
              </w:rPr>
            </w:pPr>
            <w:r>
              <w:rPr>
                <w:rFonts w:hint="eastAsia" w:ascii="宋体" w:hAnsi="宋体" w:eastAsia="宋体" w:cs="宋体"/>
                <w:b/>
                <w:bCs/>
                <w:sz w:val="21"/>
                <w:szCs w:val="21"/>
              </w:rPr>
              <w:t xml:space="preserve">内容</w:t>
            </w:r>
            <w:r/>
          </w:p>
        </w:tc>
      </w:tr>
      <w:tr>
        <w:trPr>
          <w:jc w:val="center"/>
          <w:trHeight w:val="558"/>
        </w:trPr>
        <w:tc>
          <w:tcPr>
            <w:tcW w:w="1242" w:type="dxa"/>
            <w:vAlign w:val="center"/>
            <w:textDirection w:val="lrTb"/>
            <w:noWrap w:val="false"/>
          </w:tcPr>
          <w:p>
            <w:pPr>
              <w:pStyle w:val="1115"/>
              <w:ind w:firstLine="0"/>
              <w:spacing w:line="240" w:lineRule="auto"/>
              <w:rPr>
                <w:rFonts w:ascii="宋体" w:hAnsi="宋体" w:eastAsia="宋体" w:cs="宋体"/>
                <w:sz w:val="21"/>
                <w:szCs w:val="21"/>
              </w:rPr>
            </w:pPr>
            <w:r>
              <w:rPr>
                <w:rFonts w:hint="eastAsia" w:ascii="宋体" w:hAnsi="宋体" w:eastAsia="宋体" w:cs="宋体"/>
                <w:sz w:val="21"/>
                <w:szCs w:val="21"/>
              </w:rPr>
              <w:t xml:space="preserve">数据展示</w:t>
            </w:r>
            <w:r/>
          </w:p>
        </w:tc>
        <w:tc>
          <w:tcPr>
            <w:tcW w:w="6917" w:type="dxa"/>
            <w:vAlign w:val="center"/>
            <w:textDirection w:val="lrTb"/>
            <w:noWrap w:val="false"/>
          </w:tcPr>
          <w:p>
            <w:pPr>
              <w:pStyle w:val="1115"/>
              <w:ind w:firstLine="0"/>
              <w:spacing w:line="240" w:lineRule="auto"/>
              <w:rPr>
                <w:rFonts w:ascii="宋体" w:hAnsi="宋体" w:eastAsia="宋体" w:cs="宋体"/>
                <w:sz w:val="21"/>
                <w:szCs w:val="21"/>
              </w:rPr>
            </w:pPr>
            <w:r>
              <w:rPr>
                <w:rFonts w:hint="eastAsia" w:ascii="宋体" w:hAnsi="宋体" w:eastAsia="宋体" w:cs="宋体"/>
                <w:sz w:val="21"/>
                <w:szCs w:val="21"/>
              </w:rPr>
              <w:t xml:space="preserve">展示系统对信号机交通设备巡检概况、交通运行指数、现行配时概况、交通配时优化情况等。</w:t>
            </w:r>
            <w:r/>
          </w:p>
        </w:tc>
      </w:tr>
      <w:tr>
        <w:trPr>
          <w:jc w:val="center"/>
          <w:trHeight w:val="1107"/>
        </w:trPr>
        <w:tc>
          <w:tcPr>
            <w:tcW w:w="1242" w:type="dxa"/>
            <w:vAlign w:val="center"/>
            <w:textDirection w:val="lrTb"/>
            <w:noWrap w:val="false"/>
          </w:tcPr>
          <w:p>
            <w:pPr>
              <w:pStyle w:val="1115"/>
              <w:ind w:firstLine="0"/>
              <w:spacing w:line="240" w:lineRule="auto"/>
              <w:rPr>
                <w:rFonts w:ascii="宋体" w:hAnsi="宋体" w:eastAsia="宋体" w:cs="宋体"/>
                <w:sz w:val="21"/>
                <w:szCs w:val="21"/>
              </w:rPr>
            </w:pPr>
            <w:r>
              <w:rPr>
                <w:rFonts w:hint="eastAsia" w:ascii="宋体" w:hAnsi="宋体" w:eastAsia="宋体" w:cs="宋体"/>
                <w:sz w:val="21"/>
                <w:szCs w:val="21"/>
              </w:rPr>
              <w:t xml:space="preserve">台账管理</w:t>
            </w:r>
            <w:r/>
          </w:p>
        </w:tc>
        <w:tc>
          <w:tcPr>
            <w:tcW w:w="6917" w:type="dxa"/>
            <w:vAlign w:val="center"/>
            <w:textDirection w:val="lrTb"/>
            <w:noWrap w:val="false"/>
          </w:tcPr>
          <w:p>
            <w:pPr>
              <w:pStyle w:val="1115"/>
              <w:ind w:firstLine="0"/>
              <w:spacing w:line="240" w:lineRule="auto"/>
              <w:rPr>
                <w:rFonts w:ascii="宋体" w:hAnsi="宋体" w:eastAsia="宋体" w:cs="宋体"/>
                <w:sz w:val="21"/>
                <w:szCs w:val="21"/>
              </w:rPr>
            </w:pPr>
            <w:r>
              <w:rPr>
                <w:rFonts w:hint="eastAsia" w:ascii="宋体" w:hAnsi="宋体" w:eastAsia="宋体" w:cs="宋体"/>
                <w:sz w:val="21"/>
                <w:szCs w:val="21"/>
              </w:rPr>
              <w:t xml:space="preserve">对路口的基础信息进行图形可视化展示，包括静态的几何构型、进出口道信息、流量检测设备位置及其相应数量等，动态的配时及更新记录等进行跟踪，提出相应的优化建议，通过该系统实现档案数据化、电子化，便于交通优化人员快速排查路口的基础信息，积极响应。</w:t>
            </w:r>
            <w:r/>
          </w:p>
        </w:tc>
      </w:tr>
      <w:tr>
        <w:trPr>
          <w:jc w:val="center"/>
          <w:trHeight w:val="558"/>
        </w:trPr>
        <w:tc>
          <w:tcPr>
            <w:tcW w:w="1242" w:type="dxa"/>
            <w:vAlign w:val="center"/>
            <w:textDirection w:val="lrTb"/>
            <w:noWrap w:val="false"/>
          </w:tcPr>
          <w:p>
            <w:pPr>
              <w:pStyle w:val="1115"/>
              <w:ind w:firstLine="0"/>
              <w:spacing w:line="240" w:lineRule="auto"/>
              <w:rPr>
                <w:rFonts w:ascii="宋体" w:hAnsi="宋体" w:eastAsia="宋体" w:cs="宋体"/>
                <w:sz w:val="21"/>
                <w:szCs w:val="21"/>
              </w:rPr>
            </w:pPr>
            <w:r>
              <w:rPr>
                <w:rFonts w:hint="eastAsia" w:ascii="宋体" w:hAnsi="宋体" w:eastAsia="宋体" w:cs="宋体"/>
                <w:sz w:val="21"/>
                <w:szCs w:val="21"/>
              </w:rPr>
              <w:t xml:space="preserve">路口调研</w:t>
            </w:r>
            <w:r/>
          </w:p>
        </w:tc>
        <w:tc>
          <w:tcPr>
            <w:tcW w:w="6917" w:type="dxa"/>
            <w:vAlign w:val="center"/>
            <w:textDirection w:val="lrTb"/>
            <w:noWrap w:val="false"/>
          </w:tcPr>
          <w:p>
            <w:pPr>
              <w:pStyle w:val="1115"/>
              <w:ind w:firstLine="0"/>
              <w:spacing w:line="240" w:lineRule="auto"/>
              <w:rPr>
                <w:rFonts w:ascii="宋体" w:hAnsi="宋体" w:eastAsia="宋体" w:cs="宋体"/>
                <w:sz w:val="21"/>
                <w:szCs w:val="21"/>
              </w:rPr>
            </w:pPr>
            <w:r>
              <w:rPr>
                <w:rFonts w:hint="eastAsia" w:ascii="宋体" w:hAnsi="宋体" w:eastAsia="宋体" w:cs="宋体"/>
                <w:sz w:val="21"/>
                <w:szCs w:val="21"/>
              </w:rPr>
              <w:t xml:space="preserve">用于路口交通数据采集，需包含路口的静态数据、道路信息、动态流量信息等。 </w:t>
            </w:r>
            <w:r/>
          </w:p>
        </w:tc>
      </w:tr>
      <w:tr>
        <w:trPr>
          <w:jc w:val="center"/>
          <w:trHeight w:val="1381"/>
        </w:trPr>
        <w:tc>
          <w:tcPr>
            <w:tcW w:w="1242" w:type="dxa"/>
            <w:vAlign w:val="center"/>
            <w:textDirection w:val="lrTb"/>
            <w:noWrap w:val="false"/>
          </w:tcPr>
          <w:p>
            <w:pPr>
              <w:pStyle w:val="1115"/>
              <w:ind w:firstLine="0"/>
              <w:spacing w:line="240" w:lineRule="auto"/>
              <w:rPr>
                <w:rFonts w:ascii="宋体" w:hAnsi="宋体" w:eastAsia="宋体" w:cs="宋体"/>
                <w:sz w:val="21"/>
                <w:szCs w:val="21"/>
              </w:rPr>
            </w:pPr>
            <w:r>
              <w:rPr>
                <w:rFonts w:hint="eastAsia" w:ascii="宋体" w:hAnsi="宋体" w:eastAsia="宋体" w:cs="宋体"/>
                <w:sz w:val="21"/>
                <w:szCs w:val="21"/>
              </w:rPr>
              <w:t xml:space="preserve">单点优化</w:t>
            </w:r>
            <w:r/>
          </w:p>
        </w:tc>
        <w:tc>
          <w:tcPr>
            <w:tcW w:w="6917" w:type="dxa"/>
            <w:vAlign w:val="center"/>
            <w:textDirection w:val="lrTb"/>
            <w:noWrap w:val="false"/>
          </w:tcPr>
          <w:p>
            <w:pPr>
              <w:pStyle w:val="1115"/>
              <w:ind w:firstLine="0"/>
              <w:spacing w:line="240" w:lineRule="auto"/>
              <w:rPr>
                <w:rFonts w:ascii="宋体" w:hAnsi="宋体" w:eastAsia="宋体" w:cs="宋体"/>
                <w:sz w:val="21"/>
                <w:szCs w:val="21"/>
              </w:rPr>
            </w:pPr>
            <w:r>
              <w:rPr>
                <w:rFonts w:hint="eastAsia" w:ascii="宋体" w:hAnsi="宋体" w:eastAsia="宋体" w:cs="宋体"/>
                <w:sz w:val="21"/>
                <w:szCs w:val="21"/>
              </w:rPr>
              <w:t xml:space="preserve">用于交通信号配时优化服务的工具，根据路口调研系统提供的数据能自动计算并输出符合路口实际流量特点的配时方案。交通信号优化工程师将路口调研系统中该路口的存档数据上传至单点路口配时计算平台后，单点路口配时计算平台能够自动进行数据处理，根据交通优化的需要控制的目标参数输出最优化的配时方案。</w:t>
            </w:r>
            <w:r/>
          </w:p>
        </w:tc>
      </w:tr>
      <w:tr>
        <w:trPr>
          <w:jc w:val="center"/>
          <w:trHeight w:val="598"/>
        </w:trPr>
        <w:tc>
          <w:tcPr>
            <w:tcW w:w="1242" w:type="dxa"/>
            <w:vAlign w:val="center"/>
            <w:textDirection w:val="lrTb"/>
            <w:noWrap w:val="false"/>
          </w:tcPr>
          <w:p>
            <w:pPr>
              <w:pStyle w:val="1115"/>
              <w:ind w:firstLine="0"/>
              <w:spacing w:line="240" w:lineRule="auto"/>
              <w:rPr>
                <w:rFonts w:ascii="宋体" w:hAnsi="宋体" w:eastAsia="宋体" w:cs="宋体"/>
                <w:sz w:val="21"/>
                <w:szCs w:val="21"/>
              </w:rPr>
            </w:pPr>
            <w:r>
              <w:rPr>
                <w:rFonts w:hint="eastAsia" w:ascii="宋体" w:hAnsi="宋体" w:eastAsia="宋体" w:cs="宋体"/>
                <w:sz w:val="21"/>
                <w:szCs w:val="21"/>
              </w:rPr>
              <w:t xml:space="preserve">绿波设计</w:t>
            </w:r>
            <w:r/>
          </w:p>
        </w:tc>
        <w:tc>
          <w:tcPr>
            <w:tcW w:w="6917" w:type="dxa"/>
            <w:vAlign w:val="center"/>
            <w:textDirection w:val="lrTb"/>
            <w:noWrap w:val="false"/>
          </w:tcPr>
          <w:p>
            <w:pPr>
              <w:pStyle w:val="1115"/>
              <w:ind w:firstLine="0"/>
              <w:spacing w:line="240" w:lineRule="auto"/>
              <w:rPr>
                <w:rFonts w:ascii="宋体" w:hAnsi="宋体" w:eastAsia="宋体" w:cs="宋体"/>
                <w:sz w:val="21"/>
                <w:szCs w:val="21"/>
              </w:rPr>
            </w:pPr>
            <w:r>
              <w:rPr>
                <w:rFonts w:hint="eastAsia" w:ascii="宋体" w:hAnsi="宋体" w:eastAsia="宋体" w:cs="宋体"/>
                <w:sz w:val="21"/>
                <w:szCs w:val="21"/>
              </w:rPr>
              <w:t xml:space="preserve">对多交叉口的绿波协调方案快速进行设计、分析、微调，自动计算出相应的绿波控制方案的相位差，保证方案的可实施性。</w:t>
            </w:r>
            <w:r/>
          </w:p>
        </w:tc>
      </w:tr>
    </w:tbl>
    <w:p>
      <w:pPr>
        <w:pStyle w:val="1115"/>
        <w:ind w:firstLine="420"/>
        <w:spacing w:before="156"/>
        <w:rPr>
          <w:rFonts w:ascii="宋体" w:hAnsi="宋体" w:eastAsia="宋体" w:cs="宋体"/>
          <w:bCs/>
          <w:sz w:val="21"/>
          <w:szCs w:val="21"/>
        </w:rPr>
      </w:pPr>
      <w:r>
        <w:rPr>
          <w:rFonts w:hint="eastAsia" w:ascii="宋体" w:hAnsi="宋体" w:eastAsia="宋体" w:cs="宋体"/>
          <w:bCs/>
          <w:sz w:val="21"/>
          <w:szCs w:val="21"/>
        </w:rPr>
        <w:t xml:space="preserve">2）特勤任务、大型活动等交通信控保障</w:t>
      </w:r>
      <w:r/>
    </w:p>
    <w:p>
      <w:pPr>
        <w:pStyle w:val="1115"/>
        <w:ind w:firstLine="420"/>
        <w:rPr>
          <w:rFonts w:ascii="宋体" w:hAnsi="宋体" w:eastAsia="宋体" w:cs="宋体"/>
          <w:sz w:val="21"/>
          <w:szCs w:val="21"/>
        </w:rPr>
      </w:pPr>
      <w:r>
        <w:rPr>
          <w:rFonts w:hint="eastAsia" w:ascii="宋体" w:hAnsi="宋体" w:eastAsia="宋体" w:cs="宋体"/>
          <w:sz w:val="21"/>
          <w:szCs w:val="21"/>
        </w:rPr>
        <w:t xml:space="preserve">服务单位在特勤任务、大型活动等事件的交通信控保障工作中的人员和时间安排由太仓市公安局交通警察大队统一调度和指挥。</w:t>
      </w:r>
      <w:r/>
    </w:p>
    <w:p>
      <w:pPr>
        <w:pStyle w:val="1115"/>
        <w:ind w:firstLine="420"/>
        <w:rPr>
          <w:rFonts w:ascii="宋体" w:hAnsi="宋体" w:eastAsia="宋体" w:cs="宋体"/>
          <w:sz w:val="21"/>
          <w:szCs w:val="21"/>
        </w:rPr>
      </w:pPr>
      <w:r>
        <w:rPr>
          <w:rFonts w:hint="eastAsia" w:ascii="宋体" w:hAnsi="宋体" w:eastAsia="宋体" w:cs="宋体"/>
          <w:sz w:val="21"/>
          <w:szCs w:val="21"/>
        </w:rPr>
        <w:t xml:space="preserve">服务单位利用相关交通管理专业知识提前对特勤任务、大型活动等交通信控保障工作进行信控方案制定、部署与推演，提供相关方案供太仓市公安局交通警察大队审核，得到太仓市公安局交通警察大队确认后方可实施。</w:t>
      </w:r>
      <w:r/>
    </w:p>
    <w:p>
      <w:pPr>
        <w:pStyle w:val="1115"/>
        <w:ind w:firstLine="420"/>
        <w:rPr>
          <w:rFonts w:ascii="宋体" w:hAnsi="宋体" w:eastAsia="宋体" w:cs="宋体"/>
          <w:sz w:val="21"/>
          <w:szCs w:val="21"/>
        </w:rPr>
      </w:pPr>
      <w:r>
        <w:rPr>
          <w:rFonts w:hint="eastAsia" w:ascii="宋体" w:hAnsi="宋体" w:eastAsia="宋体" w:cs="宋体"/>
          <w:sz w:val="21"/>
          <w:szCs w:val="21"/>
        </w:rPr>
        <w:t xml:space="preserve">服务单位在执行保障工作过程中需要反复校验、确保操作安全可靠，执行结束后对所有操作过程进行详细的记录，供后期研究分析或追责。</w:t>
      </w:r>
      <w:r/>
    </w:p>
    <w:p>
      <w:pPr>
        <w:pStyle w:val="1115"/>
        <w:ind w:firstLine="420"/>
        <w:rPr>
          <w:rFonts w:ascii="宋体" w:hAnsi="宋体" w:eastAsia="宋体" w:cs="宋体"/>
          <w:bCs/>
          <w:sz w:val="21"/>
          <w:szCs w:val="21"/>
        </w:rPr>
      </w:pPr>
      <w:r>
        <w:rPr>
          <w:rFonts w:hint="eastAsia" w:ascii="宋体" w:hAnsi="宋体" w:eastAsia="宋体" w:cs="宋体"/>
          <w:bCs/>
          <w:sz w:val="21"/>
          <w:szCs w:val="21"/>
        </w:rPr>
        <w:t xml:space="preserve">3）占道施工、警情事故等交通事件保障</w:t>
      </w:r>
      <w:r/>
    </w:p>
    <w:p>
      <w:pPr>
        <w:pStyle w:val="1115"/>
        <w:ind w:firstLine="420"/>
        <w:rPr>
          <w:rFonts w:ascii="宋体" w:hAnsi="宋体" w:eastAsia="宋体" w:cs="宋体"/>
          <w:sz w:val="21"/>
          <w:szCs w:val="21"/>
        </w:rPr>
      </w:pPr>
      <w:r>
        <w:rPr>
          <w:rFonts w:hint="eastAsia" w:ascii="宋体" w:hAnsi="宋体" w:eastAsia="宋体" w:cs="宋体"/>
          <w:sz w:val="21"/>
          <w:szCs w:val="21"/>
        </w:rPr>
        <w:t xml:space="preserve">由于占道施工、警情事故等交通事件等引起道路拥堵，需制定交通诱导系统与互联网相关导航应用的发布预案，并协助市公安局交通警察大队警务人员进行发布。</w:t>
      </w:r>
      <w:r/>
    </w:p>
    <w:p>
      <w:pPr>
        <w:pStyle w:val="1115"/>
        <w:ind w:firstLine="420"/>
        <w:rPr>
          <w:rFonts w:ascii="宋体" w:hAnsi="宋体" w:eastAsia="宋体" w:cs="宋体"/>
          <w:sz w:val="21"/>
          <w:szCs w:val="21"/>
        </w:rPr>
      </w:pPr>
      <w:r>
        <w:rPr>
          <w:rFonts w:hint="eastAsia" w:ascii="宋体" w:hAnsi="宋体" w:eastAsia="宋体" w:cs="宋体"/>
          <w:sz w:val="21"/>
          <w:szCs w:val="21"/>
        </w:rPr>
        <w:t xml:space="preserve">按照太仓市公安局交通警察大队交通管理要求并根据道路交通变化情况，如流量变化、道路施工、大型商业体营业等，同时结合各类交通数据对信控系统进行配置,报经太仓市公安局交通警察大队审核后实施，保障非常态下的交通秩序及通行能力。</w:t>
      </w:r>
      <w:r/>
    </w:p>
    <w:p>
      <w:pPr>
        <w:pStyle w:val="1115"/>
        <w:ind w:firstLine="420"/>
        <w:rPr>
          <w:rFonts w:ascii="宋体" w:hAnsi="宋体" w:eastAsia="宋体" w:cs="宋体"/>
          <w:sz w:val="21"/>
          <w:szCs w:val="21"/>
        </w:rPr>
      </w:pPr>
      <w:r>
        <w:rPr>
          <w:rFonts w:hint="eastAsia" w:ascii="宋体" w:hAnsi="宋体" w:eastAsia="宋体" w:cs="宋体"/>
          <w:sz w:val="21"/>
          <w:szCs w:val="21"/>
        </w:rPr>
        <w:t xml:space="preserve">4）协助太仓市公安局交通警察大队成立交通信控优化中心</w:t>
      </w:r>
      <w:r/>
    </w:p>
    <w:p>
      <w:pPr>
        <w:pStyle w:val="1115"/>
        <w:ind w:firstLine="420"/>
        <w:rPr>
          <w:rFonts w:ascii="宋体" w:hAnsi="宋体" w:eastAsia="宋体" w:cs="宋体"/>
          <w:sz w:val="21"/>
          <w:szCs w:val="21"/>
        </w:rPr>
      </w:pPr>
      <w:r>
        <w:rPr>
          <w:rFonts w:hint="eastAsia" w:ascii="宋体" w:hAnsi="宋体" w:eastAsia="宋体" w:cs="宋体"/>
          <w:sz w:val="21"/>
          <w:szCs w:val="21"/>
        </w:rPr>
        <w:t xml:space="preserve">在对全市道路交通运行状态摸底的基础上，协助太仓市公安局交通警察大队成立交通信控优化中心，建立健全优化及评价台账，并及时维护更新。</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5）协助进行信号机接入中心控制平台</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负责将增加的信号机接入中心系统，分配路口编号并根据建设单位提供的路口灯组定义提供配时方案。</w:t>
      </w:r>
      <w:r/>
    </w:p>
    <w:p>
      <w:pPr>
        <w:pStyle w:val="970"/>
      </w:pPr>
      <w:r>
        <w:rPr>
          <w:rFonts w:hint="eastAsia"/>
        </w:rPr>
        <w:t xml:space="preserve">信控优化方案与实施</w:t>
      </w:r>
      <w:r/>
    </w:p>
    <w:p>
      <w:pPr>
        <w:pStyle w:val="1115"/>
        <w:ind w:firstLine="420"/>
        <w:rPr>
          <w:rFonts w:ascii="宋体" w:hAnsi="宋体" w:eastAsia="宋体" w:cs="宋体"/>
          <w:bCs/>
          <w:sz w:val="21"/>
          <w:szCs w:val="21"/>
        </w:rPr>
      </w:pPr>
      <w:r>
        <w:rPr>
          <w:rFonts w:hint="eastAsia" w:ascii="宋体" w:hAnsi="宋体" w:eastAsia="宋体" w:cs="宋体"/>
          <w:bCs/>
          <w:sz w:val="21"/>
          <w:szCs w:val="21"/>
        </w:rPr>
        <w:t xml:space="preserve">1）信控优化方案与实施</w:t>
      </w:r>
      <w:r/>
    </w:p>
    <w:p>
      <w:pPr>
        <w:pStyle w:val="1115"/>
        <w:ind w:firstLine="420"/>
        <w:rPr>
          <w:rFonts w:ascii="宋体" w:hAnsi="宋体" w:eastAsia="宋体" w:cs="宋体"/>
          <w:sz w:val="21"/>
          <w:szCs w:val="21"/>
        </w:rPr>
      </w:pPr>
      <w:r>
        <w:rPr>
          <w:rFonts w:hint="eastAsia" w:ascii="宋体" w:hAnsi="宋体" w:eastAsia="宋体" w:cs="宋体"/>
          <w:sz w:val="21"/>
          <w:szCs w:val="21"/>
        </w:rPr>
        <w:t xml:space="preserve">协助太仓市公安局交通警察大队制定太仓市现有联网信号灯、单点信号机和临时信号灯的使用工作流程及操作规范，编写太仓市信号灯配时设置指南手册，对太仓市公安局交通警察大队的相关操作人员进行培训。</w:t>
      </w:r>
      <w:r/>
    </w:p>
    <w:p>
      <w:pPr>
        <w:pStyle w:val="1115"/>
        <w:ind w:firstLine="420"/>
        <w:rPr>
          <w:rFonts w:ascii="宋体" w:hAnsi="宋体" w:eastAsia="宋体" w:cs="宋体"/>
          <w:sz w:val="21"/>
          <w:szCs w:val="21"/>
        </w:rPr>
      </w:pPr>
      <w:r>
        <w:rPr>
          <w:rFonts w:hint="eastAsia" w:ascii="宋体" w:hAnsi="宋体" w:eastAsia="宋体" w:cs="宋体"/>
          <w:sz w:val="21"/>
          <w:szCs w:val="21"/>
        </w:rPr>
        <w:t xml:space="preserve">根据太仓市公安局交通警察大队需求调研分析日常流量、周末流量、节日流量以及开放学日特区区域流量的变化特点，以及重大活动区域、管制区域的流量变化特点。每周进行太仓市路口流量分析，并形成制式报告。</w:t>
      </w:r>
      <w:r/>
    </w:p>
    <w:p>
      <w:pPr>
        <w:pStyle w:val="1115"/>
        <w:ind w:firstLine="420"/>
        <w:rPr>
          <w:rFonts w:ascii="宋体" w:hAnsi="宋体" w:eastAsia="宋体" w:cs="宋体"/>
          <w:sz w:val="21"/>
          <w:szCs w:val="21"/>
        </w:rPr>
      </w:pPr>
      <w:r>
        <w:rPr>
          <w:rFonts w:hint="eastAsia" w:ascii="宋体" w:hAnsi="宋体" w:eastAsia="宋体" w:cs="宋体"/>
          <w:sz w:val="21"/>
          <w:szCs w:val="21"/>
        </w:rPr>
        <w:t xml:space="preserve">绘制路口交通流量图，并计算交通量特定参数：平均日交通、高峰小时交通量、交通量月变化系数、交通量周变化系数、饱和流率、大车率、车头时距等。</w:t>
      </w:r>
      <w:r/>
    </w:p>
    <w:p>
      <w:pPr>
        <w:pStyle w:val="1115"/>
        <w:ind w:firstLine="420"/>
        <w:rPr>
          <w:rFonts w:ascii="宋体" w:hAnsi="宋体" w:eastAsia="宋体" w:cs="宋体"/>
          <w:sz w:val="21"/>
          <w:szCs w:val="21"/>
        </w:rPr>
      </w:pPr>
      <w:r>
        <w:rPr>
          <w:rFonts w:hint="eastAsia" w:ascii="宋体" w:hAnsi="宋体" w:eastAsia="宋体" w:cs="宋体"/>
          <w:sz w:val="21"/>
          <w:szCs w:val="21"/>
        </w:rPr>
        <w:t xml:space="preserve">根据太仓市域范围内各信号机采用的多种交通流量检测手段，配套生成各路口切合使用需求的、通行效益最大化的交通配时管控策略。对各个路口的信号灯配时方案进行逐一评价，分析其方案的优劣；完善服务范围内所有路口的与交通信号控制参数有关的信息摸查，并按照模板要求制作文档并归档管理建立完整的路口档案库（一般为EXCEL表格文档、WORD文档、VISIO文档）。</w:t>
      </w:r>
      <w:r/>
    </w:p>
    <w:p>
      <w:pPr>
        <w:pStyle w:val="1115"/>
        <w:ind w:firstLine="420"/>
        <w:rPr>
          <w:rFonts w:ascii="宋体" w:hAnsi="宋体" w:eastAsia="宋体" w:cs="宋体"/>
          <w:sz w:val="21"/>
          <w:szCs w:val="21"/>
        </w:rPr>
      </w:pPr>
      <w:r>
        <w:rPr>
          <w:rFonts w:hint="eastAsia" w:ascii="宋体" w:hAnsi="宋体" w:eastAsia="宋体" w:cs="宋体"/>
          <w:sz w:val="21"/>
          <w:szCs w:val="21"/>
        </w:rPr>
        <w:t xml:space="preserve">总结太仓市道路交通流特征和路口信号灯配时特点，找出存在问题，形成专项报告材料，提出可持续发展建议，形成专项报告材料。落实专项报告通过方案，评估方案效果，形成专题分析库，为太仓市交通管理提供所需材料。</w:t>
      </w:r>
      <w:r/>
    </w:p>
    <w:p>
      <w:pPr>
        <w:pStyle w:val="1115"/>
        <w:ind w:firstLine="420"/>
        <w:rPr>
          <w:rFonts w:ascii="宋体" w:hAnsi="宋体" w:eastAsia="宋体" w:cs="宋体"/>
          <w:sz w:val="21"/>
          <w:szCs w:val="21"/>
        </w:rPr>
      </w:pPr>
      <w:r>
        <w:rPr>
          <w:rFonts w:hint="eastAsia" w:ascii="宋体" w:hAnsi="宋体" w:eastAsia="宋体" w:cs="宋体"/>
          <w:sz w:val="21"/>
          <w:szCs w:val="21"/>
        </w:rPr>
        <w:t xml:space="preserve">实时、动态、持续地对太仓市域范围内所有类型的信号机的各种参数设定进行维护和优化。包括对感应式或自适应式信号机的特殊控制方案进行维护和优化。通过结合交通流运行特征的分析，针对现有道路交通信号控制系统中信号配时不合理的路口提出更加科学、高效的信号配时方案并上报，解决路口目前存在信号相位设置和配时不合理等基本问题。确保太仓市信号控制路口的配全部得到科学管控和配置。太仓市公安局交通警察大队有权追究服务单位配时失误的责任，保留追究服务单位责任和索赔的权利。</w:t>
      </w:r>
      <w:r/>
    </w:p>
    <w:p>
      <w:pPr>
        <w:pStyle w:val="1115"/>
        <w:ind w:firstLine="420"/>
        <w:rPr>
          <w:rFonts w:ascii="宋体" w:hAnsi="宋体" w:eastAsia="宋体" w:cs="宋体"/>
          <w:sz w:val="21"/>
          <w:szCs w:val="21"/>
        </w:rPr>
      </w:pPr>
      <w:r>
        <w:rPr>
          <w:rFonts w:hint="eastAsia" w:ascii="宋体" w:hAnsi="宋体" w:eastAsia="宋体" w:cs="宋体"/>
          <w:sz w:val="21"/>
          <w:szCs w:val="21"/>
        </w:rPr>
        <w:t xml:space="preserve">通过开展调查、分析、方案优化等工作，对优化路段进行绿波控制，每个子区需撰写方案分析报告。</w:t>
      </w:r>
      <w:r/>
    </w:p>
    <w:p>
      <w:pPr>
        <w:pStyle w:val="1115"/>
        <w:ind w:firstLine="420"/>
        <w:rPr>
          <w:rFonts w:ascii="宋体" w:hAnsi="宋体" w:eastAsia="宋体" w:cs="宋体"/>
          <w:sz w:val="21"/>
          <w:szCs w:val="21"/>
        </w:rPr>
      </w:pPr>
      <w:r>
        <w:rPr>
          <w:rFonts w:hint="eastAsia" w:ascii="宋体" w:hAnsi="宋体" w:eastAsia="宋体" w:cs="宋体"/>
          <w:sz w:val="21"/>
          <w:szCs w:val="21"/>
        </w:rPr>
        <w:t xml:space="preserve">运用信息手段对太仓市主要道路的信控交叉节点进行建模完善，确保主要道路覆盖范围建模率达到100%。对配时方案和渠化改造进行评价分析，并根据交通环境的变化及时更新维护路网模型，仿真建模要求路网渠化、车辆行为、交通流量比需高度贴合实际状况，配合太仓市公安局交通警察大队定期对仿真建模进行评审。</w:t>
      </w:r>
      <w:r/>
    </w:p>
    <w:p>
      <w:pPr>
        <w:pStyle w:val="1115"/>
        <w:ind w:firstLine="420"/>
        <w:rPr>
          <w:rFonts w:ascii="宋体" w:hAnsi="宋体" w:eastAsia="宋体" w:cs="宋体"/>
          <w:b/>
          <w:sz w:val="21"/>
          <w:szCs w:val="21"/>
        </w:rPr>
      </w:pPr>
      <w:r>
        <w:rPr>
          <w:rFonts w:hint="eastAsia" w:ascii="宋体" w:hAnsi="宋体" w:eastAsia="宋体" w:cs="宋体"/>
          <w:sz w:val="21"/>
          <w:szCs w:val="21"/>
        </w:rPr>
        <w:t xml:space="preserve">对需要建立交通渠化仿真的交叉口，根据交通渠化的变化对仿真系统同步更新。</w:t>
      </w:r>
      <w:r/>
    </w:p>
    <w:p>
      <w:pPr>
        <w:pStyle w:val="1115"/>
        <w:ind w:firstLine="420"/>
        <w:rPr>
          <w:rFonts w:ascii="宋体" w:hAnsi="宋体" w:eastAsia="宋体" w:cs="宋体"/>
          <w:sz w:val="21"/>
          <w:szCs w:val="21"/>
        </w:rPr>
      </w:pPr>
      <w:r>
        <w:rPr>
          <w:rFonts w:hint="eastAsia" w:ascii="宋体" w:hAnsi="宋体" w:eastAsia="宋体" w:cs="宋体"/>
          <w:sz w:val="21"/>
          <w:szCs w:val="21"/>
        </w:rPr>
        <w:t xml:space="preserve">交叉口信号管控设施全生命周期管理。针对信控路口交叉口渠化、机动车信号灯、非机动车信号灯、行人信号灯、其他交通设施，进行全生命周期管理，制作详细台账，在合同签订之日起三个月内建立建全太仓市信控路口台账 ；并根据生命周期制定年度交通信号设施更新计划或专项更新计划，交太仓市公安局交通警察大队审核。</w:t>
      </w:r>
      <w:r/>
    </w:p>
    <w:p>
      <w:pPr>
        <w:pStyle w:val="970"/>
      </w:pPr>
      <w:r>
        <w:rPr>
          <w:rFonts w:hint="eastAsia"/>
        </w:rPr>
        <w:t xml:space="preserve">交通信控系统运维与设备维护管理</w:t>
      </w:r>
      <w:r/>
    </w:p>
    <w:p>
      <w:pPr>
        <w:pStyle w:val="1115"/>
        <w:ind w:firstLine="420"/>
        <w:rPr>
          <w:rFonts w:ascii="宋体" w:hAnsi="宋体" w:eastAsia="宋体" w:cs="宋体"/>
          <w:bCs/>
          <w:sz w:val="21"/>
          <w:szCs w:val="21"/>
        </w:rPr>
      </w:pPr>
      <w:r>
        <w:rPr>
          <w:rFonts w:hint="eastAsia" w:ascii="宋体" w:hAnsi="宋体" w:eastAsia="宋体" w:cs="宋体"/>
          <w:bCs/>
          <w:sz w:val="21"/>
          <w:szCs w:val="21"/>
        </w:rPr>
        <w:t xml:space="preserve">1）业务系统运维</w:t>
      </w:r>
      <w:r/>
    </w:p>
    <w:p>
      <w:pPr>
        <w:pStyle w:val="1115"/>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在太仓市公安局交通警察大队信号优化中心，每日对太仓市域内的视频监控、诱导屏、信号机、流量检测等设备，进行全面点检，对发现的问题进行及时上报并处理，协助维修单位排除故障。确保太仓交警建设和管理的设备100%得到管理和维护。处理前做出详细的实施方案和应急预案，实施过程中负责监督维护单位处理排除故障。所有操作进行记录，过程文件缺失的，太仓市公安局交通警察大队对其作出相应处罚。太仓市公安局交通警察大队有权追究因乙方未能及时发现处理或操作不当所造成损失的责任并进行相应处罚。</w:t>
      </w:r>
      <w:r/>
    </w:p>
    <w:p>
      <w:pPr>
        <w:pStyle w:val="1115"/>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服务单位对发生的故障做出详细的记录，按照太仓市公安局交通警察大队要求制作报表以供太仓市公安局交通警察大队查阅。对发生的重大故障事件进行分析、研判，避免重复发生。对于重复发生的安全事故，造成不良影响的，太仓市公安局交通警察大队保留追究责任的权利。</w:t>
      </w:r>
      <w:r/>
    </w:p>
    <w:p>
      <w:pPr>
        <w:pStyle w:val="1115"/>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服务单位针对太仓交警建设的各类平台开展巡检工作，记录系统平台使用过程中发生的问题，并进行维护。要求发现问题5分钟内响应。</w:t>
      </w:r>
      <w:r/>
    </w:p>
    <w:p>
      <w:pPr>
        <w:pStyle w:val="1115"/>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收集、整理日常工作中的系统应用问题及新需求，跟踪业务系统的升级改造。</w:t>
      </w:r>
      <w:r/>
    </w:p>
    <w:p>
      <w:pPr>
        <w:pStyle w:val="1115"/>
        <w:ind w:firstLine="420"/>
        <w:spacing w:line="372" w:lineRule="auto"/>
        <w:rPr>
          <w:rFonts w:ascii="宋体" w:hAnsi="宋体" w:eastAsia="宋体" w:cs="宋体"/>
          <w:bCs/>
          <w:sz w:val="21"/>
          <w:szCs w:val="21"/>
        </w:rPr>
      </w:pPr>
      <w:r>
        <w:rPr>
          <w:rFonts w:hint="eastAsia" w:ascii="宋体" w:hAnsi="宋体" w:eastAsia="宋体" w:cs="宋体"/>
          <w:bCs/>
          <w:sz w:val="21"/>
          <w:szCs w:val="21"/>
        </w:rPr>
        <w:t xml:space="preserve">2）办公系统运维</w:t>
      </w:r>
      <w:r/>
    </w:p>
    <w:p>
      <w:pPr>
        <w:pStyle w:val="1115"/>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在太仓市公安局交通警察大队信号优化中心，每日对交通控制大厅内场设备（自身办公所需要使用的设备）进行一次全面点检，每月对内场设备进行问题汇总。</w:t>
      </w:r>
      <w:r/>
    </w:p>
    <w:p>
      <w:pPr>
        <w:pStyle w:val="1115"/>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发现的问题进行及时处理，协助维修单位排除故障。处理前做出详细的实施方案和应急预案，实施过程中负责监督维护单位处理排除故障。所有操作进行记录，过程文件缺失的，太仓市公安局交通警察大队对其作出相应处罚。太仓市公安局交通警察大队有权追究服务单位未能及时发现处理或操作不当的责任，保留追究乙方违约责任和索赔的权利。</w:t>
      </w:r>
      <w:r/>
    </w:p>
    <w:p>
      <w:pPr>
        <w:pStyle w:val="1115"/>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具备排查和解决工作所涉各类系统问题的能力，值守人员应当可以应对系统出现的问题，进一步保障系统正常运转，提升交通运维水平。</w:t>
      </w:r>
      <w:r/>
    </w:p>
    <w:p>
      <w:pPr>
        <w:pStyle w:val="970"/>
        <w:spacing w:line="372" w:lineRule="auto"/>
      </w:pPr>
      <w:r>
        <w:rPr>
          <w:rFonts w:hint="eastAsia"/>
        </w:rPr>
        <w:t xml:space="preserve">交通事件应投诉协助</w:t>
      </w:r>
      <w:r/>
    </w:p>
    <w:p>
      <w:pPr>
        <w:pStyle w:val="1115"/>
        <w:ind w:firstLine="420"/>
        <w:spacing w:line="372" w:lineRule="auto"/>
        <w:rPr>
          <w:rFonts w:ascii="宋体" w:hAnsi="宋体" w:eastAsia="宋体" w:cs="宋体"/>
          <w:bCs/>
          <w:sz w:val="21"/>
          <w:szCs w:val="21"/>
        </w:rPr>
      </w:pPr>
      <w:r>
        <w:rPr>
          <w:rFonts w:hint="eastAsia" w:ascii="宋体" w:hAnsi="宋体" w:eastAsia="宋体" w:cs="宋体"/>
          <w:bCs/>
          <w:sz w:val="21"/>
          <w:szCs w:val="21"/>
        </w:rPr>
        <w:t xml:space="preserve">1）舆情处理及回复</w:t>
      </w:r>
      <w:r/>
    </w:p>
    <w:p>
      <w:pPr>
        <w:pStyle w:val="1115"/>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主动搜集和研判舆情信息，如微信、寒山闻钟论坛等，实时把握和了解社会各界对太仓交通的各种意见和建议，并向太仓市公安局交通警察大队提出处理建议。</w:t>
      </w:r>
      <w:r/>
    </w:p>
    <w:p>
      <w:pPr>
        <w:pStyle w:val="1115"/>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记录分析太仓市交警大队通过不同渠道受到的投诉建议信息，协助警务人员进行投诉相关的信息处理，并在时限内进行提醒。</w:t>
      </w:r>
      <w:r/>
    </w:p>
    <w:p>
      <w:pPr>
        <w:pStyle w:val="1115"/>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对于群众的建议，应当进行现场调研并进一步论证建议的可行性，并提出改善意见及进行相关设计；对暂不具备实施条件的，需给出答复建议并另研究其它解决方案。</w:t>
      </w:r>
      <w:r/>
    </w:p>
    <w:p>
      <w:pPr>
        <w:pStyle w:val="969"/>
      </w:pPr>
      <w:r>
        <w:rPr>
          <w:rFonts w:hint="eastAsia"/>
        </w:rPr>
        <w:t xml:space="preserve">技术服务</w:t>
      </w:r>
      <w:r/>
    </w:p>
    <w:p>
      <w:pPr>
        <w:pStyle w:val="970"/>
      </w:pPr>
      <w:r>
        <w:rPr>
          <w:rFonts w:hint="eastAsia"/>
        </w:rPr>
        <w:t xml:space="preserve">运营报告与会议组织 </w:t>
      </w:r>
      <w:r/>
    </w:p>
    <w:p>
      <w:pPr>
        <w:pStyle w:val="1115"/>
        <w:ind w:firstLine="420"/>
        <w:rPr>
          <w:rFonts w:ascii="宋体" w:hAnsi="宋体" w:eastAsia="宋体" w:cs="宋体"/>
          <w:sz w:val="21"/>
          <w:szCs w:val="21"/>
        </w:rPr>
      </w:pPr>
      <w:r>
        <w:rPr>
          <w:rFonts w:hint="eastAsia" w:ascii="宋体" w:hAnsi="宋体" w:eastAsia="宋体" w:cs="宋体"/>
          <w:sz w:val="21"/>
          <w:szCs w:val="21"/>
        </w:rPr>
        <w:t xml:space="preserve">根据太仓市公安局交通警察大队管理要求按时提交运营周报、月报，出席或经业主委托协助组织相关工作会议：现场会、例会、问题通报会、协调会、专题讨论会、专家论证会、阶段工作总结会、阶段及最终验收会等会议。</w:t>
      </w:r>
      <w:r/>
    </w:p>
    <w:p>
      <w:pPr>
        <w:pStyle w:val="970"/>
      </w:pPr>
      <w:r>
        <w:rPr>
          <w:rFonts w:hint="eastAsia"/>
        </w:rPr>
        <w:t xml:space="preserve">技术档案留存</w:t>
      </w:r>
      <w:r/>
    </w:p>
    <w:p>
      <w:pPr>
        <w:pStyle w:val="1115"/>
        <w:ind w:firstLine="420"/>
        <w:rPr>
          <w:rFonts w:ascii="宋体" w:hAnsi="宋体" w:eastAsia="宋体" w:cs="宋体"/>
          <w:sz w:val="21"/>
          <w:szCs w:val="21"/>
        </w:rPr>
      </w:pPr>
      <w:r>
        <w:rPr>
          <w:rFonts w:hint="eastAsia" w:ascii="宋体" w:hAnsi="宋体" w:eastAsia="宋体" w:cs="宋体"/>
          <w:sz w:val="21"/>
          <w:szCs w:val="21"/>
        </w:rPr>
        <w:t xml:space="preserve">根据业主管理要求建立完整的项目工作技术档案（包含工作类型、工作量、起止时间、责任人、操作记录、技术参数等），并根据太仓市公安局交通警察大队需求随时提供工作档案。</w:t>
      </w:r>
      <w:r/>
    </w:p>
    <w:p>
      <w:pPr>
        <w:pStyle w:val="970"/>
      </w:pPr>
      <w:r>
        <w:rPr>
          <w:rFonts w:hint="eastAsia"/>
        </w:rPr>
        <w:t xml:space="preserve">技术文档支持</w:t>
      </w:r>
      <w:r/>
    </w:p>
    <w:p>
      <w:pPr>
        <w:pStyle w:val="1115"/>
        <w:ind w:firstLine="420"/>
        <w:rPr>
          <w:rFonts w:ascii="宋体" w:hAnsi="宋体" w:eastAsia="宋体" w:cs="宋体"/>
          <w:sz w:val="21"/>
          <w:szCs w:val="21"/>
        </w:rPr>
      </w:pPr>
      <w:r>
        <w:rPr>
          <w:rFonts w:hint="eastAsia" w:ascii="宋体" w:hAnsi="宋体" w:eastAsia="宋体" w:cs="宋体"/>
          <w:sz w:val="21"/>
          <w:szCs w:val="21"/>
        </w:rPr>
        <w:t xml:space="preserve">根据业主相关要求进行各类日常数据、视频等材料收集、整理及相关文档、PPT制作，协助太仓市公安局交通警察大队进行参观接待工作与宣传汇报工作。每月收集一次汇报资料并进行归档。协助接待工作，专业地回答参观方提问。 </w:t>
      </w:r>
      <w:r/>
    </w:p>
    <w:p>
      <w:pPr>
        <w:pStyle w:val="970"/>
      </w:pPr>
      <w:r>
        <w:rPr>
          <w:rFonts w:hint="eastAsia"/>
        </w:rPr>
        <w:t xml:space="preserve">技术支持服务</w:t>
      </w:r>
      <w:r/>
    </w:p>
    <w:p>
      <w:pPr>
        <w:pStyle w:val="1115"/>
        <w:ind w:firstLine="420"/>
        <w:rPr>
          <w:rFonts w:ascii="宋体" w:hAnsi="宋体" w:eastAsia="宋体" w:cs="宋体"/>
          <w:sz w:val="21"/>
          <w:szCs w:val="21"/>
        </w:rPr>
      </w:pPr>
      <w:r>
        <w:rPr>
          <w:rFonts w:hint="eastAsia" w:ascii="宋体" w:hAnsi="宋体" w:eastAsia="宋体" w:cs="宋体"/>
          <w:sz w:val="21"/>
          <w:szCs w:val="21"/>
        </w:rPr>
        <w:t xml:space="preserve">为太仓市公安局交通警察大队提供需求收集、内部培训与第三方技术支持工作，具体如下：</w:t>
      </w:r>
      <w:r/>
    </w:p>
    <w:p>
      <w:pPr>
        <w:numPr>
          <w:ilvl w:val="0"/>
          <w:numId w:val="35"/>
        </w:numPr>
        <w:ind w:left="0" w:firstLine="420"/>
        <w:spacing w:line="360" w:lineRule="auto"/>
        <w:rPr>
          <w:rFonts w:ascii="宋体" w:hAnsi="宋体" w:eastAsia="宋体" w:cs="宋体"/>
          <w:sz w:val="21"/>
          <w:szCs w:val="21"/>
        </w:rPr>
      </w:pPr>
      <w:r>
        <w:rPr>
          <w:rFonts w:hint="eastAsia" w:ascii="宋体" w:hAnsi="宋体" w:eastAsia="宋体" w:cs="宋体"/>
          <w:sz w:val="21"/>
          <w:szCs w:val="21"/>
        </w:rPr>
        <w:t xml:space="preserve">整理和总结日常工作中发现的系统问题和故障，以及需要改进的功能。配合太仓市公安局交通警察大队调研和整合各类项目的需求，及时反馈太仓市公安局交通警察大队，并形成需求调研报告。</w:t>
      </w:r>
      <w:r/>
    </w:p>
    <w:p>
      <w:pPr>
        <w:numPr>
          <w:ilvl w:val="0"/>
          <w:numId w:val="35"/>
        </w:numPr>
        <w:ind w:left="0" w:firstLine="420"/>
        <w:spacing w:line="360" w:lineRule="auto"/>
        <w:rPr>
          <w:rFonts w:ascii="宋体" w:hAnsi="宋体" w:eastAsia="宋体" w:cs="宋体"/>
          <w:sz w:val="21"/>
          <w:szCs w:val="21"/>
        </w:rPr>
      </w:pPr>
      <w:r>
        <w:rPr>
          <w:rFonts w:hint="eastAsia" w:ascii="宋体" w:hAnsi="宋体" w:eastAsia="宋体" w:cs="宋体"/>
          <w:sz w:val="21"/>
          <w:szCs w:val="21"/>
        </w:rPr>
        <w:t xml:space="preserve">配合太仓市公安局交通警察大队开展专业技术培训，提高太仓市公安局交通警察大队工作人员的业务能力，内容包含交通控制、交通组织、交通规划等交通方面业务方面。</w:t>
      </w:r>
      <w:r/>
    </w:p>
    <w:p>
      <w:pPr>
        <w:numPr>
          <w:ilvl w:val="0"/>
          <w:numId w:val="35"/>
        </w:numPr>
        <w:ind w:left="0" w:firstLine="420"/>
        <w:spacing w:line="360" w:lineRule="auto"/>
        <w:rPr>
          <w:rFonts w:ascii="宋体" w:hAnsi="宋体" w:eastAsia="宋体" w:cs="宋体"/>
          <w:sz w:val="21"/>
          <w:szCs w:val="21"/>
        </w:rPr>
      </w:pPr>
      <w:r>
        <w:rPr>
          <w:rFonts w:hint="eastAsia" w:ascii="宋体" w:hAnsi="宋体" w:eastAsia="宋体" w:cs="宋体"/>
          <w:sz w:val="21"/>
          <w:szCs w:val="21"/>
        </w:rPr>
        <w:t xml:space="preserve">配合太仓市公安局交通警察大队开展对接第三方的技术支持，对现网的业务架构与技术架构向第三方提供完整信息并提供技术对接。</w:t>
      </w:r>
      <w:r/>
    </w:p>
    <w:p>
      <w:pPr>
        <w:pStyle w:val="1115"/>
        <w:numPr>
          <w:ilvl w:val="0"/>
          <w:numId w:val="35"/>
        </w:numPr>
        <w:ind w:left="0" w:firstLine="420"/>
        <w:rPr>
          <w:rFonts w:ascii="宋体" w:hAnsi="宋体" w:eastAsia="宋体" w:cs="宋体"/>
          <w:b/>
          <w:sz w:val="21"/>
          <w:szCs w:val="21"/>
        </w:rPr>
      </w:pPr>
      <w:r>
        <w:rPr>
          <w:rFonts w:hint="eastAsia" w:ascii="宋体" w:hAnsi="宋体" w:eastAsia="宋体" w:cs="宋体"/>
          <w:sz w:val="21"/>
          <w:szCs w:val="21"/>
        </w:rPr>
        <w:t xml:space="preserve">协助完成对市公安局交通警察大队下辖信号机、信号灯和监控设备等施工服务团队的管理与考核。</w:t>
      </w:r>
      <w:r/>
    </w:p>
    <w:p>
      <w:pPr>
        <w:pStyle w:val="1115"/>
        <w:numPr>
          <w:ilvl w:val="0"/>
          <w:numId w:val="35"/>
        </w:numPr>
        <w:ind w:left="0" w:firstLine="420"/>
        <w:rPr>
          <w:rFonts w:ascii="宋体" w:hAnsi="宋体" w:eastAsia="宋体" w:cs="宋体"/>
          <w:sz w:val="21"/>
          <w:szCs w:val="21"/>
        </w:rPr>
      </w:pPr>
      <w:r>
        <w:rPr>
          <w:rFonts w:hint="eastAsia" w:ascii="宋体" w:hAnsi="宋体" w:eastAsia="宋体" w:cs="宋体"/>
          <w:sz w:val="21"/>
          <w:szCs w:val="21"/>
        </w:rPr>
        <w:t xml:space="preserve">协助警务人员向施工单位下发信号机、信号灯和监控设备等指令，并完成对该指令的全程跟踪服务及施工台账的搜集整理。每月对施工服务团队的工作质态进行考评，起到高效监督施工服务团队的作用。</w:t>
      </w:r>
      <w:r/>
    </w:p>
    <w:p>
      <w:pPr>
        <w:pStyle w:val="969"/>
      </w:pPr>
      <w:r>
        <w:rPr>
          <w:rFonts w:hint="eastAsia"/>
        </w:rPr>
        <w:t xml:space="preserve">服务要求</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服务单位项目组需在太仓市公安局交通警察大队进行驻场服务，项目组驻场交通工程师不少于3人。项目组需由经验丰富的项目经理带队，项目团队成员要求大专毕业工作满3年或者本科毕业工作满1年或者研究生毕业。</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工作日早晚高峰及平峰期间，均应安排不少于2人值守指挥大厅，及时处置信控故障及协助处理维护事宜，周末及节假日期间，周末及假日也应安排人员参与驻场值守；遇特勤任务、大型活动，全员派驻指挥大厅协助交警大队开展信控及维护工作，对任务及活动的时间、地点、保障计划、执行情况等予以详细信息记录，形成文档并予以保存。</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服务单位必须具备必要的技术支撑能力及良好的人力优势，保障合同有效期内各系统有效运行、各项工作按时保质完成。</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项目组人员需具备专业的技能水平、较高的个人素养、较强的责任意识和较好的服务态度以及规范的工作着装等。服务单位驻现场项目人员应具备较强的分析判断能力，具备顺利沟通的能力，处理和解决突发事件的能力，具备自行根据实际情况制定运营计划和方案的能力，具备强烈的责任意识，具备较高的人财物管理水平，全力保障交通信控系统的正常运行。服务单位应保持团队的相对稳定。基本要求如下：</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（a）统一正装、配戴胸卡、具备良好的精神风貌，年龄22—45周岁。</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（b）所有人员均必须专职服务于本项目。</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合同期内，项目组人员须具有相对稳定性，服务单位不得随意更换项目经理及项目团队人员：</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a)如有人员因工作技能或身体状况等原因确实需要变更的，应提前一个月向太仓市公安局交通警察大队提出书面申请，待太仓市公安局交通警察大队同意后方可更换，所更换人员资格、水平不得低于原项目组人员。</w:t>
      </w:r>
      <w:r/>
    </w:p>
    <w:p>
      <w:pPr>
        <w:ind w:firstLine="420"/>
        <w:jc w:val="left"/>
        <w:spacing w:line="372" w:lineRule="auto"/>
        <w:rPr>
          <w:rFonts w:ascii="宋体" w:hAnsi="宋体" w:eastAsia="宋体" w:cs="宋体"/>
          <w:sz w:val="21"/>
          <w:szCs w:val="21"/>
        </w:rPr>
      </w:pPr>
      <w:r>
        <w:rPr>
          <w:rFonts w:hint="eastAsia" w:ascii="宋体" w:hAnsi="宋体" w:eastAsia="宋体" w:cs="宋体"/>
          <w:sz w:val="21"/>
          <w:szCs w:val="21"/>
        </w:rPr>
        <w:t xml:space="preserve">(b)服务单位项目组人员现场管理工作不到位，或无法起到应有的作用，视为不称职，太仓市公安局交通警察大队可以要求服务单位更换相应的项目组人员。</w:t>
      </w:r>
      <w:r/>
    </w:p>
    <w:p>
      <w:pPr>
        <w:ind w:firstLine="420"/>
        <w:jc w:val="left"/>
        <w:spacing w:line="372" w:lineRule="auto"/>
        <w:rPr>
          <w:rFonts w:ascii="宋体" w:hAnsi="宋体" w:eastAsia="宋体" w:cs="宋体"/>
          <w:sz w:val="21"/>
          <w:szCs w:val="21"/>
        </w:rPr>
      </w:pPr>
      <w:r>
        <w:rPr>
          <w:rFonts w:hint="eastAsia" w:ascii="宋体" w:hAnsi="宋体" w:eastAsia="宋体" w:cs="宋体"/>
          <w:sz w:val="21"/>
          <w:szCs w:val="21"/>
        </w:rPr>
        <w:t xml:space="preserve">(c)未经太仓市公安局交通警察大队同意，项目组人员更换的违约金为：项目经理1.0万元/人·次，其他人员0.5万元/人·次。未经太仓市公安局交通警察大队同意，累计人员更换次数高于派驻人员总数20%的，采购方有权撤销合同。</w:t>
      </w:r>
      <w:r/>
    </w:p>
    <w:p>
      <w:pPr>
        <w:ind w:firstLine="420"/>
        <w:jc w:val="left"/>
        <w:spacing w:line="372" w:lineRule="auto"/>
        <w:rPr>
          <w:rFonts w:ascii="宋体" w:hAnsi="宋体" w:eastAsia="宋体" w:cs="宋体"/>
          <w:sz w:val="21"/>
          <w:szCs w:val="21"/>
        </w:rPr>
      </w:pPr>
      <w:r>
        <w:rPr>
          <w:rFonts w:hint="eastAsia" w:ascii="宋体" w:hAnsi="宋体" w:eastAsia="宋体" w:cs="宋体"/>
          <w:sz w:val="21"/>
          <w:szCs w:val="21"/>
        </w:rPr>
        <w:t xml:space="preserve">服务单位必须根据甲方管理要求建立完善的运营队伍，制定切实可行的监督管理体系，建立完善的质量管理体系，相关考核办法详见附件一。服务单位需响应甲方建立的工作考核机制，甲方对工作成果及效果依据制定的规章制度进行考核。根据考核情况，扣除当季度进度款的1-5%。</w:t>
      </w:r>
      <w:r/>
    </w:p>
    <w:p>
      <w:pPr>
        <w:ind w:firstLine="420"/>
        <w:jc w:val="left"/>
        <w:spacing w:line="372" w:lineRule="auto"/>
        <w:rPr>
          <w:rFonts w:ascii="宋体" w:hAnsi="宋体" w:eastAsia="宋体" w:cs="宋体"/>
          <w:sz w:val="21"/>
          <w:szCs w:val="21"/>
        </w:rPr>
      </w:pPr>
      <w:r>
        <w:rPr>
          <w:rFonts w:hint="eastAsia" w:ascii="宋体" w:hAnsi="宋体" w:eastAsia="宋体" w:cs="宋体"/>
          <w:sz w:val="21"/>
          <w:szCs w:val="21"/>
        </w:rPr>
        <w:t xml:space="preserve">建立故障等级响应体系，第一时间发现故障并协助开展维修工作。如因未能及时发现故障影响太仓市公安局交通警察大队工作的，甲方可向服务单位收取违约金。</w:t>
      </w:r>
      <w:r/>
    </w:p>
    <w:p>
      <w:pPr>
        <w:ind w:firstLine="420"/>
        <w:jc w:val="left"/>
        <w:spacing w:line="372" w:lineRule="auto"/>
        <w:rPr>
          <w:rFonts w:ascii="宋体" w:hAnsi="宋体" w:eastAsia="宋体" w:cs="宋体"/>
          <w:sz w:val="21"/>
          <w:szCs w:val="21"/>
        </w:rPr>
      </w:pPr>
      <w:r>
        <w:rPr>
          <w:rFonts w:hint="eastAsia" w:ascii="宋体" w:hAnsi="宋体" w:eastAsia="宋体" w:cs="宋体"/>
          <w:sz w:val="21"/>
          <w:szCs w:val="21"/>
        </w:rPr>
        <w:t xml:space="preserve">建立严格的数据、资料安全管理体系，包括人员权限管理，数据、资料保密制度，数据、资料备份机制，数据、资料拷贝机制，严禁未经太仓市公安局交通警察大队许可的数据、资料泄露，外借及转移；建立完善的信息安全管理体系。违反该条款，采购方可直接取消合同、单处或并处违约金，并依法追究其法律责任。</w:t>
      </w:r>
      <w:r/>
    </w:p>
    <w:p>
      <w:pPr>
        <w:ind w:firstLine="420"/>
        <w:jc w:val="left"/>
        <w:spacing w:line="372" w:lineRule="auto"/>
        <w:rPr>
          <w:rFonts w:ascii="宋体" w:hAnsi="宋体" w:eastAsia="宋体" w:cs="宋体"/>
          <w:sz w:val="21"/>
          <w:szCs w:val="21"/>
        </w:rPr>
      </w:pPr>
      <w:r>
        <w:rPr>
          <w:rFonts w:hint="eastAsia" w:ascii="宋体" w:hAnsi="宋体" w:eastAsia="宋体" w:cs="宋体"/>
          <w:sz w:val="21"/>
          <w:szCs w:val="21"/>
        </w:rPr>
        <w:t xml:space="preserve">未经太仓市公安局交通警察大队同意，擅自利用智能交通系统对道路交通造成影响的，采购方可直接取消合同、单处或并处违约金，并依法追究其法律责任。</w:t>
      </w:r>
      <w:r/>
    </w:p>
    <w:p>
      <w:pPr>
        <w:ind w:firstLine="420"/>
        <w:jc w:val="left"/>
        <w:spacing w:line="372" w:lineRule="auto"/>
        <w:rPr>
          <w:rFonts w:ascii="宋体" w:hAnsi="宋体" w:eastAsia="宋体" w:cs="宋体"/>
          <w:sz w:val="21"/>
          <w:szCs w:val="21"/>
        </w:rPr>
      </w:pPr>
      <w:r>
        <w:rPr>
          <w:rFonts w:hint="eastAsia" w:ascii="宋体" w:hAnsi="宋体" w:eastAsia="宋体" w:cs="宋体"/>
          <w:sz w:val="21"/>
          <w:szCs w:val="21"/>
        </w:rPr>
        <w:t xml:space="preserve">太仓市公安局交通警察大队提出业务相关的事项，服务单位须及时响应，并根据太仓市公安局交通警察大队要求予以配合。</w:t>
      </w:r>
      <w:r/>
    </w:p>
    <w:p>
      <w:pPr>
        <w:ind w:firstLine="420"/>
        <w:jc w:val="left"/>
        <w:spacing w:line="372" w:lineRule="auto"/>
        <w:rPr>
          <w:rFonts w:ascii="宋体" w:hAnsi="宋体" w:eastAsia="宋体" w:cs="宋体"/>
          <w:sz w:val="21"/>
          <w:szCs w:val="21"/>
        </w:rPr>
      </w:pPr>
      <w:r>
        <w:rPr>
          <w:rFonts w:hint="eastAsia" w:ascii="宋体" w:hAnsi="宋体" w:eastAsia="宋体" w:cs="宋体"/>
          <w:sz w:val="21"/>
          <w:szCs w:val="21"/>
        </w:rPr>
        <w:t xml:space="preserve">违反上述服务要求的，甲方可向服务单位收取违约金，违约金单次不超过5%,累计达总合同金额20%视为不能履行合同。</w:t>
      </w:r>
      <w:r/>
    </w:p>
    <w:p>
      <w:pPr>
        <w:ind w:firstLine="420"/>
        <w:jc w:val="left"/>
        <w:spacing w:line="372" w:lineRule="auto"/>
        <w:rPr>
          <w:rFonts w:ascii="宋体" w:hAnsi="宋体" w:eastAsia="宋体" w:cs="宋体"/>
          <w:sz w:val="21"/>
          <w:szCs w:val="21"/>
        </w:rPr>
      </w:pPr>
      <w:r>
        <w:rPr>
          <w:rFonts w:hint="eastAsia" w:ascii="宋体" w:hAnsi="宋体" w:eastAsia="宋体" w:cs="宋体"/>
          <w:sz w:val="21"/>
          <w:szCs w:val="21"/>
        </w:rPr>
        <w:t xml:space="preserve">向太仓市公安局交通警察大队提供必要的技术培训，并积极响应、支持太仓市公安局交通警察大队的不同服务团队的诉求。对于需要两方或多方服务团队配合完成的组织优化、信控优化、隐患治理安全提升等方面的工作，如导致项目搁置或延误，则责任方承担责任，每次扣除各责任方中标金额百分之三的违约金。</w:t>
      </w:r>
      <w:r/>
    </w:p>
    <w:p>
      <w:pPr>
        <w:pStyle w:val="969"/>
      </w:pPr>
      <w:r>
        <w:rPr>
          <w:rFonts w:hint="eastAsia"/>
        </w:rPr>
        <w:t xml:space="preserve">综合说明及其他要求</w:t>
      </w:r>
      <w:r/>
    </w:p>
    <w:p>
      <w:pPr>
        <w:ind w:firstLine="420"/>
        <w:jc w:val="left"/>
        <w:spacing w:line="372" w:lineRule="auto"/>
        <w:rPr>
          <w:rFonts w:ascii="宋体" w:hAnsi="宋体" w:eastAsia="宋体" w:cs="宋体"/>
          <w:sz w:val="21"/>
          <w:szCs w:val="21"/>
        </w:rPr>
      </w:pPr>
      <w:r>
        <w:rPr>
          <w:rFonts w:hint="eastAsia" w:ascii="宋体" w:hAnsi="宋体" w:eastAsia="宋体" w:cs="宋体"/>
          <w:sz w:val="21"/>
          <w:szCs w:val="21"/>
        </w:rPr>
        <w:t xml:space="preserve">服务单位须严格按照甲方规定的时间完成项目的各项工作内容，如在实施的过程中出现错误、误差，需负责及时更正直至太仓市公安局交通警察大队确认合格，服务单位在项目进行过程中产生的任何安全、损坏等责任事故一律由服务单位自行承担。</w:t>
      </w:r>
      <w:r/>
    </w:p>
    <w:p>
      <w:pPr>
        <w:ind w:firstLine="420"/>
        <w:jc w:val="left"/>
        <w:spacing w:line="372" w:lineRule="auto"/>
        <w:rPr>
          <w:rFonts w:ascii="宋体" w:hAnsi="宋体" w:eastAsia="宋体" w:cs="宋体"/>
          <w:sz w:val="21"/>
          <w:szCs w:val="21"/>
        </w:rPr>
      </w:pPr>
      <w:r>
        <w:rPr>
          <w:rFonts w:hint="eastAsia" w:ascii="宋体" w:hAnsi="宋体" w:eastAsia="宋体" w:cs="宋体"/>
          <w:sz w:val="21"/>
          <w:szCs w:val="21"/>
        </w:rPr>
        <w:t xml:space="preserve">提供必要的技术培训，协助太仓市公安局交通警察大队完成其他需要服务单位配合的服务。</w:t>
      </w:r>
      <w:r/>
    </w:p>
    <w:p>
      <w:pPr>
        <w:ind w:firstLine="420"/>
        <w:jc w:val="left"/>
        <w:spacing w:line="372" w:lineRule="auto"/>
        <w:rPr>
          <w:rFonts w:ascii="宋体" w:hAnsi="宋体" w:eastAsia="宋体" w:cs="宋体"/>
          <w:sz w:val="21"/>
          <w:szCs w:val="21"/>
        </w:rPr>
      </w:pPr>
      <w:r>
        <w:rPr>
          <w:rFonts w:hint="eastAsia" w:ascii="宋体" w:hAnsi="宋体" w:eastAsia="宋体" w:cs="宋体"/>
          <w:sz w:val="21"/>
          <w:szCs w:val="21"/>
        </w:rPr>
        <w:t xml:space="preserve">服务单位应严格遵守服务合约，项目完成后，如太仓市公安局交通警察大队有需要服务单位配合的服务，服务单位必须予以配合，协助太仓市公安局交通警察大队完善项目内容。</w:t>
      </w:r>
      <w:r/>
    </w:p>
    <w:p>
      <w:pPr>
        <w:pStyle w:val="1066"/>
        <w:ind w:firstLine="420"/>
        <w:rPr>
          <w:rFonts w:hAnsi="宋体" w:cs="宋体"/>
          <w:sz w:val="21"/>
          <w:szCs w:val="21"/>
        </w:rPr>
      </w:pPr>
      <w:r>
        <w:rPr>
          <w:rFonts w:hAnsi="宋体" w:cs="宋体"/>
          <w:sz w:val="21"/>
          <w:szCs w:val="21"/>
        </w:rPr>
      </w:r>
      <w:r/>
    </w:p>
    <w:p>
      <w:pPr>
        <w:pStyle w:val="968"/>
      </w:pPr>
      <w:r>
        <w:rPr>
          <w:rFonts w:hint="eastAsia"/>
        </w:rPr>
        <w:t xml:space="preserve">交通组织服务</w:t>
      </w:r>
      <w:r/>
    </w:p>
    <w:p>
      <w:pPr>
        <w:pStyle w:val="969"/>
      </w:pPr>
      <w:r>
        <w:rPr>
          <w:rFonts w:hint="eastAsia"/>
        </w:rPr>
        <w:t xml:space="preserve">服务内容</w:t>
      </w:r>
      <w:r/>
    </w:p>
    <w:p>
      <w:pPr>
        <w:pStyle w:val="970"/>
      </w:pPr>
      <w:r>
        <w:rPr>
          <w:rFonts w:hint="eastAsia"/>
        </w:rPr>
        <w:t xml:space="preserve">交通组织方案研究</w:t>
      </w:r>
      <w:r/>
    </w:p>
    <w:p>
      <w:pPr>
        <w:pStyle w:val="1115"/>
        <w:ind w:firstLine="420"/>
        <w:spacing w:line="372" w:lineRule="auto"/>
        <w:rPr>
          <w:rFonts w:ascii="宋体" w:hAnsi="宋体" w:eastAsia="宋体" w:cs="宋体"/>
          <w:bCs/>
          <w:sz w:val="21"/>
          <w:szCs w:val="21"/>
        </w:rPr>
      </w:pPr>
      <w:r>
        <w:rPr>
          <w:rFonts w:hint="eastAsia" w:ascii="宋体" w:hAnsi="宋体" w:eastAsia="宋体" w:cs="宋体"/>
          <w:bCs/>
          <w:sz w:val="21"/>
          <w:szCs w:val="21"/>
        </w:rPr>
        <w:t xml:space="preserve">1）交通拥堵分析与拥堵点方案研究</w:t>
      </w:r>
      <w:r/>
    </w:p>
    <w:p>
      <w:pPr>
        <w:pStyle w:val="1115"/>
        <w:ind w:firstLine="420"/>
        <w:spacing w:line="372" w:lineRule="auto"/>
        <w:rPr>
          <w:rFonts w:ascii="宋体" w:hAnsi="宋体" w:eastAsia="宋体" w:cs="宋体"/>
          <w:bCs/>
          <w:sz w:val="21"/>
          <w:szCs w:val="21"/>
        </w:rPr>
      </w:pPr>
      <w:r>
        <w:rPr>
          <w:rFonts w:hint="eastAsia" w:ascii="宋体" w:hAnsi="宋体" w:eastAsia="宋体" w:cs="宋体"/>
          <w:bCs/>
          <w:sz w:val="21"/>
          <w:szCs w:val="21"/>
        </w:rPr>
        <w:t xml:space="preserve">收集国内外城市在不同发展阶段交通拥堵治理的管理措施及其交通背景。</w:t>
      </w:r>
      <w:r/>
    </w:p>
    <w:p>
      <w:pPr>
        <w:pStyle w:val="1115"/>
        <w:ind w:firstLine="420"/>
        <w:spacing w:line="372" w:lineRule="auto"/>
        <w:rPr>
          <w:rFonts w:ascii="宋体" w:hAnsi="宋体" w:eastAsia="宋体" w:cs="宋体"/>
          <w:bCs/>
          <w:sz w:val="21"/>
          <w:szCs w:val="21"/>
        </w:rPr>
      </w:pPr>
      <w:r>
        <w:rPr>
          <w:rFonts w:hint="eastAsia" w:ascii="宋体" w:hAnsi="宋体" w:eastAsia="宋体" w:cs="宋体"/>
          <w:bCs/>
          <w:sz w:val="21"/>
          <w:szCs w:val="21"/>
        </w:rPr>
        <w:t xml:space="preserve">调查收集现状存在的交通拥堵点段与交通拥堵片区，收集相关点段与片区的交通组织与交通流量数据，形成台账资料，掌握太仓道路交通存在的问题与面临的挑战。</w:t>
      </w:r>
      <w:r/>
    </w:p>
    <w:p>
      <w:pPr>
        <w:pStyle w:val="1115"/>
        <w:ind w:firstLine="420"/>
        <w:spacing w:line="372" w:lineRule="auto"/>
        <w:rPr>
          <w:rFonts w:ascii="宋体" w:hAnsi="宋体" w:eastAsia="宋体" w:cs="宋体"/>
          <w:bCs/>
          <w:sz w:val="21"/>
          <w:szCs w:val="21"/>
        </w:rPr>
      </w:pPr>
      <w:r>
        <w:rPr>
          <w:rFonts w:hint="eastAsia" w:ascii="宋体" w:hAnsi="宋体" w:eastAsia="宋体" w:cs="宋体"/>
          <w:bCs/>
          <w:sz w:val="21"/>
          <w:szCs w:val="21"/>
        </w:rPr>
        <w:t xml:space="preserve">收集整理近年太仓交通拥堵点段优化提升工作的对策和主要措施。</w:t>
      </w:r>
      <w:r/>
    </w:p>
    <w:p>
      <w:pPr>
        <w:pStyle w:val="1115"/>
        <w:ind w:firstLine="420"/>
        <w:spacing w:line="372" w:lineRule="auto"/>
        <w:rPr>
          <w:rFonts w:ascii="宋体" w:hAnsi="宋体" w:eastAsia="宋体" w:cs="宋体"/>
          <w:bCs/>
          <w:sz w:val="21"/>
          <w:szCs w:val="21"/>
        </w:rPr>
      </w:pPr>
      <w:r>
        <w:rPr>
          <w:rFonts w:hint="eastAsia" w:ascii="宋体" w:hAnsi="宋体" w:eastAsia="宋体" w:cs="宋体"/>
          <w:bCs/>
          <w:sz w:val="21"/>
          <w:szCs w:val="21"/>
        </w:rPr>
        <w:t xml:space="preserve">针对自行发现的或太仓市公安局交通警察大队要求优化的拥堵点位，进行充分的道路和交通情况调研后，向太仓市公安局交通警察大队提出交通组织优化方案，且每个拥堵点至少提出两种优化方案。</w:t>
      </w:r>
      <w:r/>
    </w:p>
    <w:p>
      <w:pPr>
        <w:pStyle w:val="1115"/>
        <w:ind w:firstLine="420"/>
        <w:spacing w:line="372" w:lineRule="auto"/>
        <w:rPr>
          <w:rFonts w:ascii="宋体" w:hAnsi="宋体" w:eastAsia="宋体" w:cs="宋体"/>
          <w:bCs/>
          <w:sz w:val="21"/>
          <w:szCs w:val="21"/>
        </w:rPr>
      </w:pPr>
      <w:r>
        <w:rPr>
          <w:rFonts w:hint="eastAsia" w:ascii="宋体" w:hAnsi="宋体" w:eastAsia="宋体" w:cs="宋体"/>
          <w:bCs/>
          <w:sz w:val="21"/>
          <w:szCs w:val="21"/>
        </w:rPr>
        <w:t xml:space="preserve">2）交通违法信息分析与方案研究</w:t>
      </w:r>
      <w:r/>
    </w:p>
    <w:p>
      <w:pPr>
        <w:pStyle w:val="1115"/>
        <w:ind w:firstLine="420"/>
        <w:spacing w:line="372" w:lineRule="auto"/>
        <w:rPr>
          <w:rFonts w:ascii="宋体" w:hAnsi="宋体" w:eastAsia="宋体" w:cs="宋体"/>
          <w:bCs/>
          <w:sz w:val="21"/>
          <w:szCs w:val="21"/>
        </w:rPr>
      </w:pPr>
      <w:r>
        <w:rPr>
          <w:rFonts w:hint="eastAsia" w:ascii="宋体" w:hAnsi="宋体" w:eastAsia="宋体" w:cs="宋体"/>
          <w:bCs/>
          <w:sz w:val="21"/>
          <w:szCs w:val="21"/>
        </w:rPr>
        <w:t xml:space="preserve">收集国内外城市在不同发展阶段交通违法治理的管理措施。</w:t>
      </w:r>
      <w:r/>
    </w:p>
    <w:p>
      <w:pPr>
        <w:pStyle w:val="1115"/>
        <w:ind w:firstLine="420"/>
        <w:spacing w:line="372" w:lineRule="auto"/>
        <w:rPr>
          <w:rFonts w:ascii="宋体" w:hAnsi="宋体" w:eastAsia="宋体" w:cs="宋体"/>
          <w:bCs/>
          <w:sz w:val="21"/>
          <w:szCs w:val="21"/>
        </w:rPr>
      </w:pPr>
      <w:r>
        <w:rPr>
          <w:rFonts w:hint="eastAsia" w:ascii="宋体" w:hAnsi="宋体" w:eastAsia="宋体" w:cs="宋体"/>
          <w:bCs/>
          <w:sz w:val="21"/>
          <w:szCs w:val="21"/>
        </w:rPr>
        <w:t xml:space="preserve">调查收集现状存在的交通违法点段与交通违法片区，收集相关点段与片区的交通组织与交通流量数据，形成台账资料，掌握太仓道路交通存在的问题与面临的挑战。</w:t>
      </w:r>
      <w:r/>
    </w:p>
    <w:p>
      <w:pPr>
        <w:pStyle w:val="1115"/>
        <w:ind w:firstLine="420"/>
        <w:spacing w:line="372" w:lineRule="auto"/>
        <w:rPr>
          <w:rFonts w:ascii="宋体" w:hAnsi="宋体" w:eastAsia="宋体" w:cs="宋体"/>
          <w:bCs/>
          <w:sz w:val="21"/>
          <w:szCs w:val="21"/>
        </w:rPr>
      </w:pPr>
      <w:r>
        <w:rPr>
          <w:rFonts w:hint="eastAsia" w:ascii="宋体" w:hAnsi="宋体" w:eastAsia="宋体" w:cs="宋体"/>
          <w:bCs/>
          <w:sz w:val="21"/>
          <w:szCs w:val="21"/>
        </w:rPr>
        <w:t xml:space="preserve">收集整理近年太仓交通违法重点点段优化提升工作的对策和主要措施。</w:t>
      </w:r>
      <w:r/>
    </w:p>
    <w:p>
      <w:pPr>
        <w:pStyle w:val="1115"/>
        <w:ind w:firstLine="420"/>
        <w:spacing w:line="372" w:lineRule="auto"/>
        <w:rPr>
          <w:rFonts w:ascii="宋体" w:hAnsi="宋体" w:eastAsia="宋体" w:cs="宋体"/>
          <w:bCs/>
          <w:sz w:val="21"/>
          <w:szCs w:val="21"/>
        </w:rPr>
      </w:pPr>
      <w:r>
        <w:rPr>
          <w:rFonts w:hint="eastAsia" w:ascii="宋体" w:hAnsi="宋体" w:eastAsia="宋体" w:cs="宋体"/>
          <w:bCs/>
          <w:sz w:val="21"/>
          <w:szCs w:val="21"/>
        </w:rPr>
        <w:t xml:space="preserve">针对自行发现或太仓市公安局交通警察大队要求的违法高发点位，进行充分的道路和交通情况调研后，向太仓市公安局交通警察大队提出交通组织优化方案，且每个点段至少提出两种优化方案。</w:t>
      </w:r>
      <w:r/>
    </w:p>
    <w:p>
      <w:pPr>
        <w:pStyle w:val="1115"/>
        <w:ind w:firstLine="420"/>
        <w:spacing w:line="372" w:lineRule="auto"/>
        <w:rPr>
          <w:rFonts w:ascii="宋体" w:hAnsi="宋体" w:eastAsia="宋体" w:cs="宋体"/>
          <w:bCs/>
          <w:sz w:val="21"/>
          <w:szCs w:val="21"/>
        </w:rPr>
      </w:pPr>
      <w:r>
        <w:rPr>
          <w:rFonts w:hint="eastAsia" w:ascii="宋体" w:hAnsi="宋体" w:eastAsia="宋体" w:cs="宋体"/>
          <w:bCs/>
          <w:sz w:val="21"/>
          <w:szCs w:val="21"/>
        </w:rPr>
        <w:t xml:space="preserve">3）重点区位交通拥堵分析与方案研究</w:t>
      </w:r>
      <w:r/>
    </w:p>
    <w:p>
      <w:pPr>
        <w:pStyle w:val="1115"/>
        <w:ind w:firstLine="420"/>
        <w:spacing w:line="372" w:lineRule="auto"/>
        <w:rPr>
          <w:rFonts w:ascii="宋体" w:hAnsi="宋体" w:eastAsia="宋体" w:cs="宋体"/>
          <w:bCs/>
          <w:sz w:val="21"/>
          <w:szCs w:val="21"/>
        </w:rPr>
      </w:pPr>
      <w:r>
        <w:rPr>
          <w:rFonts w:hint="eastAsia" w:ascii="宋体" w:hAnsi="宋体" w:eastAsia="宋体" w:cs="宋体"/>
          <w:bCs/>
          <w:sz w:val="21"/>
          <w:szCs w:val="21"/>
        </w:rPr>
        <w:t xml:space="preserve">识别和接收太仓市公安局交通警察大队交办的重点区位的交通拥堵点，对道路和交通信息进行调研，提出拟采取的可行性方案，经交通仿真后确认可行后提出优化方案。</w:t>
      </w:r>
      <w:r/>
    </w:p>
    <w:p>
      <w:pPr>
        <w:pStyle w:val="1115"/>
        <w:ind w:firstLine="420"/>
        <w:spacing w:line="372" w:lineRule="auto"/>
        <w:rPr>
          <w:rFonts w:ascii="宋体" w:hAnsi="宋体" w:eastAsia="宋体" w:cs="宋体"/>
          <w:bCs/>
          <w:sz w:val="21"/>
          <w:szCs w:val="21"/>
        </w:rPr>
      </w:pPr>
      <w:r>
        <w:rPr>
          <w:rFonts w:hint="eastAsia" w:ascii="宋体" w:hAnsi="宋体" w:eastAsia="宋体" w:cs="宋体"/>
          <w:bCs/>
          <w:sz w:val="21"/>
          <w:szCs w:val="21"/>
        </w:rPr>
        <w:t xml:space="preserve">优化方案经太仓市公安局交通警察大队认可后，服务单位需积极开展群众工作（包括但不限于调查问卷的制作发放和收集研判、协助太仓市公安局交通警察大队召开听证会和论证会等推进措施），并制作达到施工图纸级别的优化方案。</w:t>
      </w:r>
      <w:r/>
    </w:p>
    <w:p>
      <w:pPr>
        <w:pStyle w:val="1115"/>
        <w:ind w:firstLine="420"/>
        <w:spacing w:line="372" w:lineRule="auto"/>
        <w:rPr>
          <w:rFonts w:ascii="宋体" w:hAnsi="宋体" w:eastAsia="宋体" w:cs="宋体"/>
          <w:bCs/>
          <w:sz w:val="21"/>
          <w:szCs w:val="21"/>
        </w:rPr>
      </w:pPr>
      <w:r>
        <w:rPr>
          <w:rFonts w:hint="eastAsia" w:ascii="宋体" w:hAnsi="宋体" w:eastAsia="宋体" w:cs="宋体"/>
          <w:bCs/>
          <w:sz w:val="21"/>
          <w:szCs w:val="21"/>
        </w:rPr>
        <w:t xml:space="preserve">对接现场施工团队，现场提供合理最优解决方案和技术支持。</w:t>
      </w:r>
      <w:r/>
    </w:p>
    <w:p>
      <w:pPr>
        <w:pStyle w:val="1115"/>
        <w:ind w:firstLine="420"/>
        <w:spacing w:line="372" w:lineRule="auto"/>
        <w:rPr>
          <w:rFonts w:ascii="宋体" w:hAnsi="宋体" w:eastAsia="宋体" w:cs="宋体"/>
          <w:bCs/>
          <w:sz w:val="21"/>
          <w:szCs w:val="21"/>
        </w:rPr>
      </w:pPr>
      <w:r>
        <w:rPr>
          <w:rFonts w:hint="eastAsia" w:ascii="宋体" w:hAnsi="宋体" w:eastAsia="宋体" w:cs="宋体"/>
          <w:bCs/>
          <w:sz w:val="21"/>
          <w:szCs w:val="21"/>
        </w:rPr>
        <w:t xml:space="preserve">对优化后的重点部位进行跟踪研判，出具实际运行情况和优化对比报告，根据相关规范对该区域交通改善成果进行滚动评估。</w:t>
      </w:r>
      <w:r/>
    </w:p>
    <w:p>
      <w:pPr>
        <w:pStyle w:val="1115"/>
        <w:ind w:firstLine="420"/>
        <w:spacing w:line="372" w:lineRule="auto"/>
        <w:rPr>
          <w:rFonts w:ascii="宋体" w:hAnsi="宋体" w:eastAsia="宋体" w:cs="宋体"/>
          <w:bCs/>
          <w:sz w:val="21"/>
          <w:szCs w:val="21"/>
        </w:rPr>
      </w:pPr>
      <w:r>
        <w:rPr>
          <w:rFonts w:hint="eastAsia" w:ascii="宋体" w:hAnsi="宋体" w:eastAsia="宋体" w:cs="宋体"/>
          <w:bCs/>
          <w:sz w:val="21"/>
          <w:szCs w:val="21"/>
        </w:rPr>
        <w:t xml:space="preserve">4）重大活动及特勤活动分析与方案研究</w:t>
      </w:r>
      <w:r/>
    </w:p>
    <w:p>
      <w:pPr>
        <w:pStyle w:val="1115"/>
        <w:ind w:firstLine="420"/>
        <w:spacing w:line="372" w:lineRule="auto"/>
        <w:rPr>
          <w:rFonts w:ascii="宋体" w:hAnsi="宋体" w:eastAsia="宋体" w:cs="宋体"/>
          <w:bCs/>
          <w:sz w:val="21"/>
          <w:szCs w:val="21"/>
        </w:rPr>
      </w:pPr>
      <w:r>
        <w:rPr>
          <w:rFonts w:hint="eastAsia" w:ascii="宋体" w:hAnsi="宋体" w:eastAsia="宋体" w:cs="宋体"/>
          <w:bCs/>
          <w:sz w:val="21"/>
          <w:szCs w:val="21"/>
        </w:rPr>
        <w:t xml:space="preserve">对太仓市辖区重点特勤活动线路在活动前进行勘察，对存在不合理、不合规、故障或失效的交通设施及时向太仓市公安局交通警察大队上报，并协助交警大队下辖维护单位及时整改，及时向业主反馈进度。</w:t>
      </w:r>
      <w:r/>
    </w:p>
    <w:p>
      <w:pPr>
        <w:pStyle w:val="1115"/>
        <w:ind w:firstLine="420"/>
        <w:spacing w:line="372" w:lineRule="auto"/>
        <w:rPr>
          <w:rFonts w:ascii="宋体" w:hAnsi="宋体" w:eastAsia="宋体" w:cs="宋体"/>
          <w:bCs/>
          <w:sz w:val="21"/>
          <w:szCs w:val="21"/>
        </w:rPr>
      </w:pPr>
      <w:r>
        <w:rPr>
          <w:rFonts w:hint="eastAsia" w:ascii="宋体" w:hAnsi="宋体" w:eastAsia="宋体" w:cs="宋体"/>
          <w:bCs/>
          <w:sz w:val="21"/>
          <w:szCs w:val="21"/>
        </w:rPr>
        <w:t xml:space="preserve">对太仓市辖区内重大活动或太仓市公安局交通警察大队交办的交通保障提出交通组织实施方案。</w:t>
      </w:r>
      <w:r/>
    </w:p>
    <w:p>
      <w:pPr>
        <w:pStyle w:val="970"/>
      </w:pPr>
      <w:r>
        <w:rPr>
          <w:rFonts w:hint="eastAsia"/>
        </w:rPr>
        <w:t xml:space="preserve">交通组织设施巡查、更新与审查咨询</w:t>
      </w:r>
      <w:r/>
    </w:p>
    <w:p>
      <w:pPr>
        <w:pStyle w:val="1115"/>
        <w:ind w:firstLine="420"/>
        <w:spacing w:line="372" w:lineRule="auto"/>
        <w:rPr>
          <w:rFonts w:ascii="宋体" w:hAnsi="宋体" w:eastAsia="宋体" w:cs="宋体"/>
          <w:bCs/>
          <w:sz w:val="21"/>
          <w:szCs w:val="21"/>
        </w:rPr>
      </w:pPr>
      <w:r>
        <w:rPr>
          <w:rFonts w:hint="eastAsia" w:ascii="宋体" w:hAnsi="宋体" w:eastAsia="宋体" w:cs="宋体"/>
          <w:bCs/>
          <w:sz w:val="21"/>
          <w:szCs w:val="21"/>
        </w:rPr>
        <w:t xml:space="preserve">1）市内交通巡查</w:t>
      </w:r>
      <w:r/>
    </w:p>
    <w:p>
      <w:pPr>
        <w:pStyle w:val="1115"/>
        <w:ind w:firstLine="420"/>
        <w:spacing w:line="372" w:lineRule="auto"/>
        <w:rPr>
          <w:rFonts w:ascii="宋体" w:hAnsi="宋体" w:eastAsia="宋体" w:cs="宋体"/>
          <w:bCs/>
          <w:sz w:val="21"/>
          <w:szCs w:val="21"/>
        </w:rPr>
      </w:pPr>
      <w:r>
        <w:rPr>
          <w:rFonts w:hint="eastAsia" w:ascii="宋体" w:hAnsi="宋体" w:eastAsia="宋体" w:cs="宋体"/>
          <w:bCs/>
          <w:sz w:val="21"/>
          <w:szCs w:val="21"/>
        </w:rPr>
        <w:t xml:space="preserve">针对太仓市域范围内，特别是城区（石头塘-杨林塘-吴塘河-上海界合围区域、下同）内的路段、路口、车道等进行巡查，包括车道调整、渠化优化、交安设施的空间数据和属性数据等进行巡查，跟踪相关的信息更新，并对运行情况进行记录并及时向相关部门进行反馈和解决。</w:t>
      </w:r>
      <w:r/>
    </w:p>
    <w:p>
      <w:pPr>
        <w:pStyle w:val="1115"/>
        <w:ind w:firstLine="420"/>
        <w:spacing w:line="372" w:lineRule="auto"/>
        <w:rPr>
          <w:rFonts w:ascii="宋体" w:hAnsi="宋体" w:eastAsia="宋体" w:cs="宋体"/>
          <w:bCs/>
          <w:sz w:val="21"/>
          <w:szCs w:val="21"/>
        </w:rPr>
      </w:pPr>
      <w:r>
        <w:rPr>
          <w:rFonts w:hint="eastAsia" w:ascii="宋体" w:hAnsi="宋体" w:eastAsia="宋体" w:cs="宋体"/>
          <w:bCs/>
          <w:sz w:val="21"/>
          <w:szCs w:val="21"/>
        </w:rPr>
        <w:t xml:space="preserve">针对太仓市国省县干道及太仓市域范围特别是城区范围内的标志、标线及其他道路交通设施进行巡查，排查未按规范设置、老旧失效以及因第三方损坏的交通设施，并对运行情况进行记录，制作设施台账，并及时向相关部门进行反馈和解决。</w:t>
      </w:r>
      <w:r/>
    </w:p>
    <w:p>
      <w:pPr>
        <w:pStyle w:val="1115"/>
        <w:ind w:firstLine="420"/>
        <w:spacing w:line="372" w:lineRule="auto"/>
        <w:rPr>
          <w:rFonts w:ascii="宋体" w:hAnsi="宋体" w:eastAsia="宋体" w:cs="宋体"/>
          <w:bCs/>
          <w:sz w:val="21"/>
          <w:szCs w:val="21"/>
        </w:rPr>
      </w:pPr>
      <w:r>
        <w:rPr>
          <w:rFonts w:hint="eastAsia" w:ascii="宋体" w:hAnsi="宋体" w:eastAsia="宋体" w:cs="宋体"/>
          <w:bCs/>
          <w:sz w:val="21"/>
          <w:szCs w:val="21"/>
        </w:rPr>
        <w:t xml:space="preserve">除紧急需立即上报的问题外，将巡查中发现的问题整理汇总成月报，连同交通设施台账一同每月提交甲方审查。</w:t>
      </w:r>
      <w:r/>
    </w:p>
    <w:p>
      <w:pPr>
        <w:pStyle w:val="1115"/>
        <w:ind w:firstLine="420"/>
        <w:spacing w:line="372" w:lineRule="auto"/>
        <w:rPr>
          <w:rFonts w:ascii="宋体" w:hAnsi="宋体" w:eastAsia="宋体" w:cs="宋体"/>
          <w:bCs/>
          <w:sz w:val="21"/>
          <w:szCs w:val="21"/>
        </w:rPr>
      </w:pPr>
      <w:r>
        <w:rPr>
          <w:rFonts w:hint="eastAsia" w:ascii="宋体" w:hAnsi="宋体" w:eastAsia="宋体" w:cs="宋体"/>
          <w:bCs/>
          <w:sz w:val="21"/>
          <w:szCs w:val="21"/>
        </w:rPr>
        <w:t xml:space="preserve">服务单位应当提供供其职员作业时自用可在太仓市城区内可全天候合法通行的交通工具一部、无人机一台，用于道路巡查专用。</w:t>
      </w:r>
      <w:r/>
    </w:p>
    <w:p>
      <w:pPr>
        <w:pStyle w:val="1115"/>
        <w:ind w:firstLine="420"/>
        <w:spacing w:line="372" w:lineRule="auto"/>
        <w:rPr>
          <w:rFonts w:ascii="宋体" w:hAnsi="宋体" w:eastAsia="宋体" w:cs="宋体"/>
          <w:bCs/>
          <w:sz w:val="21"/>
          <w:szCs w:val="21"/>
        </w:rPr>
      </w:pPr>
      <w:r>
        <w:rPr>
          <w:rFonts w:hint="eastAsia" w:ascii="宋体" w:hAnsi="宋体" w:eastAsia="宋体" w:cs="宋体"/>
          <w:bCs/>
          <w:sz w:val="21"/>
          <w:szCs w:val="21"/>
        </w:rPr>
        <w:t xml:space="preserve">2）交通设施全生命周期管理</w:t>
      </w:r>
      <w:r/>
    </w:p>
    <w:p>
      <w:pPr>
        <w:pStyle w:val="1115"/>
        <w:ind w:firstLine="420"/>
        <w:spacing w:line="372" w:lineRule="auto"/>
        <w:rPr>
          <w:rFonts w:ascii="宋体" w:hAnsi="宋体" w:eastAsia="宋体" w:cs="宋体"/>
          <w:bCs/>
          <w:sz w:val="21"/>
          <w:szCs w:val="21"/>
        </w:rPr>
      </w:pPr>
      <w:r>
        <w:rPr>
          <w:rFonts w:hint="eastAsia" w:ascii="宋体" w:hAnsi="宋体" w:eastAsia="宋体" w:cs="宋体"/>
          <w:bCs/>
          <w:sz w:val="21"/>
          <w:szCs w:val="21"/>
        </w:rPr>
        <w:t xml:space="preserve">针对交通标志、交通标线、隔离护栏等其他交通设施，协助进行全生命周期管理，制作详细台账；并根据生命周期制定年度交通安全设施更新计划或专项更新计划，交太仓市公安局交通警察大队审核。</w:t>
      </w:r>
      <w:r/>
    </w:p>
    <w:p>
      <w:pPr>
        <w:pStyle w:val="1115"/>
        <w:ind w:firstLine="420"/>
        <w:spacing w:line="372" w:lineRule="auto"/>
        <w:rPr>
          <w:rFonts w:ascii="宋体" w:hAnsi="宋体" w:eastAsia="宋体" w:cs="宋体"/>
          <w:bCs/>
          <w:sz w:val="21"/>
          <w:szCs w:val="21"/>
        </w:rPr>
      </w:pPr>
      <w:r>
        <w:rPr>
          <w:rFonts w:hint="eastAsia" w:ascii="宋体" w:hAnsi="宋体" w:eastAsia="宋体" w:cs="宋体"/>
          <w:bCs/>
          <w:sz w:val="21"/>
          <w:szCs w:val="21"/>
        </w:rPr>
        <w:t xml:space="preserve">3）交通工程设计、交通组织方案、交通影响评价的审查咨询</w:t>
      </w:r>
      <w:r/>
    </w:p>
    <w:p>
      <w:pPr>
        <w:pStyle w:val="1115"/>
        <w:ind w:firstLine="420"/>
        <w:spacing w:line="372" w:lineRule="auto"/>
        <w:rPr>
          <w:rFonts w:ascii="宋体" w:hAnsi="宋体" w:eastAsia="宋体" w:cs="宋体"/>
          <w:bCs/>
          <w:sz w:val="21"/>
          <w:szCs w:val="21"/>
        </w:rPr>
      </w:pPr>
      <w:r>
        <w:rPr>
          <w:rFonts w:hint="eastAsia" w:ascii="宋体" w:hAnsi="宋体" w:eastAsia="宋体" w:cs="宋体"/>
          <w:bCs/>
          <w:sz w:val="21"/>
          <w:szCs w:val="21"/>
        </w:rPr>
        <w:t xml:space="preserve">提供新建、改扩建道路设计阶段交通工程设计审核的咨询.</w:t>
      </w:r>
      <w:r/>
    </w:p>
    <w:p>
      <w:pPr>
        <w:pStyle w:val="1115"/>
        <w:ind w:firstLine="420"/>
        <w:spacing w:line="372" w:lineRule="auto"/>
        <w:rPr>
          <w:rFonts w:ascii="宋体" w:hAnsi="宋体" w:eastAsia="宋体" w:cs="宋体"/>
          <w:bCs/>
          <w:sz w:val="21"/>
          <w:szCs w:val="21"/>
        </w:rPr>
      </w:pPr>
      <w:r>
        <w:rPr>
          <w:rFonts w:hint="eastAsia" w:ascii="宋体" w:hAnsi="宋体" w:eastAsia="宋体" w:cs="宋体"/>
          <w:bCs/>
          <w:sz w:val="21"/>
          <w:szCs w:val="21"/>
        </w:rPr>
        <w:t xml:space="preserve">提供占道施工期间交通组织方案审查的咨询。</w:t>
      </w:r>
      <w:r/>
    </w:p>
    <w:p>
      <w:pPr>
        <w:pStyle w:val="1115"/>
        <w:ind w:firstLine="420"/>
        <w:spacing w:line="372" w:lineRule="auto"/>
        <w:rPr>
          <w:rFonts w:ascii="宋体" w:hAnsi="宋体" w:eastAsia="宋体" w:cs="宋体"/>
          <w:bCs/>
          <w:sz w:val="21"/>
          <w:szCs w:val="21"/>
        </w:rPr>
      </w:pPr>
      <w:r>
        <w:rPr>
          <w:rFonts w:hint="eastAsia" w:ascii="宋体" w:hAnsi="宋体" w:eastAsia="宋体" w:cs="宋体"/>
          <w:bCs/>
          <w:sz w:val="21"/>
          <w:szCs w:val="21"/>
        </w:rPr>
        <w:t xml:space="preserve">提供建设地块交通影响评价报告审核的咨询。</w:t>
      </w:r>
      <w:r/>
    </w:p>
    <w:p>
      <w:pPr>
        <w:pStyle w:val="1115"/>
        <w:ind w:firstLine="420"/>
        <w:spacing w:line="372" w:lineRule="auto"/>
        <w:rPr>
          <w:rFonts w:ascii="宋体" w:hAnsi="宋体" w:eastAsia="宋体" w:cs="宋体"/>
          <w:bCs/>
          <w:sz w:val="21"/>
          <w:szCs w:val="21"/>
        </w:rPr>
      </w:pPr>
      <w:r>
        <w:rPr>
          <w:rFonts w:hint="eastAsia" w:ascii="宋体" w:hAnsi="宋体" w:eastAsia="宋体" w:cs="宋体"/>
          <w:bCs/>
          <w:sz w:val="21"/>
          <w:szCs w:val="21"/>
        </w:rPr>
        <w:t xml:space="preserve">4）协助太仓市公安局交通警察大队成立交通组织优化中心</w:t>
      </w:r>
      <w:r/>
    </w:p>
    <w:p>
      <w:pPr>
        <w:pStyle w:val="1115"/>
        <w:ind w:firstLine="420"/>
        <w:spacing w:line="372" w:lineRule="auto"/>
        <w:rPr>
          <w:rFonts w:ascii="宋体" w:hAnsi="宋体" w:eastAsia="宋体" w:cs="宋体"/>
          <w:bCs/>
          <w:sz w:val="21"/>
          <w:szCs w:val="21"/>
        </w:rPr>
      </w:pPr>
      <w:r>
        <w:rPr>
          <w:rFonts w:hint="eastAsia" w:ascii="宋体" w:hAnsi="宋体" w:eastAsia="宋体" w:cs="宋体"/>
          <w:bCs/>
          <w:sz w:val="21"/>
          <w:szCs w:val="21"/>
        </w:rPr>
        <w:t xml:space="preserve">在对全市道路交通运行状态摸底的基础上，协助太仓市公安局交通警察大队成立交通组织优化中心，建立健全优化及评价台账，并及时维护更新。</w:t>
      </w:r>
      <w:r/>
    </w:p>
    <w:p>
      <w:pPr>
        <w:pStyle w:val="970"/>
      </w:pPr>
      <w:r>
        <w:rPr>
          <w:rFonts w:hint="eastAsia"/>
        </w:rPr>
        <w:t xml:space="preserve">协助处理交通组织相关民意社情</w:t>
      </w:r>
      <w:r/>
    </w:p>
    <w:p>
      <w:pPr>
        <w:pStyle w:val="1115"/>
        <w:ind w:firstLine="420"/>
        <w:spacing w:line="372" w:lineRule="auto"/>
        <w:rPr>
          <w:rFonts w:ascii="宋体" w:hAnsi="宋体" w:eastAsia="宋体" w:cs="宋体"/>
          <w:bCs/>
          <w:sz w:val="21"/>
          <w:szCs w:val="21"/>
        </w:rPr>
      </w:pPr>
      <w:r>
        <w:rPr>
          <w:rFonts w:hint="eastAsia" w:ascii="宋体" w:hAnsi="宋体" w:eastAsia="宋体" w:cs="宋体"/>
          <w:bCs/>
          <w:sz w:val="21"/>
          <w:szCs w:val="21"/>
        </w:rPr>
        <w:t xml:space="preserve">1）舆情处理及回复</w:t>
      </w:r>
      <w:r/>
    </w:p>
    <w:p>
      <w:pPr>
        <w:pStyle w:val="1115"/>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主动搜集和研判舆情信息，如微信、寒山闻钟论坛等，实时把握和了解社会各界对太仓交通的各种意见和建议。</w:t>
      </w:r>
      <w:r/>
    </w:p>
    <w:p>
      <w:pPr>
        <w:pStyle w:val="1115"/>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记录分析太仓市交警大队通过不同渠道受到的投诉建议信息，协助警务人员进行投诉相关的信息处理，并在临近时限内进行提醒。</w:t>
      </w:r>
      <w:r/>
    </w:p>
    <w:p>
      <w:pPr>
        <w:pStyle w:val="1115"/>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对于群众的合理建议，应当进行现场调研并进一步论证建议的可行性，并提出改善意见及进行相关设计；对暂不具备实施条件的，需给出答复建议并另研究其它解决方案。</w:t>
      </w:r>
      <w:r/>
    </w:p>
    <w:p>
      <w:pPr>
        <w:pStyle w:val="969"/>
      </w:pPr>
      <w:r>
        <w:rPr>
          <w:rFonts w:hint="eastAsia"/>
        </w:rPr>
        <w:t xml:space="preserve">技术支持服务</w:t>
      </w:r>
      <w:r/>
    </w:p>
    <w:p>
      <w:pPr>
        <w:pStyle w:val="970"/>
      </w:pPr>
      <w:r>
        <w:rPr>
          <w:rFonts w:hint="eastAsia"/>
        </w:rPr>
        <w:t xml:space="preserve">运营报告与会议组织 </w:t>
      </w:r>
      <w:r/>
    </w:p>
    <w:p>
      <w:pPr>
        <w:pStyle w:val="1115"/>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协助太仓市公安局交通警察大队开展交通组织优化中心日常工作，根据管理要求按时提交运营周报、月报、半年度和年报，出席或经业主委托协助组织相关工作会议：现场会、例会、问题通报会、协调会、专题讨论会、专家论证会、阶段工作总结会、阶段及最终验收会等会议。</w:t>
      </w:r>
      <w:r/>
    </w:p>
    <w:p>
      <w:pPr>
        <w:pStyle w:val="970"/>
      </w:pPr>
      <w:r>
        <w:rPr>
          <w:rFonts w:hint="eastAsia"/>
        </w:rPr>
        <w:t xml:space="preserve">技术档案留存</w:t>
      </w:r>
      <w:r/>
    </w:p>
    <w:p>
      <w:pPr>
        <w:pStyle w:val="1115"/>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根据业主管理要求建立完整的项目工作技术档案（包含工作类型、工作量、起止时间、责任人、操作记录、技术参数等），并根据太仓市公安局交通警察大队需求随时提供工作档案。</w:t>
      </w:r>
      <w:r/>
    </w:p>
    <w:p>
      <w:pPr>
        <w:pStyle w:val="970"/>
      </w:pPr>
      <w:r>
        <w:rPr>
          <w:rFonts w:hint="eastAsia"/>
        </w:rPr>
        <w:t xml:space="preserve">技术文档支持</w:t>
      </w:r>
      <w:r/>
    </w:p>
    <w:p>
      <w:pPr>
        <w:pStyle w:val="1115"/>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根据业主相关要求进行各类日常数据、视频等材料收集、整理及相关文档、PPT制作，协助太仓市公安局交通警察大队进行参观接待工作与宣传汇报工作。每月收集一次汇报资料并进行归档。协助接待工作，专业地回答参观方提问。 </w:t>
      </w:r>
      <w:r/>
    </w:p>
    <w:p>
      <w:pPr>
        <w:pStyle w:val="970"/>
      </w:pPr>
      <w:r>
        <w:rPr>
          <w:rFonts w:hint="eastAsia"/>
        </w:rPr>
        <w:t xml:space="preserve">技术支持服务</w:t>
      </w:r>
      <w:r/>
    </w:p>
    <w:p>
      <w:pPr>
        <w:pStyle w:val="1115"/>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为太仓市公安局交通警察大队提供需求收集、内部培训与第三方技术支持工作，具体如下：</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1）整理和总结日常工作中发现的系统问题和故障，以及需要改进的功能，配合太仓市公安局交通警察大队调研和整合各类项目的需求，及时向太仓市公安局交通警察大队反馈，并形成需求调研报告。</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2）配合太仓市公安局交通警察大队开展专业技术培训，提高太仓市公安局交通警察大队工作人员的业务能力，内容包含交通控制、交通规划、交通组织等方面的内容。</w:t>
      </w:r>
      <w:r/>
    </w:p>
    <w:p>
      <w:pPr>
        <w:pStyle w:val="970"/>
      </w:pPr>
      <w:r>
        <w:rPr>
          <w:rFonts w:hint="eastAsia"/>
        </w:rPr>
        <w:t xml:space="preserve">交通指挥中心值守</w:t>
      </w:r>
      <w:r/>
    </w:p>
    <w:p>
      <w:pPr>
        <w:pStyle w:val="1115"/>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工作日期间，根据交警部门安排在太仓交通指挥中心参与驻场值守。周末及假日也应安排人员参与驻场值守。</w:t>
      </w:r>
      <w:r/>
    </w:p>
    <w:p>
      <w:pPr>
        <w:pStyle w:val="970"/>
      </w:pPr>
      <w:r>
        <w:rPr>
          <w:rFonts w:hint="eastAsia"/>
        </w:rPr>
        <w:t xml:space="preserve">协助完成对标志、标线等施工服务团队的管理与考核</w:t>
      </w:r>
      <w:r/>
    </w:p>
    <w:p>
      <w:pPr>
        <w:pStyle w:val="1115"/>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协助市公安局交通警察大队警务人员向施工单位下发标志标线施工指令，并完成对该指令的全程跟踪服务及施工台账的搜集整理。每月对施工服务团队的工作质态进行考评，起到高效监督施工服务团队的作用。</w:t>
      </w:r>
      <w:r/>
    </w:p>
    <w:p>
      <w:pPr>
        <w:pStyle w:val="969"/>
      </w:pPr>
      <w:r>
        <w:rPr>
          <w:rFonts w:hint="eastAsia"/>
        </w:rPr>
        <w:t xml:space="preserve">服务要求</w:t>
      </w:r>
      <w:r/>
    </w:p>
    <w:p>
      <w:pPr>
        <w:pStyle w:val="1115"/>
        <w:ind w:firstLine="420"/>
        <w:jc w:val="left"/>
        <w:spacing w:line="372" w:lineRule="auto"/>
        <w:rPr>
          <w:rFonts w:ascii="宋体" w:hAnsi="宋体" w:eastAsia="宋体" w:cs="宋体"/>
          <w:sz w:val="21"/>
          <w:szCs w:val="21"/>
        </w:rPr>
      </w:pPr>
      <w:r>
        <w:rPr>
          <w:rFonts w:hint="eastAsia" w:ascii="宋体" w:hAnsi="宋体" w:eastAsia="宋体" w:cs="宋体"/>
          <w:sz w:val="21"/>
          <w:szCs w:val="21"/>
        </w:rPr>
        <w:t xml:space="preserve">约定时间内，提交太仓重点拥堵点段区域识别报告和初步优化策略，制定优化时序表交公安局交警大队审议。</w:t>
      </w:r>
      <w:r/>
    </w:p>
    <w:p>
      <w:pPr>
        <w:pStyle w:val="1115"/>
        <w:ind w:firstLine="420"/>
        <w:jc w:val="left"/>
        <w:spacing w:line="372" w:lineRule="auto"/>
        <w:rPr>
          <w:rFonts w:ascii="宋体" w:hAnsi="宋体" w:eastAsia="宋体" w:cs="宋体"/>
          <w:sz w:val="21"/>
          <w:szCs w:val="21"/>
        </w:rPr>
      </w:pPr>
      <w:r>
        <w:rPr>
          <w:rFonts w:hint="eastAsia" w:ascii="宋体" w:hAnsi="宋体" w:eastAsia="宋体" w:cs="宋体"/>
          <w:sz w:val="21"/>
          <w:szCs w:val="21"/>
        </w:rPr>
        <w:t xml:space="preserve">约定时间内，提交年度太仓市城区内全部交通设施、交通组织的台账和排查报告，交太仓市公安局交通警察大队审议，并按月进行更新。</w:t>
      </w:r>
      <w:r/>
    </w:p>
    <w:p>
      <w:pPr>
        <w:pStyle w:val="1115"/>
        <w:ind w:firstLine="420"/>
        <w:jc w:val="left"/>
        <w:spacing w:line="372" w:lineRule="auto"/>
        <w:rPr>
          <w:rFonts w:ascii="宋体" w:hAnsi="宋体" w:eastAsia="宋体" w:cs="宋体"/>
          <w:sz w:val="21"/>
          <w:szCs w:val="21"/>
        </w:rPr>
      </w:pPr>
      <w:r>
        <w:rPr>
          <w:rFonts w:hint="eastAsia" w:ascii="宋体" w:hAnsi="宋体" w:eastAsia="宋体" w:cs="宋体"/>
          <w:sz w:val="21"/>
          <w:szCs w:val="21"/>
        </w:rPr>
        <w:t xml:space="preserve">年度服务期间每月提交月度工作报告，交由太仓市公安局交通警察大队验收。</w:t>
      </w:r>
      <w:r/>
    </w:p>
    <w:p>
      <w:pPr>
        <w:pStyle w:val="1115"/>
        <w:ind w:firstLine="420"/>
        <w:jc w:val="left"/>
        <w:spacing w:line="372" w:lineRule="auto"/>
        <w:rPr>
          <w:rFonts w:ascii="宋体" w:hAnsi="宋体" w:eastAsia="宋体" w:cs="宋体"/>
          <w:sz w:val="21"/>
          <w:szCs w:val="21"/>
        </w:rPr>
      </w:pPr>
      <w:r>
        <w:rPr>
          <w:rFonts w:hint="eastAsia" w:ascii="宋体" w:hAnsi="宋体" w:eastAsia="宋体" w:cs="宋体"/>
          <w:sz w:val="21"/>
          <w:szCs w:val="21"/>
        </w:rPr>
        <w:t xml:space="preserve">对业主要求调查分析的现状问题，不超过7个自然日内完成现场勘查和流量调查以及现状分析和优化方案制作。</w:t>
      </w:r>
      <w:r/>
    </w:p>
    <w:p>
      <w:pPr>
        <w:pStyle w:val="1115"/>
        <w:ind w:firstLine="420"/>
        <w:jc w:val="left"/>
        <w:spacing w:line="372" w:lineRule="auto"/>
        <w:rPr>
          <w:rFonts w:ascii="宋体" w:hAnsi="宋体" w:eastAsia="宋体" w:cs="宋体"/>
          <w:sz w:val="21"/>
          <w:szCs w:val="21"/>
        </w:rPr>
      </w:pPr>
      <w:r>
        <w:rPr>
          <w:rFonts w:hint="eastAsia" w:ascii="宋体" w:hAnsi="宋体" w:eastAsia="宋体" w:cs="宋体"/>
          <w:sz w:val="21"/>
          <w:szCs w:val="21"/>
        </w:rPr>
        <w:t xml:space="preserve">取得新建、改扩建道路交通工程设计图纸后，不超过7个自然日内提交审核意见。</w:t>
      </w:r>
      <w:r/>
    </w:p>
    <w:p>
      <w:pPr>
        <w:pStyle w:val="1115"/>
        <w:ind w:firstLine="420"/>
        <w:jc w:val="left"/>
        <w:spacing w:line="372" w:lineRule="auto"/>
        <w:rPr>
          <w:rFonts w:ascii="宋体" w:hAnsi="宋体" w:eastAsia="宋体" w:cs="宋体"/>
          <w:sz w:val="21"/>
          <w:szCs w:val="21"/>
        </w:rPr>
      </w:pPr>
      <w:r>
        <w:rPr>
          <w:rFonts w:hint="eastAsia" w:ascii="宋体" w:hAnsi="宋体" w:eastAsia="宋体" w:cs="宋体"/>
          <w:sz w:val="21"/>
          <w:szCs w:val="21"/>
        </w:rPr>
        <w:t xml:space="preserve">取得占道交通组织方案后，不超过2个工作日内提交审核意见。</w:t>
      </w:r>
      <w:r/>
    </w:p>
    <w:p>
      <w:pPr>
        <w:pStyle w:val="1115"/>
        <w:ind w:firstLine="420"/>
        <w:jc w:val="left"/>
        <w:spacing w:line="372" w:lineRule="auto"/>
        <w:rPr>
          <w:rFonts w:ascii="宋体" w:hAnsi="宋体" w:eastAsia="宋体" w:cs="宋体"/>
          <w:sz w:val="21"/>
          <w:szCs w:val="21"/>
        </w:rPr>
      </w:pPr>
      <w:r>
        <w:rPr>
          <w:rFonts w:hint="eastAsia" w:ascii="宋体" w:hAnsi="宋体" w:eastAsia="宋体" w:cs="宋体"/>
          <w:sz w:val="21"/>
          <w:szCs w:val="21"/>
        </w:rPr>
        <w:t xml:space="preserve">取得项目建设方案或交通影响评价报告后，不超过5个自然日内提交审核意见。</w:t>
      </w:r>
      <w:r/>
    </w:p>
    <w:p>
      <w:pPr>
        <w:ind w:firstLine="420"/>
        <w:jc w:val="left"/>
        <w:spacing w:line="372" w:lineRule="auto"/>
        <w:rPr>
          <w:rFonts w:ascii="宋体" w:hAnsi="宋体" w:eastAsia="宋体" w:cs="宋体"/>
          <w:sz w:val="21"/>
          <w:szCs w:val="21"/>
        </w:rPr>
      </w:pPr>
      <w:r>
        <w:rPr>
          <w:rFonts w:hint="eastAsia" w:ascii="宋体" w:hAnsi="宋体" w:eastAsia="宋体" w:cs="宋体"/>
          <w:sz w:val="21"/>
          <w:szCs w:val="21"/>
        </w:rPr>
        <w:t xml:space="preserve">对本次合同管理范围内道路交通运行状况进行巡查，安排专业交通工程师分片负责的方式每月排查一遍，制作排查记录台账，并同步更新交通设施、组织优化台账，识别拥堵点位。</w:t>
      </w:r>
      <w:r/>
    </w:p>
    <w:p>
      <w:pPr>
        <w:pStyle w:val="1115"/>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每月整理施工台账和施工单位监督考核记录交太仓市公安局交通警察大队审查。</w:t>
      </w:r>
      <w:r/>
    </w:p>
    <w:p>
      <w:pPr>
        <w:pStyle w:val="1115"/>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违反上述服务要求或服务质量差的，甲方可向服务单位收取违约金，违约金单次不超过5%,累计达总合同金额20%视为不能履行合同。</w:t>
      </w:r>
      <w:r/>
    </w:p>
    <w:p>
      <w:pPr>
        <w:pStyle w:val="1115"/>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向太仓市公安局交警大队提供必要的技术培训，并积极响应、支持从属太仓市公安局交通警察大队的不同服务团队的诉求。对于需要两方或多方服务团队配合完成的组织优化、信控优化、隐患治理安全提升等方面的工作，如导致项目搁置或延误，则由责任方承担责任，每次扣除各责任方中标金额百分之三的违约金。</w:t>
      </w:r>
      <w:r/>
    </w:p>
    <w:p>
      <w:pPr>
        <w:pStyle w:val="969"/>
      </w:pPr>
      <w:r>
        <w:rPr>
          <w:rFonts w:hint="eastAsia"/>
        </w:rPr>
        <w:t xml:space="preserve">服务工作团队要求</w:t>
      </w:r>
      <w:r/>
    </w:p>
    <w:p>
      <w:pPr>
        <w:pStyle w:val="1115"/>
        <w:ind w:firstLine="420"/>
        <w:jc w:val="left"/>
        <w:spacing w:line="372" w:lineRule="auto"/>
        <w:rPr>
          <w:rFonts w:ascii="宋体" w:hAnsi="宋体" w:eastAsia="宋体" w:cs="宋体"/>
          <w:sz w:val="21"/>
          <w:szCs w:val="21"/>
        </w:rPr>
      </w:pPr>
      <w:r>
        <w:rPr>
          <w:rFonts w:hint="eastAsia" w:ascii="宋体" w:hAnsi="宋体" w:eastAsia="宋体" w:cs="宋体"/>
          <w:sz w:val="21"/>
          <w:szCs w:val="21"/>
        </w:rPr>
        <w:t xml:space="preserve">服务单位项目组需至少有4人及以上的稳定团队全服务期在太仓市公安局交通警察大队驻场办公，本项目服务人员为专职人员，不得挪用于其他服务项目。</w:t>
      </w:r>
      <w:r/>
    </w:p>
    <w:p>
      <w:pPr>
        <w:pStyle w:val="1115"/>
        <w:ind w:firstLine="420"/>
        <w:jc w:val="left"/>
        <w:spacing w:line="372" w:lineRule="auto"/>
        <w:rPr>
          <w:rFonts w:ascii="宋体" w:hAnsi="宋体" w:eastAsia="宋体" w:cs="宋体"/>
          <w:sz w:val="21"/>
          <w:szCs w:val="21"/>
        </w:rPr>
      </w:pPr>
      <w:r>
        <w:rPr>
          <w:rFonts w:hint="eastAsia" w:ascii="宋体" w:hAnsi="宋体" w:eastAsia="宋体" w:cs="宋体"/>
          <w:sz w:val="21"/>
          <w:szCs w:val="21"/>
        </w:rPr>
        <w:t xml:space="preserve">项目组需有经验丰富的项目经理带队，项目组成员至少包含两名交通组织专业或交通工程专业人员，项目团队成员要求大专毕业工作满3年或者本科毕业工作满1年或者研究生毕业。</w:t>
      </w:r>
      <w:r/>
    </w:p>
    <w:p>
      <w:pPr>
        <w:pStyle w:val="1115"/>
        <w:ind w:firstLine="420"/>
        <w:spacing w:line="372" w:lineRule="auto"/>
        <w:rPr>
          <w:rFonts w:ascii="宋体" w:hAnsi="宋体" w:eastAsia="宋体" w:cs="宋体"/>
          <w:bCs/>
          <w:sz w:val="21"/>
          <w:szCs w:val="21"/>
        </w:rPr>
      </w:pPr>
      <w:r>
        <w:rPr>
          <w:rFonts w:hint="eastAsia" w:ascii="宋体" w:hAnsi="宋体" w:eastAsia="宋体" w:cs="宋体"/>
          <w:bCs/>
          <w:sz w:val="21"/>
          <w:szCs w:val="21"/>
        </w:rPr>
        <w:t xml:space="preserve">驻场人员要求：至少1人硕士研究生毕业。</w:t>
      </w:r>
      <w:r/>
    </w:p>
    <w:p>
      <w:pPr>
        <w:pStyle w:val="1115"/>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服务单位必须具备强大的技术支撑能力及良好的人力优势，保障合同有效期内各项工作按时保质完成。</w:t>
      </w:r>
      <w:r/>
    </w:p>
    <w:p>
      <w:pPr>
        <w:pStyle w:val="1115"/>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项目组人员需具备交通相关专业、道路专业、结构专业和计算机专业技能水平且具有本科以上学历，并具有较高的个人素养、规范的工作着装、较强的责任意识和良好的服务态度等。服务单位驻现场项目人员应具备较强的分析判断能力，具备与业主顺利良好沟通的能力，处理和解决突发事件的能力，具备自行根据实际情况制定工作计划和方案的能力，具备强烈的责任意识，具备较高的人财物管理水平，服务单位应保持团队的相对稳定。基本要求如下：</w:t>
      </w:r>
      <w:r/>
    </w:p>
    <w:p>
      <w:pPr>
        <w:pStyle w:val="1115"/>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（a）驻场人员具备良好的精神风貌，年龄18—55周岁。</w:t>
      </w:r>
      <w:r/>
    </w:p>
    <w:p>
      <w:pPr>
        <w:pStyle w:val="1115"/>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（b）所有人员均必须专职服务于本项目。</w:t>
      </w:r>
      <w:r/>
    </w:p>
    <w:p>
      <w:pPr>
        <w:pStyle w:val="1115"/>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（c）服务单位需提供以上人员持证要求的身份证、职称证书、毕业证书、资质资格证书复印件及缴纳社保证明。</w:t>
      </w:r>
      <w:r/>
    </w:p>
    <w:p>
      <w:pPr>
        <w:pStyle w:val="1115"/>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合同期内，项目组人员须具有相对稳定性，服务单位不得随意更换项目经理及项目团队人员：</w:t>
      </w:r>
      <w:r/>
    </w:p>
    <w:p>
      <w:pPr>
        <w:pStyle w:val="1115"/>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(a) 如有人员因工作技能或身体状况等原因确实需要变更的，应提前一个月向采购单位提出书面申请，待采购单位同意后方可更换，所更换人员资格不得低于原项目组人员。</w:t>
      </w:r>
      <w:r/>
    </w:p>
    <w:p>
      <w:pPr>
        <w:pStyle w:val="1115"/>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(b) 服务单位项目组人员现场管理工作不到位，或无法起到应有的作用，视为不称职，采购单位可以要求服务单位更换相应的项目组人员。</w:t>
      </w:r>
      <w:r/>
    </w:p>
    <w:p>
      <w:pPr>
        <w:pStyle w:val="1115"/>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(c) 未经太仓市公安局交通警察大队同意，项目组人员更换的违约金为：项目经理1.0万元/人·次，其他人员0.5万元/人·次。未经太仓市公安局交通警察大队同意，累计人员更换次数高于派驻人员总数20%的，太仓市公安局交通警察大队有权撤销合同。</w:t>
      </w:r>
      <w:r/>
    </w:p>
    <w:p>
      <w:pPr>
        <w:pStyle w:val="1115"/>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服务单位必须根据太仓市公安局交通警察大队管理要求建立完善的工作团队，制定切实可行的监督、管理方案，建立完善的监督、管理体系。</w:t>
      </w:r>
      <w:r/>
    </w:p>
    <w:p>
      <w:pPr>
        <w:pStyle w:val="1115"/>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建立严格的数据安全管理体系，包括人员权限管理制度、数据保密制度、数据备份机制、数据拷贝机制，严禁未经太仓市公安局交通警察大队许可的数据泄露、外借及转移，建立完善的信息安全管理体系，并提供信息安全管理体系证书。违反该条款，采购方可直接取消合同、单处或并处违约金，并依法追究其法律责任。</w:t>
      </w:r>
      <w:r/>
    </w:p>
    <w:p>
      <w:pPr>
        <w:pStyle w:val="969"/>
      </w:pPr>
      <w:r>
        <w:rPr>
          <w:rFonts w:hint="eastAsia"/>
        </w:rPr>
        <w:t xml:space="preserve">其他要求</w:t>
      </w:r>
      <w:r/>
    </w:p>
    <w:p>
      <w:pPr>
        <w:pStyle w:val="1115"/>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服务单位须严格按照甲方规定的时间完成项目的各项工作内容，如在实施的过程中出现错误、误差，需负责及时更正直至甲方确认合格，服务单位在项目进行过程中产生的任何安全、损坏等责任事故一律由服务单位自行承担，若服务期内服务单位不能够在规定的时间保质保量的完成太仓市公安局交通警察大队交办的各项工作内容，采购方有权立即终止合同。</w:t>
      </w:r>
      <w:r/>
    </w:p>
    <w:p>
      <w:pPr>
        <w:ind w:firstLine="420"/>
        <w:jc w:val="left"/>
        <w:spacing w:line="372" w:lineRule="auto"/>
        <w:rPr>
          <w:rFonts w:ascii="宋体" w:hAnsi="宋体" w:eastAsia="宋体" w:cs="宋体"/>
          <w:sz w:val="21"/>
          <w:szCs w:val="21"/>
        </w:rPr>
      </w:pPr>
      <w:r>
        <w:rPr>
          <w:rFonts w:hint="eastAsia" w:ascii="宋体" w:hAnsi="宋体" w:eastAsia="宋体" w:cs="宋体"/>
          <w:sz w:val="21"/>
          <w:szCs w:val="21"/>
        </w:rPr>
        <w:t xml:space="preserve">服务单位应严格遵守服务合约，项目完成后，如市公安局交警大队有需要服务单位配合的服务，服务单位必须予以配合，协助完善项目内容。</w:t>
      </w:r>
      <w:r/>
    </w:p>
    <w:p>
      <w:pPr>
        <w:pStyle w:val="1066"/>
        <w:ind w:firstLine="420"/>
        <w:rPr>
          <w:rFonts w:hAnsi="宋体" w:cs="宋体"/>
          <w:sz w:val="21"/>
          <w:szCs w:val="21"/>
        </w:rPr>
      </w:pPr>
      <w:r>
        <w:rPr>
          <w:rFonts w:hAnsi="宋体" w:cs="宋体"/>
          <w:sz w:val="21"/>
          <w:szCs w:val="21"/>
        </w:rPr>
      </w:r>
      <w:r/>
    </w:p>
    <w:p>
      <w:pPr>
        <w:pStyle w:val="968"/>
      </w:pPr>
      <w:r>
        <w:rPr>
          <w:rFonts w:hint="eastAsia"/>
        </w:rPr>
        <w:t xml:space="preserve">AI隐患排查服务</w:t>
      </w:r>
      <w:r/>
    </w:p>
    <w:p>
      <w:pPr>
        <w:pStyle w:val="969"/>
      </w:pPr>
      <w:r/>
      <w:bookmarkStart w:id="235" w:name="_Toc239126943"/>
      <w:r/>
      <w:bookmarkEnd w:id="235"/>
      <w:r/>
      <w:bookmarkStart w:id="236" w:name="_Toc239126942"/>
      <w:r/>
      <w:bookmarkEnd w:id="236"/>
      <w:r/>
      <w:bookmarkStart w:id="237" w:name="_Toc239126937"/>
      <w:r/>
      <w:bookmarkEnd w:id="237"/>
      <w:r>
        <w:rPr>
          <w:rFonts w:hint="eastAsia"/>
        </w:rPr>
        <w:t xml:space="preserve">服务内容</w:t>
      </w:r>
      <w:r/>
    </w:p>
    <w:p>
      <w:pPr>
        <w:pStyle w:val="1115"/>
        <w:ind w:firstLine="420"/>
        <w:rPr>
          <w:rFonts w:ascii="宋体" w:hAnsi="宋体" w:eastAsia="宋体" w:cs="宋体"/>
          <w:bCs/>
          <w:sz w:val="21"/>
          <w:szCs w:val="21"/>
        </w:rPr>
      </w:pPr>
      <w:r>
        <w:rPr>
          <w:rFonts w:hint="eastAsia" w:ascii="宋体" w:hAnsi="宋体" w:eastAsia="宋体" w:cs="宋体"/>
          <w:bCs/>
          <w:sz w:val="21"/>
          <w:szCs w:val="21"/>
        </w:rPr>
        <w:t xml:space="preserve">1）提供用于道路安全隐患智能巡查的系统</w:t>
      </w:r>
      <w:r/>
    </w:p>
    <w:p>
      <w:pPr>
        <w:pStyle w:val="1115"/>
        <w:ind w:firstLine="420"/>
        <w:rPr>
          <w:rFonts w:ascii="宋体" w:hAnsi="宋体" w:eastAsia="宋体" w:cs="宋体"/>
          <w:bCs/>
          <w:sz w:val="21"/>
          <w:szCs w:val="21"/>
        </w:rPr>
      </w:pPr>
      <w:r>
        <w:rPr>
          <w:rFonts w:hint="eastAsia" w:ascii="宋体" w:hAnsi="宋体" w:eastAsia="宋体" w:cs="宋体"/>
          <w:bCs/>
          <w:sz w:val="21"/>
          <w:szCs w:val="21"/>
        </w:rPr>
        <w:t xml:space="preserve">智能隐患巡查系统具备对道路交通安全隐患的识别、基于地图的台账化展示以及多系统对接输出功能，同时至少具有以下能力：</w:t>
      </w:r>
      <w:r/>
    </w:p>
    <w:p>
      <w:pPr>
        <w:pStyle w:val="1115"/>
        <w:ind w:firstLine="420"/>
        <w:rPr>
          <w:rFonts w:ascii="宋体" w:hAnsi="宋体" w:eastAsia="宋体" w:cs="宋体"/>
          <w:bCs/>
          <w:sz w:val="21"/>
          <w:szCs w:val="21"/>
        </w:rPr>
      </w:pPr>
      <w:r>
        <w:rPr>
          <w:rFonts w:hint="eastAsia" w:ascii="宋体" w:hAnsi="宋体" w:eastAsia="宋体" w:cs="宋体"/>
          <w:bCs/>
          <w:sz w:val="21"/>
          <w:szCs w:val="21"/>
        </w:rPr>
        <w:t xml:space="preserve">a.通过将地图定位、坡度、弯道、线型等等道路参数信息与道路交通信号的实景照片、道路特殊角度的实景照片相互耦合，生成带有交通信号图片标签集的数字化道路数据。</w:t>
      </w:r>
      <w:r/>
    </w:p>
    <w:p>
      <w:pPr>
        <w:pStyle w:val="1115"/>
        <w:ind w:firstLine="420"/>
        <w:rPr>
          <w:rFonts w:ascii="宋体" w:hAnsi="宋体" w:eastAsia="宋体" w:cs="宋体"/>
          <w:bCs/>
          <w:sz w:val="21"/>
          <w:szCs w:val="21"/>
        </w:rPr>
      </w:pPr>
      <w:r>
        <w:rPr>
          <w:rFonts w:hint="eastAsia" w:ascii="宋体" w:hAnsi="宋体" w:eastAsia="宋体" w:cs="宋体"/>
          <w:bCs/>
          <w:sz w:val="21"/>
          <w:szCs w:val="21"/>
        </w:rPr>
        <w:t xml:space="preserve">b.优化交通信号识别算法。通过相关智能AI算法对截取的图片进行计算，做到识别出交通信号的内容，如车辆限速、交通信号灯状态、交通标线信号、交通隔离设施等；做到识别交通信号遮挡类线索的搜集。</w:t>
      </w:r>
      <w:r/>
    </w:p>
    <w:p>
      <w:pPr>
        <w:pStyle w:val="1115"/>
        <w:ind w:firstLine="420"/>
        <w:rPr>
          <w:rFonts w:ascii="宋体" w:hAnsi="宋体" w:eastAsia="宋体" w:cs="宋体"/>
          <w:bCs/>
          <w:sz w:val="21"/>
          <w:szCs w:val="21"/>
        </w:rPr>
      </w:pPr>
      <w:r>
        <w:rPr>
          <w:rFonts w:hint="eastAsia" w:ascii="宋体" w:hAnsi="宋体" w:eastAsia="宋体" w:cs="宋体"/>
          <w:bCs/>
          <w:sz w:val="21"/>
          <w:szCs w:val="21"/>
        </w:rPr>
        <w:t xml:space="preserve">c.交通信号智能分析，通过将a和b步骤得到的结果进行结合，生成数字化道路交通信号数据库，同时，以路段和路口等地理距离和标注为切入点，对交通信号进行分析，筛选出交通信号缺失、重复、矛盾、失效、破损、不合理和遮挡等隐患情况。</w:t>
      </w:r>
      <w:r/>
    </w:p>
    <w:p>
      <w:pPr>
        <w:pStyle w:val="1115"/>
        <w:ind w:firstLine="420"/>
        <w:rPr>
          <w:rFonts w:ascii="宋体" w:hAnsi="宋体" w:eastAsia="宋体" w:cs="宋体"/>
          <w:bCs/>
          <w:sz w:val="21"/>
          <w:szCs w:val="21"/>
        </w:rPr>
      </w:pPr>
      <w:r>
        <w:rPr>
          <w:rFonts w:hint="eastAsia" w:ascii="宋体" w:hAnsi="宋体" w:eastAsia="宋体" w:cs="宋体"/>
          <w:bCs/>
          <w:sz w:val="21"/>
          <w:szCs w:val="21"/>
        </w:rPr>
        <w:t xml:space="preserve">d.做好交通安全隐患定性描述向数字化分析的转型。通过训练算法实现对侵入道路净空或遮挡通视区视线类的隐患进行识别、定位和治理策略生成。其中视距遮挡类隐患识别应准确、治理策略应合理。</w:t>
      </w:r>
      <w:r/>
    </w:p>
    <w:p>
      <w:pPr>
        <w:pStyle w:val="1115"/>
        <w:ind w:firstLine="420"/>
        <w:rPr>
          <w:rFonts w:ascii="宋体" w:hAnsi="宋体" w:eastAsia="宋体" w:cs="宋体"/>
          <w:bCs/>
          <w:sz w:val="21"/>
          <w:szCs w:val="21"/>
        </w:rPr>
      </w:pPr>
      <w:r>
        <w:rPr>
          <w:rFonts w:hint="eastAsia" w:ascii="宋体" w:hAnsi="宋体" w:eastAsia="宋体" w:cs="宋体"/>
          <w:bCs/>
          <w:sz w:val="21"/>
          <w:szCs w:val="21"/>
        </w:rPr>
        <w:t xml:space="preserve">e.根据c和d生成的数据，生成道路隐患点位时空分布图。以该数据为基础，拓展出道路隐患画像、道路安全评级等一些列衍生产品。</w:t>
      </w:r>
      <w:r/>
    </w:p>
    <w:p>
      <w:pPr>
        <w:pStyle w:val="1115"/>
        <w:ind w:firstLine="420"/>
        <w:rPr>
          <w:rFonts w:ascii="宋体" w:hAnsi="宋体" w:eastAsia="宋体" w:cs="宋体"/>
          <w:bCs/>
          <w:sz w:val="21"/>
          <w:szCs w:val="21"/>
        </w:rPr>
      </w:pPr>
      <w:r>
        <w:rPr>
          <w:rFonts w:hint="eastAsia" w:ascii="宋体" w:hAnsi="宋体" w:eastAsia="宋体" w:cs="宋体"/>
          <w:bCs/>
          <w:sz w:val="21"/>
          <w:szCs w:val="21"/>
        </w:rPr>
        <w:t xml:space="preserve">f.隐患治理系统闭环。系统实现对接太仓市12345平台，实现道路交通安全隐患信息的发布和流转。同时根据隐患发布系统的反馈和道路再次巡查产生的隐患点位时序照片进行闭环分析，自动调整道路隐患点位时空分布图。</w:t>
      </w:r>
      <w:r/>
    </w:p>
    <w:p>
      <w:pPr>
        <w:pStyle w:val="1115"/>
        <w:ind w:firstLine="420"/>
        <w:rPr>
          <w:rFonts w:ascii="宋体" w:hAnsi="宋体" w:eastAsia="宋体" w:cs="宋体"/>
          <w:bCs/>
          <w:sz w:val="21"/>
          <w:szCs w:val="21"/>
        </w:rPr>
      </w:pPr>
      <w:r>
        <w:rPr>
          <w:rFonts w:hint="eastAsia" w:ascii="宋体" w:hAnsi="宋体" w:eastAsia="宋体" w:cs="宋体"/>
          <w:bCs/>
          <w:sz w:val="21"/>
          <w:szCs w:val="21"/>
        </w:rPr>
        <w:t xml:space="preserve">g.系统可以根据业主单位要求，对周、月和季度的工作量进行统计，并生成相关隐患治理工作报告。</w:t>
      </w:r>
      <w:r/>
    </w:p>
    <w:p>
      <w:pPr>
        <w:pStyle w:val="1115"/>
        <w:ind w:firstLine="420"/>
        <w:rPr>
          <w:rFonts w:ascii="宋体" w:hAnsi="宋体" w:eastAsia="宋体" w:cs="宋体"/>
          <w:bCs/>
          <w:sz w:val="21"/>
          <w:szCs w:val="21"/>
        </w:rPr>
      </w:pPr>
      <w:r>
        <w:rPr>
          <w:rFonts w:hint="eastAsia" w:ascii="宋体" w:hAnsi="宋体" w:eastAsia="宋体" w:cs="宋体"/>
          <w:bCs/>
          <w:sz w:val="21"/>
          <w:szCs w:val="21"/>
        </w:rPr>
        <w:t xml:space="preserve">2）提供用于道路安全隐患智能巡查的设备</w:t>
      </w:r>
      <w:r/>
    </w:p>
    <w:p>
      <w:pPr>
        <w:pStyle w:val="1115"/>
        <w:ind w:firstLine="420"/>
        <w:rPr>
          <w:rFonts w:ascii="宋体" w:hAnsi="宋体" w:eastAsia="宋体" w:cs="宋体"/>
          <w:bCs/>
          <w:sz w:val="21"/>
          <w:szCs w:val="21"/>
        </w:rPr>
      </w:pPr>
      <w:r>
        <w:rPr>
          <w:rFonts w:hint="eastAsia" w:ascii="宋体" w:hAnsi="宋体" w:eastAsia="宋体" w:cs="宋体"/>
          <w:bCs/>
          <w:sz w:val="21"/>
          <w:szCs w:val="21"/>
        </w:rPr>
        <w:t xml:space="preserve">a.根据业主单位工作需求，提供不少于一台和业主项目需求的前端采取设备，并确保在各设备可同步开启作业。</w:t>
      </w:r>
      <w:r/>
    </w:p>
    <w:p>
      <w:pPr>
        <w:pStyle w:val="1115"/>
        <w:ind w:firstLine="420"/>
        <w:rPr>
          <w:rFonts w:ascii="宋体" w:hAnsi="宋体" w:eastAsia="宋体" w:cs="宋体"/>
          <w:bCs/>
          <w:sz w:val="21"/>
          <w:szCs w:val="21"/>
        </w:rPr>
      </w:pPr>
      <w:r>
        <w:rPr>
          <w:rFonts w:hint="eastAsia" w:ascii="宋体" w:hAnsi="宋体" w:eastAsia="宋体" w:cs="宋体"/>
          <w:bCs/>
          <w:sz w:val="21"/>
          <w:szCs w:val="21"/>
        </w:rPr>
        <w:t xml:space="preserve">b.设备所有权归属服务单位，使用权在合同期内归属业主单位。</w:t>
      </w:r>
      <w:r/>
    </w:p>
    <w:p>
      <w:pPr>
        <w:pStyle w:val="1115"/>
        <w:ind w:firstLine="420"/>
        <w:rPr>
          <w:rFonts w:ascii="宋体" w:hAnsi="宋体" w:eastAsia="宋体" w:cs="宋体"/>
          <w:bCs/>
          <w:sz w:val="21"/>
          <w:szCs w:val="21"/>
        </w:rPr>
      </w:pPr>
      <w:r>
        <w:rPr>
          <w:rFonts w:hint="eastAsia" w:ascii="宋体" w:hAnsi="宋体" w:eastAsia="宋体" w:cs="宋体"/>
          <w:bCs/>
          <w:sz w:val="21"/>
          <w:szCs w:val="21"/>
        </w:rPr>
        <w:t xml:space="preserve">c.非因业主单位使用原因导致的设备故障，服务单位需在3个工作日内予以修复或更换。如不能按期修复的，应在设备故障之日起5日内提供替用设备。</w:t>
      </w:r>
      <w:r/>
    </w:p>
    <w:p>
      <w:pPr>
        <w:pStyle w:val="1115"/>
        <w:ind w:firstLine="420"/>
        <w:rPr>
          <w:rFonts w:ascii="宋体" w:hAnsi="宋体" w:eastAsia="宋体" w:cs="宋体"/>
          <w:bCs/>
          <w:sz w:val="21"/>
          <w:szCs w:val="21"/>
        </w:rPr>
      </w:pPr>
      <w:r>
        <w:rPr>
          <w:rFonts w:hint="eastAsia" w:ascii="宋体" w:hAnsi="宋体" w:eastAsia="宋体" w:cs="宋体"/>
          <w:bCs/>
          <w:sz w:val="21"/>
          <w:szCs w:val="21"/>
        </w:rPr>
        <w:t xml:space="preserve">3）服务期内对系统和设备根据业主单位需求，进行免费升级。</w:t>
      </w:r>
      <w:r/>
    </w:p>
    <w:p>
      <w:pPr>
        <w:pStyle w:val="1115"/>
        <w:ind w:firstLine="420"/>
        <w:rPr>
          <w:rFonts w:ascii="宋体" w:hAnsi="宋体" w:eastAsia="宋体" w:cs="宋体"/>
          <w:bCs/>
          <w:sz w:val="21"/>
          <w:szCs w:val="21"/>
        </w:rPr>
      </w:pPr>
      <w:r>
        <w:rPr>
          <w:rFonts w:hint="eastAsia" w:ascii="宋体" w:hAnsi="宋体" w:eastAsia="宋体" w:cs="宋体"/>
          <w:bCs/>
          <w:sz w:val="21"/>
          <w:szCs w:val="21"/>
        </w:rPr>
        <w:t xml:space="preserve">在合同服务期内，服务单位根据业主单位需求，及时免费更新、升级至最新版相关智能算法、及时调整隐患发布数据格式、及时升级前端采集设备。</w:t>
      </w:r>
      <w:r/>
    </w:p>
    <w:p>
      <w:pPr>
        <w:pStyle w:val="969"/>
      </w:pPr>
      <w:r>
        <w:rPr>
          <w:rFonts w:hint="eastAsia"/>
        </w:rPr>
        <w:t xml:space="preserve">服务要求</w:t>
      </w:r>
      <w:r/>
    </w:p>
    <w:p>
      <w:pPr>
        <w:pStyle w:val="1115"/>
        <w:ind w:firstLine="420"/>
        <w:jc w:val="left"/>
        <w:rPr>
          <w:rFonts w:ascii="宋体" w:hAnsi="宋体" w:eastAsia="宋体" w:cs="宋体"/>
          <w:bCs/>
          <w:sz w:val="21"/>
          <w:szCs w:val="21"/>
        </w:rPr>
      </w:pPr>
      <w:r>
        <w:rPr>
          <w:rFonts w:hint="eastAsia" w:ascii="宋体" w:hAnsi="宋体" w:eastAsia="宋体" w:cs="宋体"/>
          <w:bCs/>
          <w:sz w:val="21"/>
          <w:szCs w:val="21"/>
        </w:rPr>
        <w:t xml:space="preserve">1）道路安全隐患智能巡查系统数据治理时效性。</w:t>
      </w:r>
      <w:r/>
    </w:p>
    <w:p>
      <w:pPr>
        <w:pStyle w:val="1115"/>
        <w:ind w:firstLine="420"/>
        <w:jc w:val="left"/>
        <w:rPr>
          <w:rFonts w:ascii="宋体" w:hAnsi="宋体" w:eastAsia="宋体" w:cs="宋体"/>
          <w:bCs/>
          <w:sz w:val="21"/>
          <w:szCs w:val="21"/>
        </w:rPr>
      </w:pPr>
      <w:r>
        <w:rPr>
          <w:rFonts w:hint="eastAsia" w:ascii="宋体" w:hAnsi="宋体" w:eastAsia="宋体" w:cs="宋体"/>
          <w:bCs/>
          <w:sz w:val="21"/>
          <w:szCs w:val="21"/>
        </w:rPr>
        <w:t xml:space="preserve">系统可实现在道路巡查结束后，2个工作日内生成可供发布的道路交通隐患数据和</w:t>
      </w:r>
      <w:r>
        <w:rPr>
          <w:rFonts w:hint="eastAsia" w:ascii="宋体" w:hAnsi="宋体" w:eastAsia="宋体" w:cs="宋体"/>
          <w:bCs/>
          <w:sz w:val="21"/>
          <w:szCs w:val="21"/>
        </w:rPr>
        <w:t xml:space="preserve">带有图片标签集的数字化道路数据。</w:t>
      </w:r>
      <w:r/>
    </w:p>
    <w:p>
      <w:pPr>
        <w:pStyle w:val="1115"/>
        <w:ind w:firstLine="420"/>
        <w:jc w:val="left"/>
        <w:rPr>
          <w:rFonts w:ascii="宋体" w:hAnsi="宋体" w:eastAsia="宋体" w:cs="宋体"/>
          <w:bCs/>
          <w:sz w:val="21"/>
          <w:szCs w:val="21"/>
        </w:rPr>
      </w:pPr>
      <w:r>
        <w:rPr>
          <w:rFonts w:hint="eastAsia" w:ascii="宋体" w:hAnsi="宋体" w:eastAsia="宋体" w:cs="宋体"/>
          <w:bCs/>
          <w:sz w:val="21"/>
          <w:szCs w:val="21"/>
        </w:rPr>
        <w:t xml:space="preserve">2）道路安全隐患智能巡查系统具备一定程度的荷载能力。</w:t>
      </w:r>
      <w:r/>
    </w:p>
    <w:p>
      <w:pPr>
        <w:pStyle w:val="1115"/>
        <w:ind w:firstLine="420"/>
        <w:jc w:val="left"/>
        <w:rPr>
          <w:rFonts w:ascii="宋体" w:hAnsi="宋体" w:eastAsia="宋体" w:cs="宋体"/>
          <w:bCs/>
          <w:sz w:val="21"/>
          <w:szCs w:val="21"/>
        </w:rPr>
      </w:pPr>
      <w:r>
        <w:rPr>
          <w:rFonts w:hint="eastAsia" w:ascii="宋体" w:hAnsi="宋体" w:eastAsia="宋体" w:cs="宋体"/>
          <w:bCs/>
          <w:sz w:val="21"/>
          <w:szCs w:val="21"/>
        </w:rPr>
        <w:t xml:space="preserve">可实现多台前端采集设备齐作业时，2个工作日内生成可供发布的道路交通隐患数据和</w:t>
      </w:r>
      <w:r>
        <w:rPr>
          <w:rFonts w:hint="eastAsia" w:ascii="宋体" w:hAnsi="宋体" w:eastAsia="宋体" w:cs="宋体"/>
          <w:bCs/>
          <w:sz w:val="21"/>
          <w:szCs w:val="21"/>
        </w:rPr>
        <w:t xml:space="preserve">带有图片标签集的数字化道路数据。</w:t>
      </w:r>
      <w:r/>
    </w:p>
    <w:p>
      <w:pPr>
        <w:pStyle w:val="1115"/>
        <w:ind w:firstLine="420"/>
        <w:jc w:val="left"/>
        <w:rPr>
          <w:rFonts w:ascii="宋体" w:hAnsi="宋体" w:eastAsia="宋体" w:cs="宋体"/>
          <w:bCs/>
          <w:sz w:val="21"/>
          <w:szCs w:val="21"/>
        </w:rPr>
      </w:pPr>
      <w:r>
        <w:rPr>
          <w:rFonts w:hint="eastAsia" w:ascii="宋体" w:hAnsi="宋体" w:eastAsia="宋体" w:cs="宋体"/>
          <w:bCs/>
          <w:sz w:val="21"/>
          <w:szCs w:val="21"/>
        </w:rPr>
        <w:t xml:space="preserve">3）</w:t>
      </w:r>
      <w:r>
        <w:rPr>
          <w:rFonts w:hint="eastAsia" w:ascii="宋体" w:hAnsi="宋体" w:eastAsia="宋体" w:cs="宋体"/>
          <w:bCs/>
          <w:sz w:val="21"/>
          <w:szCs w:val="21"/>
        </w:rPr>
        <w:t xml:space="preserve">每年不低于300公里路段的隐患报告和道路数据台账生成能力</w:t>
      </w:r>
      <w:r>
        <w:rPr>
          <w:rFonts w:hint="eastAsia" w:ascii="宋体" w:hAnsi="宋体" w:eastAsia="宋体" w:cs="宋体"/>
          <w:bCs/>
          <w:sz w:val="21"/>
          <w:szCs w:val="21"/>
        </w:rPr>
        <w:t xml:space="preserve">。</w:t>
      </w:r>
      <w:r/>
    </w:p>
    <w:p>
      <w:pPr>
        <w:pStyle w:val="1115"/>
        <w:ind w:firstLine="420"/>
        <w:jc w:val="left"/>
        <w:rPr>
          <w:rFonts w:ascii="宋体" w:hAnsi="宋体" w:eastAsia="宋体" w:cs="宋体"/>
          <w:bCs/>
          <w:sz w:val="21"/>
          <w:szCs w:val="21"/>
        </w:rPr>
      </w:pPr>
      <w:r>
        <w:rPr>
          <w:rFonts w:hint="eastAsia" w:ascii="宋体" w:hAnsi="宋体" w:eastAsia="宋体" w:cs="宋体"/>
          <w:bCs/>
          <w:sz w:val="21"/>
          <w:szCs w:val="21"/>
        </w:rPr>
        <w:t xml:space="preserve">根据业主单位要求，</w:t>
      </w:r>
      <w:r>
        <w:rPr>
          <w:rFonts w:hint="eastAsia" w:ascii="宋体" w:hAnsi="宋体" w:eastAsia="宋体" w:cs="宋体"/>
          <w:bCs/>
          <w:sz w:val="21"/>
          <w:szCs w:val="21"/>
        </w:rPr>
        <w:t xml:space="preserve">服务单位</w:t>
      </w:r>
      <w:r>
        <w:rPr>
          <w:rFonts w:hint="eastAsia" w:ascii="宋体" w:hAnsi="宋体" w:eastAsia="宋体" w:cs="宋体"/>
          <w:bCs/>
          <w:sz w:val="21"/>
          <w:szCs w:val="21"/>
        </w:rPr>
        <w:t xml:space="preserve">对国省县干道及其他道路等不少于300公里的路段进行隐患排查，且隐患排查和道路数据台账公里数不设上限。</w:t>
      </w:r>
      <w:r/>
    </w:p>
    <w:p>
      <w:pPr>
        <w:pStyle w:val="1115"/>
        <w:ind w:firstLine="420"/>
        <w:jc w:val="left"/>
        <w:rPr>
          <w:rFonts w:ascii="宋体" w:hAnsi="宋体" w:eastAsia="宋体" w:cs="宋体"/>
          <w:bCs/>
          <w:sz w:val="21"/>
          <w:szCs w:val="21"/>
        </w:rPr>
      </w:pPr>
      <w:r>
        <w:rPr>
          <w:rFonts w:hint="eastAsia" w:ascii="宋体" w:hAnsi="宋体" w:eastAsia="宋体" w:cs="宋体"/>
          <w:bCs/>
          <w:sz w:val="21"/>
          <w:szCs w:val="21"/>
        </w:rPr>
        <w:t xml:space="preserve">4）</w:t>
      </w:r>
      <w:r>
        <w:rPr>
          <w:rFonts w:hint="eastAsia" w:ascii="宋体" w:hAnsi="宋体" w:eastAsia="宋体" w:cs="宋体"/>
          <w:bCs/>
          <w:sz w:val="21"/>
          <w:szCs w:val="21"/>
        </w:rPr>
        <w:t xml:space="preserve">服务单位</w:t>
      </w:r>
      <w:r>
        <w:rPr>
          <w:rFonts w:hint="eastAsia" w:ascii="宋体" w:hAnsi="宋体" w:eastAsia="宋体" w:cs="宋体"/>
          <w:bCs/>
          <w:sz w:val="21"/>
          <w:szCs w:val="21"/>
        </w:rPr>
        <w:t xml:space="preserve">具备较强的故障响应能力</w:t>
      </w:r>
      <w:r/>
    </w:p>
    <w:p>
      <w:pPr>
        <w:pStyle w:val="1115"/>
        <w:ind w:firstLine="420"/>
        <w:rPr>
          <w:rFonts w:ascii="宋体" w:hAnsi="宋体" w:eastAsia="宋体" w:cs="宋体"/>
          <w:bCs/>
          <w:sz w:val="21"/>
          <w:szCs w:val="21"/>
        </w:rPr>
      </w:pPr>
      <w:r>
        <w:rPr>
          <w:rFonts w:hint="eastAsia" w:ascii="宋体" w:hAnsi="宋体" w:eastAsia="宋体" w:cs="宋体"/>
          <w:bCs/>
          <w:sz w:val="21"/>
          <w:szCs w:val="21"/>
        </w:rPr>
        <w:t xml:space="preserve">在接到业主单位对设备和系统故障的保修信息后，服务单位需在3个工作日内予以修复或更换。如不能按期修复的应在故障日5日内提供替用设备。</w:t>
      </w:r>
      <w:r/>
    </w:p>
    <w:p>
      <w:pPr>
        <w:pStyle w:val="1115"/>
        <w:ind w:firstLine="420"/>
        <w:jc w:val="left"/>
        <w:rPr>
          <w:rFonts w:ascii="宋体" w:hAnsi="宋体" w:eastAsia="宋体" w:cs="宋体"/>
          <w:bCs/>
          <w:sz w:val="21"/>
          <w:szCs w:val="21"/>
        </w:rPr>
      </w:pPr>
      <w:r>
        <w:rPr>
          <w:rFonts w:hint="eastAsia" w:ascii="宋体" w:hAnsi="宋体" w:eastAsia="宋体" w:cs="宋体"/>
          <w:bCs/>
          <w:sz w:val="21"/>
          <w:szCs w:val="21"/>
        </w:rPr>
        <w:t xml:space="preserve">5）</w:t>
      </w:r>
      <w:r>
        <w:rPr>
          <w:rFonts w:hint="eastAsia" w:ascii="宋体" w:hAnsi="宋体" w:eastAsia="宋体" w:cs="宋体"/>
          <w:bCs/>
          <w:sz w:val="21"/>
          <w:szCs w:val="21"/>
        </w:rPr>
        <w:t xml:space="preserve">服务单位</w:t>
      </w:r>
      <w:r>
        <w:rPr>
          <w:rFonts w:hint="eastAsia" w:ascii="宋体" w:hAnsi="宋体" w:eastAsia="宋体" w:cs="宋体"/>
          <w:bCs/>
          <w:sz w:val="21"/>
          <w:szCs w:val="21"/>
        </w:rPr>
        <w:t xml:space="preserve">需将服务器部署在业主单位本地</w:t>
      </w:r>
      <w:r/>
    </w:p>
    <w:p>
      <w:pPr>
        <w:pStyle w:val="1115"/>
        <w:ind w:firstLine="420"/>
        <w:rPr>
          <w:rFonts w:ascii="宋体" w:hAnsi="宋体" w:eastAsia="宋体" w:cs="宋体"/>
          <w:bCs/>
          <w:sz w:val="21"/>
          <w:szCs w:val="21"/>
        </w:rPr>
      </w:pPr>
      <w:r>
        <w:rPr>
          <w:rFonts w:hint="eastAsia" w:ascii="宋体" w:hAnsi="宋体" w:eastAsia="宋体" w:cs="宋体"/>
          <w:bCs/>
          <w:sz w:val="21"/>
          <w:szCs w:val="21"/>
        </w:rPr>
        <w:t xml:space="preserve">本项目采集和生成的各种数据归业主单位掌握，需将服务器部署在业主单位所在地。项目结束后，本项目所有数据均归业主单位所有，服务单位不得挪作他用。</w:t>
      </w:r>
      <w:r/>
    </w:p>
    <w:p>
      <w:pPr>
        <w:pStyle w:val="1115"/>
        <w:ind w:firstLine="420"/>
        <w:rPr>
          <w:rFonts w:ascii="宋体" w:hAnsi="宋体" w:eastAsia="宋体" w:cs="宋体"/>
          <w:sz w:val="21"/>
          <w:szCs w:val="21"/>
        </w:rPr>
      </w:pPr>
      <w:r>
        <w:rPr>
          <w:rFonts w:ascii="宋体" w:hAnsi="宋体" w:eastAsia="宋体" w:cs="宋体"/>
          <w:sz w:val="21"/>
          <w:szCs w:val="21"/>
        </w:rPr>
      </w:r>
      <w:r/>
    </w:p>
    <w:p>
      <w:pPr>
        <w:pStyle w:val="968"/>
      </w:pPr>
      <w:r>
        <w:rPr>
          <w:rFonts w:hint="eastAsia"/>
        </w:rPr>
        <w:t xml:space="preserve">互联网实时路况数据服务</w:t>
      </w:r>
      <w:r/>
    </w:p>
    <w:p>
      <w:pPr>
        <w:pStyle w:val="969"/>
      </w:pPr>
      <w:r/>
      <w:bookmarkStart w:id="238" w:name="_Toc165907953"/>
      <w:r>
        <w:rPr>
          <w:rFonts w:hint="eastAsia"/>
        </w:rPr>
        <w:t xml:space="preserve">实时路况服务</w:t>
      </w:r>
      <w:bookmarkEnd w:id="238"/>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互联网实时交通数据来源于互联网用户数据、地图APP数据，互联网实时交通数据是互联网公司通过自身构建的一套完整体系，基于地理信息技术、计算机技术、网络技术的集成系统。采集交通流中一定比例的正在使用互联网地图产品导航的车辆的定位点位信息，通过后台交通处理中心的实时采集、计算得到的车辆在行驶过程中的时间、位置、速度等数据。后台交通处理中心采集大量的定位车辆点位观测信息进行地图匹配，计算路段旅行速度、时间、拥堵指数等数据。</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该服务是路况渲染、路径ETA推算的底层实时数据支撑。该服务基于采集交通流中一定比例的正在使用互联网地图产品导航的车辆的定位点位信息，通过后台处理中心的实时采集、计算得到的车辆在行驶过程中的时间、位置、速度等数据，最终得到link路段级别的路况服务，包含车速、拥堵程度。</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接口服务满足如下条件：</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1）基于主流互联网地图产品导航软件采集的浮动车数据进行路况计算</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2）数据提供时间间隔：&lt;=2分钟</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3）数据输出形式：互联网接口服务，提供压缩后路况文件。</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4）路况拥堵程度以数值表示，能够区分畅通、缓行、拥堵、严重拥堵等交通状态。</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5）数据范围：太仓市</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6）数据服务方式：按年提供服务</w:t>
      </w:r>
      <w:r/>
    </w:p>
    <w:p>
      <w:pPr>
        <w:pStyle w:val="969"/>
      </w:pPr>
      <w:r/>
      <w:bookmarkStart w:id="239" w:name="_Toc165907954"/>
      <w:r>
        <w:rPr>
          <w:rFonts w:hint="eastAsia"/>
        </w:rPr>
        <w:t xml:space="preserve">交通拥堵指数服务</w:t>
      </w:r>
      <w:bookmarkEnd w:id="239"/>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交通拥堵指数接口是基于底层互联网导航数据并结合算法模型计算的面向交通领域的一套成熟接口服务。基于海量数据样本的优势结合互联网数据的特点可以计算出反应交通拥堵程度与拥堵趋势的结果数据，供交管与交通部门做管理决策。具体接口服务满足如下要求：</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1）交通事件：数据来源于热心用户上报、基于浮动车的互联网大数据分析，更新频率&lt;=2分钟</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2）交通指数：指根据路况数据计算的交通拥堵指数，支持主要道路、核心区、行政区，更新频率&lt;=10分钟</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3）拥堵预警：指根据浮动车大数据计算拥堵持续超过200米+4分钟以上的主干道预警，更新频率&lt;=2分钟</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4）接口服务提供区域：太仓市</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5）数据服务方式：按年提供服务费</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6）拥堵指数输出太仓市范围的主要道路拥堵指数排名（前200条道路排名），包含拥堵指数道路类型、道路名称、道路图形数据。</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7)能够根据业主的要求，支持对拥堵预警策略配置参数的调整。</w:t>
      </w:r>
      <w:r/>
    </w:p>
    <w:p>
      <w:pPr>
        <w:pStyle w:val="970"/>
      </w:pPr>
      <w:r/>
      <w:bookmarkStart w:id="240" w:name="_Toc165907955"/>
      <w:r>
        <w:rPr>
          <w:rFonts w:hint="eastAsia"/>
        </w:rPr>
        <w:t xml:space="preserve">交通事件类</w:t>
      </w:r>
      <w:bookmarkEnd w:id="240"/>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交通事件服务是指利用互联网地图的“新型媒介渠道”，根据出行者计划向其提供由权威单位、用户分享发布的精准、有效的实时交通讯息，通过与路况导航相结合，为其提供智能化的出行计划方案，协助其了解道路沿途的实时交通事情，让出行者出行更明晰，更快捷，让路径的动态尽在其掌控。</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交通事件的来源包括权威交警部门+互联网地图用户的上报。根据交通事件信息查询接口，可查询获取来源交警及地图用户上报有效事件及事件详情信息</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交通事件查询包括按照城市查询，按照任意区域查询。</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城市查询需要支持按照城市行政区划代码、事件类型、来源类型、是否高速事件等输入信息请求交通事件。查询事件返回的内容包括：事件标题、事件预计结束时间、事件描述、事件id、事件类型码、是否高速事件、线路坐标、发布方名称、是否权威发布、事件图片链接、道路名称、事件开始时间、事件最后更新时间、经度坐标、纬度坐标。</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区域查询需要支持按照城市行政区划代码、wkt格式区域、时间类型、事件来源、是否高速事件等输入信息请求交通事件。查询事件返回的内容包括：</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事件类型至少包括：事件标题、事件预计结束时间、事件描述、事件id、事件类型码、是否高速事件、线路坐标、发布方名称、是否权威发布、事件图片链接、道路名称、事件开始时间、事件最后更新时间、经度坐标、纬度坐标。</w:t>
      </w:r>
      <w:r/>
    </w:p>
    <w:p>
      <w:pPr>
        <w:pStyle w:val="970"/>
      </w:pPr>
      <w:r/>
      <w:bookmarkStart w:id="241" w:name="_Toc165907956"/>
      <w:r>
        <w:rPr>
          <w:rFonts w:hint="eastAsia"/>
        </w:rPr>
        <w:t xml:space="preserve">交通指数类</w:t>
      </w:r>
      <w:bookmarkEnd w:id="241"/>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借助于互联网地图积累的海量交通出行数据，以10分钟为颗粒度，计算交通运行指数平均值，评估重点城市下辖三级行政区划及预制自定义区划总体交通运行状态，并根据指数的高低对区划进行实时动态排名。</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拥堵延时指数 TTI(Travel Time Index) 定义为实际出行耗时/自由流条件下的出行耗时，是衡量交通运行状态的指标。TTI指数越高，代表道路越拥堵。该指标从交通出行者的角度出发，以简单易懂的方式表达交通拥堵给出行者带来的时间成本。</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实时区域交通指数，通过输入城市行政区划代码、区级行政区区划代码、区域类型、区域对象ID等内容。查询返回的数据包括：行政区代码、区域对象描述、自由流速度值、区域对象id、拥堵延时指数值、区域对象名称、实时速度值等。</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实时道路指数排行，借助于海量交通出行数据，以10分钟为颗粒度，计算、评估每条道路的交通运行状态，并根据指数的高低对城市道路进行实时动态排名。返回道路的旅行时间、拥堵长度、道路或路段描述、道路对象id、拥堵延时指数值、道路等级、道路名称、实时速度值、道路长度、道路类型等。</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历史区域交通指数，通过请求区域历史时间范围、时间段列表、日期类型、时间粒度、自定义小时、是否聚合、城市行政区划代码等参数，返回城市行政区划代码、城市名称、描述、道路集合长度、计算总长度、拥堵延时指数值、实时速度、自由流速度等数据。</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历史道路交通指数排行，通过请求时间范围、时间段列表、日期类型、时间粒度、自定义小时、城市行政区划代码、道路类型、道路长度、道路等级、区县级行政区代码、道路id、返回条数等，返回对应的对象编号、城市行政区划代码、区县级行政区划代码、对象名称、描述、道路集合长度、计算长度、拥堵延时指数值、实时速度值、自由流速度、旅行时间、道路等级、道路类型等数据。</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城市交通指数详情，通过请求时间范围、时间段列表、日期类型、时间粒度、自定义小时、是否聚合、城市行政区划代码等参数，返回城市行政区划代码、城市名称、描述信息、道路集合长度、计算总长度、拥堵延时指数值、实时速度、自由流速度。</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区域交通指数详情、道路交通指数详情与城市交通指数详情类似，同上。</w:t>
      </w:r>
      <w:r/>
    </w:p>
    <w:p>
      <w:pPr>
        <w:pStyle w:val="970"/>
      </w:pPr>
      <w:r/>
      <w:bookmarkStart w:id="242" w:name="_Toc165907957"/>
      <w:r>
        <w:rPr>
          <w:rFonts w:hint="eastAsia"/>
        </w:rPr>
        <w:t xml:space="preserve">拥堵预警类</w:t>
      </w:r>
      <w:bookmarkEnd w:id="242"/>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基于交通大数据检测的实时拥堵信息，根据历史同时段内拥堵路况发生的概率，将其区分为异常、常规拥堵。调用方可以按照1次/2分钟的频率向互联网服务请求最新符合查询条件的拥堵预警数据（异常、常规拥堵）。</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实时堵点预警服务，通过请求城市区划代码、wkt自定义区域、排序规则（最新、时长、距离）、当前页、每页条数、道路拥堵概率值、拥堵信息类型、拥堵预警距离单位、获取指定时长的拥堵信息、获取指定道路等级等信息，反馈预警的批次时间、拥堵排队方向起点、城市代码、拥堵概率、拥堵信息id、拥堵距离、拥堵持续时间、道路名称、拥堵报出时间、拥堵发生的起点位置、拥堵发生结束终点位置、拥堵长度、道路id、道路类型、路形坐标串、linkid等预警信息。</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历史堵点预警请求同实时堵点预警服务。</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堵点预警详情查询，支持对某个特定拥堵的查询，通过请求拥堵id，返回预警详情信息，包括城市行政区划代码、拥堵率、拥堵距离、持续时间、拥堵开始位置坐标、结束位置坐标、道路名称、道路类型、速度、开始位置经纬度等数据。</w:t>
      </w:r>
      <w:r/>
    </w:p>
    <w:p>
      <w:pPr>
        <w:pStyle w:val="969"/>
      </w:pPr>
      <w:r>
        <w:rPr>
          <w:rFonts w:hint="eastAsia"/>
        </w:rPr>
        <w:t xml:space="preserve">服务模式</w:t>
      </w:r>
      <w:r/>
    </w:p>
    <w:p>
      <w:pPr>
        <w:ind w:firstLine="420"/>
        <w:spacing w:line="372" w:lineRule="auto"/>
        <w:rPr>
          <w:rFonts w:ascii="宋体" w:hAnsi="宋体" w:eastAsia="宋体" w:cs="宋体"/>
          <w:sz w:val="21"/>
          <w:szCs w:val="21"/>
        </w:rPr>
      </w:pPr>
      <w:r>
        <w:rPr>
          <w:rFonts w:hint="eastAsia" w:ascii="宋体" w:hAnsi="宋体" w:eastAsia="宋体" w:cs="宋体"/>
          <w:sz w:val="21"/>
          <w:szCs w:val="21"/>
        </w:rPr>
        <w:t xml:space="preserve">购买第三方互联网数据服务，服务周期为4年。</w:t>
      </w:r>
      <w:r/>
    </w:p>
    <w:p>
      <w:pPr>
        <w:pStyle w:val="968"/>
      </w:pPr>
      <w:r>
        <w:rPr>
          <w:rFonts w:hint="eastAsia"/>
        </w:rPr>
        <w:t xml:space="preserve">数据治理运营驻场服务</w:t>
      </w:r>
      <w:r/>
    </w:p>
    <w:p>
      <w:pPr>
        <w:pStyle w:val="969"/>
      </w:pPr>
      <w:r>
        <w:rPr>
          <w:rFonts w:hint="eastAsia"/>
        </w:rPr>
        <w:t xml:space="preserve">驻场服务内容</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驻场服务期间根据业务方制定的数据规则需求，对数据进行深度清洗、加工、优化，以及数据共享工作。</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当前重点保障的数据深度清洗与加工需求业务应用，包括慧眼平台、车驾管服务总线、高分可视化、重点车管理系统、全息路口数据、违法数据等。</w:t>
      </w:r>
      <w:r/>
    </w:p>
    <w:p>
      <w:pPr>
        <w:ind w:firstLine="420"/>
        <w:spacing w:line="372" w:lineRule="auto"/>
        <w:rPr>
          <w:rFonts w:ascii="宋体" w:hAnsi="宋体" w:eastAsia="宋体" w:cs="宋体"/>
          <w:sz w:val="21"/>
          <w:szCs w:val="21"/>
        </w:rPr>
      </w:pPr>
      <w:r>
        <w:rPr>
          <w:rFonts w:hint="eastAsia" w:ascii="宋体" w:hAnsi="宋体" w:eastAsia="宋体" w:cs="宋体"/>
          <w:sz w:val="21"/>
          <w:szCs w:val="21"/>
          <w:lang w:eastAsia="zh-Hans"/>
        </w:rPr>
        <w:t xml:space="preserve">由于接入的数据具有规模巨大、类型多样、高速流转、复杂多变、质量参差不齐、价值密度高低不一等特点，因此需要进行数据处理提升价值密度，为数据智能应用提供支撑。数据处理是按照接入阶段的数据定义、对杂乱的数据进行处理，提升价值密度，为数据智能应用实现数据增值、数据准备、数据抽象。数据处理主要包含提取、清洗、关联、比对、标识、</w:t>
      </w:r>
      <w:r>
        <w:rPr>
          <w:rFonts w:hint="eastAsia" w:ascii="宋体" w:hAnsi="宋体" w:eastAsia="宋体" w:cs="宋体"/>
          <w:sz w:val="21"/>
          <w:szCs w:val="21"/>
        </w:rPr>
        <w:t xml:space="preserve">分发</w:t>
      </w:r>
      <w:r>
        <w:rPr>
          <w:rFonts w:hint="eastAsia" w:ascii="宋体" w:hAnsi="宋体" w:eastAsia="宋体" w:cs="宋体"/>
          <w:sz w:val="21"/>
          <w:szCs w:val="21"/>
          <w:lang w:eastAsia="zh-Hans"/>
        </w:rPr>
        <w:t xml:space="preserve">等环节，逐步对数据进行萃取，提炼数据价值，并形成对上层提供数据服务的能力。</w:t>
      </w:r>
      <w:r/>
    </w:p>
    <w:p>
      <w:pPr>
        <w:pStyle w:val="969"/>
      </w:pPr>
      <w:r>
        <w:rPr>
          <w:rFonts w:hint="eastAsia"/>
        </w:rPr>
        <w:t xml:space="preserve">驻场服务要求</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主要工作内容有现场运维服务、数据分析服务、技术支持服务、保障数据质量管理服务、数据共享管理服务、编写运维报告及信息归档等，详细工作内容如下：</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1、数据治理平台、数据资产平台、服务器基础环境、网络的日常巡检、维护升级工作；</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2、日常治理任务巡检、定期（季度）和不定期进行数据质量核查，以及开展数据质量专题汇报工作；</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3、及时响应业主新的数据需求，并完成数据接入，以及大队内、外部数据需求等；</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4、协助业主进行数据分析，为业务方提供数据接口支持服务，并协助业务方的完成数据申请、审批，确保数据接口共享安全；</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5、收集数据来源、去向、用途、字典、数据血缘等相关信息，并形成在案文档，为后续持续应用建设做好准备工作。</w:t>
      </w:r>
      <w:r/>
    </w:p>
    <w:p>
      <w:pPr>
        <w:pStyle w:val="969"/>
      </w:pPr>
      <w:r>
        <w:rPr>
          <w:rFonts w:hint="eastAsia"/>
        </w:rPr>
        <w:t xml:space="preserve">驻场服务考核</w:t>
      </w:r>
      <w:r/>
    </w:p>
    <w:p>
      <w:pPr>
        <w:ind w:firstLine="420"/>
        <w:spacing w:line="372" w:lineRule="auto"/>
        <w:rPr>
          <w:rFonts w:ascii="宋体" w:hAnsi="宋体" w:eastAsia="宋体" w:cs="宋体"/>
          <w:sz w:val="21"/>
          <w:szCs w:val="21"/>
          <w:lang w:eastAsia="zh-Hans"/>
        </w:rPr>
      </w:pPr>
      <w:r>
        <w:rPr>
          <w:rFonts w:hint="eastAsia" w:ascii="宋体" w:hAnsi="宋体" w:eastAsia="宋体" w:cs="宋体"/>
          <w:sz w:val="21"/>
          <w:szCs w:val="21"/>
          <w:lang w:eastAsia="zh-Hans"/>
        </w:rPr>
        <w:t xml:space="preserve">注：评分总分10分，6分及格，7-8分良好，9分以上优秀。</w:t>
      </w:r>
      <w:r/>
    </w:p>
    <w:tbl>
      <w:tblPr>
        <w:tblStyle w:val="1054"/>
        <w:tblW w:w="836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2"/>
        <w:gridCol w:w="1452"/>
        <w:gridCol w:w="5654"/>
        <w:gridCol w:w="637"/>
      </w:tblGrid>
      <w:tr>
        <w:trPr/>
        <w:tc>
          <w:tcPr>
            <w:tcW w:w="622" w:type="dxa"/>
            <w:vAlign w:val="center"/>
            <w:textDirection w:val="lrTb"/>
            <w:noWrap w:val="false"/>
          </w:tcPr>
          <w:p>
            <w:pPr>
              <w:pStyle w:val="988"/>
              <w:ind w:firstLine="0"/>
              <w:jc w:val="left"/>
              <w:spacing w:line="360" w:lineRule="auto"/>
              <w:rPr>
                <w:rFonts w:ascii="宋体" w:hAnsi="宋体" w:eastAsia="宋体"/>
                <w:b/>
                <w:bCs/>
                <w:sz w:val="15"/>
                <w:szCs w:val="15"/>
              </w:rPr>
            </w:pPr>
            <w:r>
              <w:rPr>
                <w:rFonts w:hint="eastAsia" w:ascii="宋体" w:hAnsi="宋体" w:eastAsia="宋体"/>
                <w:b/>
                <w:bCs/>
                <w:sz w:val="15"/>
                <w:szCs w:val="15"/>
              </w:rPr>
              <w:t xml:space="preserve">序号</w:t>
            </w:r>
            <w:r/>
          </w:p>
        </w:tc>
        <w:tc>
          <w:tcPr>
            <w:tcW w:w="1452" w:type="dxa"/>
            <w:vAlign w:val="center"/>
            <w:textDirection w:val="lrTb"/>
            <w:noWrap w:val="false"/>
          </w:tcPr>
          <w:p>
            <w:pPr>
              <w:pStyle w:val="988"/>
              <w:ind w:firstLine="0"/>
              <w:jc w:val="left"/>
              <w:spacing w:line="360" w:lineRule="auto"/>
              <w:rPr>
                <w:rFonts w:ascii="宋体" w:hAnsi="宋体" w:eastAsia="宋体"/>
                <w:b/>
                <w:bCs/>
                <w:sz w:val="15"/>
                <w:szCs w:val="15"/>
              </w:rPr>
            </w:pPr>
            <w:r>
              <w:rPr>
                <w:rFonts w:hint="eastAsia" w:ascii="宋体" w:hAnsi="宋体" w:eastAsia="宋体"/>
                <w:b/>
                <w:bCs/>
                <w:sz w:val="15"/>
                <w:szCs w:val="15"/>
              </w:rPr>
              <w:t xml:space="preserve">考核内容</w:t>
            </w:r>
            <w:r/>
          </w:p>
        </w:tc>
        <w:tc>
          <w:tcPr>
            <w:tcW w:w="5654" w:type="dxa"/>
            <w:vAlign w:val="center"/>
            <w:textDirection w:val="lrTb"/>
            <w:noWrap w:val="false"/>
          </w:tcPr>
          <w:p>
            <w:pPr>
              <w:pStyle w:val="988"/>
              <w:ind w:firstLine="0"/>
              <w:jc w:val="left"/>
              <w:spacing w:line="360" w:lineRule="auto"/>
              <w:rPr>
                <w:rFonts w:ascii="宋体" w:hAnsi="宋体" w:eastAsia="宋体"/>
                <w:b/>
                <w:bCs/>
                <w:sz w:val="15"/>
                <w:szCs w:val="15"/>
              </w:rPr>
            </w:pPr>
            <w:r>
              <w:rPr>
                <w:rFonts w:hint="eastAsia" w:ascii="宋体" w:hAnsi="宋体" w:eastAsia="宋体"/>
                <w:b/>
                <w:bCs/>
                <w:sz w:val="15"/>
                <w:szCs w:val="15"/>
              </w:rPr>
              <w:t xml:space="preserve">考核规则</w:t>
            </w:r>
            <w:r/>
          </w:p>
        </w:tc>
        <w:tc>
          <w:tcPr>
            <w:tcW w:w="637" w:type="dxa"/>
            <w:vAlign w:val="center"/>
            <w:textDirection w:val="lrTb"/>
            <w:noWrap w:val="false"/>
          </w:tcPr>
          <w:p>
            <w:pPr>
              <w:pStyle w:val="988"/>
              <w:ind w:firstLine="0"/>
              <w:jc w:val="left"/>
              <w:spacing w:line="360" w:lineRule="auto"/>
              <w:rPr>
                <w:rFonts w:ascii="宋体" w:hAnsi="宋体" w:eastAsia="宋体"/>
                <w:b/>
                <w:bCs/>
                <w:sz w:val="15"/>
                <w:szCs w:val="15"/>
              </w:rPr>
            </w:pPr>
            <w:r>
              <w:rPr>
                <w:rFonts w:hint="eastAsia" w:ascii="宋体" w:hAnsi="宋体" w:eastAsia="宋体"/>
                <w:b/>
                <w:bCs/>
                <w:sz w:val="15"/>
                <w:szCs w:val="15"/>
              </w:rPr>
              <w:t xml:space="preserve">评分</w:t>
            </w:r>
            <w:r/>
          </w:p>
        </w:tc>
      </w:tr>
      <w:tr>
        <w:trPr/>
        <w:tc>
          <w:tcPr>
            <w:tcW w:w="622" w:type="dxa"/>
            <w:vAlign w:val="center"/>
            <w:textDirection w:val="lrTb"/>
            <w:noWrap w:val="false"/>
          </w:tcPr>
          <w:p>
            <w:pPr>
              <w:pStyle w:val="988"/>
              <w:ind w:firstLine="0"/>
              <w:jc w:val="left"/>
              <w:spacing w:line="360" w:lineRule="auto"/>
              <w:rPr>
                <w:rFonts w:ascii="宋体" w:hAnsi="宋体" w:eastAsia="宋体" w:cs="宋体"/>
                <w:sz w:val="15"/>
                <w:szCs w:val="15"/>
              </w:rPr>
            </w:pPr>
            <w:r>
              <w:rPr>
                <w:rFonts w:hint="eastAsia" w:ascii="宋体" w:hAnsi="宋体" w:eastAsia="宋体" w:cs="宋体"/>
                <w:sz w:val="15"/>
                <w:szCs w:val="15"/>
              </w:rPr>
              <w:t xml:space="preserve">1</w:t>
            </w:r>
            <w:r/>
          </w:p>
        </w:tc>
        <w:tc>
          <w:tcPr>
            <w:tcW w:w="1452" w:type="dxa"/>
            <w:vAlign w:val="center"/>
            <w:textDirection w:val="lrTb"/>
            <w:noWrap w:val="false"/>
          </w:tcPr>
          <w:p>
            <w:pPr>
              <w:pStyle w:val="988"/>
              <w:ind w:firstLine="0"/>
              <w:jc w:val="left"/>
              <w:spacing w:line="360" w:lineRule="auto"/>
              <w:rPr>
                <w:rFonts w:ascii="宋体" w:hAnsi="宋体" w:eastAsia="宋体"/>
                <w:sz w:val="15"/>
                <w:szCs w:val="15"/>
              </w:rPr>
            </w:pPr>
            <w:r/>
            <w:bookmarkStart w:id="243" w:name="_Toc25342"/>
            <w:r>
              <w:rPr>
                <w:rFonts w:hint="eastAsia" w:ascii="宋体" w:hAnsi="宋体" w:eastAsia="宋体" w:cs="宋体"/>
                <w:sz w:val="15"/>
                <w:szCs w:val="15"/>
                <w:lang w:eastAsia="zh-Hans"/>
              </w:rPr>
              <w:t xml:space="preserve">服务响应</w:t>
            </w:r>
            <w:bookmarkEnd w:id="243"/>
            <w:r>
              <w:rPr>
                <w:rFonts w:hint="eastAsia" w:ascii="宋体" w:hAnsi="宋体" w:eastAsia="宋体" w:cs="宋体"/>
                <w:sz w:val="15"/>
                <w:szCs w:val="15"/>
                <w:lang w:eastAsia="zh-Hans"/>
              </w:rPr>
              <w:t xml:space="preserve">时间</w:t>
            </w:r>
            <w:r/>
          </w:p>
        </w:tc>
        <w:tc>
          <w:tcPr>
            <w:tcW w:w="5654" w:type="dxa"/>
            <w:vAlign w:val="center"/>
            <w:textDirection w:val="lrTb"/>
            <w:noWrap w:val="false"/>
          </w:tcPr>
          <w:p>
            <w:pPr>
              <w:pStyle w:val="988"/>
              <w:ind w:firstLine="0"/>
              <w:jc w:val="left"/>
              <w:spacing w:line="360" w:lineRule="auto"/>
              <w:rPr>
                <w:rFonts w:ascii="宋体" w:hAnsi="宋体" w:eastAsia="宋体" w:cs="宋体"/>
                <w:sz w:val="15"/>
                <w:szCs w:val="15"/>
              </w:rPr>
            </w:pPr>
            <w:r>
              <w:rPr>
                <w:rFonts w:hint="eastAsia" w:ascii="宋体" w:hAnsi="宋体" w:eastAsia="宋体" w:cs="宋体"/>
                <w:sz w:val="15"/>
                <w:szCs w:val="15"/>
                <w:lang w:eastAsia="zh-Hans"/>
              </w:rPr>
              <w:t xml:space="preserve">（</w:t>
            </w:r>
            <w:r>
              <w:rPr>
                <w:rFonts w:hint="eastAsia" w:ascii="宋体" w:hAnsi="宋体" w:eastAsia="宋体" w:cs="宋体"/>
                <w:sz w:val="15"/>
                <w:szCs w:val="15"/>
              </w:rPr>
              <w:t xml:space="preserve">1</w:t>
            </w:r>
            <w:r>
              <w:rPr>
                <w:rFonts w:hint="eastAsia" w:ascii="宋体" w:hAnsi="宋体" w:eastAsia="宋体" w:cs="宋体"/>
                <w:sz w:val="15"/>
                <w:szCs w:val="15"/>
                <w:lang w:eastAsia="zh-Hans"/>
              </w:rPr>
              <w:t xml:space="preserve">）一般故障</w:t>
            </w:r>
            <w:r>
              <w:rPr>
                <w:rFonts w:ascii="宋体" w:hAnsi="宋体" w:eastAsia="宋体" w:cs="宋体"/>
                <w:sz w:val="15"/>
                <w:szCs w:val="15"/>
                <w:lang w:eastAsia="zh-Hans"/>
              </w:rPr>
              <w:t xml:space="preserve">30分钟内响应</w:t>
            </w:r>
            <w:r>
              <w:rPr>
                <w:rFonts w:hint="eastAsia" w:ascii="宋体" w:hAnsi="宋体" w:eastAsia="宋体" w:cs="宋体"/>
                <w:sz w:val="15"/>
                <w:szCs w:val="15"/>
                <w:lang w:eastAsia="zh-Hans"/>
              </w:rPr>
              <w:t xml:space="preserve">，</w:t>
            </w:r>
            <w:r>
              <w:rPr>
                <w:rFonts w:ascii="宋体" w:hAnsi="宋体" w:eastAsia="宋体" w:cs="宋体"/>
                <w:sz w:val="15"/>
                <w:szCs w:val="15"/>
                <w:lang w:eastAsia="zh-Hans"/>
              </w:rPr>
              <w:t xml:space="preserve">1小时内现场</w:t>
            </w:r>
            <w:r>
              <w:rPr>
                <w:rFonts w:hint="eastAsia" w:ascii="宋体" w:hAnsi="宋体" w:eastAsia="宋体" w:cs="宋体"/>
                <w:sz w:val="15"/>
                <w:szCs w:val="15"/>
                <w:lang w:eastAsia="zh-Hans"/>
              </w:rPr>
              <w:t xml:space="preserve">服务；</w:t>
            </w:r>
            <w:r/>
          </w:p>
          <w:p>
            <w:pPr>
              <w:pStyle w:val="988"/>
              <w:ind w:firstLine="0"/>
              <w:jc w:val="left"/>
              <w:spacing w:line="360" w:lineRule="auto"/>
              <w:rPr>
                <w:rFonts w:ascii="宋体" w:hAnsi="宋体" w:eastAsia="宋体" w:cs="宋体"/>
                <w:sz w:val="15"/>
                <w:szCs w:val="15"/>
              </w:rPr>
            </w:pPr>
            <w:r>
              <w:rPr>
                <w:rFonts w:hint="eastAsia" w:ascii="宋体" w:hAnsi="宋体" w:eastAsia="宋体" w:cs="宋体"/>
                <w:sz w:val="15"/>
                <w:szCs w:val="15"/>
              </w:rPr>
              <w:t xml:space="preserve">（2）</w:t>
            </w:r>
            <w:r>
              <w:rPr>
                <w:rFonts w:ascii="宋体" w:hAnsi="宋体" w:eastAsia="宋体" w:cs="宋体"/>
                <w:sz w:val="15"/>
                <w:szCs w:val="15"/>
                <w:lang w:eastAsia="zh-Hans"/>
              </w:rPr>
              <w:t xml:space="preserve">重大故障10分钟内响应，20分钟内现场服务，4个小时内解决问题</w:t>
            </w:r>
            <w:r>
              <w:rPr>
                <w:rFonts w:hint="eastAsia" w:ascii="宋体" w:hAnsi="宋体" w:eastAsia="宋体" w:cs="宋体"/>
                <w:sz w:val="15"/>
                <w:szCs w:val="15"/>
                <w:lang w:eastAsia="zh-Hans"/>
              </w:rPr>
              <w:t xml:space="preserve">；</w:t>
            </w:r>
            <w:r/>
          </w:p>
        </w:tc>
        <w:tc>
          <w:tcPr>
            <w:tcW w:w="637" w:type="dxa"/>
            <w:vAlign w:val="center"/>
            <w:textDirection w:val="lrTb"/>
            <w:noWrap w:val="false"/>
          </w:tcPr>
          <w:p>
            <w:pPr>
              <w:pStyle w:val="988"/>
              <w:ind w:firstLine="0"/>
              <w:jc w:val="left"/>
              <w:spacing w:line="360" w:lineRule="auto"/>
              <w:rPr>
                <w:rFonts w:ascii="HONOR Sans Design Demibold" w:hAnsi="HONOR Sans Design Demibold" w:eastAsia="HONOR Sans Design Demibold"/>
                <w:sz w:val="15"/>
                <w:szCs w:val="15"/>
              </w:rPr>
            </w:pPr>
            <w:r>
              <w:rPr>
                <w:rFonts w:ascii="HONOR Sans Design Demibold" w:hAnsi="HONOR Sans Design Demibold" w:eastAsia="HONOR Sans Design Demibold"/>
                <w:sz w:val="15"/>
                <w:szCs w:val="15"/>
              </w:rPr>
            </w:r>
            <w:r/>
          </w:p>
        </w:tc>
      </w:tr>
      <w:tr>
        <w:trPr/>
        <w:tc>
          <w:tcPr>
            <w:tcW w:w="622" w:type="dxa"/>
            <w:vAlign w:val="center"/>
            <w:textDirection w:val="lrTb"/>
            <w:noWrap w:val="false"/>
          </w:tcPr>
          <w:p>
            <w:pPr>
              <w:pStyle w:val="988"/>
              <w:ind w:firstLine="0"/>
              <w:jc w:val="left"/>
              <w:spacing w:line="360" w:lineRule="auto"/>
              <w:rPr>
                <w:rFonts w:ascii="宋体" w:hAnsi="宋体" w:eastAsia="宋体" w:cs="宋体"/>
                <w:sz w:val="15"/>
                <w:szCs w:val="15"/>
              </w:rPr>
            </w:pPr>
            <w:r>
              <w:rPr>
                <w:rFonts w:hint="eastAsia" w:ascii="宋体" w:hAnsi="宋体" w:eastAsia="宋体" w:cs="宋体"/>
                <w:sz w:val="15"/>
                <w:szCs w:val="15"/>
              </w:rPr>
              <w:t xml:space="preserve">2</w:t>
            </w:r>
            <w:r/>
          </w:p>
        </w:tc>
        <w:tc>
          <w:tcPr>
            <w:tcW w:w="1452" w:type="dxa"/>
            <w:vAlign w:val="center"/>
            <w:textDirection w:val="lrTb"/>
            <w:noWrap w:val="false"/>
          </w:tcPr>
          <w:p>
            <w:pPr>
              <w:pStyle w:val="988"/>
              <w:ind w:firstLine="0"/>
              <w:jc w:val="left"/>
              <w:spacing w:line="360" w:lineRule="auto"/>
              <w:rPr>
                <w:rFonts w:ascii="宋体" w:hAnsi="宋体" w:eastAsia="宋体"/>
                <w:sz w:val="15"/>
                <w:szCs w:val="15"/>
              </w:rPr>
            </w:pPr>
            <w:r>
              <w:rPr>
                <w:rFonts w:hint="eastAsia" w:ascii="宋体" w:hAnsi="宋体" w:eastAsia="宋体" w:cs="宋体"/>
                <w:sz w:val="15"/>
                <w:szCs w:val="15"/>
                <w:lang w:eastAsia="zh-Hans"/>
              </w:rPr>
              <w:t xml:space="preserve">服务满意度</w:t>
            </w:r>
            <w:r/>
          </w:p>
        </w:tc>
        <w:tc>
          <w:tcPr>
            <w:tcW w:w="5654" w:type="dxa"/>
            <w:vAlign w:val="center"/>
            <w:textDirection w:val="lrTb"/>
            <w:noWrap w:val="false"/>
          </w:tcPr>
          <w:p>
            <w:pPr>
              <w:pStyle w:val="988"/>
              <w:ind w:firstLine="0"/>
              <w:jc w:val="left"/>
              <w:spacing w:line="360" w:lineRule="auto"/>
              <w:rPr>
                <w:rFonts w:ascii="宋体" w:hAnsi="宋体" w:eastAsia="宋体"/>
                <w:sz w:val="15"/>
                <w:szCs w:val="15"/>
              </w:rPr>
            </w:pPr>
            <w:r>
              <w:rPr>
                <w:rFonts w:hint="eastAsia" w:ascii="宋体" w:hAnsi="宋体" w:eastAsia="宋体"/>
                <w:sz w:val="15"/>
                <w:szCs w:val="15"/>
              </w:rPr>
              <w:t xml:space="preserve">针对服务态度、反应度和沟通能力进行评分</w:t>
            </w:r>
            <w:r/>
          </w:p>
        </w:tc>
        <w:tc>
          <w:tcPr>
            <w:tcW w:w="637" w:type="dxa"/>
            <w:vAlign w:val="center"/>
            <w:textDirection w:val="lrTb"/>
            <w:noWrap w:val="false"/>
          </w:tcPr>
          <w:p>
            <w:pPr>
              <w:pStyle w:val="988"/>
              <w:ind w:firstLine="0"/>
              <w:jc w:val="left"/>
              <w:spacing w:line="360" w:lineRule="auto"/>
              <w:rPr>
                <w:rFonts w:ascii="HONOR Sans Design Demibold" w:hAnsi="HONOR Sans Design Demibold" w:eastAsia="HONOR Sans Design Demibold"/>
                <w:sz w:val="15"/>
                <w:szCs w:val="15"/>
              </w:rPr>
            </w:pPr>
            <w:r>
              <w:rPr>
                <w:rFonts w:ascii="HONOR Sans Design Demibold" w:hAnsi="HONOR Sans Design Demibold" w:eastAsia="HONOR Sans Design Demibold"/>
                <w:sz w:val="15"/>
                <w:szCs w:val="15"/>
              </w:rPr>
            </w:r>
            <w:r/>
          </w:p>
        </w:tc>
      </w:tr>
      <w:tr>
        <w:trPr/>
        <w:tc>
          <w:tcPr>
            <w:tcW w:w="622" w:type="dxa"/>
            <w:vAlign w:val="center"/>
            <w:textDirection w:val="lrTb"/>
            <w:noWrap w:val="false"/>
          </w:tcPr>
          <w:p>
            <w:pPr>
              <w:pStyle w:val="988"/>
              <w:ind w:firstLine="0"/>
              <w:jc w:val="left"/>
              <w:spacing w:line="360" w:lineRule="auto"/>
              <w:rPr>
                <w:rFonts w:ascii="宋体" w:hAnsi="宋体" w:eastAsia="宋体" w:cs="宋体"/>
                <w:sz w:val="15"/>
                <w:szCs w:val="15"/>
              </w:rPr>
            </w:pPr>
            <w:r>
              <w:rPr>
                <w:rFonts w:hint="eastAsia" w:ascii="宋体" w:hAnsi="宋体" w:eastAsia="宋体" w:cs="宋体"/>
                <w:sz w:val="15"/>
                <w:szCs w:val="15"/>
              </w:rPr>
              <w:t xml:space="preserve">3</w:t>
            </w:r>
            <w:r/>
          </w:p>
        </w:tc>
        <w:tc>
          <w:tcPr>
            <w:tcW w:w="1452" w:type="dxa"/>
            <w:vAlign w:val="center"/>
            <w:textDirection w:val="lrTb"/>
            <w:noWrap w:val="false"/>
          </w:tcPr>
          <w:p>
            <w:pPr>
              <w:pStyle w:val="988"/>
              <w:ind w:firstLine="0"/>
              <w:jc w:val="left"/>
              <w:spacing w:line="360" w:lineRule="auto"/>
              <w:rPr>
                <w:rFonts w:ascii="宋体" w:hAnsi="宋体" w:eastAsia="宋体"/>
                <w:sz w:val="15"/>
                <w:szCs w:val="15"/>
              </w:rPr>
            </w:pPr>
            <w:r>
              <w:rPr>
                <w:rFonts w:hint="eastAsia" w:ascii="宋体" w:hAnsi="宋体" w:eastAsia="宋体" w:cs="宋体"/>
                <w:sz w:val="15"/>
                <w:szCs w:val="15"/>
                <w:lang w:eastAsia="zh-Hans"/>
              </w:rPr>
              <w:t xml:space="preserve">工作完成质量</w:t>
            </w:r>
            <w:r/>
          </w:p>
        </w:tc>
        <w:tc>
          <w:tcPr>
            <w:tcW w:w="5654" w:type="dxa"/>
            <w:vAlign w:val="center"/>
            <w:textDirection w:val="lrTb"/>
            <w:noWrap w:val="false"/>
          </w:tcPr>
          <w:p>
            <w:pPr>
              <w:pStyle w:val="988"/>
              <w:ind w:firstLine="0"/>
              <w:jc w:val="left"/>
              <w:spacing w:line="360" w:lineRule="auto"/>
              <w:rPr>
                <w:rFonts w:ascii="宋体" w:hAnsi="宋体" w:eastAsia="宋体"/>
                <w:sz w:val="15"/>
                <w:szCs w:val="15"/>
              </w:rPr>
            </w:pPr>
            <w:r>
              <w:rPr>
                <w:rFonts w:hint="eastAsia" w:ascii="宋体" w:hAnsi="宋体" w:eastAsia="宋体"/>
                <w:sz w:val="15"/>
                <w:szCs w:val="15"/>
              </w:rPr>
              <w:t xml:space="preserve">针对工作完成的内容、专业度进行评分</w:t>
            </w:r>
            <w:r/>
          </w:p>
        </w:tc>
        <w:tc>
          <w:tcPr>
            <w:tcW w:w="637" w:type="dxa"/>
            <w:vAlign w:val="center"/>
            <w:textDirection w:val="lrTb"/>
            <w:noWrap w:val="false"/>
          </w:tcPr>
          <w:p>
            <w:pPr>
              <w:pStyle w:val="988"/>
              <w:ind w:firstLine="0"/>
              <w:jc w:val="left"/>
              <w:spacing w:line="360" w:lineRule="auto"/>
              <w:rPr>
                <w:rFonts w:ascii="HONOR Sans Design Demibold" w:hAnsi="HONOR Sans Design Demibold" w:eastAsia="HONOR Sans Design Demibold"/>
                <w:sz w:val="15"/>
                <w:szCs w:val="15"/>
              </w:rPr>
            </w:pPr>
            <w:r>
              <w:rPr>
                <w:rFonts w:ascii="HONOR Sans Design Demibold" w:hAnsi="HONOR Sans Design Demibold" w:eastAsia="HONOR Sans Design Demibold"/>
                <w:sz w:val="15"/>
                <w:szCs w:val="15"/>
              </w:rPr>
            </w:r>
            <w:r/>
          </w:p>
        </w:tc>
      </w:tr>
    </w:tbl>
    <w:p>
      <w:pPr>
        <w:ind w:firstLine="0"/>
        <w:spacing w:line="372" w:lineRule="auto"/>
        <w:rPr>
          <w:rFonts w:ascii="宋体" w:hAnsi="宋体" w:eastAsia="宋体" w:cs="宋体"/>
          <w:sz w:val="21"/>
          <w:szCs w:val="21"/>
        </w:rPr>
      </w:pPr>
      <w:r>
        <w:rPr>
          <w:rFonts w:hint="eastAsia" w:ascii="HONOR Sans Design Demibold" w:hAnsi="HONOR Sans Design Demibold" w:eastAsia="HONOR Sans Design Demibold"/>
          <w:sz w:val="30"/>
          <w:szCs w:val="30"/>
        </w:rPr>
        <w:t xml:space="preserve">                     </w:t>
      </w:r>
      <w:r/>
    </w:p>
    <w:p>
      <w:pPr>
        <w:pStyle w:val="968"/>
      </w:pPr>
      <w:r>
        <w:rPr>
          <w:rFonts w:hint="eastAsia"/>
        </w:rPr>
        <w:t xml:space="preserve">风控驻场服务</w:t>
      </w:r>
      <w:r/>
    </w:p>
    <w:p>
      <w:pPr>
        <w:pStyle w:val="969"/>
      </w:pPr>
      <w:r>
        <w:rPr>
          <w:rFonts w:hint="eastAsia"/>
        </w:rPr>
        <w:t xml:space="preserve">交通安全管理基础数据治理</w:t>
      </w:r>
      <w:r/>
    </w:p>
    <w:p>
      <w:pPr>
        <w:pStyle w:val="970"/>
      </w:pPr>
      <w:r>
        <w:rPr>
          <w:rFonts w:hint="eastAsia"/>
        </w:rPr>
        <w:t xml:space="preserve">开展道路基础数据质量提升</w:t>
      </w:r>
      <w:r/>
    </w:p>
    <w:p>
      <w:pPr>
        <w:pStyle w:val="1112"/>
        <w:ind w:firstLine="420"/>
        <w:rPr>
          <w:rFonts w:eastAsia="宋体"/>
          <w:sz w:val="21"/>
          <w:szCs w:val="21"/>
        </w:rPr>
      </w:pPr>
      <w:r>
        <w:rPr>
          <w:rFonts w:hint="eastAsia" w:eastAsia="宋体"/>
          <w:sz w:val="21"/>
          <w:szCs w:val="21"/>
        </w:rPr>
        <w:t xml:space="preserve">1）道路基础数据采集与维护。采集太仓市中队、农村片区、警格等边界数据，全面采集太仓市地面道路图形数据，形成太仓市电子地图，补充采集农村道路，对道路图形数据常态化维护，并全面采集道路路段、路口属性数据，构建太仓市交通安全管理道路基础数据库。</w:t>
      </w:r>
      <w:r/>
    </w:p>
    <w:p>
      <w:pPr>
        <w:pStyle w:val="1112"/>
        <w:ind w:firstLine="420"/>
        <w:rPr>
          <w:rFonts w:eastAsia="宋体"/>
          <w:sz w:val="21"/>
          <w:szCs w:val="21"/>
        </w:rPr>
      </w:pPr>
      <w:r>
        <w:rPr>
          <w:rFonts w:hint="eastAsia" w:eastAsia="宋体"/>
          <w:sz w:val="21"/>
          <w:szCs w:val="21"/>
        </w:rPr>
        <w:t xml:space="preserve">2）六合一道路数据治理。对太仓市六合一道路数据进行存量检查，问题道路修改，缺失数据更新补充。</w:t>
      </w:r>
      <w:r/>
    </w:p>
    <w:p>
      <w:pPr>
        <w:pStyle w:val="970"/>
      </w:pPr>
      <w:r>
        <w:rPr>
          <w:rFonts w:hint="eastAsia"/>
        </w:rPr>
        <w:t xml:space="preserve">开展业务数据质量提升</w:t>
      </w:r>
      <w:r/>
    </w:p>
    <w:p>
      <w:pPr>
        <w:pStyle w:val="1112"/>
        <w:ind w:firstLine="420"/>
        <w:rPr>
          <w:rFonts w:eastAsia="宋体"/>
          <w:sz w:val="21"/>
          <w:szCs w:val="21"/>
        </w:rPr>
      </w:pPr>
      <w:r>
        <w:rPr>
          <w:rFonts w:hint="eastAsia" w:eastAsia="宋体"/>
          <w:sz w:val="21"/>
          <w:szCs w:val="21"/>
        </w:rPr>
        <w:t xml:space="preserve">1）事故与违法地点规范化记录。建立事故与违法质量检查机制，常态化统计事故与违法定位率，跟踪并提升事故与违法地点质量。定期对中队民警进行规范培训，收集使用反馈。</w:t>
      </w:r>
      <w:r/>
    </w:p>
    <w:p>
      <w:pPr>
        <w:pStyle w:val="1112"/>
        <w:ind w:firstLine="420"/>
        <w:rPr>
          <w:rFonts w:eastAsia="宋体"/>
          <w:sz w:val="21"/>
          <w:szCs w:val="21"/>
        </w:rPr>
      </w:pPr>
      <w:r>
        <w:rPr>
          <w:rFonts w:hint="eastAsia" w:eastAsia="宋体"/>
          <w:sz w:val="21"/>
          <w:szCs w:val="21"/>
        </w:rPr>
        <w:t xml:space="preserve">2）事故数据基础信息质量提升。梳理事故认定原因分类、事故认定原因等事故重要分析要素，对数据完整性、准确性进行源头监管，并制定事故数据采集规则，每月分析事故字段数据问题。</w:t>
      </w:r>
      <w:r/>
    </w:p>
    <w:p>
      <w:pPr>
        <w:pStyle w:val="969"/>
      </w:pPr>
      <w:r>
        <w:rPr>
          <w:rFonts w:hint="eastAsia"/>
        </w:rPr>
        <w:t xml:space="preserve">交通安全评估</w:t>
      </w:r>
      <w:r/>
    </w:p>
    <w:p>
      <w:pPr>
        <w:pStyle w:val="970"/>
      </w:pPr>
      <w:r>
        <w:rPr>
          <w:rFonts w:hint="eastAsia"/>
        </w:rPr>
        <w:t xml:space="preserve">常规事故分析研判</w:t>
      </w:r>
      <w:r/>
    </w:p>
    <w:p>
      <w:pPr>
        <w:pStyle w:val="1112"/>
        <w:ind w:firstLine="420"/>
        <w:rPr>
          <w:rFonts w:eastAsia="宋体"/>
          <w:sz w:val="21"/>
          <w:szCs w:val="21"/>
        </w:rPr>
      </w:pPr>
      <w:r>
        <w:rPr>
          <w:rFonts w:hint="eastAsia" w:eastAsia="宋体"/>
          <w:sz w:val="21"/>
          <w:szCs w:val="21"/>
        </w:rPr>
        <w:t xml:space="preserve">1）开展“周-月-季度-半年度-年度”安全分析研判。开展“周-月-季度-半年度-年度”常规事故分析研判工作，结合风险防控平台形成报告，为交警大队日常管理工作明确重点及提供具体措施。</w:t>
      </w:r>
      <w:r/>
    </w:p>
    <w:p>
      <w:pPr>
        <w:pStyle w:val="1112"/>
        <w:ind w:firstLine="420"/>
        <w:rPr>
          <w:rFonts w:eastAsia="宋体"/>
          <w:sz w:val="21"/>
          <w:szCs w:val="21"/>
        </w:rPr>
      </w:pPr>
      <w:r>
        <w:rPr>
          <w:rFonts w:hint="eastAsia" w:eastAsia="宋体"/>
          <w:sz w:val="21"/>
          <w:szCs w:val="21"/>
        </w:rPr>
        <w:t xml:space="preserve">2）开展“重大节假日”安全分析研判。开展春运、清明、五一、端午、中秋、国庆”等重大节假日研判预警及隐患排查工作，结合风险防控平台形成报告，协助太仓大队精准研判假期风险隐患及提供精细化应对措施。</w:t>
      </w:r>
      <w:r/>
    </w:p>
    <w:p>
      <w:pPr>
        <w:pStyle w:val="970"/>
      </w:pPr>
      <w:r>
        <w:rPr>
          <w:rFonts w:hint="eastAsia"/>
        </w:rPr>
        <w:t xml:space="preserve">重点问题专题分析研判</w:t>
      </w:r>
      <w:r/>
    </w:p>
    <w:p>
      <w:pPr>
        <w:pStyle w:val="1112"/>
        <w:ind w:firstLine="420"/>
        <w:rPr>
          <w:rFonts w:eastAsia="宋体"/>
          <w:sz w:val="21"/>
          <w:szCs w:val="21"/>
        </w:rPr>
      </w:pPr>
      <w:r>
        <w:rPr>
          <w:rFonts w:hint="eastAsia" w:eastAsia="宋体"/>
          <w:sz w:val="21"/>
          <w:szCs w:val="21"/>
        </w:rPr>
        <w:t xml:space="preserve">根据太仓大队阶段性工作重点与交通事故分析研判发现的重点问题，针对性的开展专题分析，提出对策建议，形成专题分析报告，为道路交通安全管理提供决策支持。</w:t>
      </w:r>
      <w:r/>
    </w:p>
    <w:p>
      <w:pPr>
        <w:pStyle w:val="969"/>
      </w:pPr>
      <w:r>
        <w:rPr>
          <w:rFonts w:hint="eastAsia"/>
        </w:rPr>
        <w:t xml:space="preserve">事故深度调查</w:t>
      </w:r>
      <w:r/>
    </w:p>
    <w:p>
      <w:pPr>
        <w:pStyle w:val="1112"/>
        <w:ind w:firstLine="420"/>
        <w:rPr>
          <w:rFonts w:eastAsia="宋体"/>
          <w:sz w:val="21"/>
          <w:szCs w:val="21"/>
        </w:rPr>
      </w:pPr>
      <w:r>
        <w:rPr>
          <w:rFonts w:hint="eastAsia" w:eastAsia="宋体"/>
          <w:sz w:val="21"/>
          <w:szCs w:val="21"/>
        </w:rPr>
        <w:t xml:space="preserve">前往重大事故现场，亡人事故根据太仓大队实际需求，每一起事故需要陪同到现场排查隐患，并协助对道路交通事故发生的深层次原因以及道路交通安全相关因素开展延伸调查，协助分析查找安全隐患、管理漏洞及薄弱环节，提出针对性的意见和建议，推动相关部门、行业、企业整改问题和追究责任。</w:t>
      </w:r>
      <w:r/>
    </w:p>
    <w:p>
      <w:pPr>
        <w:pStyle w:val="969"/>
      </w:pPr>
      <w:r>
        <w:rPr>
          <w:rFonts w:hint="eastAsia"/>
        </w:rPr>
        <w:t xml:space="preserve">道路安全隐患治理与培训</w:t>
      </w:r>
      <w:r/>
    </w:p>
    <w:p>
      <w:pPr>
        <w:pStyle w:val="970"/>
      </w:pPr>
      <w:r>
        <w:rPr>
          <w:rFonts w:hint="eastAsia"/>
        </w:rPr>
        <w:t xml:space="preserve">协助太仓大队道路安全隐患治理</w:t>
      </w:r>
      <w:r/>
    </w:p>
    <w:p>
      <w:pPr>
        <w:pStyle w:val="1112"/>
        <w:ind w:firstLine="420"/>
        <w:rPr>
          <w:rFonts w:eastAsia="宋体"/>
          <w:sz w:val="21"/>
          <w:szCs w:val="21"/>
        </w:rPr>
      </w:pPr>
      <w:r>
        <w:rPr>
          <w:rFonts w:hint="eastAsia" w:eastAsia="宋体"/>
          <w:sz w:val="21"/>
          <w:szCs w:val="21"/>
        </w:rPr>
        <w:t xml:space="preserve">协助太仓大队开展道路安全隐患治理，基于近三年道路交通事故，研判全市1700公里道路中事故高发的点段，对事故高发前50的路口路段进行分析研判，选择其中10-20的路口、路段进行隐患排查、制定方案、实施跟踪、治理效果评估。</w:t>
      </w:r>
      <w:r/>
    </w:p>
    <w:p>
      <w:pPr>
        <w:pStyle w:val="970"/>
      </w:pPr>
      <w:r>
        <w:rPr>
          <w:rFonts w:hint="eastAsia"/>
        </w:rPr>
        <w:t xml:space="preserve">开展太仓大队道路隐患治理的培训</w:t>
      </w:r>
      <w:r/>
    </w:p>
    <w:p>
      <w:pPr>
        <w:pStyle w:val="1112"/>
        <w:ind w:firstLine="420"/>
        <w:rPr>
          <w:rFonts w:eastAsia="宋体"/>
          <w:sz w:val="21"/>
          <w:szCs w:val="21"/>
        </w:rPr>
      </w:pPr>
      <w:r>
        <w:rPr>
          <w:rFonts w:hint="eastAsia" w:eastAsia="宋体"/>
          <w:sz w:val="21"/>
          <w:szCs w:val="21"/>
        </w:rPr>
        <w:t xml:space="preserve">开展太仓大队道路隐患治理的培训，定期为中队开展道路安全隐患治理技术专业培训，培养道路隐患排查及改善的专业人才，提升大队道路隐患排查及道路改善工作的专业水平。</w:t>
      </w:r>
      <w:r/>
    </w:p>
    <w:p>
      <w:pPr>
        <w:pStyle w:val="969"/>
      </w:pPr>
      <w:r>
        <w:rPr>
          <w:rFonts w:hint="eastAsia"/>
        </w:rPr>
        <w:t xml:space="preserve">重点企业交通安全治理</w:t>
      </w:r>
      <w:r/>
    </w:p>
    <w:p>
      <w:pPr>
        <w:pStyle w:val="1112"/>
        <w:ind w:firstLine="420"/>
        <w:rPr>
          <w:rFonts w:eastAsia="宋体"/>
          <w:sz w:val="21"/>
          <w:szCs w:val="21"/>
        </w:rPr>
      </w:pPr>
      <w:r>
        <w:rPr>
          <w:rFonts w:hint="eastAsia" w:eastAsia="宋体"/>
          <w:sz w:val="21"/>
          <w:szCs w:val="21"/>
        </w:rPr>
        <w:t xml:space="preserve">从事故特征、时间、事故形态等多方面开展企业交通安全分析，排查重点企业清单，形成红黑榜，选择5-10家重点企业，深入挖掘安全管理存在的问题，研究相关对策建议，开展重点企业交通安全治理工作。</w:t>
      </w:r>
      <w:r/>
    </w:p>
    <w:p>
      <w:pPr>
        <w:pStyle w:val="1112"/>
        <w:ind w:firstLine="420"/>
        <w:rPr>
          <w:rFonts w:eastAsia="宋体"/>
          <w:sz w:val="21"/>
          <w:szCs w:val="21"/>
        </w:rPr>
      </w:pPr>
      <w:r>
        <w:rPr>
          <w:rFonts w:eastAsia="宋体"/>
          <w:sz w:val="21"/>
          <w:szCs w:val="21"/>
        </w:rPr>
      </w:r>
      <w:r/>
    </w:p>
    <w:p>
      <w:pPr>
        <w:pStyle w:val="968"/>
      </w:pPr>
      <w:r>
        <w:rPr>
          <w:rFonts w:hint="eastAsia"/>
        </w:rPr>
        <w:t xml:space="preserve">大数据驻场服务</w:t>
      </w:r>
      <w:r/>
    </w:p>
    <w:p>
      <w:pPr>
        <w:pStyle w:val="969"/>
      </w:pPr>
      <w:r>
        <w:rPr>
          <w:rFonts w:hint="eastAsia"/>
        </w:rPr>
        <w:t xml:space="preserve">服务要求</w:t>
      </w:r>
      <w:r/>
    </w:p>
    <w:p>
      <w:pPr>
        <w:ind w:firstLine="420"/>
        <w:spacing w:line="360" w:lineRule="auto"/>
        <w:rPr>
          <w:rFonts w:ascii="宋体" w:hAnsi="宋体" w:eastAsia="宋体" w:cs="宋体"/>
          <w:sz w:val="21"/>
          <w:szCs w:val="21"/>
        </w:rPr>
      </w:pPr>
      <w:r/>
      <w:bookmarkStart w:id="244" w:name="_Toc375908060"/>
      <w:r>
        <w:rPr>
          <w:rFonts w:hint="eastAsia" w:ascii="宋体" w:hAnsi="宋体" w:eastAsia="宋体" w:cs="宋体"/>
          <w:sz w:val="21"/>
          <w:szCs w:val="21"/>
        </w:rPr>
        <w:t xml:space="preserve">为提升各地市数据中心大数据平台运维运营能力，需要各数据中心采购大数据厂商原厂驻场支撑服务为大数据建设提安全性基础保障，保障大数据平台的故障问题能有得到及时有效的解决处理，维护网络安全，保障业务连续性。</w:t>
      </w:r>
      <w:bookmarkEnd w:id="244"/>
      <w:r/>
      <w:r/>
    </w:p>
    <w:p>
      <w:pPr>
        <w:pStyle w:val="969"/>
      </w:pPr>
      <w:r/>
      <w:bookmarkStart w:id="245" w:name="_Toc16775863"/>
      <w:r/>
      <w:bookmarkStart w:id="246" w:name="_Toc452017822"/>
      <w:r>
        <w:rPr>
          <w:rFonts w:hint="eastAsia"/>
        </w:rPr>
        <w:t xml:space="preserve">服务内容</w:t>
      </w:r>
      <w:bookmarkEnd w:id="245"/>
      <w:r/>
      <w:bookmarkEnd w:id="246"/>
      <w:r/>
      <w:r/>
    </w:p>
    <w:p>
      <w:pPr>
        <w:pStyle w:val="970"/>
      </w:pPr>
      <w:r/>
      <w:bookmarkStart w:id="247" w:name="_Toc452017823"/>
      <w:r/>
      <w:bookmarkStart w:id="248" w:name="_Toc16775864"/>
      <w:r>
        <w:rPr>
          <w:rFonts w:hint="eastAsia"/>
        </w:rPr>
        <w:t xml:space="preserve">日常大数据平台运营支撑服务</w:t>
      </w:r>
      <w:bookmarkEnd w:id="247"/>
      <w:r/>
      <w:bookmarkEnd w:id="248"/>
      <w:r/>
      <w:r/>
    </w:p>
    <w:p>
      <w:pPr>
        <w:contextualSpacing/>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负责现场所有购买原厂服务的大数据产品的大数据平台运营支撑服务，每周统计现网所有大数据集群资源使用情况，基于用户实际资源使用情况给出集群扩容或集群重构（减容）建议。</w:t>
      </w:r>
      <w:r/>
    </w:p>
    <w:p>
      <w:pPr>
        <w:pStyle w:val="970"/>
      </w:pPr>
      <w:r/>
      <w:bookmarkStart w:id="249" w:name="_Toc16775865"/>
      <w:r/>
      <w:bookmarkStart w:id="250" w:name="_Toc452017824"/>
      <w:r>
        <w:rPr>
          <w:rFonts w:hint="eastAsia"/>
        </w:rPr>
        <w:t xml:space="preserve">大数据平台巡检服务</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负责现场所有大数据平台的日常巡检工作，对于巡检出来的各类告警及可能影响平台稳定运行的隐患问题及时处理闭环，保障业务稳定运行。</w:t>
      </w:r>
      <w:r/>
    </w:p>
    <w:p>
      <w:pPr>
        <w:pStyle w:val="970"/>
      </w:pPr>
      <w:r>
        <w:rPr>
          <w:rFonts w:hint="eastAsia"/>
        </w:rPr>
        <w:t xml:space="preserve">大数据平台维护服务</w:t>
      </w:r>
      <w:bookmarkEnd w:id="249"/>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负责大数据平台的运维工作，包括主动运维、大数据基础设施维护、硬件设备故障管理，及时发现并处理大数据平台故障，保证大数据平台稳定运行。具体服务内容服务包含：主动运维、大数据基础设施维护、大数据平台故障处理等相关运维工作。</w:t>
      </w:r>
      <w:bookmarkEnd w:id="250"/>
      <w:r/>
      <w:r/>
    </w:p>
    <w:p>
      <w:pPr>
        <w:pStyle w:val="970"/>
      </w:pPr>
      <w:r/>
      <w:bookmarkStart w:id="251" w:name="_Toc16775866"/>
      <w:r/>
      <w:bookmarkStart w:id="252" w:name="_Toc452017826"/>
      <w:r>
        <w:rPr>
          <w:rFonts w:hint="eastAsia"/>
        </w:rPr>
        <w:t xml:space="preserve">关键时期保障服务</w:t>
      </w:r>
      <w:bookmarkEnd w:id="251"/>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负责关键时期大数据平台的运维支撑工作，包括重大事件保障、重大节日保障等，针对特定业务场景，结合大数据平台实际，制定运营保障方案，确定专属保障人员，保证关键时期大数据平台稳定运行。具体服务要求包含：重大事件保障、重大节日保障、其他关键节点业务保障等。</w:t>
      </w:r>
      <w:bookmarkEnd w:id="252"/>
      <w:r/>
      <w:r/>
    </w:p>
    <w:p>
      <w:pPr>
        <w:pStyle w:val="970"/>
      </w:pPr>
      <w:r/>
      <w:bookmarkStart w:id="253" w:name="_Toc16775871"/>
      <w:r/>
      <w:bookmarkStart w:id="254" w:name="_Toc452017825"/>
      <w:r>
        <w:rPr>
          <w:rFonts w:hint="eastAsia"/>
        </w:rPr>
        <w:t xml:space="preserve">技术管理服务</w:t>
      </w:r>
      <w:bookmarkEnd w:id="253"/>
      <w:r/>
      <w:r/>
    </w:p>
    <w:p>
      <w:pPr>
        <w:contextualSpacing/>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作为现场现场总接口人，负责现场工作接口协调管理。负责现网问题总体协调工作，接口现网问题，完成问题处理闭环，分析问题根因，输出问题总结；负责现网技术方案接口，协调专家资源，统筹技术方案。</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具体内容如下：</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1）现场问题接口。对现网问题进行总体接口，协调专家资源，完成问题处理、跟踪、闭环。问题根因分析。问题解决后，分析问题出现的根因，如遇到功能性问题，及时给产品提单，避免问题再次复现。输出问题处理跟踪及根因分析表。</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2）现场技术方案接口。技术方案总体接口，协调专家资源，统筹技术方案，按照时间节点将结果反馈。</w:t>
      </w:r>
      <w:r/>
    </w:p>
    <w:p>
      <w:pPr>
        <w:pStyle w:val="970"/>
      </w:pPr>
      <w:r>
        <w:rPr>
          <w:rFonts w:hint="eastAsia"/>
        </w:rPr>
        <w:t xml:space="preserve">报表输出服务</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驻场工程师每周例行输出大数据平台运营支撑服务报告、巡检报告、故障处理报告等报告</w:t>
      </w:r>
      <w:bookmarkEnd w:id="254"/>
      <w:r>
        <w:rPr>
          <w:rFonts w:hint="eastAsia" w:ascii="宋体" w:hAnsi="宋体" w:eastAsia="宋体" w:cs="宋体"/>
          <w:sz w:val="21"/>
          <w:szCs w:val="21"/>
        </w:rPr>
        <w:t xml:space="preserve">。</w:t>
      </w:r>
      <w:r/>
    </w:p>
    <w:p>
      <w:pPr>
        <w:pStyle w:val="1066"/>
        <w:ind w:firstLine="420"/>
        <w:rPr>
          <w:rFonts w:hAnsi="宋体" w:cs="宋体"/>
          <w:sz w:val="21"/>
          <w:szCs w:val="21"/>
        </w:rPr>
      </w:pPr>
      <w:r>
        <w:rPr>
          <w:rFonts w:hAnsi="宋体" w:cs="宋体"/>
          <w:sz w:val="21"/>
          <w:szCs w:val="21"/>
        </w:rPr>
      </w:r>
      <w:r/>
    </w:p>
    <w:p>
      <w:pPr>
        <w:pStyle w:val="968"/>
      </w:pPr>
      <w:r>
        <w:rPr>
          <w:rFonts w:hint="eastAsia"/>
        </w:rPr>
        <w:t xml:space="preserve">慧眼驻场服务</w:t>
      </w:r>
      <w:r/>
    </w:p>
    <w:p>
      <w:pPr>
        <w:pStyle w:val="969"/>
      </w:pPr>
      <w:r>
        <w:rPr>
          <w:rFonts w:hint="eastAsia"/>
        </w:rPr>
        <w:t xml:space="preserve">服务内容</w:t>
      </w:r>
      <w:r/>
    </w:p>
    <w:p>
      <w:pPr>
        <w:pStyle w:val="970"/>
      </w:pPr>
      <w:r>
        <w:rPr>
          <w:rFonts w:hint="eastAsia"/>
        </w:rPr>
        <w:t xml:space="preserve">日常运维服务</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1）系统监控</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对系统硬件设备（服务器、存储设备等）进行实时监控，包括设备的运行状态、性能指标（如 CPU 使用率、内存使用率、磁盘空间等）。</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监控大数据组件运行状态，如 mppdp、es、redis等。</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2）系统维护</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对系统软件进行升级、补丁安装等维护工作，确保系统的稳定性和安全性。</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3）系统优化</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从用户体验的角度出发，评估软件系统的用户界面是否简洁、易用、高效。对用户界面进行局部优化，包括改进布局、优化交互流程、提高界面的响应速度，以提升用户的使用体验。</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系统在运行过程中出现的问题，及时进行修复优化。</w:t>
      </w:r>
      <w:r/>
    </w:p>
    <w:p>
      <w:pPr>
        <w:pStyle w:val="970"/>
      </w:pPr>
      <w:r>
        <w:rPr>
          <w:rFonts w:hint="eastAsia"/>
        </w:rPr>
        <w:t xml:space="preserve">性能优化服务</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1）性能监测</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对系统性能进行实时监测，包括 CPU 使用率、内存使用率、磁盘 IO、等指标。</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对平台的任务执行情况进行监测，包括任务进度、执行时间、资源使用情况等。</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根据性能监测结果，对系统性能进行分析，找出性能瓶颈所在。分析任务执行情况，找出任务执行时间过长、资源使用不合理等问题。</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2）性能优化</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根据性能分析结果，制定性能优化方案，包括硬件升级、软件优化、参数调整等。</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对数据库系统进行优化，如调整参数、优化查询语句、建立索引等。</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对系统性能进行持续优化，确保系统始终保持良好的性能状态。</w:t>
      </w:r>
      <w:r/>
    </w:p>
    <w:p>
      <w:pPr>
        <w:pStyle w:val="970"/>
      </w:pPr>
      <w:r>
        <w:rPr>
          <w:rFonts w:hint="eastAsia"/>
        </w:rPr>
        <w:t xml:space="preserve">问题处理服务</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1）故障诊断</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实行7x24小时监控，利用自动化工具对系统状态、网络状态、服务状态进行实时监测。</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每日/周/月定期巡检，包括硬件状态检查、软件日志审查、系统性能评估等。当系统出现故障时，及时进行故障诊断，找出故障原因。</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硬件设备故障进行诊断：如服务器故障、存储设备故障、网络设备故障等。</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软件系统故障进行诊断：如操作系统故障、数据库系统故障等。</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2）故障修复</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根据故障诊断结果，及时进行故障修复，确保系统尽快恢复正常运行。</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3）问题跟踪</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对系统出现的问题进行跟踪，确保问题得到彻底解决。</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记录问题的发生时间、现象、诊断结果、修复措施等信息。</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对问题进行分类统计，分析问题的发生原因和趋势，为系统优化提供依据。</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4）其他服务</w:t>
      </w:r>
      <w:r/>
    </w:p>
    <w:p>
      <w:pPr>
        <w:numPr>
          <w:ilvl w:val="0"/>
          <w:numId w:val="36"/>
        </w:numPr>
        <w:ind w:left="0" w:firstLine="420"/>
        <w:jc w:val="left"/>
        <w:spacing w:line="372" w:lineRule="auto"/>
        <w:rPr>
          <w:rFonts w:ascii="宋体" w:hAnsi="宋体" w:eastAsia="宋体" w:cs="宋体"/>
          <w:sz w:val="21"/>
          <w:szCs w:val="21"/>
        </w:rPr>
      </w:pPr>
      <w:r>
        <w:rPr>
          <w:rFonts w:hint="eastAsia" w:ascii="宋体" w:hAnsi="宋体" w:eastAsia="宋体" w:cs="宋体"/>
          <w:sz w:val="21"/>
          <w:szCs w:val="21"/>
        </w:rPr>
        <w:t xml:space="preserve">参与客户的应急演练</w:t>
      </w:r>
      <w:r/>
    </w:p>
    <w:p>
      <w:pPr>
        <w:ind w:firstLine="420"/>
        <w:jc w:val="left"/>
        <w:spacing w:line="372" w:lineRule="auto"/>
        <w:rPr>
          <w:rFonts w:ascii="宋体" w:hAnsi="宋体" w:eastAsia="宋体" w:cs="宋体"/>
          <w:sz w:val="21"/>
          <w:szCs w:val="21"/>
        </w:rPr>
      </w:pPr>
      <w:r>
        <w:rPr>
          <w:rFonts w:hint="eastAsia" w:ascii="宋体" w:hAnsi="宋体" w:eastAsia="宋体" w:cs="宋体"/>
          <w:sz w:val="21"/>
          <w:szCs w:val="21"/>
        </w:rPr>
        <w:t xml:space="preserve">参与客户的应急演练，制定应急预案，提高应对突发事件的能力。</w:t>
      </w:r>
      <w:r/>
    </w:p>
    <w:p>
      <w:pPr>
        <w:ind w:firstLine="420"/>
        <w:jc w:val="left"/>
        <w:spacing w:line="372" w:lineRule="auto"/>
        <w:rPr>
          <w:rFonts w:ascii="宋体" w:hAnsi="宋体" w:eastAsia="宋体" w:cs="宋体"/>
          <w:sz w:val="21"/>
          <w:szCs w:val="21"/>
        </w:rPr>
      </w:pPr>
      <w:r>
        <w:rPr>
          <w:rFonts w:hint="eastAsia" w:ascii="宋体" w:hAnsi="宋体" w:eastAsia="宋体" w:cs="宋体"/>
          <w:sz w:val="21"/>
          <w:szCs w:val="21"/>
        </w:rPr>
        <w:t xml:space="preserve">在应急演练中，模拟系统故障、数据丢失等情况，检验应急预案的有效性。</w:t>
      </w:r>
      <w:r/>
    </w:p>
    <w:p>
      <w:pPr>
        <w:ind w:firstLine="420"/>
        <w:jc w:val="left"/>
        <w:spacing w:line="372" w:lineRule="auto"/>
        <w:rPr>
          <w:rFonts w:ascii="宋体" w:hAnsi="宋体" w:eastAsia="宋体" w:cs="宋体"/>
          <w:sz w:val="21"/>
          <w:szCs w:val="21"/>
        </w:rPr>
      </w:pPr>
      <w:r>
        <w:rPr>
          <w:rFonts w:hint="eastAsia" w:ascii="宋体" w:hAnsi="宋体" w:eastAsia="宋体" w:cs="宋体"/>
          <w:sz w:val="21"/>
          <w:szCs w:val="21"/>
        </w:rPr>
        <w:t xml:space="preserve">对应急演练结果进行总结和分析，提出改进建议，完善应急预案。</w:t>
      </w:r>
      <w:r/>
    </w:p>
    <w:p>
      <w:pPr>
        <w:numPr>
          <w:ilvl w:val="0"/>
          <w:numId w:val="36"/>
        </w:numPr>
        <w:ind w:left="0" w:firstLine="420"/>
        <w:jc w:val="left"/>
        <w:spacing w:line="372" w:lineRule="auto"/>
        <w:rPr>
          <w:rFonts w:ascii="宋体" w:hAnsi="宋体" w:eastAsia="宋体" w:cs="宋体"/>
          <w:sz w:val="21"/>
          <w:szCs w:val="21"/>
        </w:rPr>
      </w:pPr>
      <w:r>
        <w:rPr>
          <w:rFonts w:hint="eastAsia" w:ascii="宋体" w:hAnsi="宋体" w:eastAsia="宋体" w:cs="宋体"/>
          <w:sz w:val="21"/>
          <w:szCs w:val="21"/>
        </w:rPr>
        <w:t xml:space="preserve">定期汇报服务情况</w:t>
      </w:r>
      <w:r/>
    </w:p>
    <w:p>
      <w:pPr>
        <w:ind w:firstLine="420"/>
        <w:jc w:val="left"/>
        <w:spacing w:line="372" w:lineRule="auto"/>
        <w:rPr>
          <w:rFonts w:ascii="宋体" w:hAnsi="宋体" w:eastAsia="宋体" w:cs="宋体"/>
          <w:sz w:val="21"/>
          <w:szCs w:val="21"/>
        </w:rPr>
      </w:pPr>
      <w:r>
        <w:rPr>
          <w:rFonts w:hint="eastAsia" w:ascii="宋体" w:hAnsi="宋体" w:eastAsia="宋体" w:cs="宋体"/>
          <w:sz w:val="21"/>
          <w:szCs w:val="21"/>
        </w:rPr>
        <w:t xml:space="preserve">定期向客户汇报系统运维服务情况，包括系统运行状态、问题处理情况、性能优化情况等。</w:t>
      </w:r>
      <w:r/>
    </w:p>
    <w:p>
      <w:pPr>
        <w:ind w:firstLine="420"/>
        <w:jc w:val="left"/>
        <w:spacing w:line="372" w:lineRule="auto"/>
        <w:rPr>
          <w:rFonts w:ascii="宋体" w:hAnsi="宋体" w:eastAsia="宋体" w:cs="宋体"/>
          <w:sz w:val="21"/>
          <w:szCs w:val="21"/>
        </w:rPr>
      </w:pPr>
      <w:r>
        <w:rPr>
          <w:rFonts w:hint="eastAsia" w:ascii="宋体" w:hAnsi="宋体" w:eastAsia="宋体" w:cs="宋体"/>
          <w:sz w:val="21"/>
          <w:szCs w:val="21"/>
        </w:rPr>
        <w:t xml:space="preserve">听取客户的意见和建议，不断改进服务质量，提高客户满意度。</w:t>
      </w:r>
      <w:r/>
    </w:p>
    <w:p>
      <w:pPr>
        <w:pStyle w:val="969"/>
        <w:spacing w:line="372" w:lineRule="auto"/>
      </w:pPr>
      <w:r>
        <w:rPr>
          <w:rFonts w:hint="eastAsia"/>
        </w:rPr>
        <w:t xml:space="preserve">驻场人员及配套机制要求</w:t>
      </w:r>
      <w:r/>
    </w:p>
    <w:p>
      <w:pPr>
        <w:pStyle w:val="970"/>
        <w:spacing w:line="372" w:lineRule="auto"/>
      </w:pPr>
      <w:r>
        <w:rPr>
          <w:rFonts w:hint="eastAsia"/>
        </w:rPr>
        <w:t xml:space="preserve">人员要求</w:t>
      </w:r>
      <w:r/>
    </w:p>
    <w:p>
      <w:pPr>
        <w:contextualSpacing/>
        <w:ind w:firstLine="420"/>
        <w:jc w:val="left"/>
        <w:spacing w:line="372" w:lineRule="auto"/>
        <w:widowControl/>
        <w:rPr>
          <w:rFonts w:ascii="宋体" w:hAnsi="宋体" w:eastAsia="宋体" w:cs="宋体"/>
          <w:sz w:val="21"/>
          <w:szCs w:val="21"/>
        </w:rPr>
      </w:pPr>
      <w:r>
        <w:rPr>
          <w:rFonts w:hint="eastAsia" w:ascii="宋体" w:hAnsi="宋体" w:eastAsia="宋体" w:cs="宋体"/>
          <w:sz w:val="21"/>
          <w:szCs w:val="21"/>
        </w:rPr>
        <w:t xml:space="preserve">1）现场驻场开发工程师1人</w:t>
      </w:r>
      <w:r/>
    </w:p>
    <w:p>
      <w:pPr>
        <w:contextualSpacing/>
        <w:ind w:firstLine="420"/>
        <w:jc w:val="left"/>
        <w:spacing w:line="372" w:lineRule="auto"/>
        <w:widowControl/>
        <w:rPr>
          <w:rFonts w:ascii="宋体" w:hAnsi="宋体" w:eastAsia="宋体" w:cs="宋体"/>
          <w:sz w:val="21"/>
          <w:szCs w:val="21"/>
        </w:rPr>
      </w:pPr>
      <w:r>
        <w:rPr>
          <w:rFonts w:hint="eastAsia" w:ascii="宋体" w:hAnsi="宋体" w:eastAsia="宋体" w:cs="宋体"/>
          <w:sz w:val="21"/>
          <w:szCs w:val="21"/>
        </w:rPr>
        <w:t xml:space="preserve">2）服务方必须具备强大的技术支撑能力及良好的人力优势，保障合同有效期内各系统有效运行、各项工作按时保质完成。</w:t>
      </w:r>
      <w:r/>
    </w:p>
    <w:p>
      <w:pPr>
        <w:contextualSpacing/>
        <w:ind w:firstLine="420"/>
        <w:jc w:val="left"/>
        <w:spacing w:line="372" w:lineRule="auto"/>
        <w:widowControl/>
        <w:rPr>
          <w:rFonts w:ascii="宋体" w:hAnsi="宋体" w:eastAsia="宋体" w:cs="宋体"/>
          <w:sz w:val="21"/>
          <w:szCs w:val="21"/>
        </w:rPr>
      </w:pPr>
      <w:r>
        <w:rPr>
          <w:rFonts w:hint="eastAsia" w:ascii="宋体" w:hAnsi="宋体" w:eastAsia="宋体" w:cs="宋体"/>
          <w:sz w:val="21"/>
          <w:szCs w:val="21"/>
        </w:rPr>
        <w:t xml:space="preserve">3）服务方项目组人员需具备交通相关专业、计算机专业技能水平、个人素养、工作着装、责任意识、服务态度等。服务方驻现场项目人员应具备较强的分析判断能力，具备与交警大队工作人员顺利沟通的能力，处理和解决突发事件的能力，具备自行根据实际情况制定服务计划和方案的能力，具备强烈的责任意识，具备较高的人、财、物管理水平，全力保障系统的正常运行。</w:t>
      </w:r>
      <w:r/>
    </w:p>
    <w:p>
      <w:pPr>
        <w:contextualSpacing/>
        <w:ind w:firstLine="420"/>
        <w:jc w:val="left"/>
        <w:spacing w:line="372" w:lineRule="auto"/>
        <w:widowControl/>
        <w:rPr>
          <w:rFonts w:ascii="宋体" w:hAnsi="宋体" w:eastAsia="宋体" w:cs="宋体"/>
          <w:sz w:val="21"/>
          <w:szCs w:val="21"/>
        </w:rPr>
      </w:pPr>
      <w:r>
        <w:rPr>
          <w:rFonts w:hint="eastAsia" w:ascii="宋体" w:hAnsi="宋体" w:eastAsia="宋体" w:cs="宋体"/>
          <w:sz w:val="21"/>
          <w:szCs w:val="21"/>
        </w:rPr>
        <w:t xml:space="preserve">服务方应保持团队的相对稳定，基本要求如下：</w:t>
      </w:r>
      <w:r/>
    </w:p>
    <w:p>
      <w:pPr>
        <w:contextualSpacing/>
        <w:ind w:firstLine="420"/>
        <w:jc w:val="left"/>
        <w:spacing w:line="372" w:lineRule="auto"/>
        <w:widowControl/>
        <w:rPr>
          <w:rFonts w:ascii="宋体" w:hAnsi="宋体" w:eastAsia="宋体" w:cs="宋体"/>
          <w:sz w:val="21"/>
          <w:szCs w:val="21"/>
        </w:rPr>
      </w:pPr>
      <w:r>
        <w:rPr>
          <w:rFonts w:hint="eastAsia" w:ascii="宋体" w:hAnsi="宋体" w:eastAsia="宋体" w:cs="宋体"/>
          <w:sz w:val="21"/>
          <w:szCs w:val="21"/>
        </w:rPr>
        <w:t xml:space="preserve">（a）遵守交警大队驻场人员管理规定，统一服装、配戴胸卡、具备良好的精神风貌，年龄18—55周岁。</w:t>
      </w:r>
      <w:r/>
    </w:p>
    <w:p>
      <w:pPr>
        <w:contextualSpacing/>
        <w:ind w:firstLine="420"/>
        <w:jc w:val="left"/>
        <w:spacing w:line="372" w:lineRule="auto"/>
        <w:widowControl/>
        <w:rPr>
          <w:rFonts w:ascii="宋体" w:hAnsi="宋体" w:eastAsia="宋体" w:cs="宋体"/>
          <w:sz w:val="21"/>
          <w:szCs w:val="21"/>
        </w:rPr>
      </w:pPr>
      <w:r>
        <w:rPr>
          <w:rFonts w:hint="eastAsia" w:ascii="宋体" w:hAnsi="宋体" w:eastAsia="宋体" w:cs="宋体"/>
          <w:sz w:val="21"/>
          <w:szCs w:val="21"/>
        </w:rPr>
        <w:t xml:space="preserve">（b）所有驻场人员均必须专职服务于本项目。</w:t>
      </w:r>
      <w:r/>
    </w:p>
    <w:p>
      <w:pPr>
        <w:contextualSpacing/>
        <w:ind w:firstLine="420"/>
        <w:jc w:val="left"/>
        <w:spacing w:line="372" w:lineRule="auto"/>
        <w:widowControl/>
        <w:rPr>
          <w:rFonts w:ascii="宋体" w:hAnsi="宋体" w:eastAsia="宋体" w:cs="宋体"/>
          <w:sz w:val="21"/>
          <w:szCs w:val="21"/>
        </w:rPr>
      </w:pPr>
      <w:r>
        <w:rPr>
          <w:rFonts w:hint="eastAsia" w:ascii="宋体" w:hAnsi="宋体" w:eastAsia="宋体" w:cs="宋体"/>
          <w:sz w:val="21"/>
          <w:szCs w:val="21"/>
        </w:rPr>
        <w:t xml:space="preserve">合同期内，项目组人员须具有相对稳定性，服务方不得随意更换驻场人员，如有人员因工作技能或身体状况等原因确实需要变更的，应提前一个月向交警大队提出书面申请，待交警大队同意后方可更换，所更换人员资格不得低于原项目组人员。</w:t>
      </w:r>
      <w:r/>
    </w:p>
    <w:p>
      <w:pPr>
        <w:contextualSpacing/>
        <w:ind w:firstLine="420"/>
        <w:jc w:val="left"/>
        <w:spacing w:line="372" w:lineRule="auto"/>
        <w:widowControl/>
        <w:rPr>
          <w:rFonts w:ascii="宋体" w:hAnsi="宋体" w:eastAsia="宋体" w:cs="宋体"/>
          <w:sz w:val="21"/>
          <w:szCs w:val="21"/>
        </w:rPr>
      </w:pPr>
      <w:r>
        <w:rPr>
          <w:rFonts w:hint="eastAsia" w:ascii="宋体" w:hAnsi="宋体" w:eastAsia="宋体" w:cs="宋体"/>
          <w:sz w:val="21"/>
          <w:szCs w:val="21"/>
        </w:rPr>
        <w:t xml:space="preserve">4）建立严格的数据安全管理体系，包括人员权限管理、数据保密制度、数据备份机制、数据拷贝机制等，如未经交警大队许可，擅自进行数据拷贝及转移，交警大队可直接取消合同、单处或并处违约金，并依法追究其法律责任。</w:t>
      </w:r>
      <w:r/>
    </w:p>
    <w:p>
      <w:pPr>
        <w:contextualSpacing/>
        <w:ind w:firstLine="420"/>
        <w:jc w:val="left"/>
        <w:spacing w:line="372" w:lineRule="auto"/>
        <w:widowControl/>
        <w:rPr>
          <w:rFonts w:ascii="宋体" w:hAnsi="宋体" w:eastAsia="宋体" w:cs="宋体"/>
          <w:sz w:val="21"/>
          <w:szCs w:val="21"/>
        </w:rPr>
      </w:pPr>
      <w:r>
        <w:rPr>
          <w:rFonts w:hint="eastAsia" w:ascii="宋体" w:hAnsi="宋体" w:eastAsia="宋体" w:cs="宋体"/>
          <w:sz w:val="21"/>
          <w:szCs w:val="21"/>
        </w:rPr>
        <w:t xml:space="preserve">5）违反上述服务要求的，交警大队有权向服务方收取违约金，违约金单次不超过5%,累计达总合同金额20%视为不能履行合同。</w:t>
      </w:r>
      <w:r/>
    </w:p>
    <w:p>
      <w:pPr>
        <w:pStyle w:val="970"/>
        <w:spacing w:line="372" w:lineRule="auto"/>
      </w:pPr>
      <w:r>
        <w:rPr>
          <w:rFonts w:hint="eastAsia"/>
        </w:rPr>
        <w:t xml:space="preserve">机制保障</w:t>
      </w:r>
      <w:r/>
    </w:p>
    <w:p>
      <w:pPr>
        <w:contextualSpacing/>
        <w:ind w:firstLine="420"/>
        <w:jc w:val="left"/>
        <w:spacing w:line="372" w:lineRule="auto"/>
        <w:widowControl/>
        <w:rPr>
          <w:rFonts w:ascii="宋体" w:hAnsi="宋体" w:eastAsia="宋体" w:cs="宋体"/>
          <w:sz w:val="21"/>
          <w:szCs w:val="21"/>
        </w:rPr>
      </w:pPr>
      <w:r>
        <w:rPr>
          <w:rFonts w:hint="eastAsia" w:ascii="宋体" w:hAnsi="宋体" w:eastAsia="宋体" w:cs="宋体"/>
          <w:sz w:val="21"/>
          <w:szCs w:val="21"/>
        </w:rPr>
        <w:t xml:space="preserve">优化例会：建立优化例会制度，以周为单位对优化工作进展进行进度及效果汇报（每个月至少有一次交警大队相关领导人参加），及时沟通优化工作中存在的问题及需要协调事项，并形成长效工作机制。</w:t>
      </w:r>
      <w:r/>
    </w:p>
    <w:p>
      <w:pPr>
        <w:contextualSpacing/>
        <w:ind w:firstLine="420"/>
        <w:jc w:val="left"/>
        <w:spacing w:line="372" w:lineRule="auto"/>
        <w:widowControl/>
        <w:rPr>
          <w:rFonts w:ascii="宋体" w:hAnsi="宋体" w:eastAsia="宋体" w:cs="宋体"/>
          <w:sz w:val="21"/>
          <w:szCs w:val="21"/>
        </w:rPr>
      </w:pPr>
      <w:r>
        <w:rPr>
          <w:rFonts w:hint="eastAsia" w:ascii="宋体" w:hAnsi="宋体" w:eastAsia="宋体" w:cs="宋体"/>
          <w:sz w:val="21"/>
          <w:szCs w:val="21"/>
        </w:rPr>
        <w:t xml:space="preserve">严格数据安全管理：建立严格的数据安全管理体系，包括人员权限管理、数据保密制度、数据备份机制、数据拷贝机制等；严禁未经交警大队许可，擅自进行数据拷贝及转移；对驻场人员进行数据安全培训，签订保密协议，建立完善的信息安全管理体系。</w:t>
      </w:r>
      <w:r/>
    </w:p>
    <w:p>
      <w:pPr>
        <w:pStyle w:val="969"/>
      </w:pPr>
      <w:r>
        <w:rPr>
          <w:rFonts w:hint="eastAsia"/>
        </w:rPr>
        <w:t xml:space="preserve">驻场运维服务考核评分方法</w:t>
      </w:r>
      <w:r/>
    </w:p>
    <w:p>
      <w:pPr>
        <w:pStyle w:val="970"/>
      </w:pPr>
      <w:r>
        <w:rPr>
          <w:rFonts w:hint="eastAsia"/>
        </w:rPr>
        <w:t xml:space="preserve">考核频评分方式</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1）系统可用性（30 分）</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目标：确保软件系统的可用性达到规定的标准。</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评分标准：</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系统可用性达到 [90%] 及以上，得 30 分。</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系统可用性每低于目标值 1%，扣 1分，扣完为止。</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2）故障响应时间（25 分）</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一般故障响应时间（15 分）：</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目标：对于一般故障，响应时间不超过 [4小时]。</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评分标准：在规定时间内响应，得 15 分。每超过规定时间1 分钟，扣 1 分，扣完为止。</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重大故障响应时间（10 分）：</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目标：对于重大故障，响应时间不超过 [2小时]。</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评分标准：在规定时间内响应，得 10 分。每超过规定时间 30 分钟，扣 1 分，扣完为止。</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3）问题解决率（25 分）</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目标：确保用户提出的问题能够在规定时间内得到解决。</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评分标准：</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问题解决率达到 [90%] 及以上，得 25 分。</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问题解决率每低于目标值 1%，扣 1分，扣完为止。</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4）服务满意度（20 分）</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目标：用户对驻场服务团队的服务满意度达到 [90%] 以上。</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评分标准：</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通过用户满意度调查，满意度达到目标值及以上，得 20 分。</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满意度每低于目标值 1%，扣 1 分，扣完为止。</w:t>
      </w:r>
      <w:r/>
    </w:p>
    <w:p>
      <w:pPr>
        <w:pStyle w:val="970"/>
      </w:pPr>
      <w:r>
        <w:rPr>
          <w:rFonts w:hint="eastAsia"/>
        </w:rPr>
        <w:t xml:space="preserve">考核频率与方式</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1）考核频率</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每季度进行一次定期考核，对驻场服务团队的整体服务质量进行全面评估。</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2）考核方式</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日常考核由客户的技术人员和相关部门负责人进行，主要通过观察、记录和反馈的方式，对驻场服务团队的日常工作表现进行评估。</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定期考核由客户组织专门的考核小组进行，包括技术专家、业务部门代表等。考核小组通过查阅文档、检查系统运行记录、进行用户满意度调查等方式，对驻场服务团队的服务质量进行综合评估。</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3）考核结果反馈与沟通</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每次考核结束后，客户将考核结果反馈给驻场服务团队，明确指出其优点和不足之处。</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驻场服务团队应认真对待考核结果，对存在的问题进行深入分析，制定切实可行的整改措施，并及时向客户汇报整改情况。</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客户和驻场服务团队应保持良好的沟通，共同探讨提高服务质量的方法和措施，确保驻场服务工作的顺利进行。</w:t>
      </w:r>
      <w:r/>
    </w:p>
    <w:p>
      <w:pPr>
        <w:pStyle w:val="968"/>
      </w:pPr>
      <w:r>
        <w:t xml:space="preserve">外场视频专项工作服务</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安排专人完成不少于49个点位的设备安装调试工作，具体点位根据招标方要求动态调整。</w:t>
      </w:r>
      <w:r/>
    </w:p>
    <w:tbl>
      <w:tblPr>
        <w:tblStyle w:val="976"/>
        <w:tblW w:w="7540" w:type="dxa"/>
        <w:jc w:val="center"/>
        <w:tblLayout w:type="autofit"/>
        <w:tblCellMar>
          <w:left w:w="108" w:type="dxa"/>
          <w:top w:w="0" w:type="dxa"/>
          <w:right w:w="108" w:type="dxa"/>
          <w:bottom w:w="0" w:type="dxa"/>
        </w:tblCellMar>
        <w:tblLook w:val="04A0" w:firstRow="1" w:lastRow="0" w:firstColumn="1" w:lastColumn="0" w:noHBand="0" w:noVBand="1"/>
      </w:tblPr>
      <w:tblGrid>
        <w:gridCol w:w="588"/>
        <w:gridCol w:w="4018"/>
        <w:gridCol w:w="1072"/>
        <w:gridCol w:w="994"/>
        <w:gridCol w:w="868"/>
      </w:tblGrid>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018" w:type="dxa"/>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安装点位</w:t>
            </w:r>
            <w:r/>
          </w:p>
        </w:tc>
        <w:tc>
          <w:tcPr>
            <w:shd w:val="clear" w:color="auto" w:fill="auto"/>
            <w:tcBorders>
              <w:top w:val="single" w:color="000000" w:sz="4" w:space="0"/>
              <w:left w:val="single" w:color="000000" w:sz="4" w:space="0"/>
              <w:bottom w:val="single" w:color="000000" w:sz="4" w:space="0"/>
              <w:right w:val="single" w:color="000000" w:sz="4" w:space="0"/>
            </w:tcBorders>
            <w:tcW w:w="1072" w:type="dxa"/>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监控数量</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抓拍数量</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补光</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沙溪古镇老街牌坊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南园大门口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书院路仓南路工地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原城三小工地西北角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东亭路S339路口工地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郑和路心欣房地产工地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洛阳路和路雪工地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朝阳路香塘淏华工地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华发广场大门口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太仓站门口广场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太平路海运堤路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桴亭路文昌路西向西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桴亭路文昌路西向东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204国道正夫路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弇山路盐铁塘桥向东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204健雄路向东南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娄江路滨河路向西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上海路东亭路口向南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东仓海运堤东向西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太平路梅村路向北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县府街太平路西侧向西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郑和路东亭路路口向西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人民路朝阳路向南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上海路太平路向北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郑和路东亭路路口向东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常胜路裕盛东门南向北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人民路金御湾门口向北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太平路弇山路北侧向北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太平路军人服务站对面（北向南）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健雄路江申大道向南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实验小学高新区分校对面（往东北照）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娄江路燕山路东侧（往西照）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郑和路常胜路（往东北照）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洋桥卡口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3</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华亭卡口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2</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南郊卡口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3</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正夫路卡口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3</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嘉太卡口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2</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陆渡卡口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2</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沙溪高速卡口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2</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双凤高速卡口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2</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岳王高速卡口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2</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疏港高速滨江大道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疏港高速璜泾南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疏港高速主线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疏港高速G346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G15板桥高速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3</w:t>
            </w:r>
            <w:r/>
          </w:p>
        </w:tc>
      </w:tr>
      <w:tr>
        <w:trPr>
          <w:jc w:val="center"/>
          <w:trHeight w:val="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G15上海路高速卡口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3</w:t>
            </w:r>
            <w:r/>
          </w:p>
        </w:tc>
      </w:tr>
      <w:tr>
        <w:trPr>
          <w:jc w:val="center"/>
          <w:trHeight w:val="26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left"/>
              <w:widowControl/>
              <w:rPr>
                <w:rFonts w:ascii="宋体" w:hAnsi="宋体" w:eastAsia="宋体" w:cs="宋体"/>
                <w:sz w:val="15"/>
                <w:szCs w:val="15"/>
              </w:rPr>
            </w:pPr>
            <w:r>
              <w:rPr>
                <w:rFonts w:hint="eastAsia" w:ascii="宋体" w:hAnsi="宋体" w:eastAsia="宋体" w:cs="宋体"/>
                <w:sz w:val="15"/>
                <w:szCs w:val="15"/>
              </w:rPr>
              <w:t xml:space="preserve">G15朝阳路高速卡口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sz w:val="15"/>
                <w:szCs w:val="15"/>
              </w:rPr>
            </w:pPr>
            <w:r>
              <w:rPr>
                <w:rFonts w:hint="eastAsia" w:ascii="宋体" w:hAnsi="宋体" w:eastAsia="宋体" w:cs="宋体"/>
                <w:sz w:val="15"/>
                <w:szCs w:val="15"/>
              </w:rPr>
              <w:t xml:space="preserve">4</w:t>
            </w:r>
            <w:r/>
          </w:p>
        </w:tc>
      </w:tr>
    </w:tbl>
    <w:p>
      <w:pPr>
        <w:pStyle w:val="1053"/>
        <w:ind w:left="0" w:firstLine="0"/>
      </w:pPr>
      <w:r/>
      <w:r/>
    </w:p>
    <w:p>
      <w:pPr>
        <w:pStyle w:val="968"/>
      </w:pPr>
      <w:r>
        <w:rPr>
          <w:rFonts w:hint="eastAsia"/>
        </w:rPr>
        <w:t xml:space="preserve">低代码服务要求</w:t>
      </w:r>
      <w:r/>
    </w:p>
    <w:p>
      <w:pPr>
        <w:pStyle w:val="969"/>
      </w:pPr>
      <w:r>
        <w:rPr>
          <w:rFonts w:hint="eastAsia"/>
        </w:rPr>
        <w:t xml:space="preserve">服务工作职责</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1、根据业务需求，完成系统模块设计；</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2、基于java的后端功能开发；</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3、基于vue的前端功能</w:t>
      </w:r>
      <w:r/>
    </w:p>
    <w:p>
      <w:pPr>
        <w:pStyle w:val="969"/>
      </w:pPr>
      <w:r>
        <w:rPr>
          <w:rFonts w:hint="eastAsia"/>
        </w:rPr>
        <w:t xml:space="preserve">服务人员能力要求</w:t>
      </w:r>
      <w:r/>
    </w:p>
    <w:p>
      <w:pPr>
        <w:numPr>
          <w:ilvl w:val="0"/>
          <w:numId w:val="37"/>
        </w:num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服务人员需具备全日制统招计算机本科以上学历，具备良好的学习能力和独立解决问题的能力；</w:t>
      </w:r>
      <w:r/>
    </w:p>
    <w:p>
      <w:pPr>
        <w:numPr>
          <w:ilvl w:val="0"/>
          <w:numId w:val="37"/>
        </w:num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具备1年以上java开发经验，具备html、css、javascript基础；</w:t>
      </w:r>
      <w:r/>
    </w:p>
    <w:p>
      <w:pPr>
        <w:numPr>
          <w:ilvl w:val="0"/>
          <w:numId w:val="37"/>
        </w:num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熟悉常用sql语法；</w:t>
      </w:r>
      <w:r/>
    </w:p>
    <w:p>
      <w:pPr>
        <w:numPr>
          <w:ilvl w:val="0"/>
          <w:numId w:val="37"/>
        </w:num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熟悉spring boot、mybatis等主流技术框架；</w:t>
      </w:r>
      <w:r/>
    </w:p>
    <w:p>
      <w:pPr>
        <w:numPr>
          <w:ilvl w:val="0"/>
          <w:numId w:val="37"/>
        </w:num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熟悉IntelliJ IDEA、Git等工具；</w:t>
      </w:r>
      <w:r/>
    </w:p>
    <w:p>
      <w:pPr>
        <w:numPr>
          <w:ilvl w:val="0"/>
          <w:numId w:val="37"/>
        </w:num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具备良好、规范的编程习惯和文档编写习惯。</w:t>
      </w:r>
      <w:r/>
    </w:p>
    <w:p>
      <w:pPr>
        <w:pStyle w:val="969"/>
      </w:pPr>
      <w:r>
        <w:rPr>
          <w:rFonts w:hint="eastAsia"/>
        </w:rPr>
        <w:t xml:space="preserve">低代码软件维护要求</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（1）升级服务</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在免费维保期内，提供软件小版本升级服务来修复平台问题及部分优化。</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提供成熟的升级服务体系，在升级计划，升级通知，升级实施，升级回归测试，升级过程应急预案来保障用户的平台升级体验，同时保障平台升级质量。</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（2）应急故障处理</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在免费维保期内，需对于平台发生的故障7*24小时进行响应和处理，重大事故远程恢复优先，若评估远程无法恢复的事故，将派专门技术人员在24小时内赶赴现场进行故障恢复。</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（3）技术支持服务</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在免费维保期内，要求解决用户在使用低代码平台中的咨询和遇到的问题。服务内容如下：</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低代码平台使用咨询；</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低代码平台异常问题处理；</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项目交付扩展组件异常；</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项目交付集成功能类异常；</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平台优化建议反馈；</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客户服务及教练服务投诉建议等。</w:t>
      </w:r>
      <w:r/>
    </w:p>
    <w:p>
      <w:pPr>
        <w:pStyle w:val="968"/>
      </w:pPr>
      <w:r>
        <w:rPr>
          <w:rFonts w:hint="eastAsia"/>
        </w:rPr>
        <w:t xml:space="preserve">电话定位服务</w:t>
      </w:r>
      <w:r/>
    </w:p>
    <w:p>
      <w:pPr>
        <w:pStyle w:val="969"/>
      </w:pPr>
      <w:r/>
      <w:bookmarkStart w:id="255" w:name="_Toc6116"/>
      <w:r>
        <w:rPr>
          <w:rFonts w:hint="eastAsia"/>
        </w:rPr>
        <w:t xml:space="preserve">服务内容</w:t>
      </w:r>
      <w:bookmarkEnd w:id="255"/>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本服务主要是</w:t>
      </w:r>
      <w:r>
        <w:rPr>
          <w:rFonts w:hint="eastAsia" w:ascii="宋体" w:hAnsi="宋体" w:eastAsia="宋体" w:cs="宋体"/>
          <w:lang w:bidi="ar"/>
        </w:rPr>
        <w:t xml:space="preserve">租用警情定位平台，接入三大运营商基站定位，接入手机厂商高精度定位，处理和管理定位数据，提供定位查询接口，及其他基于位置的应用；以及</w:t>
      </w:r>
      <w:r>
        <w:rPr>
          <w:rFonts w:hint="eastAsia" w:ascii="宋体" w:hAnsi="宋体" w:eastAsia="宋体" w:cs="宋体"/>
          <w:sz w:val="21"/>
          <w:szCs w:val="21"/>
        </w:rPr>
        <w:t xml:space="preserve">业务软件定制开发及配套硬件安装，要求能</w:t>
      </w:r>
      <w:r>
        <w:rPr>
          <w:rFonts w:hint="eastAsia" w:ascii="宋体" w:hAnsi="宋体" w:eastAsia="宋体" w:cs="宋体"/>
          <w:lang w:bidi="ar"/>
        </w:rPr>
        <w:t xml:space="preserve">接入市面上绝大多数品牌智能手机的报警辅助功能，接收高精度定位数据；接入包括华为、荣耀、小米、中兴、OPPO、vivo、魅族、苹果等主流手机品牌。本</w:t>
      </w:r>
      <w:r>
        <w:rPr>
          <w:rFonts w:hint="eastAsia" w:ascii="宋体" w:hAnsi="宋体" w:eastAsia="宋体" w:cs="宋体"/>
          <w:sz w:val="21"/>
          <w:szCs w:val="21"/>
        </w:rPr>
        <w:t xml:space="preserve">服务主体内容为软件开发。</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团队及驻场人员安排：要求建立专门的现场组织机构和研发团队，安排具有较高专业水平设计开发人员、项目管理人员，明确职责和任务，编制详细可行的质量管理手册，科学有效地进行项目管理，确保项目实施质量。</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结合本项目建设方案、开发、实施、测试、验收相关标准的要求，提供详细的项目方案设计、软件开发、部署以及运维工程的实施方案，包括详细工作流程图、工程计划等。</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开发工具主要为公安网电脑及测试服务器。</w:t>
      </w:r>
      <w:r/>
    </w:p>
    <w:p>
      <w:pPr>
        <w:pStyle w:val="969"/>
      </w:pPr>
      <w:r/>
      <w:bookmarkStart w:id="256" w:name="_Toc79655977"/>
      <w:r/>
      <w:bookmarkStart w:id="257" w:name="_Toc19399"/>
      <w:r/>
      <w:bookmarkStart w:id="258" w:name="_Toc565"/>
      <w:r>
        <w:rPr>
          <w:rFonts w:hint="eastAsia"/>
        </w:rPr>
        <w:t xml:space="preserve">服务产出</w:t>
      </w:r>
      <w:bookmarkEnd w:id="256"/>
      <w:r/>
      <w:bookmarkEnd w:id="257"/>
      <w:r/>
      <w:bookmarkEnd w:id="258"/>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项目产出为太仓市公安局接处警系统5G视频报警应用及报警定位服务。</w:t>
      </w:r>
      <w:r/>
    </w:p>
    <w:p>
      <w:pPr>
        <w:pStyle w:val="969"/>
      </w:pPr>
      <w:r/>
      <w:bookmarkStart w:id="259" w:name="_Toc13998"/>
      <w:r/>
      <w:bookmarkStart w:id="260" w:name="_Toc79655978"/>
      <w:r/>
      <w:bookmarkStart w:id="261" w:name="_Toc3021"/>
      <w:r>
        <w:rPr>
          <w:rFonts w:hint="eastAsia"/>
        </w:rPr>
        <w:t xml:space="preserve">考核指标</w:t>
      </w:r>
      <w:bookmarkEnd w:id="259"/>
      <w:r/>
      <w:bookmarkEnd w:id="260"/>
      <w:r/>
      <w:bookmarkEnd w:id="261"/>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按照江苏省公安厅接处警工作的考核以及太仓市公安局接处警工作要求，对本项目主项进行考核。</w:t>
      </w:r>
      <w:r/>
    </w:p>
    <w:p>
      <w:pPr>
        <w:pStyle w:val="969"/>
      </w:pPr>
      <w:r/>
      <w:bookmarkStart w:id="262" w:name="_Toc13073"/>
      <w:r/>
      <w:bookmarkStart w:id="263" w:name="_Toc11194"/>
      <w:r>
        <w:rPr>
          <w:rFonts w:hint="eastAsia"/>
        </w:rPr>
        <w:t xml:space="preserve">运维</w:t>
      </w:r>
      <w:bookmarkEnd w:id="262"/>
      <w:r/>
      <w:bookmarkEnd w:id="263"/>
      <w:r>
        <w:rPr>
          <w:rFonts w:hint="eastAsia"/>
        </w:rPr>
        <w:t xml:space="preserve">要求</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由具有公安行业、通信工程、信息化工程的实施、维护经验的专业技术服务保障团队负责太仓市公安局110接处警软硬件的日常维修工作。在维保期内，对突发故障进行7*24小时的故障响应，并进行及时抢修恢复，不推诿、拖延。每次维修将进行详细记录并经市公安局情报指挥中心确认。</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提供24小时电话服务热线，并给予技术咨询和问题解答。</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电话或远程维护不能解决问题的，接到电话后3小时内到现场协调处理故障。故障恢复时间：系统出现异常或故障时，故障恢复时间为12小时以内。</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该平台为内部应用系统，平台上线后将对市局指挥中心相关民警及接警员进行专项培训。</w:t>
      </w:r>
      <w:r/>
    </w:p>
    <w:p>
      <w:pPr>
        <w:contextualSpacing/>
        <w:ind w:firstLine="420"/>
        <w:jc w:val="left"/>
        <w:spacing w:line="360" w:lineRule="auto"/>
        <w:widowControl/>
        <w:rPr>
          <w:rFonts w:ascii="宋体" w:hAnsi="宋体" w:eastAsia="宋体" w:cs="宋体"/>
          <w:sz w:val="21"/>
          <w:szCs w:val="21"/>
        </w:rPr>
      </w:pPr>
      <w:r>
        <w:rPr>
          <w:rFonts w:ascii="宋体" w:hAnsi="宋体" w:eastAsia="宋体" w:cs="宋体"/>
          <w:sz w:val="21"/>
          <w:szCs w:val="21"/>
        </w:rPr>
      </w:r>
      <w:r/>
    </w:p>
    <w:p>
      <w:pPr>
        <w:pStyle w:val="968"/>
      </w:pPr>
      <w:r>
        <w:rPr>
          <w:rFonts w:hint="eastAsia"/>
        </w:rPr>
        <w:t xml:space="preserve">无人车租赁服务</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本项目计划每年租赁10辆无人车用于路面巡查等实战应用，⻋辆应搭载L4级⽆⼈⻋⻋规级线控底盘，配备模块化⻋⾝系统、动⼒系统、整⻋控制系统、智能防碰撞主动安全系统、智能灯光系统等。动⼒系统应兼容12V / 72V平台，⽀持快速换电模式，整⻋控制系统具备16⼤控制模式、灯光⾃动控制、多种传感器信息接收处理、五级故障诊断，并⽀持OTA、UDS对软件进⾏刷写、升级。智能防碰撞主动安全系统能满⾜道路、⻋辆、⾏⼈或其他障碍物体及场景检测，并通过减速靠边、紧急制动、⾼压下电等⾃主控制，保证⻋辆⾏驶安全。</w:t>
      </w:r>
      <w:r/>
    </w:p>
    <w:p>
      <w:pPr>
        <w:pStyle w:val="969"/>
        <w:contextualSpacing/>
        <w:jc w:val="left"/>
        <w:widowControl/>
      </w:pPr>
      <w:r>
        <w:rPr>
          <w:rFonts w:hint="eastAsia"/>
        </w:rPr>
        <w:t xml:space="preserve">服务要求</w:t>
      </w:r>
      <w:r/>
    </w:p>
    <w:p>
      <w:pPr>
        <w:contextualSpacing/>
        <w:ind w:firstLine="422"/>
        <w:jc w:val="left"/>
        <w:spacing w:line="360" w:lineRule="auto"/>
        <w:widowControl/>
        <w:rPr>
          <w:rFonts w:ascii="宋体" w:hAnsi="宋体" w:eastAsia="宋体" w:cs="宋体"/>
          <w:b/>
          <w:bCs/>
          <w:sz w:val="21"/>
          <w:szCs w:val="21"/>
        </w:rPr>
      </w:pPr>
      <w:r>
        <w:rPr>
          <w:rFonts w:hint="eastAsia" w:ascii="宋体" w:hAnsi="宋体" w:eastAsia="宋体" w:cs="宋体"/>
          <w:b/>
          <w:bCs/>
          <w:sz w:val="21"/>
          <w:szCs w:val="21"/>
        </w:rPr>
        <w:t xml:space="preserve">产品交付</w:t>
      </w:r>
      <w:r/>
    </w:p>
    <w:p>
      <w:pPr>
        <w:numPr>
          <w:ilvl w:val="255"/>
          <w:numId w:val="0"/>
        </w:num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首次交付产品的运费由中标方承担。招标方如需变更交付地点或收货人，应在约定的交付时间至少5个工作日前书面通知乙方。</w:t>
      </w:r>
      <w:r/>
    </w:p>
    <w:p>
      <w:pPr>
        <w:numPr>
          <w:ilvl w:val="255"/>
          <w:numId w:val="0"/>
        </w:num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无人车安防车交付应包括相关的配套资料，包括无人安防车使用说明、远程安全使用说明、常见问题排查手册、产品合格证和一致性证书等。</w:t>
      </w:r>
      <w:r/>
    </w:p>
    <w:p>
      <w:pPr>
        <w:contextualSpacing/>
        <w:ind w:firstLine="422"/>
        <w:jc w:val="left"/>
        <w:spacing w:line="360" w:lineRule="auto"/>
        <w:widowControl/>
        <w:rPr>
          <w:rFonts w:ascii="宋体" w:hAnsi="宋体" w:eastAsia="宋体" w:cs="宋体"/>
          <w:b/>
          <w:bCs/>
          <w:sz w:val="21"/>
          <w:szCs w:val="21"/>
        </w:rPr>
      </w:pPr>
      <w:r>
        <w:rPr>
          <w:rFonts w:hint="eastAsia" w:ascii="宋体" w:hAnsi="宋体" w:eastAsia="宋体" w:cs="宋体"/>
          <w:b/>
          <w:bCs/>
          <w:sz w:val="21"/>
          <w:szCs w:val="21"/>
        </w:rPr>
        <w:t xml:space="preserve">运营部署</w:t>
      </w:r>
      <w:r/>
    </w:p>
    <w:p>
      <w:pPr>
        <w:numPr>
          <w:ilvl w:val="255"/>
          <w:numId w:val="0"/>
        </w:num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中标方需要提供无人车7*24小时的运营部署服务，按照招标方提供的路线需求来进行可行性评估以及后续的采图制图和无人车部署工作。无人车更换运营场地和路线次数不多于3次，单车总里程不超过50公里。</w:t>
      </w:r>
      <w:r/>
    </w:p>
    <w:p>
      <w:pPr>
        <w:contextualSpacing/>
        <w:ind w:firstLine="422"/>
        <w:jc w:val="left"/>
        <w:spacing w:line="360" w:lineRule="auto"/>
        <w:widowControl/>
        <w:rPr>
          <w:rFonts w:ascii="宋体" w:hAnsi="宋体" w:eastAsia="宋体" w:cs="宋体"/>
          <w:b/>
          <w:bCs/>
          <w:sz w:val="21"/>
          <w:szCs w:val="21"/>
        </w:rPr>
      </w:pPr>
      <w:r>
        <w:rPr>
          <w:rFonts w:hint="eastAsia" w:ascii="宋体" w:hAnsi="宋体" w:eastAsia="宋体" w:cs="宋体"/>
          <w:b/>
          <w:bCs/>
          <w:sz w:val="21"/>
          <w:szCs w:val="21"/>
        </w:rPr>
        <w:t xml:space="preserve">技术支持</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中标方需求提供无人车相关的技术支持服务，包括无人车相应配套软件系统的维护、升级、更新服务，以支持招标方正常使用无人车进行安防巡检任务。</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中标方需要提供无人车搭载安防设备的电气和结构改装支持服务，累计不超过三种类型系统的搭载。</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中标方需要支持提供无人车运行时必要的实时数据接口，以支持招标方在后台实时监控无人车的运行状态。接口数据主要包括无人车的实时位置、速度、朝向以及自动驾驶状态；无人车周围实时监控视频可根据需求进行调取。</w:t>
      </w:r>
      <w:r/>
    </w:p>
    <w:p>
      <w:pPr>
        <w:contextualSpacing/>
        <w:ind w:firstLine="422"/>
        <w:jc w:val="left"/>
        <w:spacing w:line="360" w:lineRule="auto"/>
        <w:widowControl/>
        <w:rPr>
          <w:rFonts w:ascii="宋体" w:hAnsi="宋体" w:eastAsia="宋体" w:cs="宋体"/>
          <w:b/>
          <w:bCs/>
          <w:sz w:val="21"/>
          <w:szCs w:val="21"/>
        </w:rPr>
      </w:pPr>
      <w:r>
        <w:rPr>
          <w:rFonts w:hint="eastAsia" w:ascii="宋体" w:hAnsi="宋体" w:eastAsia="宋体" w:cs="宋体"/>
          <w:b/>
          <w:bCs/>
          <w:sz w:val="21"/>
          <w:szCs w:val="21"/>
        </w:rPr>
        <w:t xml:space="preserve">运维支持</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在租赁期内，因无人车本身出现质量问题（人为损坏原因除外），导致其无法正常运营、行驶，中标方应在接到维修通知后【24】小时内响应，并提供远程技术支持协助维修车辆。若确认故障问题为远程技术支持无法解决的，中标方须于【48】小时内发送相关配件至车辆所在地，并安排车辆维修工作。</w:t>
      </w:r>
      <w:r/>
    </w:p>
    <w:p>
      <w:pPr>
        <w:contextualSpacing/>
        <w:ind w:firstLine="422"/>
        <w:jc w:val="left"/>
        <w:spacing w:line="360" w:lineRule="auto"/>
        <w:widowControl/>
        <w:rPr>
          <w:rFonts w:ascii="宋体" w:hAnsi="宋体" w:eastAsia="宋体" w:cs="宋体"/>
          <w:b/>
          <w:bCs/>
          <w:sz w:val="21"/>
          <w:szCs w:val="21"/>
        </w:rPr>
      </w:pPr>
      <w:r>
        <w:rPr>
          <w:rFonts w:hint="eastAsia" w:ascii="宋体" w:hAnsi="宋体" w:eastAsia="宋体" w:cs="宋体"/>
          <w:b/>
          <w:bCs/>
          <w:sz w:val="21"/>
          <w:szCs w:val="21"/>
        </w:rPr>
        <w:t xml:space="preserve">使用培训</w:t>
      </w:r>
      <w:r/>
    </w:p>
    <w:p>
      <w:pPr>
        <w:contextualSpacing/>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中标方需要向甲方提供各种必要的无人车使用技术培训，包括但不限于无人车的日常使用操作培训，无人车的常见问题排查，无人车的充换电操作以及无人车使用过程中的发生突发问题时的及时处理流程；</w:t>
      </w:r>
      <w:r/>
    </w:p>
    <w:p>
      <w:pPr>
        <w:pStyle w:val="969"/>
        <w:contextualSpacing/>
        <w:jc w:val="left"/>
        <w:widowControl/>
      </w:pPr>
      <w:r>
        <w:rPr>
          <w:rFonts w:hint="eastAsia"/>
        </w:rPr>
        <w:t xml:space="preserve">性能参数要求</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中标方所提供的无人车性能参数不应低于以下要求：</w:t>
      </w:r>
      <w:r/>
    </w:p>
    <w:p>
      <w:pPr>
        <w:contextualSpacing/>
        <w:ind w:firstLine="420"/>
        <w:jc w:val="left"/>
        <w:spacing w:line="360" w:lineRule="auto"/>
        <w:widowControl/>
        <w:rPr>
          <w:rFonts w:ascii="宋体" w:hAnsi="宋体" w:eastAsia="宋体" w:cs="宋体"/>
          <w:sz w:val="21"/>
          <w:szCs w:val="21"/>
        </w:rPr>
      </w:pPr>
      <w:r>
        <w:rPr>
          <w:rFonts w:ascii="宋体" w:hAnsi="宋体" w:eastAsia="宋体" w:cs="宋体"/>
          <w:sz w:val="21"/>
          <w:szCs w:val="21"/>
        </w:rPr>
        <w:t xml:space="preserve">最⾼设计时速不低于50km/h；</w:t>
      </w:r>
      <w:r/>
    </w:p>
    <w:p>
      <w:pPr>
        <w:contextualSpacing/>
        <w:ind w:firstLine="420"/>
        <w:jc w:val="left"/>
        <w:spacing w:line="360" w:lineRule="auto"/>
        <w:widowControl/>
        <w:rPr>
          <w:rFonts w:ascii="宋体" w:hAnsi="宋体" w:eastAsia="宋体" w:cs="宋体"/>
          <w:sz w:val="21"/>
          <w:szCs w:val="21"/>
        </w:rPr>
      </w:pPr>
      <w:r>
        <w:rPr>
          <w:rFonts w:ascii="宋体" w:hAnsi="宋体" w:eastAsia="宋体" w:cs="宋体"/>
          <w:sz w:val="21"/>
          <w:szCs w:val="21"/>
        </w:rPr>
        <w:t xml:space="preserve">⽀持快速换电模式；</w:t>
      </w:r>
      <w:r/>
    </w:p>
    <w:p>
      <w:pPr>
        <w:contextualSpacing/>
        <w:ind w:firstLine="420"/>
        <w:jc w:val="left"/>
        <w:spacing w:line="360" w:lineRule="auto"/>
        <w:widowControl/>
        <w:rPr>
          <w:rFonts w:ascii="宋体" w:hAnsi="宋体" w:eastAsia="宋体" w:cs="宋体"/>
          <w:sz w:val="21"/>
          <w:szCs w:val="21"/>
        </w:rPr>
      </w:pPr>
      <w:r>
        <w:rPr>
          <w:rFonts w:ascii="宋体" w:hAnsi="宋体" w:eastAsia="宋体" w:cs="宋体"/>
          <w:sz w:val="21"/>
          <w:szCs w:val="21"/>
        </w:rPr>
        <w:t xml:space="preserve">⻋辆具备远光灯、近光灯、昼⾏灯、前后位置灯、前后转向灯、侧转向灯、制动灯、危险报警灯、倒⻋灯、后雾灯、⾼位制动灯、回复反射器、牌照灯、LOGO灯、⻋顶氛围灯和迎宾灯；</w:t>
      </w:r>
      <w:r/>
    </w:p>
    <w:p>
      <w:pPr>
        <w:contextualSpacing/>
        <w:ind w:firstLine="420"/>
        <w:jc w:val="left"/>
        <w:spacing w:line="360" w:lineRule="auto"/>
        <w:widowControl/>
        <w:rPr>
          <w:rFonts w:ascii="宋体" w:hAnsi="宋体" w:eastAsia="宋体" w:cs="宋体"/>
          <w:sz w:val="21"/>
          <w:szCs w:val="21"/>
        </w:rPr>
      </w:pPr>
      <w:r>
        <w:rPr>
          <w:rFonts w:ascii="宋体" w:hAnsi="宋体" w:eastAsia="宋体" w:cs="宋体"/>
          <w:sz w:val="21"/>
          <w:szCs w:val="21"/>
        </w:rPr>
        <w:t xml:space="preserve">整⻋淋⽔性能不低于IP54；</w:t>
      </w:r>
      <w:r/>
    </w:p>
    <w:p>
      <w:pPr>
        <w:contextualSpacing/>
        <w:ind w:firstLine="420"/>
        <w:jc w:val="left"/>
        <w:spacing w:line="360" w:lineRule="auto"/>
        <w:widowControl/>
        <w:rPr>
          <w:rFonts w:ascii="宋体" w:hAnsi="宋体" w:eastAsia="宋体" w:cs="宋体"/>
          <w:sz w:val="21"/>
          <w:szCs w:val="21"/>
        </w:rPr>
      </w:pPr>
      <w:r>
        <w:rPr>
          <w:rFonts w:ascii="宋体" w:hAnsi="宋体" w:eastAsia="宋体" w:cs="宋体"/>
          <w:sz w:val="21"/>
          <w:szCs w:val="21"/>
        </w:rPr>
        <w:t xml:space="preserve">⻋载远程推流相机分辨率不低于1080p，可根据业务需要与⽹络能⼒进⾏动态调整；</w:t>
      </w:r>
      <w:r/>
    </w:p>
    <w:p>
      <w:pPr>
        <w:contextualSpacing/>
        <w:ind w:firstLine="420"/>
        <w:jc w:val="left"/>
        <w:spacing w:line="360" w:lineRule="auto"/>
        <w:widowControl/>
        <w:rPr>
          <w:rFonts w:ascii="宋体" w:hAnsi="宋体" w:eastAsia="宋体" w:cs="宋体"/>
          <w:sz w:val="21"/>
          <w:szCs w:val="21"/>
        </w:rPr>
      </w:pPr>
      <w:r>
        <w:rPr>
          <w:rFonts w:ascii="宋体" w:hAnsi="宋体" w:eastAsia="宋体" w:cs="宋体"/>
          <w:sz w:val="21"/>
          <w:szCs w:val="21"/>
        </w:rPr>
        <w:t xml:space="preserve">⾃动驾驶系统定位误差不超过0.1⽶；</w:t>
      </w:r>
      <w:r/>
    </w:p>
    <w:p>
      <w:pPr>
        <w:contextualSpacing/>
        <w:ind w:firstLine="420"/>
        <w:jc w:val="left"/>
        <w:spacing w:line="360" w:lineRule="auto"/>
        <w:widowControl/>
        <w:rPr>
          <w:rFonts w:ascii="宋体" w:hAnsi="宋体" w:eastAsia="宋体" w:cs="宋体"/>
          <w:sz w:val="21"/>
          <w:szCs w:val="21"/>
        </w:rPr>
      </w:pPr>
      <w:r>
        <w:rPr>
          <w:rFonts w:ascii="宋体" w:hAnsi="宋体" w:eastAsia="宋体" w:cs="宋体"/>
          <w:sz w:val="21"/>
          <w:szCs w:val="21"/>
        </w:rPr>
        <w:t xml:space="preserve">⾃动驾驶感知系统作⽤范围不低于80⽶；</w:t>
      </w:r>
      <w:r/>
    </w:p>
    <w:p>
      <w:pPr>
        <w:contextualSpacing/>
        <w:ind w:firstLine="420"/>
        <w:jc w:val="left"/>
        <w:spacing w:line="360" w:lineRule="auto"/>
        <w:widowControl/>
        <w:rPr>
          <w:rFonts w:ascii="宋体" w:hAnsi="宋体" w:eastAsia="宋体" w:cs="宋体"/>
          <w:sz w:val="21"/>
          <w:szCs w:val="21"/>
        </w:rPr>
      </w:pPr>
      <w:r>
        <w:rPr>
          <w:rFonts w:ascii="宋体" w:hAnsi="宋体" w:eastAsia="宋体" w:cs="宋体"/>
          <w:sz w:val="21"/>
          <w:szCs w:val="21"/>
        </w:rPr>
        <w:t xml:space="preserve">⾃动驾驶感知系统具备红绿灯、交通标识标线识别能⼒；</w:t>
      </w:r>
      <w:r/>
    </w:p>
    <w:p>
      <w:pPr>
        <w:contextualSpacing/>
        <w:ind w:firstLine="420"/>
        <w:jc w:val="left"/>
        <w:spacing w:line="360" w:lineRule="auto"/>
        <w:widowControl/>
        <w:rPr>
          <w:rFonts w:ascii="宋体" w:hAnsi="宋体" w:eastAsia="宋体" w:cs="宋体"/>
          <w:sz w:val="21"/>
          <w:szCs w:val="21"/>
        </w:rPr>
      </w:pPr>
      <w:r>
        <w:rPr>
          <w:rFonts w:ascii="宋体" w:hAnsi="宋体" w:eastAsia="宋体" w:cs="宋体"/>
          <w:sz w:val="21"/>
          <w:szCs w:val="21"/>
        </w:rPr>
        <w:t xml:space="preserve">⾃动驾驶具备感知融合能⼒；</w:t>
      </w:r>
      <w:r/>
    </w:p>
    <w:p>
      <w:pPr>
        <w:contextualSpacing/>
        <w:ind w:firstLine="420"/>
        <w:jc w:val="left"/>
        <w:spacing w:line="360" w:lineRule="auto"/>
        <w:widowControl/>
        <w:rPr>
          <w:rFonts w:ascii="宋体" w:hAnsi="宋体" w:eastAsia="宋体" w:cs="宋体"/>
          <w:sz w:val="21"/>
          <w:szCs w:val="21"/>
        </w:rPr>
      </w:pPr>
      <w:r>
        <w:rPr>
          <w:rFonts w:ascii="宋体" w:hAnsi="宋体" w:eastAsia="宋体" w:cs="宋体"/>
          <w:sz w:val="21"/>
          <w:szCs w:val="21"/>
        </w:rPr>
        <w:t xml:space="preserve">⾃动驾驶具备跟⻋、避障、绕障、⻋道内调头、⼗字路⼝⽆保护左右转等能⼒；</w:t>
      </w:r>
      <w:r/>
    </w:p>
    <w:p>
      <w:pPr>
        <w:contextualSpacing/>
        <w:ind w:firstLine="420"/>
        <w:jc w:val="left"/>
        <w:spacing w:line="360" w:lineRule="auto"/>
        <w:widowControl/>
        <w:rPr>
          <w:rFonts w:ascii="宋体" w:hAnsi="宋体" w:eastAsia="宋体" w:cs="宋体"/>
          <w:sz w:val="21"/>
          <w:szCs w:val="21"/>
        </w:rPr>
      </w:pPr>
      <w:r>
        <w:rPr>
          <w:rFonts w:ascii="宋体" w:hAnsi="宋体" w:eastAsia="宋体" w:cs="宋体"/>
          <w:sz w:val="21"/>
          <w:szCs w:val="21"/>
        </w:rPr>
        <w:t xml:space="preserve">配备⾃动紧急制动系统</w:t>
      </w:r>
      <w:r>
        <w:rPr>
          <w:rFonts w:hint="eastAsia" w:ascii="宋体" w:hAnsi="宋体" w:eastAsia="宋体" w:cs="宋体"/>
          <w:sz w:val="21"/>
          <w:szCs w:val="21"/>
        </w:rPr>
        <w:t xml:space="preserve">；</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最大载货质量不低于600kg；</w:t>
      </w:r>
      <w:r/>
    </w:p>
    <w:p>
      <w:pPr>
        <w:contextualSpacing/>
        <w:ind w:firstLine="420"/>
        <w:jc w:val="left"/>
        <w:spacing w:line="360" w:lineRule="auto"/>
        <w:widowControl/>
        <w:rPr>
          <w:rFonts w:ascii="宋体" w:hAnsi="宋体" w:eastAsia="宋体" w:cs="宋体"/>
          <w:sz w:val="21"/>
          <w:szCs w:val="21"/>
        </w:rPr>
      </w:pPr>
      <w:r>
        <w:rPr>
          <w:rFonts w:ascii="宋体" w:hAnsi="宋体" w:eastAsia="宋体" w:cs="宋体"/>
          <w:sz w:val="21"/>
          <w:szCs w:val="21"/>
        </w:rPr>
        <w:t xml:space="preserve">电池总储电量（kWh）</w:t>
      </w:r>
      <w:r>
        <w:rPr>
          <w:rFonts w:hint="eastAsia" w:ascii="宋体" w:hAnsi="宋体" w:eastAsia="宋体" w:cs="宋体"/>
          <w:sz w:val="21"/>
          <w:szCs w:val="21"/>
        </w:rPr>
        <w:t xml:space="preserve">不小于</w:t>
      </w:r>
      <w:r>
        <w:rPr>
          <w:rFonts w:ascii="宋体" w:hAnsi="宋体" w:eastAsia="宋体" w:cs="宋体"/>
          <w:sz w:val="21"/>
          <w:szCs w:val="21"/>
        </w:rPr>
        <w:t xml:space="preserve">6.45kWh</w:t>
      </w:r>
      <w:r>
        <w:rPr>
          <w:rFonts w:hint="eastAsia" w:ascii="宋体" w:hAnsi="宋体" w:eastAsia="宋体" w:cs="宋体"/>
          <w:sz w:val="21"/>
          <w:szCs w:val="21"/>
        </w:rPr>
        <w:t xml:space="preserve">；</w:t>
      </w:r>
      <w:r>
        <w:rPr>
          <w:rFonts w:ascii="宋体" w:hAnsi="宋体" w:eastAsia="宋体" w:cs="宋体"/>
          <w:sz w:val="21"/>
          <w:szCs w:val="21"/>
        </w:rPr>
        <w:t xml:space="preserve"> </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电池</w:t>
      </w:r>
      <w:r>
        <w:rPr>
          <w:rFonts w:ascii="宋体" w:hAnsi="宋体" w:eastAsia="宋体" w:cs="宋体"/>
          <w:sz w:val="21"/>
          <w:szCs w:val="21"/>
        </w:rPr>
        <w:t xml:space="preserve">循环寿命</w:t>
      </w:r>
      <w:r>
        <w:rPr>
          <w:rFonts w:hint="eastAsia" w:ascii="宋体" w:hAnsi="宋体" w:eastAsia="宋体" w:cs="宋体"/>
          <w:sz w:val="21"/>
          <w:szCs w:val="21"/>
        </w:rPr>
        <w:t xml:space="preserve">不低于</w:t>
      </w:r>
      <w:r>
        <w:rPr>
          <w:rFonts w:ascii="宋体" w:hAnsi="宋体" w:eastAsia="宋体" w:cs="宋体"/>
          <w:sz w:val="21"/>
          <w:szCs w:val="21"/>
        </w:rPr>
        <w:t xml:space="preserve">1500次@83%</w:t>
      </w:r>
      <w:r>
        <w:rPr>
          <w:rFonts w:hint="eastAsia" w:ascii="宋体" w:hAnsi="宋体" w:eastAsia="宋体" w:cs="宋体"/>
          <w:sz w:val="21"/>
          <w:szCs w:val="21"/>
        </w:rPr>
        <w:t xml:space="preserve">；</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前悬架型式：⻨弗逊式独⽴悬挂</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后悬架型式：板簧式⾮独⽴悬架</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线控转向型式：P-EPS线控转向</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⾏⻋制动型式：IBS电⼦液压制动</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前/后制动器型式：盘式</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驻⻋制动型式：EPB电⼦驻⻋</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驱动轴型式：全浮式半轴</w:t>
      </w:r>
      <w:r/>
    </w:p>
    <w:p>
      <w:pPr>
        <w:ind w:firstLine="0"/>
      </w:pPr>
      <w:r/>
      <w:r/>
    </w:p>
    <w:p>
      <w:pPr>
        <w:pStyle w:val="968"/>
      </w:pPr>
      <w:r>
        <w:rPr>
          <w:rFonts w:hint="eastAsia"/>
        </w:rPr>
        <w:t xml:space="preserve">saas数据服务</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连续5年开展的“昆仑”系列专项行动和各项重点攻坚专项行动、专项工作，向食药环和知识产权领域群众反映强烈、社会广泛关注的突出违法犯罪发起强大攻势，取得明显成效。2019年至2022年，全国公安机关共侦破食药环和知识产权犯罪案件27万起，抓获犯罪嫌疑人40万名，有力打击遏制了相关犯罪活动。但随着新老问题交织、网上网下交织、多种犯罪交织、各类风险隐患交织等新现象层出不穷，案件的办理打击难度也在不断升级：案件犯罪链条长、犯罪区</w:t>
      </w:r>
      <w:r>
        <w:rPr>
          <w:rFonts w:hint="eastAsia" w:ascii="宋体" w:hAnsi="宋体" w:eastAsia="宋体" w:cs="宋体"/>
          <w:sz w:val="21"/>
          <w:szCs w:val="21"/>
        </w:rPr>
        <w:t xml:space="preserve">域广、犯罪方式隐蔽、犯罪分子反侦查意识强，全链条全要素打击难度很大。面对新形势、新变化、新问题，全国公安食药侦部门主动作为，坚持系统治理、依法治理、综合治理、源头治理，加强部门协作，形成工作合力，不断提升打击效能和治理能力。针对犯罪跨区域、产业化、链条化的特点，加强对重大跨区域案件的协调督办，强化区域合作、集成作战，形成了重点案件侦办由公安部统一指挥，产供销涉案地公安机关协同开展线索摸排、深入经营、集中打击的工作模式。所以计划设立采购食药环业务智能分析服务项目，强化太仓市公安局对食药环犯罪的打击及防范能力。</w:t>
      </w:r>
      <w:r/>
    </w:p>
    <w:p>
      <w:pPr>
        <w:pStyle w:val="969"/>
      </w:pPr>
      <w:r>
        <w:rPr>
          <w:rFonts w:hint="eastAsia"/>
        </w:rPr>
        <w:t xml:space="preserve">服务内容</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1）初侦初查</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公安在案件侦查过程中，往往第一步需要解决“涉案虚拟身份找实人”的问题。基于嫌疑人的虚拟账号（涉案要素）进行多维关联分析，发现、提取更具真实性、指向性的涉案人员、设备等线索，从模糊信息锁定犯罪嫌疑人，明确下一步的侦查方向。</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2）现案研判</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现案研判为公安案件侦查、打击提供智能分析处理工具，通过关联关系等方式挖掘嫌疑人、关系网等信息，加速破案。基于系统提供的业务需求智能化流转服务，用户可输入业务需求及相关文件，经过业务需求对象的的审批后进行研判。</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案件管理模块支持对输入的案件进行统一管理，提供案件列表、列表检索的功能，并支持对案件提交分析任务、查看研判结果等操作。</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3）关系挖掘</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利用涉案人员的行为规律，经数据融合挖掘识别出与嫌疑人存在强风险关联的隐性风险人员，实现以点找面，以面找链的关系网络。不仅可通过直接挖掘“供应-生产-运输-销售”等犯罪链条网络关键人员的紧密关联人物，以识别其上下游关系网，也可通过挖掘间接人员，补充产业链的不同环节间缺失的关键链路。可通过查询关联关系的相关特征信息，从而梳理和还原产业链形成及发展的过程及关键事件。</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4）风险档案</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风险档案是以风险对象的视角，将某一特定类案的风险情况进行聚合，查看风险人员的基本信息、风险类型、风险标签、风险行为等线索，并提供风险简易筛查功能，便于对整体风险情况进行初步分析。</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基本信息：便于掌握该对象基本情况，用于涉案风险的辅助分析；</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风险行为：以日期为维度，掌握该风险对象风险动作的延续性，提供风险类型的描述，便于了解风险程度；</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风险挖掘：根据风险类型、风险标签对该风险人员的重点风险行为进行挖掘与分析；</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高危地流窜：根据流动性识别风险，辅助识别风险人员的风险性；</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识管辖地：提供的风险行为确认的情况下，识别、产出该风险人的常驻辖区的信息线索，支撑管辖地派发</w:t>
      </w:r>
      <w:r/>
    </w:p>
    <w:p>
      <w:pPr>
        <w:pStyle w:val="969"/>
      </w:pPr>
      <w:r>
        <w:rPr>
          <w:rFonts w:hint="eastAsia"/>
        </w:rPr>
        <w:t xml:space="preserve">服务模式</w:t>
      </w:r>
      <w:r/>
    </w:p>
    <w:p>
      <w:pPr>
        <w:contextualSpacing/>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项目中涉及的内容均依托互联网端数据接口及授权访问，采用购买服务的方式开展。项目中涉及的系统不接入公安网，不在本地架设服务器，无本地数据留存，无数据安全问题。</w:t>
      </w:r>
      <w:r/>
    </w:p>
    <w:p>
      <w:pPr>
        <w:pStyle w:val="1066"/>
        <w:ind w:firstLine="420"/>
        <w:rPr>
          <w:rFonts w:hAnsi="宋体" w:cs="宋体"/>
          <w:sz w:val="21"/>
          <w:szCs w:val="21"/>
        </w:rPr>
      </w:pPr>
      <w:r>
        <w:rPr>
          <w:rFonts w:hAnsi="宋体" w:cs="宋体"/>
          <w:sz w:val="21"/>
          <w:szCs w:val="21"/>
        </w:rPr>
      </w:r>
      <w:r/>
    </w:p>
    <w:p>
      <w:pPr>
        <w:ind w:firstLine="0"/>
        <w:jc w:val="both"/>
        <w:spacing w:line="360" w:lineRule="auto"/>
        <w:tabs>
          <w:tab w:val="left" w:pos="0" w:leader="none"/>
          <w:tab w:val="left" w:pos="710" w:leader="none"/>
          <w:tab w:val="left" w:pos="2694" w:leader="none"/>
        </w:tabs>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项目实施要求</w:t>
      </w:r>
      <w:r/>
    </w:p>
    <w:p>
      <w:pPr>
        <w:pStyle w:val="1125"/>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1、交付进度：合同签订后</w:t>
      </w:r>
      <w:r>
        <w:rPr>
          <w:rFonts w:hint="eastAsia" w:cs="宋体" w:asciiTheme="minorEastAsia" w:hAnsiTheme="minorEastAsia" w:eastAsiaTheme="minorEastAsia"/>
          <w:szCs w:val="21"/>
          <w:lang w:val="en-US" w:eastAsia="zh-CN"/>
        </w:rPr>
        <w:t xml:space="preserve">12个月</w:t>
      </w:r>
      <w:r>
        <w:rPr>
          <w:rFonts w:hint="eastAsia" w:cs="宋体" w:asciiTheme="minorEastAsia" w:hAnsiTheme="minorEastAsia" w:eastAsiaTheme="minorEastAsia"/>
          <w:szCs w:val="21"/>
        </w:rPr>
        <w:t xml:space="preserve">内交货并安装调试完成。交货地点为采购人指定地点。</w:t>
      </w:r>
      <w:r/>
    </w:p>
    <w:p>
      <w:pPr>
        <w:pStyle w:val="1125"/>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、在安装和系统调测期间，采购人和监理单位有权派出技术人员参加，中标单位有义务提供技术咨询。</w:t>
      </w:r>
      <w:r/>
    </w:p>
    <w:p>
      <w:pPr>
        <w:pStyle w:val="1125"/>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、中标人在系统建设完成竣工验收前，须确保原系统服务不中断。</w:t>
      </w:r>
      <w:r/>
    </w:p>
    <w:p>
      <w:pPr>
        <w:pStyle w:val="1125"/>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w:t>
      </w:r>
      <w:r>
        <w:rPr>
          <w:rFonts w:hint="eastAsia" w:cs="宋体" w:asciiTheme="minorEastAsia" w:hAnsiTheme="minorEastAsia" w:eastAsiaTheme="minorEastAsia"/>
          <w:b/>
          <w:bCs/>
          <w:szCs w:val="21"/>
        </w:rPr>
        <w:t xml:space="preserve">本次采购的云平台、大数据等和太仓公安现有云计算平台（华为</w:t>
      </w:r>
      <w:r>
        <w:rPr>
          <w:rFonts w:cs="宋体" w:asciiTheme="minorEastAsia" w:hAnsiTheme="minorEastAsia" w:eastAsiaTheme="minorEastAsia"/>
          <w:b/>
          <w:bCs/>
          <w:szCs w:val="21"/>
        </w:rPr>
        <w:t xml:space="preserve">FusionCompute</w:t>
      </w:r>
      <w:r>
        <w:rPr>
          <w:rFonts w:hint="eastAsia" w:cs="宋体" w:asciiTheme="minorEastAsia" w:hAnsiTheme="minorEastAsia" w:eastAsiaTheme="minorEastAsia"/>
          <w:b/>
          <w:bCs/>
          <w:szCs w:val="21"/>
        </w:rPr>
        <w:t xml:space="preserve">）兼容，可实现弹性计算和共享存储，投标人需提供所投产品厂商加盖公章的技术确认函，否则为无效投标。</w:t>
      </w:r>
      <w:r/>
    </w:p>
    <w:p>
      <w:pPr>
        <w:pStyle w:val="1125"/>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p>
      <w:pPr>
        <w:ind w:firstLine="0"/>
        <w:tabs>
          <w:tab w:val="left" w:pos="0" w:leader="none"/>
          <w:tab w:val="left" w:pos="710" w:leader="none"/>
          <w:tab w:val="left" w:pos="2694" w:leader="none"/>
        </w:tabs>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服务要求</w:t>
      </w:r>
      <w:r/>
    </w:p>
    <w:p>
      <w:pPr>
        <w:pStyle w:val="1125"/>
        <w:ind w:firstLine="442"/>
        <w:jc w:val="left"/>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1、安装、运维及售后服务</w:t>
      </w:r>
      <w:r/>
    </w:p>
    <w:p>
      <w:pPr>
        <w:pStyle w:val="1125"/>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（1）基本要求</w:t>
      </w:r>
      <w:r/>
    </w:p>
    <w:p>
      <w:pPr>
        <w:pStyle w:val="1125"/>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1）不得擅自变更点位布局规划和安装设备型号，不得偷工减料。</w:t>
      </w:r>
      <w:r/>
    </w:p>
    <w:p>
      <w:pPr>
        <w:pStyle w:val="1125"/>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）中标人必须建立健全质量检查制度，严格工序管理，应对安装施工安全、质量全面负责，因中标单位原因造成质量、安全事故，中标人承担一切经济法律责任。</w:t>
      </w:r>
      <w:r/>
    </w:p>
    <w:p>
      <w:pPr>
        <w:pStyle w:val="1125"/>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）中标人应与采购人签订保密协议，严格遵循保密协议之规定，确保系统数据安全，任何数据资料未经采购人许可不得向第三方提供。</w:t>
      </w:r>
      <w:r/>
    </w:p>
    <w:p>
      <w:pPr>
        <w:pStyle w:val="1125"/>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）中标人应具有有效详细的运维管理办法，保障本项目建设的设备及系统正常运行，并负责故障的全程处理。</w:t>
      </w:r>
      <w:r/>
    </w:p>
    <w:p>
      <w:pPr>
        <w:pStyle w:val="1125"/>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）中标人提供7*24小时热线电话服务，并确定专人协调处理。</w:t>
      </w:r>
      <w:r/>
    </w:p>
    <w:p>
      <w:pPr>
        <w:pStyle w:val="1125"/>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（2）系统升级要求</w:t>
      </w:r>
      <w:r/>
    </w:p>
    <w:p>
      <w:pPr>
        <w:pStyle w:val="1125"/>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中标人提供运维期间免费软件升级服务，采购人不再承担任何费用。厂家已提供更新版本的软件的，采购人有权要求中标人进行免费升级。中标人在收到软件升级通知后，须在3个工作日内作出反馈，20个工作日内完成升级工作。</w:t>
      </w:r>
      <w:r/>
    </w:p>
    <w:p>
      <w:pPr>
        <w:pStyle w:val="1125"/>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2）中标人在产品升级前应做好充分准备，并以书面的形式提前告知采购人，同时做好事件记录。</w:t>
      </w:r>
      <w:r/>
    </w:p>
    <w:p>
      <w:pPr>
        <w:pStyle w:val="1125"/>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）实施团队要求</w:t>
      </w:r>
      <w:r/>
    </w:p>
    <w:p>
      <w:pPr>
        <w:ind w:firstLine="420"/>
        <w:spacing w:line="360" w:lineRule="auto"/>
        <w:tabs>
          <w:tab w:val="left" w:pos="0"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中标人需提供现场实施人员不少于</w:t>
      </w:r>
      <w:r>
        <w:rPr>
          <w:rFonts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人，1名项目经理，负责项目签订后的整个运作过程，计划、协调、管理、监控和跟踪项目，合理安排项目进度、为项目组织人力资源，确保项目的顺利实施。1名项目技术负责人，配合项目经理组织项目施工，分管技术性工作，包括实施设计、方案评审、组织技术分工、组织技术论证、协调厂商技术交流、编制实施方案、质量控制等方案，按计划监督实施、应急事件处理，出具技术响应方案等。</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名项目组成员，负责产品的安装调试工作，以及试运行期间的现场维护，开展相应培训工作，并负责质量保证期内的技术支持工作，为项目提供完善的系统运行维护服务。</w:t>
      </w:r>
      <w:r/>
    </w:p>
    <w:p>
      <w:pPr>
        <w:pStyle w:val="1125"/>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）运行维护机构</w:t>
      </w:r>
      <w:r/>
    </w:p>
    <w:p>
      <w:pPr>
        <w:pStyle w:val="1125"/>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1）中标人应在本地设立运行维护机构。</w:t>
      </w:r>
      <w:r/>
    </w:p>
    <w:p>
      <w:pPr>
        <w:pStyle w:val="1125"/>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2）中标人针对本项目明确专职管理人员及其他专职运维人员，并配备相应的运维设备，相关人员必须经太仓市公安局备案同意，签署保密协议，进行安全审查。</w:t>
      </w:r>
      <w:r/>
    </w:p>
    <w:p>
      <w:pPr>
        <w:pStyle w:val="1125"/>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）中标人针对本项目应配备各类相应的维修机动车辆。</w:t>
      </w:r>
      <w:r/>
    </w:p>
    <w:p>
      <w:pPr>
        <w:pStyle w:val="1125"/>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）如遇重大活动和重要保障任务时，接采购人通知时应立即进行巡检和清洁，对系统存在的潜在安全或故障隐患进行分析并提出相应的解决方案加以排除。</w:t>
      </w:r>
      <w:r/>
    </w:p>
    <w:p>
      <w:pPr>
        <w:pStyle w:val="1125"/>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）运维内容</w:t>
      </w:r>
      <w:r/>
    </w:p>
    <w:p>
      <w:pPr>
        <w:pStyle w:val="1125"/>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1）中标人对服务期限范围内（不少于三年，具体视投标结果而定）所有设备进行定期巡检服务，及时发现设备的损坏或系统的功能异常。</w:t>
      </w:r>
      <w:r/>
    </w:p>
    <w:p>
      <w:pPr>
        <w:pStyle w:val="1125"/>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）中标人对服务期限范围内所有设备进行必要的定期保养服务。</w:t>
      </w:r>
      <w:r/>
    </w:p>
    <w:p>
      <w:pPr>
        <w:pStyle w:val="1125"/>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）中标人对采购人的重大事件和重大活动提供技术支持和现场保障服务。</w:t>
      </w:r>
      <w:r/>
    </w:p>
    <w:p>
      <w:pPr>
        <w:pStyle w:val="1125"/>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）维修响应及恢复时间要求：保修期内，中标单位提供7×24小时热线支持。接到报障或通知后应在半小时内响应，1小时内派人到现场，12小时内排除故障。</w:t>
      </w:r>
      <w:r/>
    </w:p>
    <w:p>
      <w:pPr>
        <w:pStyle w:val="1125"/>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5）由于国家电网停电或市政道路施工引起的故障，则对中标人响应时间从修复后开始计算。</w:t>
      </w:r>
      <w:r/>
    </w:p>
    <w:p>
      <w:pPr>
        <w:pStyle w:val="1125"/>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6</w:t>
      </w:r>
      <w:r>
        <w:rPr>
          <w:rFonts w:hint="eastAsia" w:cs="宋体" w:asciiTheme="minorEastAsia" w:hAnsiTheme="minorEastAsia" w:eastAsiaTheme="minorEastAsia"/>
          <w:szCs w:val="21"/>
        </w:rPr>
        <w:t xml:space="preserve">）每次维修必须进行详细记录并经使用方确认，每月向采购人报送维修报表。</w:t>
      </w:r>
      <w:r/>
    </w:p>
    <w:p>
      <w:pPr>
        <w:pStyle w:val="1125"/>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7）定期对服务期限范围内设备的网络、硬件设备、存储数据进行巡检、保养。</w:t>
      </w:r>
      <w:r/>
    </w:p>
    <w:p>
      <w:pPr>
        <w:pStyle w:val="1125"/>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8</w:t>
      </w:r>
      <w:r>
        <w:rPr>
          <w:rFonts w:hint="eastAsia" w:cs="宋体" w:asciiTheme="minorEastAsia" w:hAnsiTheme="minorEastAsia" w:eastAsiaTheme="minorEastAsia"/>
          <w:szCs w:val="21"/>
        </w:rPr>
        <w:t xml:space="preserve">）定期对所有外场设备进行巡检、保养。</w:t>
      </w:r>
      <w:r/>
    </w:p>
    <w:p>
      <w:pPr>
        <w:pStyle w:val="1125"/>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9</w:t>
      </w:r>
      <w:r>
        <w:rPr>
          <w:rFonts w:hint="eastAsia" w:cs="宋体" w:asciiTheme="minorEastAsia" w:hAnsiTheme="minorEastAsia" w:eastAsiaTheme="minorEastAsia"/>
          <w:szCs w:val="21"/>
        </w:rPr>
        <w:t xml:space="preserve">）定期对所有外场设备的金属部件进行防锈保养。</w:t>
      </w:r>
      <w:r/>
    </w:p>
    <w:p>
      <w:pPr>
        <w:pStyle w:val="1125"/>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10</w:t>
      </w:r>
      <w:r>
        <w:rPr>
          <w:rFonts w:hint="eastAsia" w:cs="宋体" w:asciiTheme="minorEastAsia" w:hAnsiTheme="minorEastAsia" w:eastAsiaTheme="minorEastAsia"/>
          <w:szCs w:val="21"/>
        </w:rPr>
        <w:t xml:space="preserve">）每次巡检、保养必须进行详细记录并经使用方确认，每月向采购人报送巡检、保养报表。</w:t>
      </w:r>
      <w:r/>
    </w:p>
    <w:p>
      <w:pPr>
        <w:pStyle w:val="1125"/>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11</w:t>
      </w:r>
      <w:r>
        <w:rPr>
          <w:rFonts w:hint="eastAsia" w:cs="宋体" w:asciiTheme="minorEastAsia" w:hAnsiTheme="minorEastAsia" w:eastAsiaTheme="minorEastAsia"/>
          <w:szCs w:val="21"/>
        </w:rPr>
        <w:t xml:space="preserve">）平时按需进行摄像机清洁，在重大活动和重要节日前，对所有摄像机清洁一次。</w:t>
      </w:r>
      <w:r/>
    </w:p>
    <w:p>
      <w:pPr>
        <w:pStyle w:val="1125"/>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lang w:val="en-US" w:eastAsia="zh-CN"/>
        </w:rPr>
        <w:t xml:space="preserve">12</w:t>
      </w:r>
      <w:r>
        <w:rPr>
          <w:rFonts w:hint="eastAsia" w:cs="宋体" w:asciiTheme="minorEastAsia" w:hAnsiTheme="minorEastAsia" w:eastAsiaTheme="minorEastAsia"/>
          <w:szCs w:val="21"/>
        </w:rPr>
        <w:t xml:space="preserve">）本项目免费质保期为自验收合格之日起不低于</w:t>
      </w: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年。</w:t>
      </w:r>
      <w:r/>
    </w:p>
    <w:p>
      <w:pPr>
        <w:pStyle w:val="1125"/>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lang w:val="en-US" w:eastAsia="zh-CN"/>
        </w:rPr>
        <w:t xml:space="preserve">13</w:t>
      </w:r>
      <w:r>
        <w:rPr>
          <w:rFonts w:hint="eastAsia" w:cs="宋体" w:asciiTheme="minorEastAsia" w:hAnsiTheme="minorEastAsia" w:eastAsiaTheme="minorEastAsia"/>
          <w:szCs w:val="21"/>
        </w:rPr>
        <w:t xml:space="preserve">）服务响应：保修期内，中标单位提供7×24小时热线支持。接到报障或通知后应在半小时内响应，1小时内派人到现场，12小时内排除故障。</w:t>
      </w:r>
      <w:r/>
    </w:p>
    <w:p>
      <w:pPr>
        <w:pStyle w:val="1125"/>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lang w:val="en-US" w:eastAsia="zh-CN"/>
        </w:rPr>
        <w:t xml:space="preserve">14</w:t>
      </w:r>
      <w:r>
        <w:rPr>
          <w:rFonts w:hint="eastAsia" w:cs="宋体" w:asciiTheme="minorEastAsia" w:hAnsiTheme="minorEastAsia" w:eastAsiaTheme="minorEastAsia"/>
          <w:szCs w:val="21"/>
        </w:rPr>
        <w:t xml:space="preserve">）</w:t>
      </w:r>
      <w:r>
        <w:rPr>
          <w:rFonts w:cs="宋体" w:asciiTheme="minorEastAsia" w:hAnsiTheme="minorEastAsia" w:eastAsiaTheme="minorEastAsia"/>
          <w:b/>
          <w:bCs/>
          <w:szCs w:val="21"/>
        </w:rPr>
        <w:t xml:space="preserve">中标单位须在合同签订后三个工作日内向采购单位提供所投</w:t>
      </w:r>
      <w:r>
        <w:rPr>
          <w:rFonts w:hint="eastAsia" w:cs="宋体" w:asciiTheme="minorEastAsia" w:hAnsiTheme="minorEastAsia" w:eastAsiaTheme="minorEastAsia"/>
          <w:b/>
          <w:bCs/>
          <w:szCs w:val="21"/>
        </w:rPr>
        <w:t xml:space="preserve">核心产品（训练</w:t>
      </w:r>
      <w:r>
        <w:rPr>
          <w:rFonts w:cs="宋体" w:asciiTheme="minorEastAsia" w:hAnsiTheme="minorEastAsia" w:eastAsiaTheme="minorEastAsia"/>
          <w:b/>
          <w:bCs/>
          <w:szCs w:val="21"/>
        </w:rPr>
        <w:t xml:space="preserve">服务器</w:t>
      </w:r>
      <w:r>
        <w:rPr>
          <w:rFonts w:hint="eastAsia" w:cs="宋体" w:asciiTheme="minorEastAsia" w:hAnsiTheme="minorEastAsia" w:eastAsiaTheme="minorEastAsia"/>
          <w:b/>
          <w:bCs/>
          <w:szCs w:val="21"/>
        </w:rPr>
        <w:t xml:space="preserve">）</w:t>
      </w:r>
      <w:r>
        <w:rPr>
          <w:rFonts w:cs="宋体" w:asciiTheme="minorEastAsia" w:hAnsiTheme="minorEastAsia" w:eastAsiaTheme="minorEastAsia"/>
          <w:b/>
          <w:bCs/>
          <w:szCs w:val="21"/>
        </w:rPr>
        <w:t xml:space="preserve">制造商以及服务器芯片、主板制造商出具的针对本项目的符合招标文件售后服务要求的服务承诺函（制造商盖章原件）。投标单位须在投标文件中提供相关承诺书（书面承诺需加盖投标人公章），否则视为无效投标。</w:t>
      </w:r>
      <w:r/>
    </w:p>
    <w:p>
      <w:pPr>
        <w:pStyle w:val="1125"/>
        <w:ind w:firstLine="442"/>
        <w:jc w:val="left"/>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2、综合说明</w:t>
      </w:r>
      <w:r/>
    </w:p>
    <w:p>
      <w:pPr>
        <w:pStyle w:val="1125"/>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（1）项目验收：</w:t>
      </w:r>
      <w:r/>
    </w:p>
    <w:p>
      <w:pPr>
        <w:pStyle w:val="1125"/>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验收内容：项目全部完成后，采购人组织验收人员或邀请第三方专业机构对项目进行验收，根据招标文件内容对所提供货物数量、质量及项目实施要求进行验收。每个设备必须出具生产厂商的出厂产品检验合格证。如果验收不符合招标文件要求，采购人有权要求中标单位无条件退货，由此造成的一切损失由中标单位自行承担。</w:t>
      </w:r>
      <w:r/>
    </w:p>
    <w:p>
      <w:pPr>
        <w:pStyle w:val="1125"/>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）验收标准：验收标准符合国家最新的技术规范和标准，同时满足招标文件产品规格、具体配置、技术要求及乙方承诺的其他指标。</w:t>
      </w:r>
      <w:r/>
    </w:p>
    <w:p>
      <w:pPr>
        <w:pStyle w:val="1125"/>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（2）投标文件中的产品技术需求响应必须完全真实，若有违反，采购人有权退回全部产品，并取消中标资格，所造成的损失由中标人自行承担，并承担相应后果。</w:t>
      </w:r>
      <w:r/>
    </w:p>
    <w:p>
      <w:pPr>
        <w:pStyle w:val="1125"/>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（3）本项目服务期间内所涉及的前端基础设施供配电、接地、路面开挖、绿化恢复等，以及相关设备设施造成的任何人身及财产损失，均由投标方负责，采购人不承担任何责任。</w:t>
      </w:r>
      <w:r/>
    </w:p>
    <w:p>
      <w:pPr>
        <w:pStyle w:val="1125"/>
        <w:ind w:firstLine="442"/>
        <w:jc w:val="left"/>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3、其它要求</w:t>
      </w:r>
      <w:r/>
    </w:p>
    <w:p>
      <w:pPr>
        <w:pStyle w:val="1125"/>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（1）投标单位在投标技术文件中必须对所有招标产品的招标技术规格与要求逐一做出技术应答，如果有其中某些条款不响应时，应在投标文件中逐条列出，未列出的视同响应。</w:t>
      </w:r>
      <w:r/>
    </w:p>
    <w:p>
      <w:pPr>
        <w:pStyle w:val="1125"/>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（2）投标单位必须明确所投设备生产厂家、品牌、型号。</w:t>
      </w:r>
      <w:r/>
    </w:p>
    <w:p>
      <w:pPr>
        <w:pStyle w:val="1125"/>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（3）投标单位所投产品需符合国家相关标准及有关行业标准。</w:t>
      </w:r>
      <w:r/>
    </w:p>
    <w:p>
      <w:pPr>
        <w:pStyle w:val="1125"/>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知识产权：供方应保证需方免除且供方承担由于需方在其本国使用该产品或该产品任何一部分时而引起第三方提出的侵犯专利权、商标权或工业设计权的起诉、行动、行政程序索赔、请求等以及需方为此而产生的损失和损害、费用和支出（包括律师费）。</w:t>
      </w:r>
      <w:r/>
    </w:p>
    <w:p>
      <w:pPr>
        <w:pStyle w:val="1125"/>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投标人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1125"/>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投标人提供本项目服务过程中的所有安装施工材料质量及施工质量必须严格按照国家规范及江苏省、苏州市相应地方规范、招标文件、材料厂家的技术规范的有关要求执行，并承担项目实施过程中的设备及人员的安全管理责任。</w:t>
      </w:r>
      <w:r/>
    </w:p>
    <w:p>
      <w:pPr>
        <w:pStyle w:val="1125"/>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（7）投标人必须和采购人签订保密协议书，相应服务实施人员必须签订保密责任书，保证项目实施安全性和数据不泄密。</w:t>
      </w:r>
      <w:r/>
    </w:p>
    <w:p>
      <w:pPr>
        <w:pStyle w:val="1125"/>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8）投标报价：投标总报价一次报定，投标总报价应包括但不仅限于为完成工作所发生的一切预见和不可预见费用，包括但不限于人工费（包括人员工资、加班费、社会保险费用、福利费等）、设备租赁费、管路管线建设费（包括光纤、电力电缆、网线、音视频线材、管材等材料，以及相配套的开挖、恢赔补、管路敷设、过路顶管等施工费用）安装、调试费、运维费、维修费、加急费（项目加急产生的费用）、交通运输费、技术支持与培训、专利、咨询费、税费及政策性文件规定和合同所包含的所有风险、责任等各项应有费用。</w:t>
      </w:r>
      <w:r/>
    </w:p>
    <w:p>
      <w:pPr>
        <w:ind w:firstLine="0"/>
        <w:spacing w:line="360" w:lineRule="auto"/>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p>
      <w:pPr>
        <w:ind w:firstLine="0"/>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付款步骤及支付方式</w:t>
      </w:r>
      <w:r/>
    </w:p>
    <w:p>
      <w:pPr>
        <w:ind w:firstLine="0"/>
        <w:spacing w:line="360" w:lineRule="auto"/>
        <w:rPr>
          <w:rFonts w:cs="宋体"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付款步骤：付款步骤：</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合同签订后一周内，支付不低于合同总金额3</w:t>
      </w:r>
      <w:r>
        <w:rPr>
          <w:rFonts w:cs="宋体" w:asciiTheme="minorEastAsia" w:hAnsiTheme="minorEastAsia" w:eastAsiaTheme="minorEastAsia"/>
          <w:color w:val="000000" w:themeColor="text1"/>
          <w:sz w:val="21"/>
          <w:szCs w:val="21"/>
          <w14:textFill>
            <w14:solidFill>
              <w14:schemeClr w14:val="tx1"/>
            </w14:solidFill>
          </w14:textFill>
        </w:rPr>
        <w:t xml:space="preserve">0%的预付款</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；第二年支付不低于合同总金额的4</w:t>
      </w:r>
      <w:r>
        <w:rPr>
          <w:rFonts w:cs="宋体" w:asciiTheme="minorEastAsia" w:hAnsiTheme="minorEastAsia" w:eastAsiaTheme="minorEastAsia"/>
          <w:color w:val="000000" w:themeColor="text1"/>
          <w:sz w:val="21"/>
          <w:szCs w:val="21"/>
          <w14:textFill>
            <w14:solidFill>
              <w14:schemeClr w14:val="tx1"/>
            </w14:solidFill>
          </w14:textFill>
        </w:rPr>
        <w:t xml:space="preserve">0%</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；项目初验通过后一周内支付至合同金额的9</w:t>
      </w:r>
      <w:r>
        <w:rPr>
          <w:rFonts w:cs="宋体" w:asciiTheme="minorEastAsia" w:hAnsiTheme="minorEastAsia" w:eastAsiaTheme="minorEastAsia"/>
          <w:color w:val="000000" w:themeColor="text1"/>
          <w:sz w:val="21"/>
          <w:szCs w:val="21"/>
          <w14:textFill>
            <w14:solidFill>
              <w14:schemeClr w14:val="tx1"/>
            </w14:solidFill>
          </w14:textFill>
        </w:rPr>
        <w:t xml:space="preserve">0%，终审后支付至终审金额的</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9</w:t>
      </w:r>
      <w:r>
        <w:rPr>
          <w:rFonts w:cs="宋体" w:asciiTheme="minorEastAsia" w:hAnsiTheme="minorEastAsia" w:eastAsiaTheme="minorEastAsia"/>
          <w:color w:val="000000" w:themeColor="text1"/>
          <w:sz w:val="21"/>
          <w:szCs w:val="21"/>
          <w14:textFill>
            <w14:solidFill>
              <w14:schemeClr w14:val="tx1"/>
            </w14:solidFill>
          </w14:textFill>
        </w:rPr>
        <w:t xml:space="preserve">5%，</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服务期满后支付余款。</w:t>
      </w:r>
      <w:r/>
    </w:p>
    <w:p>
      <w:pPr>
        <w:ind w:firstLine="0"/>
        <w:spacing w:line="360" w:lineRule="auto"/>
        <w:rPr>
          <w:rFonts w:hint="eastAsia" w:cs="宋体" w:asciiTheme="minorEastAsia" w:hAnsiTheme="minorEastAsia" w:eastAsiaTheme="minorEastAsia"/>
          <w:sz w:val="21"/>
          <w:szCs w:val="21"/>
        </w:rPr>
      </w:pPr>
      <w:r>
        <w:rPr>
          <w:rFonts w:hint="eastAsia" w:asciiTheme="minorEastAsia" w:hAnsiTheme="minorEastAsia" w:eastAsiaTheme="minorEastAsia"/>
          <w:sz w:val="21"/>
          <w:szCs w:val="21"/>
        </w:rPr>
        <w:t xml:space="preserve">支付方式：</w:t>
      </w:r>
      <w:r>
        <w:rPr>
          <w:rFonts w:hint="eastAsia" w:cs="宋体" w:asciiTheme="minorEastAsia" w:hAnsiTheme="minorEastAsia" w:eastAsiaTheme="minorEastAsia"/>
          <w:sz w:val="21"/>
          <w:szCs w:val="21"/>
        </w:rPr>
        <w:t xml:space="preserve">银行转账等。甲方向乙方支付合同款项前，乙方应当将同等金额的增值税专业发票或普通发票提交甲方。</w:t>
      </w:r>
      <w:r/>
    </w:p>
    <w:p>
      <w:pPr>
        <w:pStyle w:val="1063"/>
      </w:pPr>
      <w:r/>
      <w:r/>
    </w:p>
    <w:p>
      <w:pPr>
        <w:ind w:firstLine="0"/>
        <w:keepLines w:val="0"/>
        <w:keepNext w:val="0"/>
        <w:pageBreakBefore w:val="0"/>
        <w:spacing w:line="560" w:lineRule="exact"/>
        <w:widowControl w:val="off"/>
        <w:rPr>
          <w:rFonts w:hint="eastAsia" w:asciiTheme="minorEastAsia" w:hAnsiTheme="minorEastAsia" w:eastAsiaTheme="minorEastAsia"/>
          <w:b/>
          <w:sz w:val="21"/>
          <w:szCs w:val="21"/>
          <w:lang w:val="en-US" w:eastAsia="zh-CN"/>
        </w:rPr>
      </w:pPr>
      <w:r>
        <w:rPr>
          <w:rFonts w:hint="eastAsia" w:asciiTheme="minorEastAsia" w:hAnsiTheme="minorEastAsia" w:eastAsiaTheme="minorEastAsia"/>
          <w:b/>
          <w:sz w:val="21"/>
          <w:szCs w:val="21"/>
          <w:lang w:val="en-US" w:eastAsia="zh-CN"/>
        </w:rPr>
        <w:t xml:space="preserve">现场踏勘</w:t>
      </w:r>
      <w:r/>
    </w:p>
    <w:p>
      <w:pPr>
        <w:ind w:firstLine="0"/>
        <w:keepLines w:val="0"/>
        <w:keepNext w:val="0"/>
        <w:pageBreakBefore w:val="0"/>
        <w:spacing w:line="560" w:lineRule="exact"/>
        <w:widowControl w:val="off"/>
        <w:rPr>
          <w:rFonts w:hint="default" w:cs="宋体" w:asciiTheme="minorEastAsia" w:hAnsiTheme="minorEastAsia" w:eastAsiaTheme="minorEastAsia"/>
          <w:color w:val="000000" w:themeColor="text1"/>
          <w:sz w:val="21"/>
          <w:szCs w:val="21"/>
          <w:lang w:val="en-US" w:eastAsia="zh-CN"/>
          <w14:textFill>
            <w14:solidFill>
              <w14:schemeClr w14:val="tx1"/>
            </w14:solidFill>
          </w14:textFill>
        </w:rPr>
      </w:pPr>
      <w:r>
        <w:rPr>
          <w:rFonts w:hint="default" w:cs="宋体" w:asciiTheme="minorEastAsia" w:hAnsiTheme="minorEastAsia" w:eastAsiaTheme="minorEastAsia"/>
          <w:color w:val="000000" w:themeColor="text1"/>
          <w:sz w:val="21"/>
          <w:szCs w:val="21"/>
          <w:lang w:val="en-US" w:eastAsia="zh-CN"/>
          <w14:textFill>
            <w14:solidFill>
              <w14:schemeClr w14:val="tx1"/>
            </w14:solidFill>
          </w14:textFill>
        </w:rPr>
        <w:t xml:space="preserve">根据采购方的实际情况，为了让参加本项目的投标单位能了解采购方实际情况需求，项目需求与现场实际情况相吻合；各投标单位可在项目公告结束之日起3个工作日内进行现场勘察。未踏勘现场的供应商中标后不得以不了解现场的具体要求而提出追加费用和其他索赔要求。勘察地点：</w:t>
      </w:r>
      <w:r>
        <w:rPr>
          <w:rFonts w:hint="eastAsia" w:cs="宋体" w:asciiTheme="minorEastAsia" w:hAnsiTheme="minorEastAsia" w:eastAsiaTheme="minorEastAsia"/>
          <w:color w:val="000000" w:themeColor="text1"/>
          <w:sz w:val="21"/>
          <w:szCs w:val="21"/>
          <w:u w:val="single"/>
          <w:lang w:val="en-US" w:eastAsia="zh-CN"/>
          <w14:textFill>
            <w14:solidFill>
              <w14:schemeClr w14:val="tx1"/>
            </w14:solidFill>
          </w14:textFill>
        </w:rPr>
        <w:t xml:space="preserve">太仓市公安局</w:t>
      </w:r>
      <w:r>
        <w:rPr>
          <w:rFonts w:hint="default" w:cs="宋体" w:asciiTheme="minorEastAsia" w:hAnsiTheme="minorEastAsia" w:eastAsiaTheme="minorEastAsia"/>
          <w:color w:val="000000" w:themeColor="text1"/>
          <w:sz w:val="21"/>
          <w:szCs w:val="21"/>
          <w:lang w:val="en-US" w:eastAsia="zh-CN"/>
          <w14:textFill>
            <w14:solidFill>
              <w14:schemeClr w14:val="tx1"/>
            </w14:solidFill>
          </w14:textFill>
        </w:rPr>
        <w:t xml:space="preserve">。联系人：</w:t>
      </w:r>
      <w:r>
        <w:rPr>
          <w:rFonts w:hint="eastAsia" w:cs="宋体" w:asciiTheme="minorEastAsia" w:hAnsiTheme="minorEastAsia" w:eastAsiaTheme="minorEastAsia"/>
          <w:color w:val="000000" w:themeColor="text1"/>
          <w:sz w:val="21"/>
          <w:szCs w:val="21"/>
          <w:u w:val="single"/>
          <w:lang w:val="en-US" w:eastAsia="zh-CN"/>
          <w14:textFill>
            <w14:solidFill>
              <w14:schemeClr w14:val="tx1"/>
            </w14:solidFill>
          </w14:textFill>
        </w:rPr>
        <w:t xml:space="preserve">陆健</w:t>
      </w:r>
      <w:r>
        <w:rPr>
          <w:rFonts w:hint="default" w:cs="宋体" w:asciiTheme="minorEastAsia" w:hAnsiTheme="minorEastAsia" w:eastAsiaTheme="minorEastAsia"/>
          <w:color w:val="000000" w:themeColor="text1"/>
          <w:sz w:val="21"/>
          <w:szCs w:val="21"/>
          <w:lang w:val="en-US" w:eastAsia="zh-CN"/>
          <w14:textFill>
            <w14:solidFill>
              <w14:schemeClr w14:val="tx1"/>
            </w14:solidFill>
          </w14:textFill>
        </w:rPr>
        <w:t xml:space="preserve">；联系电话：</w:t>
      </w:r>
      <w:r>
        <w:rPr>
          <w:rFonts w:hint="eastAsia" w:cs="宋体" w:asciiTheme="minorEastAsia" w:hAnsiTheme="minorEastAsia" w:eastAsiaTheme="minorEastAsia"/>
          <w:color w:val="000000" w:themeColor="text1"/>
          <w:sz w:val="21"/>
          <w:szCs w:val="21"/>
          <w:u w:val="single"/>
          <w:lang w:val="en-US" w:eastAsia="zh-CN"/>
          <w14:textFill>
            <w14:solidFill>
              <w14:schemeClr w14:val="tx1"/>
            </w14:solidFill>
          </w14:textFill>
        </w:rPr>
        <w:t xml:space="preserve">0512-33055622</w:t>
      </w:r>
      <w:r>
        <w:rPr>
          <w:rFonts w:hint="default" w:cs="宋体" w:asciiTheme="minorEastAsia" w:hAnsiTheme="minorEastAsia" w:eastAsiaTheme="minorEastAsia"/>
          <w:color w:val="000000" w:themeColor="text1"/>
          <w:sz w:val="21"/>
          <w:szCs w:val="21"/>
          <w:lang w:val="en-US" w:eastAsia="zh-CN"/>
          <w14:textFill>
            <w14:solidFill>
              <w14:schemeClr w14:val="tx1"/>
            </w14:solidFill>
          </w14:textFill>
        </w:rPr>
        <w:t xml:space="preserve">。</w:t>
      </w:r>
      <w:r/>
    </w:p>
    <w:p>
      <w:pPr>
        <w:contextualSpacing/>
        <w:ind w:firstLine="0"/>
        <w:jc w:val="left"/>
        <w:spacing w:line="360" w:lineRule="auto"/>
        <w:widowControl/>
        <w:rPr>
          <w:rFonts w:ascii="宋体" w:hAnsi="宋体" w:eastAsia="宋体" w:cs="宋体"/>
          <w:sz w:val="21"/>
          <w:szCs w:val="21"/>
        </w:rPr>
      </w:pPr>
      <w:r>
        <w:rPr>
          <w:rFonts w:ascii="宋体" w:hAnsi="宋体" w:eastAsia="宋体" w:cs="宋体"/>
          <w:sz w:val="21"/>
          <w:szCs w:val="21"/>
        </w:rPr>
      </w:r>
      <w:r/>
    </w:p>
    <w:p>
      <w:pPr>
        <w:contextualSpacing/>
        <w:ind w:firstLine="0"/>
        <w:jc w:val="left"/>
        <w:spacing w:line="360" w:lineRule="auto"/>
        <w:widowControl/>
        <w:rPr>
          <w:rFonts w:ascii="宋体" w:hAnsi="宋体" w:eastAsia="宋体" w:cs="宋体"/>
          <w:sz w:val="21"/>
          <w:szCs w:val="21"/>
        </w:rPr>
      </w:pPr>
      <w:r>
        <w:rPr>
          <w:rFonts w:ascii="宋体" w:hAnsi="宋体" w:eastAsia="宋体" w:cs="宋体"/>
          <w:sz w:val="21"/>
          <w:szCs w:val="21"/>
        </w:rPr>
      </w:r>
      <w:r/>
    </w:p>
    <w:p>
      <w:pPr>
        <w:contextualSpacing/>
        <w:ind w:firstLine="0"/>
        <w:jc w:val="left"/>
        <w:spacing w:line="360" w:lineRule="auto"/>
        <w:widowControl/>
        <w:rPr>
          <w:rFonts w:ascii="宋体" w:hAnsi="宋体" w:eastAsia="宋体" w:cs="宋体"/>
          <w:sz w:val="21"/>
          <w:szCs w:val="21"/>
        </w:rPr>
      </w:pPr>
      <w:r>
        <w:rPr>
          <w:rFonts w:ascii="宋体" w:hAnsi="宋体" w:eastAsia="宋体" w:cs="宋体"/>
          <w:sz w:val="21"/>
          <w:szCs w:val="21"/>
        </w:rPr>
      </w:r>
      <w:r/>
    </w:p>
    <w:p>
      <w:pPr>
        <w:contextualSpacing/>
        <w:ind w:firstLine="0"/>
        <w:jc w:val="left"/>
        <w:spacing w:line="360" w:lineRule="auto"/>
        <w:widowControl/>
        <w:rPr>
          <w:rFonts w:ascii="宋体" w:hAnsi="宋体" w:eastAsia="宋体" w:cs="宋体"/>
          <w:sz w:val="21"/>
          <w:szCs w:val="21"/>
        </w:rPr>
      </w:pPr>
      <w:r>
        <w:rPr>
          <w:rFonts w:ascii="宋体" w:hAnsi="宋体" w:eastAsia="宋体" w:cs="宋体"/>
          <w:sz w:val="21"/>
          <w:szCs w:val="21"/>
        </w:rPr>
      </w:r>
      <w:r/>
    </w:p>
    <w:p>
      <w:pPr>
        <w:rPr>
          <w:rFonts w:hint="eastAsia" w:ascii="仿宋" w:hAnsi="仿宋" w:eastAsia="仿宋" w:cs="仿宋"/>
          <w:b/>
          <w:sz w:val="44"/>
          <w:lang w:eastAsia="zh-CN"/>
        </w:rPr>
      </w:pPr>
      <w:r/>
      <w:bookmarkStart w:id="264" w:name="_Toc78975125"/>
      <w:r>
        <w:rPr>
          <w:rFonts w:hint="eastAsia" w:ascii="仿宋" w:hAnsi="仿宋" w:eastAsia="仿宋" w:cs="仿宋"/>
          <w:b/>
          <w:sz w:val="44"/>
          <w:lang w:eastAsia="zh-CN"/>
        </w:rPr>
        <w:br w:type="page" w:clear="all"/>
      </w:r>
      <w:r/>
    </w:p>
    <w:p>
      <w:pPr>
        <w:ind w:left="0" w:firstLine="0"/>
        <w:jc w:val="center"/>
        <w:spacing w:before="240" w:after="24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lang w:eastAsia="zh-CN"/>
        </w:rPr>
        <w:t xml:space="preserve">第四部分</w:t>
      </w:r>
      <w:r>
        <w:rPr>
          <w:rFonts w:ascii="仿宋" w:hAnsi="仿宋" w:eastAsia="仿宋" w:cs="仿宋"/>
          <w:b/>
          <w:sz w:val="44"/>
          <w:lang w:eastAsia="zh-CN"/>
        </w:rPr>
        <w:t xml:space="preserve"> </w:t>
      </w:r>
      <w:r>
        <w:rPr>
          <w:rFonts w:hint="eastAsia" w:ascii="仿宋" w:hAnsi="仿宋" w:eastAsia="仿宋" w:cs="仿宋"/>
          <w:b/>
          <w:sz w:val="44"/>
          <w:lang w:eastAsia="zh-CN"/>
        </w:rPr>
        <w:t xml:space="preserve">投标文件格式</w:t>
      </w:r>
      <w:r/>
    </w:p>
    <w:p>
      <w:pPr>
        <w:jc w:val="center"/>
        <w:spacing w:after="0" w:line="38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 </w:t>
      </w:r>
      <w:r/>
    </w:p>
    <w:p>
      <w:pPr>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说明：</w:t>
      </w:r>
      <w:r/>
    </w:p>
    <w:p>
      <w:pPr>
        <w:ind w:firstLine="480"/>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对本章所有的投标书格式，投标方可根据自身情况进行补充和修改，但补充和修改不得造成与本格式内容有实质性的违背。</w:t>
      </w:r>
      <w:r/>
    </w:p>
    <w:p>
      <w:pPr>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lang w:eastAsia="zh-CN"/>
        </w:rPr>
        <w:br w:type="page" w:clear="all"/>
      </w:r>
      <w:r/>
    </w:p>
    <w:p>
      <w:pPr>
        <w:ind w:left="0" w:firstLine="0"/>
        <w:jc w:val="both"/>
        <w:spacing w:after="0" w:line="85" w:lineRule="atLeast"/>
        <w:rPr>
          <w:rFonts w:ascii="仿宋" w:hAnsi="仿宋" w:eastAsia="仿宋" w:cs="仿宋"/>
          <w:sz w:val="32"/>
          <w:szCs w:val="32"/>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szCs w:val="32"/>
          <w:lang w:eastAsia="zh-CN"/>
        </w:rPr>
        <w:t xml:space="preserve">1、关于资格文件的声明函</w:t>
      </w:r>
      <w:r/>
    </w:p>
    <w:p>
      <w:pPr>
        <w:ind w:left="1260" w:firstLine="420"/>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lang w:eastAsia="zh-CN"/>
        </w:rPr>
        <w:t xml:space="preserve"> </w:t>
      </w:r>
      <w:r/>
    </w:p>
    <w:p>
      <w:pPr>
        <w:ind w:left="1260" w:firstLine="420"/>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lang w:eastAsia="zh-CN"/>
        </w:rPr>
        <w:t xml:space="preserve"> </w:t>
      </w:r>
      <w:r/>
    </w:p>
    <w:p>
      <w:pPr>
        <w:ind w:left="1260" w:firstLine="1770"/>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lang w:eastAsia="zh-CN"/>
        </w:rPr>
        <w:t xml:space="preserve">关于资格文件的声明函</w:t>
      </w:r>
      <w:r/>
    </w:p>
    <w:p>
      <w:pPr>
        <w:ind w:left="1260" w:firstLine="420"/>
        <w:jc w:val="center"/>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jc w:val="both"/>
        <w:spacing w:after="0" w:line="49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u w:val="single"/>
          <w:lang w:eastAsia="zh-CN"/>
        </w:rPr>
        <w:t xml:space="preserve">苏州市公共资源交易中心太仓分中</w:t>
      </w:r>
      <w:r>
        <w:rPr>
          <w:rFonts w:hint="eastAsia" w:ascii="仿宋" w:hAnsi="仿宋" w:eastAsia="仿宋" w:cs="仿宋"/>
          <w:sz w:val="24"/>
          <w:u w:val="single"/>
          <w:lang w:eastAsia="zh-CN"/>
        </w:rPr>
        <w:t xml:space="preserve">心</w:t>
      </w:r>
      <w:r>
        <w:rPr>
          <w:rFonts w:hint="eastAsia" w:ascii="仿宋" w:hAnsi="仿宋" w:eastAsia="仿宋" w:cs="仿宋"/>
          <w:sz w:val="24"/>
          <w:lang w:eastAsia="zh-CN"/>
        </w:rPr>
        <w:t xml:space="preserve">：</w:t>
      </w:r>
      <w:r/>
    </w:p>
    <w:p>
      <w:pPr>
        <w:ind w:right="445" w:firstLine="480"/>
        <w:spacing w:after="0" w:line="49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本公司愿就由贵单位组织实施的编号为</w:t>
      </w:r>
      <w:r>
        <w:rPr>
          <w:rFonts w:hint="eastAsia" w:ascii="仿宋" w:hAnsi="仿宋" w:eastAsia="仿宋" w:cs="仿宋"/>
          <w:b/>
          <w:sz w:val="24"/>
          <w:u w:val="single"/>
          <w:lang w:eastAsia="zh-CN"/>
        </w:rPr>
        <w:t xml:space="preserve">JSZC-320585-JZCG-G2024-0111</w:t>
      </w:r>
      <w:r>
        <w:rPr>
          <w:rFonts w:hint="eastAsia" w:ascii="仿宋" w:hAnsi="仿宋" w:eastAsia="仿宋" w:cs="仿宋"/>
          <w:sz w:val="24"/>
          <w:lang w:eastAsia="zh-CN"/>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jc w:val="both"/>
        <w:spacing w:after="0" w:line="49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ind w:left="1259" w:firstLine="426"/>
        <w:jc w:val="both"/>
        <w:spacing w:after="0" w:line="49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ind w:firstLine="480"/>
        <w:jc w:val="both"/>
        <w:spacing w:after="0" w:line="49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投标单位（单位盖章）：</w:t>
      </w:r>
      <w:r/>
    </w:p>
    <w:p>
      <w:pPr>
        <w:ind w:firstLine="480"/>
        <w:jc w:val="both"/>
        <w:spacing w:after="0" w:line="49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法定代表人或授权代理人（签字或盖章）：</w:t>
      </w:r>
      <w:r/>
    </w:p>
    <w:p>
      <w:pPr>
        <w:ind w:firstLine="480"/>
        <w:jc w:val="both"/>
        <w:spacing w:after="0" w:line="49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投标日期：</w:t>
      </w:r>
      <w:r>
        <w:rPr>
          <w:rFonts w:ascii="仿宋" w:hAnsi="仿宋" w:eastAsia="仿宋" w:cs="仿宋"/>
          <w:sz w:val="24"/>
          <w:lang w:eastAsia="zh-CN"/>
        </w:rPr>
        <w:t xml:space="preserve"> </w:t>
      </w:r>
      <w:r>
        <w:rPr>
          <w:rFonts w:hint="eastAsia" w:ascii="仿宋" w:hAnsi="仿宋" w:eastAsia="仿宋" w:cs="仿宋"/>
          <w:sz w:val="24"/>
          <w:lang w:eastAsia="zh-CN"/>
        </w:rPr>
        <w:t xml:space="preserve">年</w:t>
      </w:r>
      <w:r>
        <w:rPr>
          <w:rFonts w:ascii="仿宋" w:hAnsi="仿宋" w:eastAsia="仿宋" w:cs="仿宋"/>
          <w:sz w:val="24"/>
          <w:lang w:eastAsia="zh-CN"/>
        </w:rPr>
        <w:t xml:space="preserve"> </w:t>
      </w:r>
      <w:r>
        <w:rPr>
          <w:rFonts w:hint="eastAsia" w:ascii="仿宋" w:hAnsi="仿宋" w:eastAsia="仿宋" w:cs="仿宋"/>
          <w:sz w:val="24"/>
          <w:lang w:eastAsia="zh-CN"/>
        </w:rPr>
        <w:t xml:space="preserve">月</w:t>
      </w:r>
      <w:r>
        <w:rPr>
          <w:rFonts w:ascii="仿宋" w:hAnsi="仿宋" w:eastAsia="仿宋" w:cs="仿宋"/>
          <w:sz w:val="24"/>
          <w:lang w:eastAsia="zh-CN"/>
        </w:rPr>
        <w:t xml:space="preserve">  </w:t>
      </w:r>
      <w:r>
        <w:rPr>
          <w:rFonts w:hint="eastAsia" w:ascii="仿宋" w:hAnsi="仿宋" w:eastAsia="仿宋" w:cs="仿宋"/>
          <w:sz w:val="24"/>
          <w:lang w:eastAsia="zh-CN"/>
        </w:rPr>
        <w:t xml:space="preserve">日</w:t>
      </w:r>
      <w:r/>
    </w:p>
    <w:p>
      <w:pPr>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lang w:eastAsia="zh-CN"/>
        </w:rPr>
      </w:r>
      <w:r/>
    </w:p>
    <w:p>
      <w:pPr>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jc w:val="both"/>
        <w:spacing w:after="0"/>
        <w:rPr>
          <w:rFonts w:ascii="仿宋" w:hAnsi="仿宋" w:eastAsia="仿宋" w:cs="仿宋"/>
          <w:b/>
          <w:sz w:val="32"/>
          <w:szCs w:val="32"/>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szCs w:val="32"/>
          <w:lang w:eastAsia="zh-CN"/>
        </w:rPr>
        <w:br w:type="page" w:clear="all"/>
      </w:r>
      <w:r/>
    </w:p>
    <w:p>
      <w:pPr>
        <w:ind w:left="0" w:firstLine="0"/>
        <w:jc w:val="both"/>
        <w:spacing w:after="0"/>
        <w:rPr>
          <w:rFonts w:ascii="仿宋" w:hAnsi="仿宋" w:eastAsia="仿宋" w:cs="仿宋"/>
          <w:sz w:val="32"/>
          <w:szCs w:val="32"/>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szCs w:val="32"/>
          <w:lang w:eastAsia="zh-CN"/>
        </w:rPr>
        <w:t xml:space="preserve">2、投标承诺函</w:t>
      </w:r>
      <w:r/>
    </w:p>
    <w:p>
      <w:pPr>
        <w:jc w:val="center"/>
        <w:spacing w:after="0" w:line="360" w:lineRule="atLeast"/>
        <w:rPr>
          <w:rFonts w:ascii="仿宋" w:hAnsi="仿宋" w:eastAsia="仿宋" w:cs="仿宋"/>
          <w:sz w:val="21"/>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lang w:eastAsia="zh-CN"/>
        </w:rPr>
        <w:t xml:space="preserve">投标承诺函</w:t>
      </w:r>
      <w:r/>
    </w:p>
    <w:p>
      <w:pPr>
        <w:jc w:val="both"/>
        <w:spacing w:after="0" w:line="36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u w:val="single"/>
          <w:lang w:eastAsia="zh-CN"/>
        </w:rPr>
        <w:t xml:space="preserve">苏州市公共资源交易中心太仓分中心</w:t>
      </w:r>
      <w:r>
        <w:rPr>
          <w:rFonts w:ascii="仿宋" w:hAnsi="仿宋" w:eastAsia="仿宋" w:cs="仿宋"/>
          <w:sz w:val="24"/>
          <w:u w:val="single"/>
          <w:lang w:eastAsia="zh-CN"/>
        </w:rPr>
        <w:t xml:space="preserve"> </w:t>
      </w:r>
      <w:r>
        <w:rPr>
          <w:rFonts w:hint="eastAsia" w:ascii="仿宋" w:hAnsi="仿宋" w:eastAsia="仿宋" w:cs="仿宋"/>
          <w:sz w:val="24"/>
          <w:lang w:eastAsia="zh-CN"/>
        </w:rPr>
        <w:t xml:space="preserve">：</w:t>
      </w:r>
      <w:r/>
    </w:p>
    <w:p>
      <w:pPr>
        <w:jc w:val="both"/>
        <w:spacing w:after="0" w:line="36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ind w:firstLine="48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我们收到贵单位</w:t>
      </w:r>
      <w:r>
        <w:rPr>
          <w:rFonts w:hint="eastAsia" w:ascii="仿宋" w:hAnsi="仿宋" w:eastAsia="仿宋" w:cs="仿宋"/>
          <w:b/>
          <w:sz w:val="24"/>
          <w:u w:val="single"/>
          <w:lang w:eastAsia="zh-CN"/>
        </w:rPr>
        <w:t xml:space="preserve">太仓市智慧城市新型基础设施软硬件配套项目</w:t>
      </w:r>
      <w:r>
        <w:rPr>
          <w:rFonts w:hint="eastAsia" w:ascii="仿宋" w:hAnsi="仿宋" w:eastAsia="仿宋" w:cs="仿宋"/>
          <w:sz w:val="24"/>
          <w:lang w:eastAsia="zh-CN"/>
        </w:rPr>
        <w:t xml:space="preserve">招标文件（项目编号：</w:t>
      </w:r>
      <w:r>
        <w:rPr>
          <w:rFonts w:hint="eastAsia" w:ascii="仿宋" w:hAnsi="仿宋" w:eastAsia="仿宋" w:cs="仿宋"/>
          <w:b/>
          <w:sz w:val="24"/>
          <w:u w:val="single"/>
          <w:lang w:eastAsia="zh-CN"/>
        </w:rPr>
        <w:t xml:space="preserve">JSZC-320585-JZCG-G2024-0111</w:t>
      </w:r>
      <w:r>
        <w:rPr>
          <w:rFonts w:hint="eastAsia" w:ascii="仿宋" w:hAnsi="仿宋" w:eastAsia="仿宋" w:cs="仿宋"/>
          <w:sz w:val="24"/>
          <w:lang w:eastAsia="zh-CN"/>
        </w:rPr>
        <w:t xml:space="preserve"> ），经仔细阅读和研究，我们决定参加投标。</w:t>
      </w:r>
      <w:r/>
    </w:p>
    <w:p>
      <w:pPr>
        <w:ind w:firstLine="48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1、我们愿意按照招标文件的一切要求，提供包括完成该项目全部内容的设备、材料及人工、机械、保险、劳保、各种税费以及质保期间的一切费用。</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sz w:val="24"/>
          <w:lang w:eastAsia="zh-CN"/>
        </w:rPr>
        <w:t xml:space="preserve">2、如果我们的投标书被接受，我们将严格履行招标文件中规定的每一项要求，按期、按质、按量履行合同的义务。</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sz w:val="24"/>
          <w:lang w:eastAsia="zh-CN"/>
        </w:rPr>
        <w:t xml:space="preserve">3、我们同意按招标文件中的规定，本投标书的有效期限为开标后</w:t>
      </w:r>
      <w:r>
        <w:rPr>
          <w:rFonts w:ascii="仿宋" w:hAnsi="仿宋" w:eastAsia="仿宋" w:cs="仿宋"/>
          <w:b/>
          <w:sz w:val="24"/>
          <w:u w:val="single"/>
          <w:lang w:eastAsia="zh-CN"/>
        </w:rPr>
        <w:t xml:space="preserve">90</w:t>
      </w:r>
      <w:r>
        <w:rPr>
          <w:rFonts w:hint="eastAsia" w:ascii="仿宋" w:hAnsi="仿宋" w:eastAsia="仿宋" w:cs="仿宋"/>
          <w:sz w:val="24"/>
          <w:lang w:eastAsia="zh-CN"/>
        </w:rPr>
        <w:t xml:space="preserve">天。</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sz w:val="24"/>
          <w:lang w:eastAsia="zh-CN"/>
        </w:rPr>
        <w:t xml:space="preserve">4、我们愿意提供招标方在招标文件中要求的所有资料。</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sz w:val="24"/>
          <w:lang w:eastAsia="zh-CN"/>
        </w:rPr>
        <w:t xml:space="preserve">5、我们认为你们有权决定中标者，还认为你们有权接受或拒绝所有的投标者。</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sz w:val="24"/>
          <w:lang w:eastAsia="zh-CN"/>
        </w:rPr>
        <w:t xml:space="preserve">6、我们完全理解贵方不一定要接受最低报价的投标或收到的任何投标。</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sz w:val="24"/>
          <w:lang w:eastAsia="zh-CN"/>
        </w:rPr>
        <w:t xml:space="preserve">7、我们承诺该项投标在开标后的全过程中保持有效，不作任何更改和变动。</w:t>
      </w:r>
      <w:r/>
    </w:p>
    <w:p>
      <w:pPr>
        <w:ind w:firstLine="48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8、</w:t>
      </w:r>
      <w:r>
        <w:rPr>
          <w:rFonts w:hint="eastAsia" w:ascii="仿宋" w:hAnsi="仿宋" w:eastAsia="仿宋" w:cs="仿宋"/>
          <w:b/>
          <w:sz w:val="24"/>
          <w:lang w:eastAsia="zh-CN"/>
        </w:rPr>
        <w:t xml:space="preserve">如果中标，我们同意并知晓中标通知书发出方式及发出时间，遵守招标文件和中标通知书规定，在指定时间和地点和采购人签订合同。</w:t>
      </w:r>
      <w:r/>
    </w:p>
    <w:p>
      <w:pPr>
        <w:ind w:firstLine="48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9、综合说明：</w:t>
      </w:r>
      <w:r/>
    </w:p>
    <w:p>
      <w:pPr>
        <w:ind w:firstLine="42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w:t>
      </w:r>
      <w:r>
        <w:rPr>
          <w:rFonts w:ascii="仿宋" w:hAnsi="仿宋" w:eastAsia="仿宋" w:cs="仿宋"/>
          <w:sz w:val="24"/>
          <w:lang w:eastAsia="zh-CN"/>
        </w:rPr>
        <w:t xml:space="preserve">1）伴随服务及配合措施；</w:t>
      </w:r>
      <w:r/>
    </w:p>
    <w:p>
      <w:pPr>
        <w:ind w:firstLine="42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w:t>
      </w:r>
      <w:r>
        <w:rPr>
          <w:rFonts w:ascii="仿宋" w:hAnsi="仿宋" w:eastAsia="仿宋" w:cs="仿宋"/>
          <w:sz w:val="24"/>
          <w:lang w:eastAsia="zh-CN"/>
        </w:rPr>
        <w:t xml:space="preserve">2）要求甲方提供的配合；</w:t>
      </w:r>
      <w:r/>
    </w:p>
    <w:p>
      <w:pPr>
        <w:ind w:firstLine="42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w:t>
      </w:r>
      <w:r>
        <w:rPr>
          <w:rFonts w:ascii="仿宋" w:hAnsi="仿宋" w:eastAsia="仿宋" w:cs="仿宋"/>
          <w:sz w:val="24"/>
          <w:lang w:eastAsia="zh-CN"/>
        </w:rPr>
        <w:t xml:space="preserve">3）对招标文件有不同意见的偏离说明；</w:t>
      </w:r>
      <w:r/>
    </w:p>
    <w:p>
      <w:pPr>
        <w:ind w:firstLine="42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w:t>
      </w:r>
      <w:r>
        <w:rPr>
          <w:rFonts w:ascii="仿宋" w:hAnsi="仿宋" w:eastAsia="仿宋" w:cs="仿宋"/>
          <w:sz w:val="24"/>
          <w:lang w:eastAsia="zh-CN"/>
        </w:rPr>
        <w:t xml:space="preserve">4）其它说明。</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所有有关标书的函电，请按下列地址联系：</w:t>
      </w:r>
      <w:r/>
    </w:p>
    <w:p>
      <w:pPr>
        <w:ind w:firstLine="48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单位：联系人：</w:t>
      </w:r>
      <w:r/>
    </w:p>
    <w:p>
      <w:pPr>
        <w:ind w:firstLine="48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地址：邮政编码：</w:t>
      </w:r>
      <w:r/>
    </w:p>
    <w:p>
      <w:pPr>
        <w:ind w:firstLine="48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联系电话：传真： </w:t>
      </w:r>
      <w:r/>
    </w:p>
    <w:p>
      <w:pPr>
        <w:ind w:firstLine="480"/>
        <w:jc w:val="both"/>
        <w:spacing w:after="0" w:line="46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投标单位：（单位盖章）</w:t>
      </w:r>
      <w:r/>
    </w:p>
    <w:p>
      <w:pPr>
        <w:ind w:firstLine="480"/>
        <w:jc w:val="both"/>
        <w:spacing w:after="0" w:line="46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法定代表人或授权代理人（签字或盖章）</w:t>
      </w:r>
      <w:r/>
    </w:p>
    <w:p>
      <w:pPr>
        <w:ind w:firstLine="480"/>
        <w:jc w:val="both"/>
        <w:spacing w:after="0" w:line="46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投标日期：</w:t>
      </w:r>
      <w:r>
        <w:rPr>
          <w:rFonts w:ascii="仿宋" w:hAnsi="仿宋" w:eastAsia="仿宋" w:cs="仿宋"/>
          <w:sz w:val="24"/>
          <w:lang w:eastAsia="zh-CN"/>
        </w:rPr>
        <w:t xml:space="preserve"> </w:t>
      </w:r>
      <w:r>
        <w:rPr>
          <w:rFonts w:hint="eastAsia" w:ascii="仿宋" w:hAnsi="仿宋" w:eastAsia="仿宋" w:cs="仿宋"/>
          <w:sz w:val="24"/>
          <w:lang w:eastAsia="zh-CN"/>
        </w:rPr>
        <w:t xml:space="preserve">年</w:t>
      </w:r>
      <w:r>
        <w:rPr>
          <w:rFonts w:ascii="仿宋" w:hAnsi="仿宋" w:eastAsia="仿宋" w:cs="仿宋"/>
          <w:sz w:val="24"/>
          <w:lang w:eastAsia="zh-CN"/>
        </w:rPr>
        <w:t xml:space="preserve"> </w:t>
      </w:r>
      <w:r>
        <w:rPr>
          <w:rFonts w:hint="eastAsia" w:ascii="仿宋" w:hAnsi="仿宋" w:eastAsia="仿宋" w:cs="仿宋"/>
          <w:sz w:val="24"/>
          <w:lang w:eastAsia="zh-CN"/>
        </w:rPr>
        <w:t xml:space="preserve">月</w:t>
      </w:r>
      <w:r>
        <w:rPr>
          <w:rFonts w:ascii="仿宋" w:hAnsi="仿宋" w:eastAsia="仿宋" w:cs="仿宋"/>
          <w:sz w:val="24"/>
          <w:lang w:eastAsia="zh-CN"/>
        </w:rPr>
        <w:t xml:space="preserve"> </w:t>
      </w:r>
      <w:r>
        <w:rPr>
          <w:rFonts w:hint="eastAsia" w:ascii="仿宋" w:hAnsi="仿宋" w:eastAsia="仿宋" w:cs="仿宋"/>
          <w:sz w:val="24"/>
          <w:lang w:eastAsia="zh-CN"/>
        </w:rPr>
        <w:t xml:space="preserve">日</w:t>
      </w:r>
      <w:r/>
    </w:p>
    <w:p>
      <w:pPr>
        <w:jc w:val="both"/>
        <w:spacing w:after="0" w:line="312"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lang w:eastAsia="zh-CN"/>
        </w:rPr>
        <w:br w:type="page" w:clear="all"/>
      </w:r>
      <w:r/>
    </w:p>
    <w:p>
      <w:pPr>
        <w:ind w:left="0" w:firstLine="0"/>
        <w:jc w:val="both"/>
        <w:spacing w:after="0" w:line="312"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lang w:eastAsia="zh-CN"/>
        </w:rPr>
        <w:t xml:space="preserve">3、参加政府采购活动前三年内，在经营活动中没有重大违法记录声明</w:t>
      </w:r>
      <w:r/>
    </w:p>
    <w:p>
      <w:pPr>
        <w:ind w:left="-210" w:right="-210"/>
        <w:jc w:val="both"/>
        <w:spacing w:after="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 </w:t>
      </w:r>
      <w:r/>
    </w:p>
    <w:p>
      <w:pPr>
        <w:jc w:val="center"/>
        <w:spacing w:after="0" w:line="85"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lang w:eastAsia="zh-CN"/>
        </w:rPr>
        <w:t xml:space="preserve">参加政府采购活动前三年内，在经营活动中没有重大违法记录声明</w:t>
      </w:r>
      <w:r/>
    </w:p>
    <w:p>
      <w:pPr>
        <w:jc w:val="both"/>
        <w:spacing w:after="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致：苏州市公共资源交易中心太仓分中心：</w:t>
      </w:r>
      <w:r/>
    </w:p>
    <w:p>
      <w:pPr>
        <w:ind w:firstLine="420"/>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我单位</w:t>
      </w:r>
      <w:r>
        <w:rPr>
          <w:rFonts w:hint="eastAsia" w:ascii="仿宋" w:hAnsi="仿宋" w:eastAsia="仿宋" w:cs="仿宋"/>
          <w:sz w:val="24"/>
          <w:u w:val="single"/>
          <w:lang w:eastAsia="zh-CN"/>
        </w:rPr>
        <w:t xml:space="preserve">         （供应商名称）</w:t>
      </w:r>
      <w:r>
        <w:rPr>
          <w:rFonts w:hint="eastAsia" w:ascii="仿宋" w:hAnsi="仿宋" w:eastAsia="仿宋" w:cs="仿宋"/>
          <w:sz w:val="24"/>
          <w:lang w:eastAsia="zh-CN"/>
        </w:rPr>
        <w:t xml:space="preserve"> 在参加政府采购活动前三年内，没有重大违法记录，特此声明。</w:t>
      </w:r>
      <w:r/>
    </w:p>
    <w:p>
      <w:pPr>
        <w:ind w:firstLine="420"/>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若采购代理机构在本项目采购过程中发现我单位近三年内在经营活动中有重大违法记录，我单位将无条件退出本项目的招标，并承担因此引起的一起后果。</w:t>
      </w:r>
      <w:r/>
    </w:p>
    <w:p>
      <w:pPr>
        <w:ind w:firstLine="420"/>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ind w:firstLine="420"/>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供应商名称（单位公章）：</w:t>
      </w:r>
      <w:r/>
    </w:p>
    <w:p>
      <w:pPr>
        <w:ind w:firstLine="420"/>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法定代表人（负责人）或代理人（签字或盖章）：</w:t>
      </w:r>
      <w:r/>
    </w:p>
    <w:p>
      <w:pPr>
        <w:ind w:firstLine="420"/>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投标日期：</w:t>
      </w:r>
      <w:r>
        <w:rPr>
          <w:rFonts w:ascii="仿宋" w:hAnsi="仿宋" w:eastAsia="仿宋" w:cs="仿宋"/>
          <w:sz w:val="24"/>
          <w:lang w:eastAsia="zh-CN"/>
        </w:rPr>
        <w:t xml:space="preserve"> </w:t>
      </w:r>
      <w:r>
        <w:rPr>
          <w:rFonts w:hint="eastAsia" w:ascii="仿宋" w:hAnsi="仿宋" w:eastAsia="仿宋" w:cs="仿宋"/>
          <w:sz w:val="24"/>
          <w:lang w:eastAsia="zh-CN"/>
        </w:rPr>
        <w:t xml:space="preserve">年</w:t>
      </w:r>
      <w:r>
        <w:rPr>
          <w:rFonts w:ascii="仿宋" w:hAnsi="仿宋" w:eastAsia="仿宋" w:cs="仿宋"/>
          <w:sz w:val="24"/>
          <w:lang w:eastAsia="zh-CN"/>
        </w:rPr>
        <w:t xml:space="preserve"> </w:t>
      </w:r>
      <w:r>
        <w:rPr>
          <w:rFonts w:hint="eastAsia" w:ascii="仿宋" w:hAnsi="仿宋" w:eastAsia="仿宋" w:cs="仿宋"/>
          <w:sz w:val="24"/>
          <w:lang w:eastAsia="zh-CN"/>
        </w:rPr>
        <w:t xml:space="preserve">月</w:t>
      </w:r>
      <w:r>
        <w:rPr>
          <w:rFonts w:ascii="仿宋" w:hAnsi="仿宋" w:eastAsia="仿宋" w:cs="仿宋"/>
          <w:sz w:val="24"/>
          <w:lang w:eastAsia="zh-CN"/>
        </w:rPr>
        <w:t xml:space="preserve"> </w:t>
      </w:r>
      <w:r>
        <w:rPr>
          <w:rFonts w:hint="eastAsia" w:ascii="仿宋" w:hAnsi="仿宋" w:eastAsia="仿宋" w:cs="仿宋"/>
          <w:sz w:val="24"/>
          <w:lang w:eastAsia="zh-CN"/>
        </w:rPr>
        <w:t xml:space="preserve">日</w:t>
      </w:r>
      <w:r/>
    </w:p>
    <w:p>
      <w:pPr>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lang w:eastAsia="zh-CN"/>
        </w:rPr>
        <w:br w:type="page" w:clear="all"/>
      </w:r>
      <w:r/>
    </w:p>
    <w:p>
      <w:pPr>
        <w:ind w:left="0" w:firstLine="0"/>
        <w:jc w:val="both"/>
        <w:spacing w:after="0" w:line="400" w:lineRule="atLeast"/>
        <w:rPr>
          <w:rFonts w:ascii="仿宋" w:hAnsi="仿宋" w:eastAsia="仿宋" w:cs="仿宋"/>
          <w:sz w:val="32"/>
          <w:szCs w:val="32"/>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szCs w:val="32"/>
          <w:lang w:eastAsia="zh-CN"/>
        </w:rPr>
        <w:t xml:space="preserve">4、投标单位情况表</w:t>
      </w:r>
      <w:r/>
    </w:p>
    <w:p>
      <w:pPr>
        <w:ind w:left="0" w:firstLine="0"/>
        <w:jc w:val="center"/>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lang w:eastAsia="zh-CN"/>
        </w:rPr>
        <w:t xml:space="preserve">投标单位情况表</w:t>
      </w:r>
      <w:r/>
    </w:p>
    <w:p>
      <w:pPr>
        <w:ind w:firstLine="480"/>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单位名称（盖章）：</w:t>
      </w:r>
      <w:r/>
    </w:p>
    <w:tbl>
      <w:tblPr>
        <w:tblStyle w:val="10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3192"/>
        <w:gridCol w:w="23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88" w:type="dxa"/>
            <w:textDirection w:val="lrTb"/>
            <w:noWrap w:val="false"/>
          </w:tcPr>
          <w:p>
            <w:pPr>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 w:type="dxa"/>
            <w:textDirection w:val="lrTb"/>
            <w:noWrap w:val="false"/>
          </w:tcPr>
          <w:p>
            <w:pPr>
              <w:ind w:left="1260"/>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12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126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2023年 </w:t>
            </w:r>
            <w:r>
              <w:rPr>
                <w:rFonts w:hint="eastAsia" w:ascii="仿宋" w:hAnsi="仿宋" w:eastAsia="仿宋" w:cs="仿宋"/>
                <w:b/>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2023年 </w:t>
            </w:r>
            <w:r>
              <w:rPr>
                <w:rFonts w:hint="eastAsia" w:ascii="仿宋" w:hAnsi="仿宋" w:eastAsia="仿宋" w:cs="仿宋"/>
                <w:b/>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126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hint="eastAsia" w:ascii="仿宋" w:hAnsi="仿宋" w:eastAsia="仿宋" w:cs="仿宋"/>
                <w:sz w:val="24"/>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自有面积平方米</w:t>
            </w:r>
            <w:r/>
          </w:p>
          <w:p>
            <w:pPr>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承租面积平方米</w:t>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tc>
      </w:tr>
      <w:tr>
        <w:trPr>
          <w:trHeight w:val="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最近</w:t>
            </w:r>
            <w:r>
              <w:rPr>
                <w:rFonts w:ascii="仿宋" w:hAnsi="仿宋" w:eastAsia="仿宋" w:cs="仿宋"/>
                <w:sz w:val="24"/>
                <w:lang w:eastAsia="zh-CN"/>
              </w:rPr>
              <w:t xml:space="preserve">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最近</w:t>
            </w:r>
            <w:r>
              <w:rPr>
                <w:rFonts w:ascii="仿宋" w:hAnsi="仿宋" w:eastAsia="仿宋" w:cs="仿宋"/>
                <w:sz w:val="24"/>
                <w:lang w:eastAsia="zh-CN"/>
              </w:rPr>
              <w:t xml:space="preserve">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最近</w:t>
            </w:r>
            <w:r>
              <w:rPr>
                <w:rFonts w:ascii="仿宋" w:hAnsi="仿宋" w:eastAsia="仿宋" w:cs="仿宋"/>
                <w:sz w:val="24"/>
                <w:lang w:eastAsia="zh-CN"/>
              </w:rPr>
              <w:t xml:space="preserve">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bl>
    <w:p>
      <w:pPr>
        <w:jc w:val="both"/>
        <w:spacing w:after="0"/>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br w:type="page" w:clear="all"/>
      </w:r>
      <w:r/>
    </w:p>
    <w:p>
      <w:pPr>
        <w:ind w:left="0" w:firstLine="0"/>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lang w:eastAsia="zh-CN"/>
        </w:rPr>
        <w:t xml:space="preserve">5、法定代表人授权委托书 </w:t>
      </w:r>
      <w:r>
        <w:rPr>
          <w:rFonts w:hint="eastAsia" w:ascii="仿宋" w:hAnsi="仿宋" w:eastAsia="仿宋" w:cs="仿宋"/>
          <w:b/>
          <w:sz w:val="32"/>
          <w:lang w:eastAsia="zh-CN"/>
        </w:rPr>
        <w:t xml:space="preserve">（如有）</w:t>
      </w:r>
      <w:r/>
    </w:p>
    <w:p>
      <w:pPr>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ind w:firstLine="420"/>
        <w:jc w:val="center"/>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ind w:firstLine="420"/>
        <w:jc w:val="center"/>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lang w:eastAsia="zh-CN"/>
        </w:rPr>
        <w:t xml:space="preserve">授权委托书</w:t>
      </w:r>
      <w:r/>
    </w:p>
    <w:p>
      <w:pPr>
        <w:ind w:firstLine="420"/>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ind w:firstLine="420"/>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ind w:firstLine="420"/>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本授权委托书声明：我</w:t>
      </w:r>
      <w:r>
        <w:rPr>
          <w:rFonts w:hint="eastAsia" w:ascii="仿宋" w:hAnsi="仿宋" w:eastAsia="仿宋" w:cs="仿宋"/>
          <w:sz w:val="24"/>
          <w:u w:val="single"/>
          <w:lang w:eastAsia="zh-CN"/>
        </w:rPr>
        <w:t xml:space="preserve">（姓名）</w:t>
      </w:r>
      <w:r>
        <w:rPr>
          <w:rFonts w:hint="eastAsia" w:ascii="仿宋" w:hAnsi="仿宋" w:eastAsia="仿宋" w:cs="仿宋"/>
          <w:sz w:val="24"/>
          <w:lang w:eastAsia="zh-CN"/>
        </w:rPr>
        <w:t xml:space="preserve">系</w:t>
      </w:r>
      <w:r>
        <w:rPr>
          <w:rFonts w:hint="eastAsia" w:ascii="仿宋" w:hAnsi="仿宋" w:eastAsia="仿宋" w:cs="仿宋"/>
          <w:sz w:val="24"/>
          <w:u w:val="single"/>
          <w:lang w:eastAsia="zh-CN"/>
        </w:rPr>
        <w:t xml:space="preserve">（投标单位名称）</w:t>
      </w:r>
      <w:r>
        <w:rPr>
          <w:rFonts w:hint="eastAsia" w:ascii="仿宋" w:hAnsi="仿宋" w:eastAsia="仿宋" w:cs="仿宋"/>
          <w:sz w:val="24"/>
          <w:lang w:eastAsia="zh-CN"/>
        </w:rPr>
        <w:t xml:space="preserve">的法定代表人，现授权委托</w:t>
      </w:r>
      <w:r>
        <w:rPr>
          <w:rFonts w:hint="eastAsia" w:ascii="仿宋" w:hAnsi="仿宋" w:eastAsia="仿宋" w:cs="仿宋"/>
          <w:sz w:val="24"/>
          <w:u w:val="single"/>
          <w:lang w:eastAsia="zh-CN"/>
        </w:rPr>
        <w:t xml:space="preserve">（单位名称）</w:t>
      </w:r>
      <w:r>
        <w:rPr>
          <w:rFonts w:hint="eastAsia" w:ascii="仿宋" w:hAnsi="仿宋" w:eastAsia="仿宋" w:cs="仿宋"/>
          <w:sz w:val="24"/>
          <w:lang w:eastAsia="zh-CN"/>
        </w:rPr>
        <w:t xml:space="preserve">的</w:t>
      </w:r>
      <w:r>
        <w:rPr>
          <w:rFonts w:hint="eastAsia" w:ascii="仿宋" w:hAnsi="仿宋" w:eastAsia="仿宋" w:cs="仿宋"/>
          <w:sz w:val="24"/>
          <w:u w:val="single"/>
          <w:lang w:eastAsia="zh-CN"/>
        </w:rPr>
        <w:t xml:space="preserve">（姓名）</w:t>
      </w:r>
      <w:r>
        <w:rPr>
          <w:rFonts w:hint="eastAsia" w:ascii="仿宋" w:hAnsi="仿宋" w:eastAsia="仿宋" w:cs="仿宋"/>
          <w:sz w:val="24"/>
          <w:lang w:eastAsia="zh-CN"/>
        </w:rPr>
        <w:t xml:space="preserve">为我公司代理人，以本公司的名义参加</w:t>
      </w:r>
      <w:r>
        <w:rPr>
          <w:rFonts w:hint="eastAsia" w:ascii="仿宋" w:hAnsi="仿宋" w:eastAsia="仿宋" w:cs="仿宋"/>
          <w:b/>
          <w:sz w:val="24"/>
          <w:u w:val="single"/>
          <w:lang w:eastAsia="zh-CN"/>
        </w:rPr>
        <w:t xml:space="preserve">苏州市公共资源交易中心太仓分中心</w:t>
      </w:r>
      <w:r>
        <w:rPr>
          <w:rFonts w:hint="eastAsia" w:ascii="仿宋" w:hAnsi="仿宋" w:eastAsia="仿宋" w:cs="仿宋"/>
          <w:sz w:val="24"/>
          <w:lang w:eastAsia="zh-CN"/>
        </w:rPr>
        <w:t xml:space="preserve">组织实施的编号为</w:t>
      </w:r>
      <w:r>
        <w:rPr>
          <w:rFonts w:hint="eastAsia" w:ascii="仿宋" w:hAnsi="仿宋" w:eastAsia="仿宋" w:cs="仿宋"/>
          <w:b/>
          <w:sz w:val="24"/>
          <w:u w:val="single"/>
          <w:lang w:eastAsia="zh-CN"/>
        </w:rPr>
        <w:t xml:space="preserve">JSZC-320585-JZCG-G2024-0111</w:t>
      </w:r>
      <w:r>
        <w:rPr>
          <w:rFonts w:hint="eastAsia" w:ascii="仿宋" w:hAnsi="仿宋" w:eastAsia="仿宋" w:cs="仿宋"/>
          <w:sz w:val="24"/>
          <w:lang w:eastAsia="zh-CN"/>
        </w:rPr>
        <w:t xml:space="preserve">号的招标活动。代理人在开标、评标、合同谈判过程中所签署的一切文件和处理与这有关的一切事务，我均予以承认。</w:t>
      </w:r>
      <w:r/>
    </w:p>
    <w:p>
      <w:pPr>
        <w:ind w:firstLine="420"/>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代理人在授权委托书有效期内签署的所有文件不因授权委托的撤销而失效，除非有撤销授权委托的书面通知，本授权委托书自投标开始至合同履行完毕止。</w:t>
      </w:r>
      <w:r/>
    </w:p>
    <w:p>
      <w:pPr>
        <w:ind w:firstLine="420"/>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代理人无转委托权。特此委托！</w:t>
      </w:r>
      <w:r/>
    </w:p>
    <w:p>
      <w:pPr>
        <w:ind w:firstLine="420"/>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ind w:firstLine="420"/>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投标单位：（盖章）</w:t>
      </w:r>
      <w:r/>
    </w:p>
    <w:p>
      <w:pPr>
        <w:ind w:firstLine="420"/>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法定代表人：（签字或盖章）</w:t>
      </w:r>
      <w:r/>
    </w:p>
    <w:p>
      <w:pPr>
        <w:ind w:firstLine="420"/>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授权代理人：（签字或盖章）</w:t>
      </w:r>
      <w:r/>
    </w:p>
    <w:p>
      <w:pPr>
        <w:ind w:firstLine="420"/>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投标日期：</w:t>
      </w:r>
      <w:r>
        <w:rPr>
          <w:rFonts w:ascii="仿宋" w:hAnsi="仿宋" w:eastAsia="仿宋" w:cs="仿宋"/>
          <w:sz w:val="24"/>
          <w:lang w:eastAsia="zh-CN"/>
        </w:rPr>
        <w:t xml:space="preserve">  </w:t>
      </w:r>
      <w:r>
        <w:rPr>
          <w:rFonts w:hint="eastAsia" w:ascii="仿宋" w:hAnsi="仿宋" w:eastAsia="仿宋" w:cs="仿宋"/>
          <w:sz w:val="24"/>
          <w:lang w:eastAsia="zh-CN"/>
        </w:rPr>
        <w:t xml:space="preserve">年</w:t>
      </w:r>
      <w:r>
        <w:rPr>
          <w:rFonts w:ascii="仿宋" w:hAnsi="仿宋" w:eastAsia="仿宋" w:cs="仿宋"/>
          <w:sz w:val="24"/>
          <w:lang w:eastAsia="zh-CN"/>
        </w:rPr>
        <w:t xml:space="preserve">  </w:t>
      </w:r>
      <w:r>
        <w:rPr>
          <w:rFonts w:hint="eastAsia" w:ascii="仿宋" w:hAnsi="仿宋" w:eastAsia="仿宋" w:cs="仿宋"/>
          <w:sz w:val="24"/>
          <w:lang w:eastAsia="zh-CN"/>
        </w:rPr>
        <w:t xml:space="preserve">月</w:t>
      </w:r>
      <w:r>
        <w:rPr>
          <w:rFonts w:ascii="仿宋" w:hAnsi="仿宋" w:eastAsia="仿宋" w:cs="仿宋"/>
          <w:sz w:val="24"/>
          <w:lang w:eastAsia="zh-CN"/>
        </w:rPr>
        <w:t xml:space="preserve"> </w:t>
      </w:r>
      <w:r>
        <w:rPr>
          <w:rFonts w:hint="eastAsia" w:ascii="仿宋" w:hAnsi="仿宋" w:eastAsia="仿宋" w:cs="仿宋"/>
          <w:sz w:val="24"/>
          <w:lang w:eastAsia="zh-CN"/>
        </w:rPr>
        <w:t xml:space="preserve">日</w:t>
      </w:r>
      <w:r/>
    </w:p>
    <w:p>
      <w:pPr>
        <w:jc w:val="both"/>
        <w:spacing w:after="0" w:line="36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lang w:eastAsia="zh-CN"/>
        </w:rPr>
        <w:br w:type="page" w:clear="all"/>
      </w:r>
      <w:r/>
    </w:p>
    <w:p>
      <w:pPr>
        <w:ind w:left="0" w:firstLine="0"/>
        <w:jc w:val="both"/>
        <w:spacing w:after="0" w:line="36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lang w:eastAsia="zh-CN"/>
        </w:rPr>
        <w:t xml:space="preserve">6、开标一览表</w:t>
      </w:r>
      <w:r/>
    </w:p>
    <w:p>
      <w:pPr>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1"/>
          <w:lang w:eastAsia="zh-CN"/>
        </w:rPr>
        <w:t xml:space="preserve"> </w:t>
      </w:r>
      <w:r/>
    </w:p>
    <w:p>
      <w:pPr>
        <w:jc w:val="center"/>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lang w:eastAsia="zh-CN"/>
        </w:rPr>
        <w:t xml:space="preserve"> </w:t>
      </w:r>
      <w:r/>
    </w:p>
    <w:p>
      <w:pPr>
        <w:jc w:val="center"/>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2"/>
          <w:lang w:eastAsia="zh-CN"/>
        </w:rPr>
        <w:t xml:space="preserve">开标一览表</w:t>
      </w:r>
      <w:r/>
    </w:p>
    <w:p>
      <w:pPr>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ind w:firstLine="720"/>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投标人全称（加盖公章）：供应商名称</w:t>
      </w:r>
      <w:r/>
    </w:p>
    <w:p>
      <w:pPr>
        <w:ind w:firstLine="720"/>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项目编号：JSZC-320585-JZCG-G2024-0111</w:t>
      </w:r>
      <w:r/>
    </w:p>
    <w:p>
      <w:pPr>
        <w:pStyle w:val="1001"/>
        <w:rPr>
          <w:rFonts w:ascii="仿宋" w:hAnsi="仿宋" w:eastAsia="仿宋" w:cs="仿宋"/>
          <w:sz w:val="24"/>
        </w:rPr>
      </w:pPr>
      <w:r>
        <w:rPr>
          <w:rFonts w:ascii="仿宋" w:hAnsi="仿宋" w:eastAsia="仿宋" w:cs="仿宋"/>
          <w:sz w:val="24"/>
        </w:rPr>
      </w:r>
      <w:r/>
    </w:p>
    <w:tbl>
      <w:tblPr>
        <w:tblStyle w:val="10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82"/>
        <w:gridCol w:w="4695"/>
      </w:tblGrid>
      <w:tr>
        <w:trPr>
          <w:trHeight w:val="9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82" w:type="dxa"/>
            <w:vAlign w:val="center"/>
            <w:textDirection w:val="lrTb"/>
            <w:noWrap w:val="false"/>
          </w:tcPr>
          <w:p>
            <w:pPr>
              <w:jc w:val="center"/>
              <w:spacing w:after="0" w:line="36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95" w:type="dxa"/>
            <w:vAlign w:val="center"/>
            <w:textDirection w:val="lrTb"/>
            <w:noWrap w:val="false"/>
          </w:tcPr>
          <w:p>
            <w:pPr>
              <w:jc w:val="center"/>
              <w:spacing w:after="0" w:line="36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投标总价</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2" w:type="dxa"/>
            <w:vAlign w:val="center"/>
            <w:textDirection w:val="lrTb"/>
            <w:noWrap w:val="false"/>
          </w:tcPr>
          <w:p>
            <w:pPr>
              <w:jc w:val="center"/>
              <w:spacing w:after="0" w:line="36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zh-CN"/>
              </w:rPr>
              <w:t xml:space="preserve">太仓市智慧城市新型基础设施软硬件配套项目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95" w:type="dxa"/>
            <w:vAlign w:val="center"/>
            <w:textDirection w:val="lrTb"/>
            <w:noWrap w:val="false"/>
          </w:tcPr>
          <w:p>
            <w:pPr>
              <w:spacing w:after="0" w:line="36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小写</w:t>
            </w:r>
            <w:r>
              <w:rPr>
                <w:rFonts w:ascii="仿宋" w:hAnsi="仿宋" w:eastAsia="仿宋" w:cs="仿宋"/>
                <w:color w:val="000000"/>
                <w:sz w:val="24"/>
              </w:rPr>
              <w:t xml:space="preserve"> </w:t>
            </w:r>
            <w:r>
              <w:rPr>
                <w:rFonts w:hint="eastAsia" w:ascii="仿宋" w:hAnsi="仿宋" w:eastAsia="仿宋" w:cs="仿宋"/>
                <w:color w:val="000000"/>
                <w:sz w:val="24"/>
              </w:rPr>
              <w:t xml:space="preserve">        （元人民币）</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2" w:type="dxa"/>
            <w:vAlign w:val="center"/>
            <w:textDirection w:val="lrTb"/>
            <w:noWrap w:val="false"/>
          </w:tcPr>
          <w:p>
            <w:pPr>
              <w:jc w:val="center"/>
              <w:spacing w:after="0" w:line="36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95" w:type="dxa"/>
            <w:vAlign w:val="center"/>
            <w:textDirection w:val="lrTb"/>
            <w:noWrap w:val="false"/>
          </w:tcPr>
          <w:p>
            <w:pPr>
              <w:spacing w:after="0" w:line="36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金额大写：</w:t>
            </w:r>
            <w:r/>
          </w:p>
        </w:tc>
      </w:tr>
    </w:tbl>
    <w:p>
      <w:pPr>
        <w:pStyle w:val="1022"/>
        <w:rPr>
          <w:rFonts w:ascii="仿宋" w:hAnsi="仿宋" w:eastAsia="仿宋" w:cs="仿宋"/>
          <w:lang w:eastAsia="zh-CN"/>
        </w:rPr>
      </w:pPr>
      <w:r>
        <w:rPr>
          <w:rFonts w:ascii="仿宋" w:hAnsi="仿宋" w:eastAsia="仿宋" w:cs="仿宋"/>
          <w:lang w:eastAsia="zh-CN"/>
        </w:rPr>
      </w:r>
      <w:r/>
    </w:p>
    <w:p>
      <w:pPr>
        <w:rPr>
          <w:rFonts w:ascii="仿宋" w:hAnsi="仿宋" w:eastAsia="仿宋" w:cs="仿宋"/>
          <w:lang w:eastAsia="zh-CN"/>
        </w:rPr>
      </w:pPr>
      <w:r>
        <w:rPr>
          <w:rFonts w:ascii="仿宋" w:hAnsi="仿宋" w:eastAsia="仿宋" w:cs="仿宋"/>
          <w:lang w:eastAsia="zh-CN"/>
        </w:rPr>
      </w:r>
      <w:r/>
    </w:p>
    <w:p>
      <w:pPr>
        <w:jc w:val="both"/>
        <w:spacing w:after="0" w:line="460"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ind w:firstLine="3360"/>
        <w:jc w:val="both"/>
        <w:spacing w:after="0" w:line="46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日</w:t>
      </w:r>
      <w:r>
        <w:rPr>
          <w:rFonts w:ascii="仿宋" w:hAnsi="仿宋" w:eastAsia="仿宋" w:cs="仿宋"/>
          <w:sz w:val="24"/>
          <w:lang w:eastAsia="zh-CN"/>
        </w:rPr>
        <w:t xml:space="preserve"> </w:t>
      </w:r>
      <w:r>
        <w:rPr>
          <w:rFonts w:hint="eastAsia" w:ascii="仿宋" w:hAnsi="仿宋" w:eastAsia="仿宋" w:cs="仿宋"/>
          <w:sz w:val="24"/>
          <w:lang w:eastAsia="zh-CN"/>
        </w:rPr>
        <w:t xml:space="preserve">期：</w:t>
      </w:r>
      <w:r>
        <w:rPr>
          <w:rFonts w:ascii="仿宋" w:hAnsi="仿宋" w:eastAsia="仿宋" w:cs="仿宋"/>
          <w:sz w:val="24"/>
          <w:lang w:eastAsia="zh-CN"/>
        </w:rPr>
        <w:t xml:space="preserve">  </w:t>
      </w:r>
      <w:r>
        <w:rPr>
          <w:rFonts w:hint="eastAsia" w:ascii="仿宋" w:hAnsi="仿宋" w:eastAsia="仿宋" w:cs="仿宋"/>
          <w:sz w:val="24"/>
          <w:lang w:eastAsia="zh-CN"/>
        </w:rPr>
        <w:t xml:space="preserve">年</w:t>
      </w:r>
      <w:r>
        <w:rPr>
          <w:rFonts w:ascii="仿宋" w:hAnsi="仿宋" w:eastAsia="仿宋" w:cs="仿宋"/>
          <w:sz w:val="24"/>
          <w:lang w:eastAsia="zh-CN"/>
        </w:rPr>
        <w:t xml:space="preserve">  </w:t>
      </w:r>
      <w:r>
        <w:rPr>
          <w:rFonts w:hint="eastAsia" w:ascii="仿宋" w:hAnsi="仿宋" w:eastAsia="仿宋" w:cs="仿宋"/>
          <w:sz w:val="24"/>
          <w:lang w:eastAsia="zh-CN"/>
        </w:rPr>
        <w:t xml:space="preserve">月</w:t>
      </w:r>
      <w:r>
        <w:rPr>
          <w:rFonts w:ascii="仿宋" w:hAnsi="仿宋" w:eastAsia="仿宋" w:cs="仿宋"/>
          <w:sz w:val="24"/>
          <w:lang w:eastAsia="zh-CN"/>
        </w:rPr>
        <w:t xml:space="preserve">  </w:t>
      </w:r>
      <w:r>
        <w:rPr>
          <w:rFonts w:hint="eastAsia" w:ascii="仿宋" w:hAnsi="仿宋" w:eastAsia="仿宋" w:cs="仿宋"/>
          <w:sz w:val="24"/>
          <w:lang w:eastAsia="zh-CN"/>
        </w:rPr>
        <w:t xml:space="preserve">日</w:t>
      </w:r>
      <w:r/>
    </w:p>
    <w:p>
      <w:pPr>
        <w:jc w:val="both"/>
        <w:spacing w:after="0" w:line="46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 </w:t>
      </w:r>
      <w:r/>
    </w:p>
    <w:p>
      <w:pPr>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lang w:eastAsia="zh-CN"/>
        </w:rPr>
        <w:br w:type="page" w:clear="all"/>
      </w:r>
      <w:r/>
    </w:p>
    <w:p>
      <w:pPr>
        <w:ind w:left="0" w:firstLine="0"/>
        <w:jc w:val="both"/>
        <w:spacing w:after="0"/>
        <w:rPr>
          <w:rFonts w:ascii="仿宋" w:hAnsi="仿宋" w:eastAsia="仿宋" w:cs="仿宋"/>
          <w:sz w:val="32"/>
          <w:szCs w:val="32"/>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szCs w:val="32"/>
          <w:lang w:eastAsia="zh-CN"/>
        </w:rPr>
        <w:t xml:space="preserve">7、投标报价明细表（分项报价表）</w:t>
      </w:r>
      <w:r/>
    </w:p>
    <w:p>
      <w:pPr>
        <w:ind w:firstLine="3012"/>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lang w:eastAsia="zh-CN"/>
        </w:rPr>
        <w:t xml:space="preserve"> </w:t>
      </w:r>
      <w:r/>
    </w:p>
    <w:p>
      <w:pPr>
        <w:ind w:left="0" w:firstLine="0"/>
        <w:jc w:val="both"/>
        <w:spacing w:after="0"/>
        <w:rPr>
          <w:rFonts w:ascii="仿宋" w:hAnsi="仿宋" w:eastAsia="仿宋" w:cs="仿宋"/>
          <w:b/>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lang w:eastAsia="zh-CN"/>
        </w:rPr>
        <w:t xml:space="preserve">（一）投标报价明细表</w:t>
      </w:r>
      <w:r/>
    </w:p>
    <w:p>
      <w:pPr>
        <w:jc w:val="both"/>
        <w:spacing w:after="0"/>
        <w:rPr>
          <w:rFonts w:ascii="仿宋" w:hAnsi="仿宋" w:eastAsia="仿宋" w:cs="仿宋"/>
          <w:b/>
          <w:sz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8"/>
          <w:lang w:eastAsia="zh-CN"/>
        </w:rPr>
      </w:r>
      <w:r/>
    </w:p>
    <w:tbl>
      <w:tblPr>
        <w:tblStyle w:val="10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6"/>
        <w:gridCol w:w="1912"/>
        <w:gridCol w:w="1028"/>
        <w:gridCol w:w="1148"/>
        <w:gridCol w:w="989"/>
        <w:gridCol w:w="1533"/>
        <w:gridCol w:w="896"/>
      </w:tblGrid>
      <w:tr>
        <w:trPr>
          <w:trHeight w:val="6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备注</w:t>
            </w:r>
            <w:r/>
          </w:p>
        </w:tc>
      </w:tr>
      <w:tr>
        <w:trPr>
          <w:trHeight w:val="5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jc w:val="center"/>
              <w:spacing w:after="0" w:line="38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right="-199"/>
              <w:jc w:val="center"/>
              <w:spacing w:after="0" w:line="38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jc w:val="center"/>
              <w:spacing w:after="0" w:line="38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jc w:val="center"/>
              <w:spacing w:after="0" w:line="38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jc w:val="center"/>
              <w:spacing w:after="0" w:line="38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3" w:type="dxa"/>
            <w:textDirection w:val="lrTb"/>
            <w:noWrap w:val="false"/>
          </w:tcPr>
          <w:p>
            <w:pPr>
              <w:jc w:val="center"/>
              <w:spacing w:after="0" w:line="38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after="0" w:line="38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r>
      <w:tr>
        <w:trPr>
          <w:trHeight w:val="5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3" w:type="dxa"/>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r>
      <w:tr>
        <w:trPr>
          <w:trHeight w:val="5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3" w:type="dxa"/>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r>
      <w:tr>
        <w:trPr>
          <w:trHeight w:val="5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3" w:type="dxa"/>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r>
      <w:tr>
        <w:trPr>
          <w:trHeight w:val="53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0"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投标总报价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6"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大写：元；小写：元</w:t>
            </w:r>
            <w:r/>
          </w:p>
        </w:tc>
      </w:tr>
    </w:tbl>
    <w:p>
      <w:pPr>
        <w:jc w:val="both"/>
        <w:spacing w:after="0" w:line="49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line="49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zh-CN"/>
        </w:rPr>
        <w:t xml:space="preserve">注：</w:t>
      </w:r>
      <w:r>
        <w:rPr>
          <w:rFonts w:ascii="仿宋" w:hAnsi="仿宋" w:eastAsia="仿宋" w:cs="仿宋"/>
          <w:color w:val="000000"/>
          <w:sz w:val="24"/>
          <w:lang w:eastAsia="zh-CN"/>
        </w:rPr>
        <w:t xml:space="preserve">1、本表报价的合计金额应与开标一览表报价一致</w:t>
      </w:r>
      <w:r/>
    </w:p>
    <w:p>
      <w:pPr>
        <w:numPr>
          <w:ilvl w:val="0"/>
          <w:numId w:val="38"/>
        </w:numPr>
        <w:ind w:firstLine="574"/>
        <w:jc w:val="both"/>
        <w:spacing w:after="0" w:line="312" w:lineRule="atLeast"/>
        <w:rPr>
          <w:rFonts w:ascii="仿宋" w:hAnsi="仿宋" w:eastAsia="仿宋" w:cs="仿宋"/>
          <w:color w:val="000000"/>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zh-CN"/>
        </w:rPr>
        <w:t xml:space="preserve">报价中的人员工资、人员社保不得低于太仓市政府规定的最低标准，其他费用符合法律规定，报价必须含税。</w:t>
      </w:r>
      <w:r/>
    </w:p>
    <w:p>
      <w:pPr>
        <w:pStyle w:val="993"/>
        <w:rPr>
          <w:rFonts w:ascii="仿宋" w:hAnsi="仿宋" w:eastAsia="仿宋" w:cs="仿宋"/>
          <w:lang w:eastAsia="zh-CN"/>
        </w:rPr>
      </w:pPr>
      <w:r>
        <w:rPr>
          <w:rFonts w:ascii="仿宋" w:hAnsi="仿宋" w:eastAsia="仿宋" w:cs="仿宋"/>
          <w:lang w:eastAsia="zh-CN"/>
        </w:rPr>
        <w:t xml:space="preserve">  </w:t>
      </w:r>
      <w:r/>
    </w:p>
    <w:p>
      <w:pPr>
        <w:spacing w:after="0" w:line="49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zh-CN"/>
        </w:rPr>
        <w:t xml:space="preserve">投标单位：（公章）</w:t>
      </w:r>
      <w:r/>
    </w:p>
    <w:p>
      <w:pPr>
        <w:spacing w:after="0" w:line="499" w:lineRule="atLeast"/>
        <w:rPr>
          <w:rFonts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zh-CN"/>
        </w:rPr>
        <w:t xml:space="preserve">法定代表人或委托代理人（签字或盖章）：</w:t>
      </w:r>
      <w:r>
        <w:rPr>
          <w:rFonts w:ascii="仿宋" w:hAnsi="仿宋" w:eastAsia="仿宋" w:cs="仿宋"/>
          <w:color w:val="000000"/>
          <w:sz w:val="24"/>
          <w:lang w:eastAsia="zh-CN"/>
        </w:rPr>
        <w:t xml:space="preserve"> </w:t>
      </w:r>
      <w:r/>
    </w:p>
    <w:p>
      <w:pPr>
        <w:spacing w:after="0" w:line="499" w:lineRule="atLeast"/>
        <w:rPr>
          <w:rFonts w:ascii="仿宋" w:hAnsi="仿宋" w:eastAsia="仿宋" w:cs="仿宋"/>
          <w:color w:val="000000"/>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zh-CN"/>
        </w:rPr>
        <w:t xml:space="preserve">日期：</w:t>
      </w:r>
      <w:r>
        <w:rPr>
          <w:rFonts w:ascii="仿宋" w:hAnsi="仿宋" w:eastAsia="仿宋" w:cs="仿宋"/>
          <w:color w:val="000000"/>
          <w:sz w:val="24"/>
          <w:lang w:eastAsia="zh-CN"/>
        </w:rPr>
        <w:t xml:space="preserve"> </w:t>
      </w:r>
      <w:r>
        <w:rPr>
          <w:rFonts w:hint="eastAsia" w:ascii="仿宋" w:hAnsi="仿宋" w:eastAsia="仿宋" w:cs="仿宋"/>
          <w:color w:val="000000"/>
          <w:sz w:val="24"/>
          <w:lang w:eastAsia="zh-CN"/>
        </w:rPr>
        <w:t xml:space="preserve">年</w:t>
      </w:r>
      <w:r>
        <w:rPr>
          <w:rFonts w:ascii="仿宋" w:hAnsi="仿宋" w:eastAsia="仿宋" w:cs="仿宋"/>
          <w:color w:val="000000"/>
          <w:sz w:val="24"/>
          <w:lang w:eastAsia="zh-CN"/>
        </w:rPr>
        <w:t xml:space="preserve"> </w:t>
      </w:r>
      <w:r>
        <w:rPr>
          <w:rFonts w:hint="eastAsia" w:ascii="仿宋" w:hAnsi="仿宋" w:eastAsia="仿宋" w:cs="仿宋"/>
          <w:color w:val="000000"/>
          <w:sz w:val="24"/>
          <w:lang w:eastAsia="zh-CN"/>
        </w:rPr>
        <w:t xml:space="preserve">月</w:t>
      </w:r>
      <w:r>
        <w:rPr>
          <w:rFonts w:ascii="仿宋" w:hAnsi="仿宋" w:eastAsia="仿宋" w:cs="仿宋"/>
          <w:color w:val="000000"/>
          <w:sz w:val="24"/>
          <w:lang w:eastAsia="zh-CN"/>
        </w:rPr>
        <w:t xml:space="preserve"> </w:t>
      </w:r>
      <w:r>
        <w:rPr>
          <w:rFonts w:hint="eastAsia" w:ascii="仿宋" w:hAnsi="仿宋" w:eastAsia="仿宋" w:cs="仿宋"/>
          <w:color w:val="000000"/>
          <w:sz w:val="24"/>
          <w:lang w:eastAsia="zh-CN"/>
        </w:rPr>
        <w:t xml:space="preserve">日</w:t>
      </w:r>
      <w:r/>
    </w:p>
    <w:p>
      <w:pPr>
        <w:pStyle w:val="1001"/>
        <w:rPr>
          <w:rFonts w:ascii="仿宋" w:hAnsi="仿宋" w:eastAsia="仿宋" w:cs="仿宋"/>
        </w:rPr>
      </w:pPr>
      <w:r>
        <w:rPr>
          <w:rFonts w:ascii="仿宋" w:hAnsi="仿宋" w:eastAsia="仿宋" w:cs="仿宋"/>
        </w:rPr>
      </w:r>
      <w:r/>
    </w:p>
    <w:p>
      <w:pPr>
        <w:ind w:firstLine="574"/>
        <w:jc w:val="both"/>
        <w:spacing w:after="0" w:line="312"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lang w:eastAsia="zh-CN"/>
        </w:rPr>
      </w:r>
      <w:r/>
    </w:p>
    <w:p>
      <w:pPr>
        <w:spacing w:after="0" w:line="49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line="312"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ind w:left="0" w:firstLine="0"/>
        <w:rPr>
          <w:rFonts w:ascii="仿宋" w:hAnsi="仿宋" w:eastAsia="仿宋" w:cs="仿宋"/>
          <w:b/>
          <w:bCs/>
          <w:sz w:val="24"/>
          <w:szCs w:val="24"/>
          <w:lang w:eastAsia="zh-CN"/>
        </w:rPr>
      </w:pPr>
      <w:r>
        <w:rPr>
          <w:rFonts w:ascii="仿宋" w:hAnsi="仿宋" w:eastAsia="仿宋" w:cs="仿宋"/>
          <w:lang w:eastAsia="zh-CN"/>
        </w:rPr>
        <w:br w:type="page" w:clear="all"/>
      </w:r>
      <w:r>
        <w:rPr>
          <w:rFonts w:hint="eastAsia" w:ascii="仿宋" w:hAnsi="仿宋" w:eastAsia="仿宋" w:cs="仿宋"/>
          <w:b/>
          <w:sz w:val="30"/>
          <w:szCs w:val="30"/>
          <w:lang w:eastAsia="zh-CN"/>
        </w:rPr>
        <w:t xml:space="preserve">（二）投标报价合理性说明（如有）</w:t>
      </w:r>
      <w:r/>
    </w:p>
    <w:p>
      <w:pPr>
        <w:ind w:firstLine="482"/>
        <w:rPr>
          <w:rFonts w:ascii="仿宋" w:hAnsi="仿宋" w:eastAsia="仿宋" w:cs="仿宋"/>
          <w:b/>
          <w:sz w:val="24"/>
          <w:szCs w:val="24"/>
          <w:lang w:eastAsia="zh-CN"/>
        </w:rPr>
      </w:pPr>
      <w:r>
        <w:rPr>
          <w:rFonts w:ascii="仿宋" w:hAnsi="仿宋" w:eastAsia="仿宋" w:cs="仿宋"/>
          <w:b/>
          <w:sz w:val="24"/>
          <w:szCs w:val="24"/>
          <w:lang w:eastAsia="zh-CN"/>
        </w:rPr>
      </w:r>
      <w:r/>
    </w:p>
    <w:p>
      <w:pPr>
        <w:ind w:firstLine="482"/>
        <w:rPr>
          <w:rFonts w:ascii="仿宋" w:hAnsi="仿宋" w:eastAsia="仿宋" w:cs="仿宋"/>
          <w:b/>
          <w:sz w:val="24"/>
          <w:szCs w:val="24"/>
          <w:lang w:eastAsia="zh-CN"/>
        </w:rPr>
      </w:pPr>
      <w:r>
        <w:rPr>
          <w:rFonts w:ascii="仿宋" w:hAnsi="仿宋" w:eastAsia="仿宋" w:cs="仿宋"/>
          <w:b/>
          <w:sz w:val="24"/>
          <w:szCs w:val="24"/>
          <w:lang w:eastAsia="zh-CN"/>
        </w:rPr>
      </w:r>
      <w:r/>
    </w:p>
    <w:p>
      <w:pPr>
        <w:ind w:firstLine="482"/>
        <w:rPr>
          <w:rFonts w:ascii="仿宋" w:hAnsi="仿宋" w:eastAsia="仿宋" w:cs="仿宋"/>
          <w:b/>
          <w:sz w:val="24"/>
          <w:szCs w:val="24"/>
          <w:lang w:eastAsia="zh-CN"/>
        </w:rPr>
      </w:pPr>
      <w:r>
        <w:rPr>
          <w:rFonts w:ascii="仿宋" w:hAnsi="仿宋" w:eastAsia="仿宋" w:cs="仿宋"/>
          <w:b/>
          <w:sz w:val="24"/>
          <w:szCs w:val="24"/>
          <w:lang w:eastAsia="zh-CN"/>
        </w:rPr>
      </w:r>
      <w:r/>
    </w:p>
    <w:p>
      <w:pPr>
        <w:ind w:firstLine="482"/>
        <w:rPr>
          <w:rFonts w:ascii="仿宋" w:hAnsi="仿宋" w:eastAsia="仿宋" w:cs="仿宋"/>
          <w:b/>
          <w:sz w:val="24"/>
          <w:szCs w:val="24"/>
          <w:lang w:eastAsia="zh-CN"/>
        </w:rPr>
      </w:pPr>
      <w:r>
        <w:rPr>
          <w:rFonts w:ascii="仿宋" w:hAnsi="仿宋" w:eastAsia="仿宋" w:cs="仿宋"/>
          <w:b/>
          <w:sz w:val="24"/>
          <w:szCs w:val="24"/>
          <w:lang w:eastAsia="zh-CN"/>
        </w:rPr>
      </w:r>
      <w:r/>
    </w:p>
    <w:p>
      <w:pPr>
        <w:ind w:firstLine="482"/>
        <w:rPr>
          <w:rFonts w:ascii="仿宋" w:hAnsi="仿宋" w:eastAsia="仿宋" w:cs="仿宋"/>
          <w:b/>
          <w:sz w:val="24"/>
          <w:szCs w:val="24"/>
          <w:lang w:eastAsia="zh-CN"/>
        </w:rPr>
      </w:pPr>
      <w:r>
        <w:rPr>
          <w:rFonts w:ascii="仿宋" w:hAnsi="仿宋" w:eastAsia="仿宋" w:cs="仿宋"/>
          <w:b/>
          <w:sz w:val="24"/>
          <w:szCs w:val="24"/>
          <w:lang w:eastAsia="zh-CN"/>
        </w:rPr>
      </w:r>
      <w:r/>
    </w:p>
    <w:p>
      <w:pPr>
        <w:ind w:firstLine="482"/>
        <w:spacing w:line="420" w:lineRule="exact"/>
        <w:rPr>
          <w:rFonts w:ascii="仿宋" w:hAnsi="仿宋" w:eastAsia="仿宋" w:cs="仿宋"/>
          <w:b/>
          <w:bCs/>
          <w:sz w:val="24"/>
          <w:szCs w:val="24"/>
          <w:lang w:eastAsia="zh-CN"/>
        </w:rPr>
      </w:pPr>
      <w:r>
        <w:rPr>
          <w:rFonts w:hint="eastAsia" w:ascii="仿宋" w:hAnsi="仿宋" w:eastAsia="仿宋" w:cs="仿宋"/>
          <w:b/>
          <w:sz w:val="24"/>
          <w:szCs w:val="24"/>
          <w:lang w:eastAsia="zh-CN"/>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ind w:firstLine="480"/>
        <w:spacing w:line="440" w:lineRule="exact"/>
        <w:rPr>
          <w:rFonts w:ascii="仿宋" w:hAnsi="仿宋" w:eastAsia="仿宋" w:cs="仿宋"/>
          <w:sz w:val="24"/>
          <w:lang w:eastAsia="zh-CN"/>
        </w:rPr>
      </w:pPr>
      <w:r>
        <w:rPr>
          <w:rFonts w:hint="eastAsia" w:ascii="仿宋" w:hAnsi="仿宋" w:eastAsia="仿宋" w:cs="仿宋"/>
          <w:sz w:val="24"/>
          <w:lang w:eastAsia="zh-CN"/>
        </w:rPr>
        <w:t xml:space="preserve">投标单位：（公章）</w:t>
      </w:r>
      <w:r/>
    </w:p>
    <w:p>
      <w:pPr>
        <w:ind w:firstLine="480"/>
        <w:spacing w:line="440" w:lineRule="exact"/>
        <w:rPr>
          <w:rFonts w:ascii="仿宋" w:hAnsi="仿宋" w:eastAsia="仿宋" w:cs="仿宋"/>
          <w:sz w:val="24"/>
          <w:lang w:eastAsia="zh-CN"/>
        </w:rPr>
      </w:pPr>
      <w:r>
        <w:rPr>
          <w:rFonts w:hint="eastAsia" w:ascii="仿宋" w:hAnsi="仿宋" w:eastAsia="仿宋" w:cs="仿宋"/>
          <w:sz w:val="24"/>
          <w:lang w:eastAsia="zh-CN"/>
        </w:rPr>
        <w:t xml:space="preserve">法定代表人或委托代理人（签字或盖章）：</w:t>
      </w:r>
      <w:r>
        <w:rPr>
          <w:rFonts w:ascii="仿宋" w:hAnsi="仿宋" w:eastAsia="仿宋" w:cs="仿宋"/>
          <w:sz w:val="24"/>
          <w:lang w:eastAsia="zh-CN"/>
        </w:rPr>
        <w:t xml:space="preserve"> </w:t>
      </w:r>
      <w:r/>
    </w:p>
    <w:p>
      <w:pPr>
        <w:ind w:firstLine="480"/>
        <w:spacing w:line="440" w:lineRule="exact"/>
        <w:rPr>
          <w:rFonts w:ascii="仿宋" w:hAnsi="仿宋" w:eastAsia="仿宋" w:cs="仿宋"/>
          <w:sz w:val="24"/>
          <w:lang w:eastAsia="zh-CN"/>
        </w:rPr>
      </w:pPr>
      <w:r>
        <w:rPr>
          <w:rFonts w:hint="eastAsia" w:ascii="仿宋" w:hAnsi="仿宋" w:eastAsia="仿宋" w:cs="仿宋"/>
          <w:sz w:val="24"/>
          <w:lang w:eastAsia="zh-CN"/>
        </w:rPr>
        <w:t xml:space="preserve">投标日期：</w:t>
      </w:r>
      <w:r>
        <w:rPr>
          <w:rFonts w:ascii="仿宋" w:hAnsi="仿宋" w:eastAsia="仿宋" w:cs="仿宋"/>
          <w:sz w:val="24"/>
          <w:lang w:eastAsia="zh-CN"/>
        </w:rPr>
        <w:t xml:space="preserve">      </w:t>
      </w:r>
      <w:r>
        <w:rPr>
          <w:rFonts w:hint="eastAsia" w:ascii="仿宋" w:hAnsi="仿宋" w:eastAsia="仿宋" w:cs="仿宋"/>
          <w:sz w:val="24"/>
          <w:lang w:eastAsia="zh-CN"/>
        </w:rPr>
        <w:t xml:space="preserve">年</w:t>
      </w:r>
      <w:r>
        <w:rPr>
          <w:rFonts w:ascii="仿宋" w:hAnsi="仿宋" w:eastAsia="仿宋" w:cs="仿宋"/>
          <w:sz w:val="24"/>
          <w:lang w:eastAsia="zh-CN"/>
        </w:rPr>
        <w:t xml:space="preserve">     </w:t>
      </w:r>
      <w:r>
        <w:rPr>
          <w:rFonts w:hint="eastAsia" w:ascii="仿宋" w:hAnsi="仿宋" w:eastAsia="仿宋" w:cs="仿宋"/>
          <w:sz w:val="24"/>
          <w:lang w:eastAsia="zh-CN"/>
        </w:rPr>
        <w:t xml:space="preserve">月</w:t>
      </w:r>
      <w:r>
        <w:rPr>
          <w:rFonts w:ascii="仿宋" w:hAnsi="仿宋" w:eastAsia="仿宋" w:cs="仿宋"/>
          <w:sz w:val="24"/>
          <w:lang w:eastAsia="zh-CN"/>
        </w:rPr>
        <w:t xml:space="preserve">     </w:t>
      </w:r>
      <w:r>
        <w:rPr>
          <w:rFonts w:hint="eastAsia" w:ascii="仿宋" w:hAnsi="仿宋" w:eastAsia="仿宋" w:cs="仿宋"/>
          <w:sz w:val="24"/>
          <w:lang w:eastAsia="zh-CN"/>
        </w:rPr>
        <w:t xml:space="preserve">日</w:t>
      </w:r>
      <w:r/>
    </w:p>
    <w:p>
      <w:pPr>
        <w:pStyle w:val="1001"/>
        <w:ind w:firstLine="0"/>
        <w:rPr>
          <w:rFonts w:ascii="仿宋" w:hAnsi="仿宋" w:eastAsia="仿宋" w:cs="仿宋"/>
          <w:b/>
          <w:sz w:val="32"/>
          <w:szCs w:val="32"/>
        </w:rPr>
      </w:pPr>
      <w:r>
        <w:rPr>
          <w:rFonts w:ascii="仿宋" w:hAnsi="仿宋" w:eastAsia="仿宋" w:cs="仿宋"/>
          <w:b/>
          <w:sz w:val="32"/>
          <w:szCs w:val="32"/>
        </w:rPr>
      </w:r>
      <w:r/>
    </w:p>
    <w:p>
      <w:pPr>
        <w:pStyle w:val="1001"/>
        <w:ind w:firstLine="0"/>
        <w:rPr>
          <w:rFonts w:ascii="仿宋" w:hAnsi="仿宋" w:eastAsia="仿宋" w:cs="仿宋"/>
          <w:b/>
          <w:sz w:val="32"/>
          <w:szCs w:val="32"/>
        </w:rPr>
      </w:pPr>
      <w:r>
        <w:rPr>
          <w:rFonts w:ascii="仿宋" w:hAnsi="仿宋" w:eastAsia="仿宋" w:cs="仿宋"/>
          <w:b/>
          <w:sz w:val="32"/>
          <w:szCs w:val="32"/>
        </w:rPr>
      </w:r>
      <w:r/>
    </w:p>
    <w:p>
      <w:pPr>
        <w:pStyle w:val="1001"/>
        <w:ind w:firstLine="0"/>
        <w:rPr>
          <w:rFonts w:ascii="仿宋" w:hAnsi="仿宋" w:eastAsia="仿宋" w:cs="仿宋"/>
          <w:b/>
          <w:sz w:val="32"/>
          <w:szCs w:val="32"/>
        </w:rPr>
      </w:pPr>
      <w:r>
        <w:rPr>
          <w:rFonts w:ascii="仿宋" w:hAnsi="仿宋" w:eastAsia="仿宋" w:cs="仿宋"/>
          <w:b/>
          <w:sz w:val="32"/>
          <w:szCs w:val="32"/>
        </w:rPr>
      </w:r>
      <w:r/>
    </w:p>
    <w:p>
      <w:pPr>
        <w:pStyle w:val="1001"/>
        <w:ind w:firstLine="0"/>
        <w:rPr>
          <w:rFonts w:ascii="仿宋" w:hAnsi="仿宋" w:eastAsia="仿宋" w:cs="仿宋"/>
          <w:b/>
          <w:sz w:val="32"/>
          <w:szCs w:val="32"/>
        </w:rPr>
      </w:pPr>
      <w:r>
        <w:rPr>
          <w:rFonts w:ascii="仿宋" w:hAnsi="仿宋" w:eastAsia="仿宋" w:cs="仿宋"/>
          <w:b/>
          <w:sz w:val="32"/>
          <w:szCs w:val="32"/>
        </w:rPr>
      </w:r>
      <w:r/>
    </w:p>
    <w:p>
      <w:pPr>
        <w:pStyle w:val="1001"/>
        <w:ind w:firstLine="0"/>
        <w:rPr>
          <w:rFonts w:ascii="仿宋" w:hAnsi="仿宋" w:eastAsia="仿宋" w:cs="仿宋"/>
          <w:b/>
          <w:sz w:val="32"/>
          <w:szCs w:val="32"/>
        </w:rPr>
      </w:pPr>
      <w:r>
        <w:rPr>
          <w:rFonts w:ascii="仿宋" w:hAnsi="仿宋" w:eastAsia="仿宋" w:cs="仿宋"/>
          <w:b/>
          <w:sz w:val="32"/>
          <w:szCs w:val="32"/>
        </w:rPr>
      </w:r>
      <w:r/>
    </w:p>
    <w:p>
      <w:pPr>
        <w:pStyle w:val="1001"/>
        <w:ind w:firstLine="0"/>
        <w:rPr>
          <w:rFonts w:ascii="仿宋" w:hAnsi="仿宋" w:eastAsia="仿宋" w:cs="仿宋"/>
          <w:b/>
          <w:sz w:val="32"/>
          <w:szCs w:val="32"/>
        </w:rPr>
      </w:pPr>
      <w:r>
        <w:rPr>
          <w:rFonts w:ascii="仿宋" w:hAnsi="仿宋" w:eastAsia="仿宋" w:cs="仿宋"/>
          <w:b/>
          <w:sz w:val="32"/>
          <w:szCs w:val="32"/>
        </w:rPr>
      </w:r>
      <w:r/>
    </w:p>
    <w:p>
      <w:pPr>
        <w:pStyle w:val="1001"/>
        <w:ind w:firstLine="0"/>
        <w:rPr>
          <w:rFonts w:ascii="仿宋" w:hAnsi="仿宋" w:eastAsia="仿宋" w:cs="仿宋"/>
          <w:b/>
          <w:sz w:val="32"/>
          <w:szCs w:val="32"/>
        </w:rPr>
      </w:pPr>
      <w:r>
        <w:rPr>
          <w:rFonts w:ascii="仿宋" w:hAnsi="仿宋" w:eastAsia="仿宋" w:cs="仿宋"/>
          <w:b/>
          <w:sz w:val="32"/>
          <w:szCs w:val="32"/>
        </w:rPr>
      </w:r>
      <w:r/>
    </w:p>
    <w:p>
      <w:pPr>
        <w:pStyle w:val="1001"/>
        <w:ind w:firstLine="0"/>
        <w:rPr>
          <w:rFonts w:ascii="仿宋" w:hAnsi="仿宋" w:eastAsia="仿宋" w:cs="仿宋"/>
          <w:b/>
          <w:sz w:val="32"/>
          <w:szCs w:val="32"/>
        </w:rPr>
      </w:pPr>
      <w:r>
        <w:rPr>
          <w:rFonts w:ascii="仿宋" w:hAnsi="仿宋" w:eastAsia="仿宋" w:cs="仿宋"/>
          <w:b/>
          <w:sz w:val="32"/>
          <w:szCs w:val="32"/>
        </w:rPr>
      </w:r>
      <w:r/>
    </w:p>
    <w:p>
      <w:pPr>
        <w:pStyle w:val="1001"/>
        <w:ind w:firstLine="0"/>
        <w:rPr>
          <w:rFonts w:ascii="仿宋" w:hAnsi="仿宋" w:eastAsia="仿宋" w:cs="仿宋"/>
          <w:b/>
          <w:sz w:val="32"/>
          <w:szCs w:val="32"/>
        </w:rPr>
      </w:pPr>
      <w:r>
        <w:rPr>
          <w:rFonts w:ascii="仿宋" w:hAnsi="仿宋" w:eastAsia="仿宋" w:cs="仿宋"/>
          <w:b/>
          <w:sz w:val="32"/>
          <w:szCs w:val="32"/>
        </w:rPr>
      </w:r>
      <w:r/>
    </w:p>
    <w:p>
      <w:pPr>
        <w:pStyle w:val="1001"/>
        <w:ind w:firstLine="0"/>
        <w:rPr>
          <w:rFonts w:ascii="仿宋" w:hAnsi="仿宋" w:eastAsia="仿宋" w:cs="仿宋"/>
          <w:b/>
          <w:sz w:val="32"/>
          <w:szCs w:val="32"/>
        </w:rPr>
      </w:pPr>
      <w:r>
        <w:rPr>
          <w:rFonts w:ascii="仿宋" w:hAnsi="仿宋" w:eastAsia="仿宋" w:cs="仿宋"/>
          <w:b/>
          <w:sz w:val="32"/>
          <w:szCs w:val="32"/>
        </w:rPr>
      </w:r>
      <w:r/>
    </w:p>
    <w:p>
      <w:pPr>
        <w:pStyle w:val="1001"/>
        <w:ind w:firstLine="0"/>
        <w:rPr>
          <w:rFonts w:ascii="仿宋" w:hAnsi="仿宋" w:eastAsia="仿宋" w:cs="仿宋"/>
          <w:b/>
          <w:sz w:val="32"/>
          <w:szCs w:val="32"/>
        </w:rPr>
      </w:pPr>
      <w:r>
        <w:rPr>
          <w:rFonts w:ascii="仿宋" w:hAnsi="仿宋" w:eastAsia="仿宋" w:cs="仿宋"/>
          <w:b/>
          <w:sz w:val="32"/>
          <w:szCs w:val="32"/>
        </w:rPr>
      </w:r>
      <w:r/>
    </w:p>
    <w:p>
      <w:pPr>
        <w:pStyle w:val="1001"/>
        <w:ind w:firstLine="0"/>
        <w:rPr>
          <w:rFonts w:ascii="仿宋" w:hAnsi="仿宋" w:eastAsia="仿宋" w:cs="仿宋"/>
          <w:b/>
          <w:sz w:val="32"/>
          <w:szCs w:val="32"/>
        </w:rPr>
      </w:pPr>
      <w:r>
        <w:rPr>
          <w:rFonts w:ascii="仿宋" w:hAnsi="仿宋" w:eastAsia="仿宋" w:cs="仿宋"/>
          <w:b/>
          <w:sz w:val="32"/>
          <w:szCs w:val="32"/>
        </w:rPr>
      </w:r>
      <w:r/>
    </w:p>
    <w:p>
      <w:pPr>
        <w:pStyle w:val="1001"/>
        <w:ind w:firstLine="0"/>
        <w:rPr>
          <w:rFonts w:ascii="仿宋" w:hAnsi="仿宋" w:eastAsia="仿宋" w:cs="仿宋"/>
          <w:b/>
          <w:sz w:val="32"/>
          <w:szCs w:val="32"/>
        </w:rPr>
      </w:pPr>
      <w:r>
        <w:rPr>
          <w:rFonts w:ascii="仿宋" w:hAnsi="仿宋" w:eastAsia="仿宋" w:cs="仿宋"/>
          <w:b/>
          <w:sz w:val="32"/>
          <w:szCs w:val="32"/>
        </w:rPr>
      </w:r>
      <w:r/>
    </w:p>
    <w:p>
      <w:pPr>
        <w:pStyle w:val="1001"/>
        <w:ind w:left="0" w:firstLine="0"/>
        <w:rPr>
          <w:rFonts w:ascii="仿宋" w:hAnsi="仿宋" w:eastAsia="仿宋" w:cs="仿宋"/>
          <w:b/>
          <w:sz w:val="32"/>
          <w:szCs w:val="32"/>
        </w:rPr>
      </w:pPr>
      <w:r>
        <w:rPr>
          <w:rFonts w:ascii="仿宋" w:hAnsi="仿宋" w:eastAsia="仿宋" w:cs="仿宋"/>
          <w:b/>
          <w:sz w:val="32"/>
          <w:szCs w:val="32"/>
        </w:rPr>
      </w:r>
      <w:r/>
    </w:p>
    <w:p>
      <w:pPr>
        <w:pStyle w:val="1001"/>
        <w:ind w:left="0" w:firstLine="0"/>
        <w:rPr>
          <w:rFonts w:hint="eastAsia" w:ascii="仿宋" w:hAnsi="仿宋" w:eastAsia="仿宋" w:cs="仿宋"/>
          <w:b/>
          <w:sz w:val="32"/>
          <w:szCs w:val="32"/>
        </w:rPr>
      </w:pPr>
      <w:r>
        <w:rPr>
          <w:rFonts w:hint="eastAsia" w:ascii="仿宋" w:hAnsi="仿宋" w:eastAsia="仿宋" w:cs="仿宋"/>
          <w:b/>
          <w:bCs/>
          <w:sz w:val="32"/>
          <w:szCs w:val="32"/>
          <w:lang w:eastAsia="zh-CN"/>
        </w:rPr>
        <w:t xml:space="preserve">8、</w:t>
      </w:r>
      <w:r>
        <w:rPr>
          <w:rFonts w:hint="eastAsia" w:ascii="仿宋" w:hAnsi="仿宋" w:eastAsia="仿宋" w:cs="仿宋"/>
          <w:b/>
          <w:sz w:val="32"/>
          <w:szCs w:val="32"/>
        </w:rPr>
        <w:t xml:space="preserve">投标货物数量、品牌规格、材质、性能、交货期说明表</w:t>
      </w:r>
      <w:r/>
    </w:p>
    <w:p>
      <w:pPr>
        <w:pStyle w:val="1001"/>
        <w:ind w:firstLine="1417"/>
        <w:rPr>
          <w:rFonts w:hint="eastAsia" w:ascii="宋体" w:hAnsi="宋体" w:eastAsia="宋体" w:cs="宋体"/>
          <w:b/>
          <w:sz w:val="24"/>
          <w:szCs w:val="24"/>
        </w:rPr>
      </w:pPr>
      <w:r>
        <w:rPr>
          <w:rFonts w:hint="eastAsia" w:ascii="宋体" w:hAnsi="宋体" w:eastAsia="宋体" w:cs="宋体"/>
          <w:b/>
          <w:sz w:val="24"/>
          <w:szCs w:val="24"/>
        </w:rPr>
      </w:r>
      <w:r/>
    </w:p>
    <w:p>
      <w:pPr>
        <w:pStyle w:val="1001"/>
        <w:ind w:left="0" w:firstLine="0"/>
        <w:jc w:val="center"/>
        <w:rPr>
          <w:rFonts w:hint="eastAsia" w:ascii="宋体" w:hAnsi="宋体" w:eastAsia="宋体" w:cs="宋体"/>
        </w:rPr>
      </w:pPr>
      <w:r>
        <w:rPr>
          <w:rFonts w:hint="eastAsia" w:ascii="宋体" w:hAnsi="宋体" w:eastAsia="宋体" w:cs="宋体"/>
          <w:b/>
          <w:sz w:val="24"/>
          <w:szCs w:val="24"/>
        </w:rPr>
        <w:t xml:space="preserve">投标货物数量、品牌规格、材质、性能、交货期说明表</w:t>
      </w:r>
      <w:r/>
    </w:p>
    <w:tbl>
      <w:tblPr>
        <w:tblStyle w:val="976"/>
        <w:tblW w:w="0" w:type="auto"/>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1985"/>
        <w:gridCol w:w="2835"/>
        <w:gridCol w:w="1080"/>
        <w:gridCol w:w="1137"/>
        <w:gridCol w:w="1043"/>
      </w:tblGrid>
      <w:tr>
        <w:trPr/>
        <w:tc>
          <w:tcPr>
            <w:tcBorders>
              <w:top w:val="single" w:color="auto" w:sz="6" w:space="0"/>
              <w:left w:val="single" w:color="auto" w:sz="6" w:space="0"/>
              <w:bottom w:val="single" w:color="auto" w:sz="6" w:space="0"/>
              <w:right w:val="single" w:color="auto" w:sz="6" w:space="0"/>
            </w:tcBorders>
            <w:tcW w:w="817" w:type="dxa"/>
            <w:vAlign w:val="center"/>
            <w:textDirection w:val="lrTb"/>
            <w:noWrap w:val="false"/>
          </w:tcPr>
          <w:p>
            <w:pPr>
              <w:pStyle w:val="1130"/>
              <w:ind w:left="0" w:firstLine="0"/>
              <w:jc w:val="both"/>
              <w:spacing w:line="360" w:lineRule="auto"/>
              <w:rPr>
                <w:rFonts w:hAnsi="宋体" w:eastAsia="宋体"/>
                <w:sz w:val="24"/>
                <w:szCs w:val="24"/>
              </w:rPr>
            </w:pPr>
            <w:r>
              <w:rPr>
                <w:rFonts w:hint="eastAsia" w:hAnsi="宋体" w:eastAsia="宋体"/>
                <w:sz w:val="24"/>
                <w:szCs w:val="24"/>
              </w:rPr>
              <w:t xml:space="preserve">序号</w:t>
            </w:r>
            <w:r/>
          </w:p>
        </w:tc>
        <w:tc>
          <w:tcPr>
            <w:tcBorders>
              <w:top w:val="single" w:color="auto" w:sz="6" w:space="0"/>
              <w:left w:val="single" w:color="auto" w:sz="6" w:space="0"/>
              <w:bottom w:val="single" w:color="auto" w:sz="6" w:space="0"/>
              <w:right w:val="single" w:color="auto" w:sz="6" w:space="0"/>
            </w:tcBorders>
            <w:tcW w:w="1985" w:type="dxa"/>
            <w:vAlign w:val="center"/>
            <w:textDirection w:val="lrTb"/>
            <w:noWrap w:val="false"/>
          </w:tcPr>
          <w:p>
            <w:pPr>
              <w:pStyle w:val="1130"/>
              <w:ind w:left="0" w:firstLine="0"/>
              <w:jc w:val="both"/>
              <w:spacing w:line="360" w:lineRule="auto"/>
              <w:rPr>
                <w:rFonts w:hAnsi="宋体" w:eastAsia="宋体"/>
                <w:sz w:val="24"/>
                <w:szCs w:val="24"/>
              </w:rPr>
            </w:pPr>
            <w:r>
              <w:rPr>
                <w:rFonts w:hint="eastAsia" w:hAnsi="宋体" w:eastAsia="宋体"/>
                <w:sz w:val="24"/>
                <w:szCs w:val="24"/>
              </w:rPr>
              <w:t xml:space="preserve">标的物名称</w:t>
            </w:r>
            <w:r/>
          </w:p>
        </w:tc>
        <w:tc>
          <w:tcPr>
            <w:tcBorders>
              <w:top w:val="single" w:color="auto" w:sz="6" w:space="0"/>
              <w:left w:val="single" w:color="auto" w:sz="6" w:space="0"/>
              <w:bottom w:val="single" w:color="auto" w:sz="4" w:space="0"/>
              <w:right w:val="single" w:color="auto" w:sz="6" w:space="0"/>
            </w:tcBorders>
            <w:tcW w:w="2835" w:type="dxa"/>
            <w:vAlign w:val="center"/>
            <w:textDirection w:val="lrTb"/>
            <w:noWrap w:val="false"/>
          </w:tcPr>
          <w:p>
            <w:pPr>
              <w:pStyle w:val="1130"/>
              <w:ind w:left="0" w:firstLine="0"/>
              <w:jc w:val="both"/>
              <w:spacing w:line="360" w:lineRule="auto"/>
              <w:rPr>
                <w:rFonts w:hAnsi="宋体" w:eastAsia="宋体"/>
                <w:sz w:val="24"/>
                <w:szCs w:val="24"/>
              </w:rPr>
            </w:pPr>
            <w:r>
              <w:rPr>
                <w:rFonts w:hint="eastAsia" w:hAnsi="宋体" w:eastAsia="宋体"/>
                <w:sz w:val="24"/>
                <w:szCs w:val="24"/>
              </w:rPr>
              <w:t xml:space="preserve">生产厂家、品牌、型号、规格、材质、性能</w:t>
            </w:r>
            <w:r/>
          </w:p>
        </w:tc>
        <w:tc>
          <w:tcPr>
            <w:tcBorders>
              <w:top w:val="single" w:color="auto" w:sz="6" w:space="0"/>
              <w:left w:val="single" w:color="auto" w:sz="6" w:space="0"/>
              <w:bottom w:val="single" w:color="auto" w:sz="6" w:space="0"/>
              <w:right w:val="single" w:color="auto" w:sz="4" w:space="0"/>
            </w:tcBorders>
            <w:tcW w:w="1080" w:type="dxa"/>
            <w:vAlign w:val="center"/>
            <w:textDirection w:val="lrTb"/>
            <w:noWrap w:val="false"/>
          </w:tcPr>
          <w:p>
            <w:pPr>
              <w:pStyle w:val="1130"/>
              <w:ind w:left="0" w:firstLine="0"/>
              <w:jc w:val="both"/>
              <w:spacing w:line="360" w:lineRule="auto"/>
              <w:rPr>
                <w:rFonts w:hAnsi="宋体" w:eastAsia="宋体"/>
                <w:sz w:val="24"/>
                <w:szCs w:val="24"/>
              </w:rPr>
            </w:pPr>
            <w:r>
              <w:rPr>
                <w:rFonts w:hint="eastAsia" w:hAnsi="宋体" w:eastAsia="宋体"/>
                <w:sz w:val="24"/>
                <w:szCs w:val="24"/>
              </w:rPr>
              <w:t xml:space="preserve">单位</w:t>
            </w:r>
            <w:r/>
          </w:p>
        </w:tc>
        <w:tc>
          <w:tcPr>
            <w:tcBorders>
              <w:top w:val="single" w:color="auto" w:sz="6" w:space="0"/>
              <w:left w:val="single" w:color="auto" w:sz="4" w:space="0"/>
              <w:bottom w:val="single" w:color="auto" w:sz="6" w:space="0"/>
              <w:right w:val="single" w:color="auto" w:sz="6" w:space="0"/>
            </w:tcBorders>
            <w:tcW w:w="1137" w:type="dxa"/>
            <w:vAlign w:val="center"/>
            <w:textDirection w:val="lrTb"/>
            <w:noWrap w:val="false"/>
          </w:tcPr>
          <w:p>
            <w:pPr>
              <w:pStyle w:val="1130"/>
              <w:ind w:left="0" w:firstLine="0"/>
              <w:jc w:val="both"/>
              <w:spacing w:line="360" w:lineRule="auto"/>
              <w:rPr>
                <w:rFonts w:hAnsi="宋体" w:eastAsia="宋体"/>
                <w:sz w:val="24"/>
                <w:szCs w:val="24"/>
              </w:rPr>
            </w:pPr>
            <w:r>
              <w:rPr>
                <w:rFonts w:hint="eastAsia" w:hAnsi="宋体" w:eastAsia="宋体"/>
                <w:sz w:val="24"/>
                <w:szCs w:val="24"/>
              </w:rPr>
              <w:t xml:space="preserve">数量</w:t>
            </w:r>
            <w:r/>
          </w:p>
        </w:tc>
        <w:tc>
          <w:tcPr>
            <w:tcBorders>
              <w:top w:val="single" w:color="auto" w:sz="6" w:space="0"/>
              <w:left w:val="single" w:color="auto" w:sz="6" w:space="0"/>
              <w:bottom w:val="single" w:color="auto" w:sz="6" w:space="0"/>
              <w:right w:val="single" w:color="auto" w:sz="4" w:space="0"/>
            </w:tcBorders>
            <w:tcW w:w="1043" w:type="dxa"/>
            <w:vAlign w:val="center"/>
            <w:textDirection w:val="lrTb"/>
            <w:noWrap w:val="false"/>
          </w:tcPr>
          <w:p>
            <w:pPr>
              <w:pStyle w:val="1130"/>
              <w:ind w:left="0" w:firstLine="0"/>
              <w:jc w:val="both"/>
              <w:spacing w:line="360" w:lineRule="auto"/>
              <w:rPr>
                <w:rFonts w:hAnsi="宋体" w:eastAsia="宋体"/>
                <w:sz w:val="24"/>
                <w:szCs w:val="24"/>
              </w:rPr>
            </w:pPr>
            <w:r>
              <w:rPr>
                <w:rFonts w:hint="eastAsia" w:hAnsi="宋体" w:eastAsia="宋体"/>
                <w:sz w:val="24"/>
                <w:szCs w:val="24"/>
              </w:rPr>
              <w:t xml:space="preserve">交付期</w:t>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4" w:space="0"/>
              <w:left w:val="single" w:color="auto" w:sz="6" w:space="0"/>
              <w:bottom w:val="single" w:color="auto" w:sz="6" w:space="0"/>
              <w:right w:val="single" w:color="auto" w:sz="6" w:space="0"/>
            </w:tcBorders>
            <w:tcW w:w="2835"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p>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1130"/>
              <w:jc w:val="center"/>
              <w:spacing w:line="360" w:lineRule="auto"/>
              <w:rPr>
                <w:rFonts w:hAnsi="宋体" w:eastAsia="宋体"/>
                <w:sz w:val="24"/>
                <w:szCs w:val="24"/>
              </w:rPr>
            </w:pPr>
            <w:r>
              <w:rPr>
                <w:rFonts w:hAnsi="宋体" w:eastAsia="宋体"/>
                <w:sz w:val="24"/>
                <w:szCs w:val="24"/>
              </w:rPr>
            </w:r>
            <w:r/>
          </w:p>
        </w:tc>
      </w:tr>
    </w:tbl>
    <w:p>
      <w:pPr>
        <w:ind w:firstLine="480"/>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80"/>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投标单位：（公章）</w:t>
      </w:r>
      <w:r/>
    </w:p>
    <w:p>
      <w:pPr>
        <w:ind w:firstLine="480"/>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法定代表人或代理人（签字或盖章）：</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投标日期：</w:t>
      </w:r>
      <w:r>
        <w:rPr>
          <w:rFonts w:hint="eastAsia" w:ascii="宋体" w:hAnsi="宋体" w:eastAsia="宋体" w:cs="宋体"/>
          <w:sz w:val="24"/>
          <w:lang w:val="en-US" w:eastAsia="zh-CN"/>
        </w:rPr>
        <w:t xml:space="preserve"> </w:t>
      </w:r>
      <w:r>
        <w:rPr>
          <w:rFonts w:ascii="宋体" w:hAnsi="宋体" w:eastAsia="宋体" w:cs="宋体"/>
          <w:sz w:val="24"/>
          <w:lang w:eastAsia="zh-CN"/>
        </w:rPr>
        <w:t xml:space="preserve">年</w:t>
      </w:r>
      <w:r>
        <w:rPr>
          <w:rFonts w:hint="eastAsia" w:ascii="宋体" w:hAnsi="宋体" w:eastAsia="宋体" w:cs="宋体"/>
          <w:sz w:val="24"/>
          <w:lang w:val="en-US" w:eastAsia="zh-CN"/>
        </w:rPr>
        <w:t xml:space="preserve"> </w:t>
      </w:r>
      <w:r>
        <w:rPr>
          <w:rFonts w:ascii="宋体" w:hAnsi="宋体" w:eastAsia="宋体" w:cs="宋体"/>
          <w:sz w:val="24"/>
          <w:lang w:eastAsia="zh-CN"/>
        </w:rPr>
        <w:t xml:space="preserve">月</w:t>
      </w:r>
      <w:r>
        <w:rPr>
          <w:rFonts w:hint="eastAsia" w:ascii="宋体" w:hAnsi="宋体" w:eastAsia="宋体" w:cs="宋体"/>
          <w:sz w:val="24"/>
          <w:lang w:val="en-US" w:eastAsia="zh-CN"/>
        </w:rPr>
        <w:t xml:space="preserve"> </w:t>
      </w:r>
      <w:r>
        <w:rPr>
          <w:rFonts w:ascii="宋体" w:hAnsi="宋体" w:eastAsia="宋体" w:cs="宋体"/>
          <w:sz w:val="24"/>
          <w:lang w:eastAsia="zh-CN"/>
        </w:rPr>
        <w:t xml:space="preserve">日</w:t>
      </w:r>
      <w:r/>
    </w:p>
    <w:p>
      <w:pPr>
        <w:jc w:val="both"/>
        <w:spacing w:after="0"/>
        <w:rPr>
          <w:rFonts w:ascii="仿宋" w:hAnsi="仿宋" w:eastAsia="仿宋" w:cs="仿宋"/>
          <w:b/>
          <w:bCs/>
          <w:sz w:val="32"/>
          <w:szCs w:val="32"/>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sz w:val="32"/>
          <w:szCs w:val="32"/>
          <w:lang w:eastAsia="zh-CN"/>
        </w:rPr>
      </w:r>
      <w:r/>
    </w:p>
    <w:p>
      <w:pPr>
        <w:rPr>
          <w:rFonts w:hint="eastAsia" w:ascii="仿宋" w:hAnsi="仿宋" w:eastAsia="仿宋" w:cs="仿宋"/>
          <w:b/>
          <w:sz w:val="32"/>
          <w:lang w:eastAsia="zh-CN"/>
        </w:rPr>
      </w:pPr>
      <w:r>
        <w:rPr>
          <w:rFonts w:hint="eastAsia" w:ascii="仿宋" w:hAnsi="仿宋" w:eastAsia="仿宋" w:cs="仿宋"/>
          <w:b/>
          <w:sz w:val="32"/>
          <w:lang w:eastAsia="zh-CN"/>
        </w:rPr>
        <w:br w:type="page" w:clear="all"/>
      </w:r>
      <w:r/>
    </w:p>
    <w:p>
      <w:pPr>
        <w:ind w:left="0" w:firstLine="0"/>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2"/>
          <w:lang w:val="en-US" w:eastAsia="zh-CN"/>
        </w:rPr>
        <w:t xml:space="preserve">9、</w:t>
      </w:r>
      <w:r>
        <w:rPr>
          <w:rFonts w:hint="eastAsia" w:ascii="仿宋" w:hAnsi="仿宋" w:eastAsia="仿宋" w:cs="仿宋"/>
          <w:b/>
          <w:sz w:val="32"/>
          <w:lang w:eastAsia="zh-CN"/>
        </w:rPr>
        <w:t xml:space="preserve">服务要求偏离表</w:t>
      </w:r>
      <w:r/>
    </w:p>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服务要求偏离表</w:t>
      </w:r>
      <w:r/>
    </w:p>
    <w:tbl>
      <w:tblPr>
        <w:tblStyle w:val="10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6"/>
        <w:gridCol w:w="1844"/>
        <w:gridCol w:w="2308"/>
        <w:gridCol w:w="1694"/>
        <w:gridCol w:w="1483"/>
      </w:tblGrid>
      <w:tr>
        <w:trPr>
          <w:trHeight w:val="10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jc w:val="center"/>
              <w:spacing w:after="0" w:line="4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line="4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line="4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招标文件</w:t>
            </w:r>
            <w:r/>
          </w:p>
          <w:p>
            <w:pPr>
              <w:jc w:val="center"/>
              <w:spacing w:after="0" w:line="4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服务要求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line="4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投标文件</w:t>
            </w:r>
            <w:r/>
          </w:p>
          <w:p>
            <w:pPr>
              <w:jc w:val="center"/>
              <w:spacing w:after="0" w:line="4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响应要求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line="4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偏离情况</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bl>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pacing w:val="20"/>
          <w:sz w:val="30"/>
        </w:rPr>
        <w:t xml:space="preserve"> </w:t>
      </w:r>
      <w:r/>
    </w:p>
    <w:p>
      <w:pPr>
        <w:jc w:val="both"/>
        <w:spacing w:after="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注：</w:t>
      </w:r>
      <w:r>
        <w:rPr>
          <w:rFonts w:ascii="仿宋" w:hAnsi="仿宋" w:eastAsia="仿宋" w:cs="仿宋"/>
          <w:sz w:val="24"/>
          <w:lang w:eastAsia="zh-CN"/>
        </w:rPr>
        <w:t xml:space="preserve">1.投标人应在本表中对照招标文件技术要求与实际投标技术要求逐项对应列出，并在“偏离说明”项下填写以下内容：优于的，填写“正偏离”；符合的，填写“无偏离”；低于的，填写“负偏离”。</w:t>
      </w:r>
      <w:r/>
    </w:p>
    <w:p>
      <w:pPr>
        <w:ind w:firstLine="480"/>
        <w:spacing w:after="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2.若事项较多，投标人可根据响应内容的实际情况另纸说明。</w:t>
      </w:r>
      <w:r/>
    </w:p>
    <w:p>
      <w:pPr>
        <w:ind w:firstLine="480"/>
        <w:spacing w:after="0" w:line="46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ind w:firstLine="480"/>
        <w:spacing w:after="0" w:line="46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投标单位：（公章）</w:t>
      </w:r>
      <w:r/>
    </w:p>
    <w:p>
      <w:pPr>
        <w:ind w:firstLine="480"/>
        <w:spacing w:after="0" w:line="46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法定代表人或代理人（签字或盖章）：</w:t>
      </w:r>
      <w:r/>
    </w:p>
    <w:p>
      <w:pPr>
        <w:ind w:firstLine="480"/>
        <w:jc w:val="both"/>
        <w:spacing w:after="0" w:line="46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日期：年月日</w:t>
      </w:r>
      <w:r/>
    </w:p>
    <w:p>
      <w:pPr>
        <w:ind w:firstLine="643"/>
        <w:jc w:val="both"/>
        <w:spacing w:after="0" w:line="420" w:lineRule="exact"/>
        <w:rPr>
          <w:rFonts w:ascii="仿宋" w:hAnsi="仿宋" w:eastAsia="仿宋" w:cs="仿宋"/>
          <w:b/>
          <w:sz w:val="32"/>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lang w:eastAsia="zh-CN"/>
        </w:rPr>
      </w:r>
      <w:r/>
    </w:p>
    <w:p>
      <w:pPr>
        <w:jc w:val="both"/>
        <w:spacing w:after="0" w:line="85" w:lineRule="atLeast"/>
        <w:rPr>
          <w:rFonts w:ascii="仿宋" w:hAnsi="仿宋" w:eastAsia="仿宋" w:cs="仿宋"/>
          <w:b/>
          <w:sz w:val="32"/>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lang w:eastAsia="zh-CN"/>
        </w:rPr>
      </w:r>
      <w:r/>
    </w:p>
    <w:p>
      <w:pPr>
        <w:jc w:val="both"/>
        <w:spacing w:after="0" w:line="85" w:lineRule="atLeast"/>
        <w:rPr>
          <w:rFonts w:ascii="仿宋" w:hAnsi="仿宋" w:eastAsia="仿宋" w:cs="仿宋"/>
          <w:b/>
          <w:sz w:val="32"/>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lang w:eastAsia="zh-CN"/>
        </w:rPr>
      </w:r>
      <w:r/>
    </w:p>
    <w:p>
      <w:pPr>
        <w:jc w:val="both"/>
        <w:spacing w:after="0" w:line="85" w:lineRule="atLeast"/>
        <w:rPr>
          <w:rFonts w:ascii="仿宋" w:hAnsi="仿宋" w:eastAsia="仿宋" w:cs="仿宋"/>
          <w:b/>
          <w:sz w:val="32"/>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lang w:eastAsia="zh-CN"/>
        </w:rPr>
      </w:r>
      <w:r/>
    </w:p>
    <w:p>
      <w:pPr>
        <w:rPr>
          <w:rFonts w:ascii="仿宋" w:hAnsi="仿宋" w:eastAsia="仿宋" w:cs="仿宋"/>
          <w:b/>
          <w:sz w:val="32"/>
          <w:lang w:eastAsia="zh-CN"/>
        </w:rPr>
      </w:pPr>
      <w:r>
        <w:rPr>
          <w:rFonts w:ascii="仿宋" w:hAnsi="仿宋" w:eastAsia="仿宋" w:cs="仿宋"/>
          <w:b/>
          <w:sz w:val="32"/>
          <w:lang w:eastAsia="zh-CN"/>
        </w:rPr>
        <w:br w:type="page" w:clear="all"/>
      </w:r>
      <w:r/>
    </w:p>
    <w:p>
      <w:pPr>
        <w:ind w:left="0" w:firstLine="0"/>
        <w:jc w:val="both"/>
        <w:spacing w:after="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2"/>
          <w:lang w:val="en-US" w:eastAsia="zh-CN"/>
        </w:rPr>
        <w:t xml:space="preserve">10</w:t>
      </w:r>
      <w:r>
        <w:rPr>
          <w:rFonts w:ascii="仿宋" w:hAnsi="仿宋" w:eastAsia="仿宋" w:cs="仿宋"/>
          <w:b/>
          <w:sz w:val="32"/>
          <w:lang w:eastAsia="zh-CN"/>
        </w:rPr>
        <w:t xml:space="preserve">、商务偏离表</w:t>
      </w:r>
      <w:r/>
    </w:p>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pacing w:val="20"/>
          <w:sz w:val="32"/>
        </w:rPr>
        <w:t xml:space="preserve">商务条款偏离表</w:t>
      </w:r>
      <w:r/>
    </w:p>
    <w:tbl>
      <w:tblPr>
        <w:tblStyle w:val="10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1856"/>
        <w:gridCol w:w="1669"/>
        <w:gridCol w:w="1531"/>
        <w:gridCol w:w="1336"/>
        <w:gridCol w:w="896"/>
      </w:tblGrid>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招标文件的商务条款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1"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备注</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bl>
    <w:p>
      <w:pPr>
        <w:ind w:firstLine="482"/>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both"/>
        <w:spacing w:after="0" w:line="44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注：</w:t>
      </w:r>
      <w:r>
        <w:rPr>
          <w:rFonts w:ascii="仿宋" w:hAnsi="仿宋" w:eastAsia="仿宋" w:cs="仿宋"/>
          <w:sz w:val="24"/>
          <w:lang w:eastAsia="zh-CN"/>
        </w:rPr>
        <w:t xml:space="preserve">1.供应商应在本表中把招标文件商务要求与实际投标商务要求逐项对应列出，并在“偏离说明”项下填写以下内容：优于的，填写“正偏离”；符合的，填写“无偏离”；低于的，填写“负偏离”。</w:t>
      </w:r>
      <w:r/>
    </w:p>
    <w:p>
      <w:pPr>
        <w:ind w:firstLine="480"/>
        <w:jc w:val="both"/>
        <w:spacing w:after="0" w:line="44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2.若事项较多，投标人可根据响应内容的实际情况另纸说明。</w:t>
      </w:r>
      <w:r/>
    </w:p>
    <w:p>
      <w:pPr>
        <w:ind w:firstLine="480"/>
        <w:spacing w:after="0" w:line="44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ind w:firstLine="480"/>
        <w:spacing w:after="0" w:line="44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投标单位：（公章）</w:t>
      </w:r>
      <w:r/>
    </w:p>
    <w:p>
      <w:pPr>
        <w:ind w:firstLine="480"/>
        <w:spacing w:after="0" w:line="44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法定代表人或代理人（签字或盖章）：</w:t>
      </w:r>
      <w:r/>
    </w:p>
    <w:p>
      <w:pPr>
        <w:ind w:firstLine="480"/>
        <w:spacing w:after="0" w:line="44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投标日期</w:t>
      </w:r>
      <w:r>
        <w:rPr>
          <w:rFonts w:ascii="仿宋" w:hAnsi="仿宋" w:eastAsia="仿宋" w:cs="仿宋"/>
          <w:sz w:val="24"/>
          <w:lang w:eastAsia="zh-CN"/>
        </w:rPr>
        <w:t xml:space="preserve">:   </w:t>
      </w:r>
      <w:r>
        <w:rPr>
          <w:rFonts w:hint="eastAsia" w:ascii="仿宋" w:hAnsi="仿宋" w:eastAsia="仿宋" w:cs="仿宋"/>
          <w:sz w:val="24"/>
          <w:lang w:eastAsia="zh-CN"/>
        </w:rPr>
        <w:t xml:space="preserve">年 月</w:t>
      </w:r>
      <w:r>
        <w:rPr>
          <w:rFonts w:ascii="仿宋" w:hAnsi="仿宋" w:eastAsia="仿宋" w:cs="仿宋"/>
          <w:sz w:val="24"/>
          <w:lang w:eastAsia="zh-CN"/>
        </w:rPr>
        <w:t xml:space="preserve">  </w:t>
      </w:r>
      <w:r>
        <w:rPr>
          <w:rFonts w:hint="eastAsia" w:ascii="仿宋" w:hAnsi="仿宋" w:eastAsia="仿宋" w:cs="仿宋"/>
          <w:sz w:val="24"/>
          <w:lang w:eastAsia="zh-CN"/>
        </w:rPr>
        <w:t xml:space="preserve">日</w:t>
      </w:r>
      <w:r/>
    </w:p>
    <w:p>
      <w:pPr>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jc w:val="both"/>
        <w:spacing w:after="0"/>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rPr>
          <w:rFonts w:ascii="仿宋" w:hAnsi="仿宋" w:eastAsia="仿宋" w:cs="仿宋"/>
          <w:b/>
          <w:bCs/>
          <w:sz w:val="32"/>
          <w:szCs w:val="32"/>
          <w:lang w:eastAsia="zh-CN"/>
        </w:rPr>
      </w:pPr>
      <w:r>
        <w:rPr>
          <w:rFonts w:hint="eastAsia" w:ascii="仿宋" w:hAnsi="仿宋" w:eastAsia="仿宋" w:cs="仿宋"/>
          <w:b/>
          <w:sz w:val="32"/>
          <w:lang w:val="en-US" w:eastAsia="zh-CN"/>
        </w:rPr>
        <w:t xml:space="preserve">11</w:t>
      </w:r>
      <w:r>
        <w:rPr>
          <w:rFonts w:ascii="仿宋" w:hAnsi="仿宋" w:eastAsia="仿宋" w:cs="仿宋"/>
          <w:b/>
          <w:sz w:val="32"/>
          <w:lang w:eastAsia="zh-CN"/>
        </w:rPr>
        <w:t xml:space="preserve">、</w:t>
      </w:r>
      <w:r>
        <w:rPr>
          <w:rFonts w:hint="eastAsia" w:ascii="仿宋" w:hAnsi="仿宋" w:eastAsia="仿宋" w:cs="仿宋"/>
          <w:b/>
          <w:bCs/>
          <w:sz w:val="32"/>
          <w:szCs w:val="32"/>
          <w:lang w:eastAsia="zh-CN"/>
        </w:rPr>
        <w:t xml:space="preserve">项目技术方案及服务方案</w:t>
      </w:r>
      <w:r/>
    </w:p>
    <w:p>
      <w:pPr>
        <w:rPr>
          <w:rFonts w:ascii="仿宋" w:hAnsi="仿宋" w:eastAsia="仿宋" w:cs="仿宋"/>
          <w:sz w:val="24"/>
          <w:szCs w:val="21"/>
          <w:lang w:eastAsia="zh-CN"/>
        </w:rPr>
      </w:pPr>
      <w:r>
        <w:rPr>
          <w:rFonts w:ascii="仿宋" w:hAnsi="仿宋" w:eastAsia="仿宋" w:cs="仿宋"/>
          <w:sz w:val="24"/>
          <w:szCs w:val="21"/>
          <w:lang w:eastAsia="zh-CN"/>
        </w:rPr>
      </w:r>
      <w:r/>
    </w:p>
    <w:p>
      <w:pPr>
        <w:ind w:firstLine="480"/>
        <w:rPr>
          <w:rFonts w:ascii="仿宋" w:hAnsi="仿宋" w:eastAsia="仿宋" w:cs="仿宋"/>
          <w:b/>
          <w:bCs/>
          <w:sz w:val="32"/>
          <w:szCs w:val="32"/>
          <w:lang w:eastAsia="zh-CN"/>
        </w:rPr>
      </w:pPr>
      <w:r>
        <w:rPr>
          <w:rFonts w:hint="eastAsia" w:ascii="仿宋" w:hAnsi="仿宋" w:eastAsia="仿宋" w:cs="仿宋"/>
          <w:sz w:val="24"/>
          <w:szCs w:val="21"/>
          <w:lang w:eastAsia="zh-CN"/>
        </w:rPr>
        <w:t xml:space="preserve">投标人根据项目需求编写针对本项目的技术方案及服务方案</w:t>
      </w:r>
      <w:r/>
    </w:p>
    <w:p>
      <w:pPr>
        <w:rPr>
          <w:rFonts w:ascii="仿宋" w:hAnsi="仿宋" w:eastAsia="仿宋" w:cs="仿宋"/>
          <w:b/>
          <w:bCs/>
          <w:sz w:val="32"/>
          <w:szCs w:val="32"/>
          <w:lang w:eastAsia="zh-CN"/>
        </w:rPr>
      </w:pPr>
      <w:r>
        <w:rPr>
          <w:rFonts w:ascii="仿宋" w:hAnsi="仿宋" w:eastAsia="仿宋" w:cs="仿宋"/>
          <w:b/>
          <w:bCs/>
          <w:sz w:val="32"/>
          <w:szCs w:val="32"/>
          <w:lang w:eastAsia="zh-CN"/>
        </w:rPr>
      </w:r>
      <w:r/>
    </w:p>
    <w:p>
      <w:pPr>
        <w:rPr>
          <w:rFonts w:ascii="仿宋" w:hAnsi="仿宋" w:eastAsia="仿宋" w:cs="仿宋"/>
          <w:b/>
          <w:bCs/>
          <w:sz w:val="32"/>
          <w:szCs w:val="32"/>
          <w:lang w:eastAsia="zh-CN"/>
        </w:rPr>
      </w:pPr>
      <w:r>
        <w:rPr>
          <w:rFonts w:ascii="仿宋" w:hAnsi="仿宋" w:eastAsia="仿宋" w:cs="仿宋"/>
          <w:b/>
          <w:bCs/>
          <w:sz w:val="32"/>
          <w:szCs w:val="32"/>
          <w:lang w:eastAsia="zh-CN"/>
        </w:rPr>
      </w:r>
      <w:r/>
    </w:p>
    <w:p>
      <w:pPr>
        <w:rPr>
          <w:rFonts w:ascii="仿宋" w:hAnsi="仿宋" w:eastAsia="仿宋" w:cs="仿宋"/>
          <w:b/>
          <w:bCs/>
          <w:sz w:val="32"/>
          <w:szCs w:val="32"/>
          <w:lang w:eastAsia="zh-CN"/>
        </w:rPr>
      </w:pPr>
      <w:r>
        <w:rPr>
          <w:rFonts w:ascii="仿宋" w:hAnsi="仿宋" w:eastAsia="仿宋" w:cs="仿宋"/>
          <w:b/>
          <w:bCs/>
          <w:sz w:val="32"/>
          <w:szCs w:val="32"/>
          <w:lang w:eastAsia="zh-CN"/>
        </w:rPr>
      </w:r>
      <w:r/>
    </w:p>
    <w:p>
      <w:pPr>
        <w:rPr>
          <w:rFonts w:ascii="仿宋" w:hAnsi="仿宋" w:eastAsia="仿宋" w:cs="仿宋"/>
          <w:b/>
          <w:bCs/>
          <w:sz w:val="32"/>
          <w:szCs w:val="32"/>
          <w:lang w:eastAsia="zh-CN"/>
        </w:rPr>
      </w:pPr>
      <w:r>
        <w:rPr>
          <w:rFonts w:ascii="仿宋" w:hAnsi="仿宋" w:eastAsia="仿宋" w:cs="仿宋"/>
          <w:b/>
          <w:bCs/>
          <w:sz w:val="32"/>
          <w:szCs w:val="32"/>
          <w:lang w:eastAsia="zh-CN"/>
        </w:rPr>
        <w:t xml:space="preserve">1</w:t>
      </w:r>
      <w:r>
        <w:rPr>
          <w:rFonts w:hint="eastAsia" w:ascii="仿宋" w:hAnsi="仿宋" w:eastAsia="仿宋" w:cs="仿宋"/>
          <w:b/>
          <w:bCs/>
          <w:sz w:val="32"/>
          <w:szCs w:val="32"/>
          <w:lang w:val="en-US" w:eastAsia="zh-CN"/>
        </w:rPr>
        <w:t xml:space="preserve">2</w:t>
      </w:r>
      <w:r>
        <w:rPr>
          <w:rFonts w:ascii="仿宋" w:hAnsi="仿宋" w:eastAsia="仿宋" w:cs="仿宋"/>
          <w:b/>
          <w:bCs/>
          <w:sz w:val="32"/>
          <w:szCs w:val="32"/>
          <w:lang w:eastAsia="zh-CN"/>
        </w:rPr>
        <w:t xml:space="preserve">、项目实施方案及进度方案</w:t>
      </w:r>
      <w:r/>
    </w:p>
    <w:p>
      <w:pPr>
        <w:rPr>
          <w:rFonts w:ascii="仿宋" w:hAnsi="仿宋" w:eastAsia="仿宋" w:cs="仿宋"/>
          <w:sz w:val="24"/>
          <w:lang w:eastAsia="zh-CN"/>
        </w:rPr>
      </w:pPr>
      <w:r>
        <w:rPr>
          <w:rFonts w:ascii="仿宋" w:hAnsi="仿宋" w:eastAsia="仿宋" w:cs="仿宋"/>
          <w:sz w:val="24"/>
          <w:lang w:eastAsia="zh-CN"/>
        </w:rPr>
      </w:r>
      <w:r/>
    </w:p>
    <w:p>
      <w:pPr>
        <w:ind w:firstLine="480"/>
        <w:spacing w:line="360" w:lineRule="auto"/>
        <w:rPr>
          <w:rFonts w:ascii="仿宋" w:hAnsi="仿宋" w:eastAsia="仿宋" w:cs="仿宋"/>
          <w:sz w:val="24"/>
          <w:szCs w:val="21"/>
          <w:lang w:eastAsia="zh-CN"/>
        </w:rPr>
      </w:pPr>
      <w:r>
        <w:rPr>
          <w:rFonts w:hint="eastAsia" w:ascii="仿宋" w:hAnsi="仿宋" w:eastAsia="仿宋" w:cs="仿宋"/>
          <w:sz w:val="24"/>
          <w:szCs w:val="21"/>
          <w:lang w:eastAsia="zh-CN"/>
        </w:rPr>
        <w:t xml:space="preserve">投标人根据项目需求编写针对本项目的实施方案及进度方案</w:t>
      </w:r>
      <w:r/>
    </w:p>
    <w:p>
      <w:pPr>
        <w:rPr>
          <w:rFonts w:ascii="仿宋" w:hAnsi="仿宋" w:eastAsia="仿宋" w:cs="仿宋"/>
          <w:sz w:val="24"/>
          <w:szCs w:val="21"/>
          <w:lang w:eastAsia="zh-CN"/>
        </w:rPr>
      </w:pPr>
      <w:r>
        <w:rPr>
          <w:rFonts w:ascii="仿宋" w:hAnsi="仿宋" w:eastAsia="仿宋" w:cs="仿宋"/>
          <w:sz w:val="24"/>
          <w:szCs w:val="21"/>
          <w:lang w:eastAsia="zh-CN"/>
        </w:rPr>
      </w:r>
      <w:r/>
    </w:p>
    <w:p>
      <w:pPr>
        <w:rPr>
          <w:rFonts w:ascii="仿宋" w:hAnsi="仿宋" w:eastAsia="仿宋" w:cs="仿宋"/>
          <w:sz w:val="24"/>
          <w:szCs w:val="21"/>
          <w:lang w:eastAsia="zh-CN"/>
        </w:rPr>
      </w:pPr>
      <w:r>
        <w:rPr>
          <w:rFonts w:ascii="仿宋" w:hAnsi="仿宋" w:eastAsia="仿宋" w:cs="仿宋"/>
          <w:sz w:val="24"/>
          <w:szCs w:val="21"/>
          <w:lang w:eastAsia="zh-CN"/>
        </w:rPr>
      </w:r>
      <w:r/>
    </w:p>
    <w:p>
      <w:pPr>
        <w:rPr>
          <w:rFonts w:ascii="仿宋" w:hAnsi="仿宋" w:eastAsia="仿宋" w:cs="仿宋"/>
          <w:b/>
          <w:bCs/>
          <w:sz w:val="32"/>
          <w:szCs w:val="32"/>
          <w:lang w:eastAsia="zh-CN"/>
        </w:rPr>
      </w:pPr>
      <w:r>
        <w:rPr>
          <w:rFonts w:ascii="仿宋" w:hAnsi="仿宋" w:eastAsia="仿宋" w:cs="仿宋"/>
          <w:b/>
          <w:bCs/>
          <w:sz w:val="32"/>
          <w:szCs w:val="32"/>
          <w:lang w:eastAsia="zh-CN"/>
        </w:rPr>
      </w:r>
      <w:r/>
    </w:p>
    <w:p>
      <w:pPr>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sz w:val="32"/>
          <w:szCs w:val="32"/>
          <w:lang w:eastAsia="zh-CN"/>
        </w:rPr>
        <w:t xml:space="preserve">1</w:t>
      </w:r>
      <w:r>
        <w:rPr>
          <w:rFonts w:hint="eastAsia" w:ascii="仿宋" w:hAnsi="仿宋" w:eastAsia="仿宋" w:cs="仿宋"/>
          <w:b/>
          <w:bCs/>
          <w:sz w:val="32"/>
          <w:szCs w:val="32"/>
          <w:lang w:val="en-US" w:eastAsia="zh-CN"/>
        </w:rPr>
        <w:t xml:space="preserve">3</w:t>
      </w:r>
      <w:r>
        <w:rPr>
          <w:rFonts w:ascii="仿宋" w:hAnsi="仿宋" w:eastAsia="仿宋" w:cs="仿宋"/>
          <w:b/>
          <w:bCs/>
          <w:sz w:val="32"/>
          <w:szCs w:val="32"/>
          <w:lang w:eastAsia="zh-CN"/>
        </w:rPr>
        <w:t xml:space="preserve">、项目质量保证措施及承诺</w:t>
      </w:r>
      <w:r/>
    </w:p>
    <w:p>
      <w:pPr>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ind w:firstLine="480"/>
        <w:jc w:val="both"/>
        <w:spacing w:after="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投标人根据项目需求编写针对本项目的质量保证措施及承诺</w:t>
      </w:r>
      <w:r/>
    </w:p>
    <w:p>
      <w:pPr>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2"/>
          <w:lang w:eastAsia="zh-CN"/>
        </w:rPr>
        <w:t xml:space="preserve"> </w:t>
      </w:r>
      <w:r/>
    </w:p>
    <w:p>
      <w:pPr>
        <w:spacing w:before="240" w:after="240" w:line="85" w:lineRule="atLeast"/>
        <w:rPr>
          <w:rFonts w:ascii="仿宋" w:hAnsi="仿宋" w:eastAsia="仿宋" w:cs="仿宋"/>
          <w:b/>
          <w:sz w:val="32"/>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lang w:eastAsia="zh-CN"/>
        </w:rPr>
      </w:r>
      <w:r/>
    </w:p>
    <w:p>
      <w:pPr>
        <w:spacing w:before="240" w:after="240" w:line="85" w:lineRule="atLeast"/>
        <w:rPr>
          <w:rFonts w:ascii="仿宋" w:hAnsi="仿宋" w:eastAsia="仿宋" w:cs="仿宋"/>
          <w:b/>
          <w:sz w:val="32"/>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lang w:eastAsia="zh-CN"/>
        </w:rPr>
      </w:r>
      <w:r/>
    </w:p>
    <w:p>
      <w:pPr>
        <w:spacing w:before="240" w:after="24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lang w:eastAsia="zh-CN"/>
        </w:rPr>
      </w:r>
      <w:r/>
    </w:p>
    <w:p>
      <w:pPr>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lang w:eastAsia="zh-CN"/>
        </w:rPr>
        <w:t xml:space="preserve">13、项目售后服务方案</w:t>
      </w:r>
      <w:r/>
    </w:p>
    <w:p>
      <w:pPr>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2"/>
          <w:lang w:eastAsia="zh-CN"/>
        </w:rPr>
        <w:t xml:space="preserve"> </w:t>
      </w:r>
      <w:r>
        <w:rPr>
          <w:rFonts w:ascii="仿宋" w:hAnsi="仿宋" w:eastAsia="仿宋" w:cs="仿宋"/>
          <w:b/>
          <w:sz w:val="32"/>
          <w:lang w:eastAsia="zh-CN"/>
        </w:rPr>
        <w:t xml:space="preserve"> </w:t>
      </w:r>
      <w:r/>
    </w:p>
    <w:p>
      <w:pPr>
        <w:ind w:firstLine="480"/>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投标人根据项目需求编写针对本项目的售后服务方案</w:t>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lang w:eastAsia="zh-CN"/>
        </w:rPr>
      </w:r>
      <w:r/>
    </w:p>
    <w:p>
      <w:pPr>
        <w:ind w:left="0" w:firstLine="0"/>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lang w:eastAsia="zh-CN"/>
        </w:rPr>
        <w:t xml:space="preserve">14、企业类似业绩一览表</w:t>
      </w:r>
      <w:r/>
    </w:p>
    <w:p>
      <w:pPr>
        <w:jc w:val="center"/>
        <w:spacing w:after="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lang w:eastAsia="zh-CN"/>
        </w:rPr>
        <w:t xml:space="preserve"> </w:t>
      </w:r>
      <w:r/>
    </w:p>
    <w:p>
      <w:pPr>
        <w:jc w:val="center"/>
        <w:spacing w:after="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lang w:eastAsia="zh-CN"/>
        </w:rPr>
        <w:t xml:space="preserve">企业类似业绩一览表</w:t>
      </w:r>
      <w:r/>
    </w:p>
    <w:tbl>
      <w:tblPr>
        <w:tblStyle w:val="10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6"/>
        <w:gridCol w:w="1185"/>
        <w:gridCol w:w="1205"/>
        <w:gridCol w:w="1674"/>
        <w:gridCol w:w="1591"/>
        <w:gridCol w:w="105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项目时间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合同金额</w:t>
            </w:r>
            <w:r/>
          </w:p>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bl>
    <w:p>
      <w:pPr>
        <w:ind w:firstLine="24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附：按照招标文件要求及评分标准提供相应证明材料</w:t>
      </w:r>
      <w:r/>
    </w:p>
    <w:p>
      <w:pPr>
        <w:ind w:firstLine="480"/>
        <w:jc w:val="both"/>
        <w:spacing w:after="0" w:line="49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ind w:firstLine="480"/>
        <w:jc w:val="both"/>
        <w:spacing w:after="0" w:line="49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投标单位（单位盖章）：</w:t>
      </w:r>
      <w:r>
        <w:rPr>
          <w:rFonts w:ascii="仿宋" w:hAnsi="仿宋" w:eastAsia="仿宋" w:cs="仿宋"/>
          <w:sz w:val="24"/>
          <w:lang w:eastAsia="zh-CN"/>
        </w:rPr>
        <w:t xml:space="preserve"> </w:t>
      </w:r>
      <w:r/>
    </w:p>
    <w:p>
      <w:pPr>
        <w:ind w:firstLine="480"/>
        <w:jc w:val="both"/>
        <w:spacing w:after="0" w:line="49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法定代表人或代理人（签字或盖章）：</w:t>
      </w:r>
      <w:r/>
    </w:p>
    <w:p>
      <w:pPr>
        <w:ind w:firstLine="480"/>
        <w:jc w:val="both"/>
        <w:spacing w:after="0" w:line="49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投标日期：</w:t>
      </w:r>
      <w:r>
        <w:rPr>
          <w:rFonts w:ascii="仿宋" w:hAnsi="仿宋" w:eastAsia="仿宋" w:cs="仿宋"/>
          <w:sz w:val="24"/>
          <w:lang w:eastAsia="zh-CN"/>
        </w:rPr>
        <w:t xml:space="preserve">  </w:t>
      </w:r>
      <w:r>
        <w:rPr>
          <w:rFonts w:hint="eastAsia" w:ascii="仿宋" w:hAnsi="仿宋" w:eastAsia="仿宋" w:cs="仿宋"/>
          <w:sz w:val="24"/>
          <w:lang w:eastAsia="zh-CN"/>
        </w:rPr>
        <w:t xml:space="preserve">年</w:t>
      </w:r>
      <w:r>
        <w:rPr>
          <w:rFonts w:ascii="仿宋" w:hAnsi="仿宋" w:eastAsia="仿宋" w:cs="仿宋"/>
          <w:sz w:val="24"/>
          <w:lang w:eastAsia="zh-CN"/>
        </w:rPr>
        <w:t xml:space="preserve">  </w:t>
      </w:r>
      <w:r>
        <w:rPr>
          <w:rFonts w:hint="eastAsia" w:ascii="仿宋" w:hAnsi="仿宋" w:eastAsia="仿宋" w:cs="仿宋"/>
          <w:sz w:val="24"/>
          <w:lang w:eastAsia="zh-CN"/>
        </w:rPr>
        <w:t xml:space="preserve">月</w:t>
      </w:r>
      <w:r>
        <w:rPr>
          <w:rFonts w:ascii="仿宋" w:hAnsi="仿宋" w:eastAsia="仿宋" w:cs="仿宋"/>
          <w:sz w:val="24"/>
          <w:lang w:eastAsia="zh-CN"/>
        </w:rPr>
        <w:t xml:space="preserve"> </w:t>
      </w:r>
      <w:r>
        <w:rPr>
          <w:rFonts w:hint="eastAsia" w:ascii="仿宋" w:hAnsi="仿宋" w:eastAsia="仿宋" w:cs="仿宋"/>
          <w:sz w:val="24"/>
          <w:lang w:eastAsia="zh-CN"/>
        </w:rPr>
        <w:t xml:space="preserve">日</w:t>
      </w:r>
      <w:r/>
    </w:p>
    <w:p>
      <w:pPr>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lang w:eastAsia="zh-CN"/>
        </w:rPr>
        <w:br w:type="page" w:clear="all"/>
      </w:r>
      <w:r/>
    </w:p>
    <w:p>
      <w:pPr>
        <w:ind w:left="0" w:firstLine="0"/>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lang w:eastAsia="zh-CN"/>
        </w:rPr>
        <w:t xml:space="preserve">15、拟投入本项目的专业技术（服务）人员情况一览表</w:t>
      </w:r>
      <w:r/>
    </w:p>
    <w:p>
      <w:pPr>
        <w:ind w:left="0" w:firstLine="0"/>
        <w:jc w:val="center"/>
        <w:spacing w:before="240" w:after="24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lang w:eastAsia="zh-CN"/>
        </w:rPr>
        <w:t xml:space="preserve">拟投入本项目的专业技术（服务）人员情况一览表</w:t>
      </w:r>
      <w:r/>
    </w:p>
    <w:tbl>
      <w:tblPr>
        <w:tblStyle w:val="10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1672"/>
        <w:gridCol w:w="1068"/>
        <w:gridCol w:w="909"/>
        <w:gridCol w:w="688"/>
        <w:gridCol w:w="960"/>
        <w:gridCol w:w="1478"/>
        <w:gridCol w:w="854"/>
      </w:tblGrid>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1"/>
              </w:rPr>
              <w:t xml:space="preserve">岗位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1"/>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1"/>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1"/>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1"/>
              </w:rPr>
              <w:t xml:space="preserve">学历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1"/>
              </w:rPr>
              <w:t xml:space="preserve">专业技术职称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211"/>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1"/>
              </w:rPr>
              <w:t xml:space="preserve">备注</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1"/>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1"/>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1"/>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r>
    </w:tbl>
    <w:p>
      <w:pPr>
        <w:spacing w:after="0" w:line="41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附：</w:t>
      </w:r>
      <w:r>
        <w:rPr>
          <w:rFonts w:ascii="仿宋" w:hAnsi="仿宋" w:eastAsia="仿宋" w:cs="仿宋"/>
          <w:sz w:val="24"/>
          <w:lang w:eastAsia="zh-CN"/>
        </w:rPr>
        <w:t xml:space="preserve">1、按照招标文件要求提供相应资质证明材料。</w:t>
      </w:r>
      <w:r/>
    </w:p>
    <w:p>
      <w:pPr>
        <w:jc w:val="both"/>
        <w:spacing w:after="0" w:line="41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ind w:firstLine="574"/>
        <w:jc w:val="both"/>
        <w:spacing w:after="0" w:line="312"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lang w:eastAsia="zh-CN"/>
        </w:rPr>
        <w:t xml:space="preserve">  </w:t>
      </w:r>
      <w:r/>
    </w:p>
    <w:p>
      <w:pPr>
        <w:ind w:firstLine="480"/>
        <w:jc w:val="both"/>
        <w:spacing w:after="0" w:line="49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投标单位（单位盖章）：</w:t>
      </w:r>
      <w:r>
        <w:rPr>
          <w:rFonts w:ascii="仿宋" w:hAnsi="仿宋" w:eastAsia="仿宋" w:cs="仿宋"/>
          <w:sz w:val="24"/>
          <w:lang w:eastAsia="zh-CN"/>
        </w:rPr>
        <w:t xml:space="preserve"> </w:t>
      </w:r>
      <w:r/>
    </w:p>
    <w:p>
      <w:pPr>
        <w:ind w:firstLine="480"/>
        <w:jc w:val="both"/>
        <w:spacing w:after="0" w:line="49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法定代表人或代理人（签字或盖章）</w:t>
      </w:r>
      <w:r/>
    </w:p>
    <w:p>
      <w:pPr>
        <w:ind w:firstLine="480"/>
        <w:jc w:val="both"/>
        <w:spacing w:after="0" w:line="49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投标日期：</w:t>
      </w:r>
      <w:r>
        <w:rPr>
          <w:rFonts w:ascii="仿宋" w:hAnsi="仿宋" w:eastAsia="仿宋" w:cs="仿宋"/>
          <w:sz w:val="24"/>
          <w:lang w:eastAsia="zh-CN"/>
        </w:rPr>
        <w:t xml:space="preserve">  </w:t>
      </w:r>
      <w:r>
        <w:rPr>
          <w:rFonts w:hint="eastAsia" w:ascii="仿宋" w:hAnsi="仿宋" w:eastAsia="仿宋" w:cs="仿宋"/>
          <w:sz w:val="24"/>
          <w:lang w:eastAsia="zh-CN"/>
        </w:rPr>
        <w:t xml:space="preserve">年</w:t>
      </w:r>
      <w:r>
        <w:rPr>
          <w:rFonts w:ascii="仿宋" w:hAnsi="仿宋" w:eastAsia="仿宋" w:cs="仿宋"/>
          <w:sz w:val="24"/>
          <w:lang w:eastAsia="zh-CN"/>
        </w:rPr>
        <w:t xml:space="preserve">  </w:t>
      </w:r>
      <w:r>
        <w:rPr>
          <w:rFonts w:hint="eastAsia" w:ascii="仿宋" w:hAnsi="仿宋" w:eastAsia="仿宋" w:cs="仿宋"/>
          <w:sz w:val="24"/>
          <w:lang w:eastAsia="zh-CN"/>
        </w:rPr>
        <w:t xml:space="preserve">月</w:t>
      </w:r>
      <w:r>
        <w:rPr>
          <w:rFonts w:ascii="仿宋" w:hAnsi="仿宋" w:eastAsia="仿宋" w:cs="仿宋"/>
          <w:sz w:val="24"/>
          <w:lang w:eastAsia="zh-CN"/>
        </w:rPr>
        <w:t xml:space="preserve">  </w:t>
      </w:r>
      <w:r>
        <w:rPr>
          <w:rFonts w:hint="eastAsia" w:ascii="仿宋" w:hAnsi="仿宋" w:eastAsia="仿宋" w:cs="仿宋"/>
          <w:sz w:val="24"/>
          <w:lang w:eastAsia="zh-CN"/>
        </w:rPr>
        <w:t xml:space="preserve">日</w:t>
      </w:r>
      <w:r/>
    </w:p>
    <w:p>
      <w:pPr>
        <w:ind w:firstLine="574"/>
        <w:jc w:val="both"/>
        <w:spacing w:after="0" w:line="312"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lang w:eastAsia="zh-CN"/>
        </w:rPr>
        <w:t xml:space="preserve"> </w:t>
      </w:r>
      <w:r/>
    </w:p>
    <w:p>
      <w:pPr>
        <w:jc w:val="both"/>
        <w:spacing w:after="0" w:line="85" w:lineRule="atLeast"/>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jc w:val="both"/>
        <w:spacing w:after="0" w:line="85" w:lineRule="atLeast"/>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jc w:val="both"/>
        <w:spacing w:after="0" w:line="85" w:lineRule="atLeast"/>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ind w:left="0" w:firstLine="0"/>
        <w:spacing w:line="360" w:lineRule="auto"/>
        <w:rPr>
          <w:rFonts w:ascii="仿宋" w:hAnsi="仿宋" w:eastAsia="仿宋" w:cs="仿宋"/>
          <w:b/>
          <w:lang w:eastAsia="zh-CN"/>
        </w:rPr>
      </w:pPr>
      <w:r>
        <w:rPr>
          <w:rFonts w:ascii="仿宋" w:hAnsi="仿宋" w:eastAsia="仿宋" w:cs="仿宋"/>
          <w:b/>
          <w:sz w:val="32"/>
          <w:szCs w:val="32"/>
          <w:lang w:eastAsia="zh-CN"/>
        </w:rPr>
        <w:t xml:space="preserve">16、</w:t>
      </w:r>
      <w:bookmarkStart w:id="265" w:name="OLE_LINK1"/>
      <w:r/>
      <w:bookmarkStart w:id="271" w:name="_GoBack"/>
      <w:r>
        <w:rPr>
          <w:rFonts w:ascii="仿宋" w:hAnsi="仿宋" w:eastAsia="仿宋" w:cs="仿宋"/>
          <w:b/>
          <w:sz w:val="32"/>
          <w:szCs w:val="32"/>
          <w:lang w:eastAsia="zh-CN"/>
        </w:rPr>
        <w:t xml:space="preserve">中小企业声明函（如有）       </w:t>
      </w:r>
      <w:r>
        <w:rPr>
          <w:rFonts w:ascii="仿宋" w:hAnsi="仿宋" w:eastAsia="仿宋" w:cs="仿宋"/>
          <w:b/>
          <w:lang w:eastAsia="zh-CN"/>
        </w:rPr>
        <w:t xml:space="preserve">           </w:t>
      </w:r>
      <w:r/>
    </w:p>
    <w:p>
      <w:pPr>
        <w:ind w:firstLine="562"/>
        <w:jc w:val="center"/>
        <w:spacing w:line="460" w:lineRule="exact"/>
        <w:rPr>
          <w:rFonts w:asciiTheme="minorEastAsia" w:hAnsiTheme="minorEastAsia"/>
          <w:b/>
          <w:sz w:val="28"/>
          <w:szCs w:val="28"/>
          <w:lang w:eastAsia="zh-CN"/>
        </w:rPr>
      </w:pPr>
      <w:r>
        <w:rPr>
          <w:rFonts w:asciiTheme="minorEastAsia" w:hAnsiTheme="minorEastAsia"/>
          <w:b/>
          <w:sz w:val="28"/>
          <w:szCs w:val="28"/>
          <w:lang w:eastAsia="zh-CN"/>
        </w:rPr>
      </w:r>
      <w:r/>
    </w:p>
    <w:p>
      <w:pPr>
        <w:ind w:firstLine="562"/>
        <w:jc w:val="center"/>
        <w:spacing w:line="460" w:lineRule="exact"/>
        <w:rPr>
          <w:rFonts w:hint="eastAsia" w:ascii="仿宋" w:hAnsi="仿宋" w:eastAsia="仿宋" w:cs="仿宋"/>
          <w:b/>
          <w:sz w:val="28"/>
          <w:szCs w:val="28"/>
          <w:lang w:eastAsia="zh-CN"/>
        </w:rPr>
      </w:pPr>
      <w:r>
        <w:rPr>
          <w:rFonts w:hint="eastAsia" w:ascii="仿宋" w:hAnsi="仿宋" w:eastAsia="仿宋" w:cs="仿宋"/>
          <w:b/>
          <w:sz w:val="28"/>
          <w:szCs w:val="28"/>
          <w:lang w:eastAsia="zh-CN"/>
        </w:rPr>
        <w:t xml:space="preserve">中小企业声明函（货物）</w:t>
      </w:r>
      <w:r/>
    </w:p>
    <w:p>
      <w:pPr>
        <w:ind w:firstLine="480"/>
        <w:spacing w:line="46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本公司郑重声明，根据《政府采购促进中小企业发展管理办法》（财库﹝2020﹞46号）的规定，本公司参加</w:t>
      </w:r>
      <w:r>
        <w:rPr>
          <w:rFonts w:hint="eastAsia" w:ascii="仿宋" w:hAnsi="仿宋" w:eastAsia="仿宋" w:cs="仿宋"/>
          <w:b/>
          <w:i/>
          <w:sz w:val="24"/>
          <w:szCs w:val="24"/>
          <w:u w:val="single"/>
          <w:lang w:eastAsia="zh-CN"/>
        </w:rPr>
        <w:t xml:space="preserve">（单位名称）</w:t>
      </w:r>
      <w:r>
        <w:rPr>
          <w:rFonts w:hint="eastAsia" w:ascii="仿宋" w:hAnsi="仿宋" w:eastAsia="仿宋" w:cs="仿宋"/>
          <w:sz w:val="24"/>
          <w:szCs w:val="24"/>
          <w:lang w:eastAsia="zh-CN"/>
        </w:rPr>
        <w:t xml:space="preserve">的</w:t>
      </w:r>
      <w:r>
        <w:rPr>
          <w:rFonts w:hint="eastAsia" w:ascii="仿宋" w:hAnsi="仿宋" w:eastAsia="仿宋" w:cs="仿宋"/>
          <w:b/>
          <w:i/>
          <w:sz w:val="24"/>
          <w:szCs w:val="24"/>
          <w:u w:val="single"/>
          <w:lang w:eastAsia="zh-CN"/>
        </w:rPr>
        <w:t xml:space="preserve">（项目名称）</w:t>
      </w:r>
      <w:r>
        <w:rPr>
          <w:rFonts w:hint="eastAsia" w:ascii="仿宋" w:hAnsi="仿宋" w:eastAsia="仿宋" w:cs="仿宋"/>
          <w:sz w:val="24"/>
          <w:szCs w:val="24"/>
          <w:lang w:eastAsia="zh-CN"/>
        </w:rPr>
        <w:t xml:space="preserve">采购活动，提供的货物全部由符合政策要求的中小企业制造。相关企业的具体情况如下：</w:t>
      </w:r>
      <w:r/>
    </w:p>
    <w:p>
      <w:pPr>
        <w:ind w:firstLine="480"/>
        <w:spacing w:line="46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w:t>
      </w:r>
      <w:r>
        <w:rPr>
          <w:rFonts w:hint="eastAsia" w:ascii="仿宋" w:hAnsi="仿宋" w:eastAsia="仿宋" w:cs="仿宋"/>
          <w:i/>
          <w:sz w:val="24"/>
          <w:szCs w:val="24"/>
          <w:u w:val="single"/>
          <w:lang w:eastAsia="zh-CN"/>
        </w:rPr>
        <w:t xml:space="preserve">（标的名称）</w:t>
      </w:r>
      <w:r>
        <w:rPr>
          <w:rFonts w:hint="eastAsia" w:ascii="仿宋" w:hAnsi="仿宋" w:eastAsia="仿宋" w:cs="仿宋"/>
          <w:sz w:val="24"/>
          <w:szCs w:val="24"/>
          <w:lang w:eastAsia="zh-CN"/>
        </w:rPr>
        <w:t xml:space="preserve">，属于</w:t>
      </w:r>
      <w:r>
        <w:rPr>
          <w:rFonts w:hint="eastAsia" w:ascii="仿宋" w:hAnsi="仿宋" w:eastAsia="仿宋" w:cs="仿宋"/>
          <w:i/>
          <w:sz w:val="24"/>
          <w:szCs w:val="24"/>
          <w:u w:val="single"/>
          <w:lang w:eastAsia="zh-CN"/>
        </w:rPr>
        <w:t xml:space="preserve">工业</w:t>
      </w:r>
      <w:r>
        <w:rPr>
          <w:rFonts w:hint="eastAsia" w:ascii="仿宋" w:hAnsi="仿宋" w:eastAsia="仿宋" w:cs="仿宋"/>
          <w:sz w:val="24"/>
          <w:szCs w:val="24"/>
          <w:lang w:eastAsia="zh-CN"/>
        </w:rPr>
        <w:t xml:space="preserve">行业；制造商为</w:t>
      </w:r>
      <w:r>
        <w:rPr>
          <w:rFonts w:hint="eastAsia" w:ascii="仿宋" w:hAnsi="仿宋" w:eastAsia="仿宋" w:cs="仿宋"/>
          <w:b/>
          <w:i/>
          <w:sz w:val="24"/>
          <w:szCs w:val="24"/>
          <w:u w:val="single"/>
          <w:lang w:eastAsia="zh-CN"/>
        </w:rPr>
        <w:t xml:space="preserve">（企业名称）</w:t>
      </w:r>
      <w:r>
        <w:rPr>
          <w:rFonts w:hint="eastAsia" w:ascii="仿宋" w:hAnsi="仿宋" w:eastAsia="仿宋" w:cs="仿宋"/>
          <w:sz w:val="24"/>
          <w:szCs w:val="24"/>
          <w:lang w:eastAsia="zh-CN"/>
        </w:rPr>
        <w:t xml:space="preserve">，从业人员</w:t>
      </w:r>
      <w:r>
        <w:rPr>
          <w:rFonts w:hint="eastAsia" w:ascii="仿宋" w:hAnsi="仿宋" w:eastAsia="仿宋" w:cs="仿宋"/>
          <w:i/>
          <w:sz w:val="24"/>
          <w:szCs w:val="24"/>
          <w:u w:val="single"/>
          <w:lang w:eastAsia="zh-CN"/>
        </w:rPr>
        <w:tab/>
      </w:r>
      <w:r>
        <w:rPr>
          <w:rFonts w:hint="eastAsia" w:ascii="仿宋" w:hAnsi="仿宋" w:eastAsia="仿宋" w:cs="仿宋"/>
          <w:sz w:val="24"/>
          <w:szCs w:val="24"/>
          <w:lang w:eastAsia="zh-CN"/>
        </w:rPr>
        <w:t xml:space="preserve">人，营业收入为</w:t>
      </w:r>
      <w:r>
        <w:rPr>
          <w:rFonts w:hint="eastAsia" w:ascii="仿宋" w:hAnsi="仿宋" w:eastAsia="仿宋" w:cs="仿宋"/>
          <w:i/>
          <w:sz w:val="24"/>
          <w:szCs w:val="24"/>
          <w:u w:val="single"/>
          <w:lang w:eastAsia="zh-CN"/>
        </w:rPr>
        <w:tab/>
      </w:r>
      <w:r>
        <w:rPr>
          <w:rFonts w:hint="eastAsia" w:ascii="仿宋" w:hAnsi="仿宋" w:eastAsia="仿宋" w:cs="仿宋"/>
          <w:i/>
          <w:sz w:val="24"/>
          <w:szCs w:val="24"/>
          <w:u w:val="single"/>
          <w:lang w:val="en-US" w:eastAsia="zh-CN"/>
        </w:rPr>
        <w:t xml:space="preserve">  </w:t>
      </w:r>
      <w:r>
        <w:rPr>
          <w:rFonts w:hint="eastAsia" w:ascii="仿宋" w:hAnsi="仿宋" w:eastAsia="仿宋" w:cs="仿宋"/>
          <w:sz w:val="24"/>
          <w:szCs w:val="24"/>
          <w:lang w:eastAsia="zh-CN"/>
        </w:rPr>
        <w:t xml:space="preserve">万元，资产总额为</w:t>
      </w:r>
      <w:r>
        <w:rPr>
          <w:rFonts w:hint="eastAsia" w:ascii="仿宋" w:hAnsi="仿宋" w:eastAsia="仿宋" w:cs="仿宋"/>
          <w:i/>
          <w:sz w:val="24"/>
          <w:szCs w:val="24"/>
          <w:u w:val="single"/>
          <w:lang w:eastAsia="zh-CN"/>
        </w:rPr>
        <w:tab/>
      </w:r>
      <w:r>
        <w:rPr>
          <w:rFonts w:hint="eastAsia" w:ascii="仿宋" w:hAnsi="仿宋" w:eastAsia="仿宋" w:cs="仿宋"/>
          <w:sz w:val="24"/>
          <w:szCs w:val="24"/>
          <w:lang w:eastAsia="zh-CN"/>
        </w:rPr>
        <w:t xml:space="preserve">万元</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"_bookmark1" </w:instrText>
      </w:r>
      <w:r>
        <w:rPr>
          <w:rFonts w:hint="eastAsia" w:ascii="仿宋" w:hAnsi="仿宋" w:eastAsia="仿宋" w:cs="仿宋"/>
          <w:sz w:val="24"/>
          <w:szCs w:val="24"/>
        </w:rPr>
        <w:fldChar w:fldCharType="separate"/>
      </w:r>
      <w:r>
        <w:rPr>
          <w:rFonts w:hint="eastAsia" w:ascii="仿宋" w:hAnsi="仿宋" w:eastAsia="仿宋" w:cs="仿宋"/>
          <w:position w:val="16"/>
          <w:sz w:val="24"/>
          <w:szCs w:val="24"/>
          <w:lang w:eastAsia="zh-CN"/>
        </w:rPr>
        <w:t xml:space="preserve">1</w:t>
      </w:r>
      <w:r>
        <w:rPr>
          <w:rFonts w:hint="eastAsia" w:ascii="仿宋" w:hAnsi="仿宋" w:eastAsia="仿宋" w:cs="仿宋"/>
          <w:position w:val="16"/>
          <w:sz w:val="24"/>
          <w:szCs w:val="24"/>
          <w:lang w:eastAsia="zh-CN"/>
        </w:rPr>
        <w:fldChar w:fldCharType="end"/>
      </w:r>
      <w:r>
        <w:rPr>
          <w:rFonts w:hint="eastAsia" w:ascii="仿宋" w:hAnsi="仿宋" w:eastAsia="仿宋" w:cs="仿宋"/>
          <w:sz w:val="24"/>
          <w:szCs w:val="24"/>
          <w:lang w:eastAsia="zh-CN"/>
        </w:rPr>
        <w:t xml:space="preserve">，属于</w:t>
      </w:r>
      <w:r>
        <w:rPr>
          <w:rFonts w:hint="eastAsia" w:ascii="仿宋" w:hAnsi="仿宋" w:eastAsia="仿宋" w:cs="仿宋"/>
          <w:i/>
          <w:sz w:val="24"/>
          <w:szCs w:val="24"/>
          <w:u w:val="single"/>
          <w:lang w:eastAsia="zh-CN"/>
        </w:rPr>
        <w:tab/>
      </w:r>
      <w:r>
        <w:rPr>
          <w:rFonts w:hint="eastAsia" w:ascii="仿宋" w:hAnsi="仿宋" w:eastAsia="仿宋" w:cs="仿宋"/>
          <w:b/>
          <w:i/>
          <w:sz w:val="24"/>
          <w:szCs w:val="24"/>
          <w:lang w:eastAsia="zh-CN"/>
        </w:rPr>
        <w:t xml:space="preserve">（中型企业、小型企业、微型企业，</w:t>
      </w:r>
      <w:r>
        <w:rPr>
          <w:rFonts w:hint="eastAsia" w:ascii="仿宋" w:hAnsi="仿宋" w:eastAsia="仿宋" w:cs="仿宋"/>
          <w:b/>
          <w:bCs/>
          <w:i/>
          <w:sz w:val="24"/>
          <w:szCs w:val="24"/>
          <w:lang w:eastAsia="zh-CN"/>
        </w:rPr>
        <w:t xml:space="preserve">三者选一填写</w:t>
      </w:r>
      <w:r>
        <w:rPr>
          <w:rFonts w:hint="eastAsia" w:ascii="仿宋" w:hAnsi="仿宋" w:eastAsia="仿宋" w:cs="仿宋"/>
          <w:b/>
          <w:i/>
          <w:sz w:val="24"/>
          <w:szCs w:val="24"/>
          <w:lang w:eastAsia="zh-CN"/>
        </w:rPr>
        <w:t xml:space="preserve">）</w:t>
      </w:r>
      <w:r>
        <w:rPr>
          <w:rFonts w:hint="eastAsia" w:ascii="仿宋" w:hAnsi="仿宋" w:eastAsia="仿宋" w:cs="仿宋"/>
          <w:sz w:val="24"/>
          <w:szCs w:val="24"/>
          <w:lang w:eastAsia="zh-CN"/>
        </w:rPr>
        <w:t xml:space="preserve">；</w:t>
      </w:r>
      <w:r/>
    </w:p>
    <w:p>
      <w:pPr>
        <w:ind w:firstLine="480"/>
        <w:spacing w:line="46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w:t>
      </w:r>
      <w:r/>
    </w:p>
    <w:p>
      <w:pPr>
        <w:ind w:firstLine="480"/>
        <w:spacing w:line="46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以上企业，不属于大企业的分支机构，不存在控股股东为大企业的情形，也不存在与大企业的负责人为同一人的情形。</w:t>
      </w:r>
      <w:r/>
    </w:p>
    <w:p>
      <w:pPr>
        <w:ind w:firstLine="480"/>
        <w:spacing w:line="46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本企业对上述声明内容的真实性负责。如有虚假，将依法承担相应责任。</w:t>
      </w:r>
      <w:r/>
    </w:p>
    <w:p>
      <w:pPr>
        <w:ind w:firstLine="2880"/>
        <w:spacing w:line="46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企业名称（盖章）：</w:t>
      </w:r>
      <w:r/>
    </w:p>
    <w:p>
      <w:pPr>
        <w:ind w:firstLine="2880"/>
        <w:spacing w:line="46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日期：</w:t>
      </w:r>
      <w:r/>
    </w:p>
    <w:p>
      <w:pPr>
        <w:pStyle w:val="1047"/>
        <w:ind w:firstLine="562"/>
        <w:jc w:val="both"/>
        <w:spacing w:before="0" w:beforeAutospacing="0" w:after="0" w:afterAutospacing="0" w:line="480" w:lineRule="auto"/>
        <w:shd w:val="clear" w:color="auto" w:fill="ffffff"/>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"http://58.211.58.105:16800/TPFrame/ZFCGZtbMis_TC/Pages/GengZhengGongGao/GengZhengGG_Detail.aspx?RowGuid=4d10112f-588b-4226-b3de-ee27db974d72&amp;ProcessVersionInstanceGuid=af5a96a3-ef8c-472d-837d-5ecb54d719ac" \l "_bookmark1" </w:instrText>
      </w:r>
      <w:r>
        <w:rPr>
          <w:rFonts w:hint="eastAsia" w:ascii="仿宋" w:hAnsi="仿宋" w:eastAsia="仿宋" w:cs="仿宋"/>
          <w:sz w:val="24"/>
          <w:szCs w:val="24"/>
        </w:rPr>
        <w:fldChar w:fldCharType="separate"/>
      </w:r>
      <w:r>
        <w:rPr>
          <w:rStyle w:val="1060"/>
          <w:rFonts w:hint="eastAsia" w:ascii="仿宋" w:hAnsi="仿宋" w:eastAsia="仿宋" w:cs="仿宋"/>
          <w:b/>
          <w:bCs/>
          <w:color w:val="auto"/>
          <w:sz w:val="24"/>
          <w:szCs w:val="24"/>
        </w:rPr>
        <w:t xml:space="preserve">1</w:t>
      </w:r>
      <w:r>
        <w:rPr>
          <w:rStyle w:val="1060"/>
          <w:rFonts w:hint="eastAsia" w:ascii="仿宋" w:hAnsi="仿宋" w:eastAsia="仿宋" w:cs="仿宋"/>
          <w:b/>
          <w:bCs/>
          <w:color w:val="auto"/>
          <w:sz w:val="24"/>
          <w:szCs w:val="24"/>
        </w:rPr>
        <w:fldChar w:fldCharType="end"/>
      </w:r>
      <w:r>
        <w:rPr>
          <w:rFonts w:hint="eastAsia" w:ascii="仿宋" w:hAnsi="仿宋" w:eastAsia="仿宋" w:cs="仿宋"/>
          <w:b/>
          <w:bCs/>
          <w:sz w:val="24"/>
          <w:szCs w:val="24"/>
        </w:rPr>
        <w:t xml:space="preserve">从业人员、营业收入、资产总额填报上一年度数据，无上一年度数据的新成立企业可不填报。</w:t>
      </w:r>
      <w:r/>
    </w:p>
    <w:p>
      <w:pPr>
        <w:pStyle w:val="1047"/>
        <w:ind w:firstLine="561"/>
        <w:jc w:val="both"/>
        <w:spacing w:before="0" w:beforeAutospacing="0" w:after="0" w:afterAutospacing="0" w:line="500" w:lineRule="exact"/>
        <w:shd w:val="clear" w:color="auto" w:fill="ffffff"/>
        <w:rPr>
          <w:rFonts w:hint="eastAsia" w:ascii="仿宋" w:hAnsi="仿宋" w:eastAsia="仿宋" w:cs="仿宋"/>
          <w:sz w:val="24"/>
          <w:szCs w:val="24"/>
        </w:rPr>
      </w:pPr>
      <w:r>
        <w:rPr>
          <w:rFonts w:hint="eastAsia" w:ascii="仿宋" w:hAnsi="仿宋" w:eastAsia="仿宋" w:cs="仿宋"/>
          <w:b/>
          <w:bCs/>
          <w:sz w:val="24"/>
          <w:szCs w:val="24"/>
        </w:rPr>
        <w:t xml:space="preserve">备注：</w:t>
      </w:r>
      <w:r/>
    </w:p>
    <w:p>
      <w:pPr>
        <w:pStyle w:val="1047"/>
        <w:ind w:firstLine="561"/>
        <w:jc w:val="both"/>
        <w:spacing w:before="0" w:beforeAutospacing="0" w:after="0" w:afterAutospacing="0" w:line="500" w:lineRule="exact"/>
        <w:shd w:val="clear" w:color="auto" w:fill="ffffff"/>
        <w:rPr>
          <w:rFonts w:hint="eastAsia" w:ascii="仿宋" w:hAnsi="仿宋" w:eastAsia="仿宋" w:cs="仿宋"/>
          <w:b/>
          <w:bCs/>
          <w:sz w:val="24"/>
          <w:szCs w:val="24"/>
        </w:rPr>
      </w:pPr>
      <w:r>
        <w:rPr>
          <w:rFonts w:hint="eastAsia" w:ascii="仿宋" w:hAnsi="仿宋" w:eastAsia="仿宋" w:cs="仿宋"/>
          <w:b/>
          <w:bCs/>
          <w:sz w:val="24"/>
          <w:szCs w:val="24"/>
        </w:rPr>
        <w:t xml:space="preserve">1、中小企业声明函必须包含本项目</w:t>
      </w:r>
      <w:r>
        <w:rPr>
          <w:rFonts w:hint="eastAsia" w:ascii="仿宋" w:hAnsi="仿宋" w:eastAsia="仿宋" w:cs="仿宋"/>
          <w:b/>
          <w:bCs/>
          <w:sz w:val="24"/>
          <w:szCs w:val="24"/>
          <w:lang w:val="en-US" w:eastAsia="zh-CN"/>
        </w:rPr>
        <w:t xml:space="preserve">主要货物</w:t>
      </w:r>
      <w:r>
        <w:rPr>
          <w:rFonts w:hint="eastAsia" w:ascii="仿宋" w:hAnsi="仿宋" w:eastAsia="仿宋" w:cs="仿宋"/>
          <w:b/>
          <w:bCs/>
          <w:sz w:val="24"/>
          <w:szCs w:val="24"/>
        </w:rPr>
        <w:t xml:space="preserve">清单中标注行业属性的所有货物及其货物制造商，并按照声明函格式填写完整、明确，否则视为未按规定提供声明函。</w:t>
      </w:r>
      <w:r/>
    </w:p>
    <w:p>
      <w:pPr>
        <w:pStyle w:val="1047"/>
        <w:ind w:firstLine="561"/>
        <w:jc w:val="both"/>
        <w:spacing w:before="0" w:beforeAutospacing="0" w:after="0" w:afterAutospacing="0" w:line="500" w:lineRule="exact"/>
        <w:shd w:val="clear" w:color="auto" w:fill="ffffff"/>
        <w:rPr>
          <w:rFonts w:hint="eastAsia" w:ascii="仿宋" w:hAnsi="仿宋" w:eastAsia="仿宋" w:cs="仿宋"/>
          <w:sz w:val="24"/>
          <w:szCs w:val="24"/>
        </w:rPr>
      </w:pPr>
      <w:r>
        <w:rPr>
          <w:rFonts w:hint="eastAsia" w:ascii="仿宋" w:hAnsi="仿宋" w:eastAsia="仿宋" w:cs="仿宋"/>
          <w:b/>
          <w:bCs/>
          <w:sz w:val="24"/>
          <w:szCs w:val="24"/>
        </w:rPr>
        <w:t xml:space="preserve">2、中小企业参加政府采购活动，应当出具《中小企业声明函》，否则不得享受相关中小企业扶持政策。</w:t>
      </w:r>
      <w:r/>
    </w:p>
    <w:p>
      <w:pPr>
        <w:pStyle w:val="1047"/>
        <w:ind w:firstLine="561"/>
        <w:jc w:val="both"/>
        <w:spacing w:before="0" w:beforeAutospacing="0" w:after="0" w:afterAutospacing="0" w:line="500" w:lineRule="exact"/>
        <w:shd w:val="clear" w:color="auto" w:fill="ffffff"/>
        <w:rPr>
          <w:rFonts w:hint="eastAsia" w:ascii="仿宋" w:hAnsi="仿宋" w:eastAsia="仿宋" w:cs="仿宋"/>
          <w:sz w:val="24"/>
          <w:szCs w:val="24"/>
        </w:rPr>
      </w:pPr>
      <w:r>
        <w:rPr>
          <w:rFonts w:hint="eastAsia" w:ascii="仿宋" w:hAnsi="仿宋" w:eastAsia="仿宋" w:cs="仿宋"/>
          <w:b/>
          <w:bCs/>
          <w:sz w:val="24"/>
          <w:szCs w:val="24"/>
        </w:rPr>
        <w:t xml:space="preserve">3、在货物采购项目中，供应商提供的货物既有小、微企业制造货物，也有中、大型企业制造货物的，不享受小、微企业的价格扶持政策。</w:t>
      </w:r>
      <w:r/>
    </w:p>
    <w:p>
      <w:pPr>
        <w:pStyle w:val="1047"/>
        <w:ind w:firstLine="561"/>
        <w:jc w:val="both"/>
        <w:spacing w:before="0" w:beforeAutospacing="0" w:after="0" w:afterAutospacing="0" w:line="500" w:lineRule="exact"/>
        <w:shd w:val="clear" w:color="auto" w:fill="ffffff"/>
        <w:rPr>
          <w:rFonts w:hint="eastAsia" w:ascii="仿宋" w:hAnsi="仿宋" w:eastAsia="仿宋" w:cs="仿宋"/>
          <w:b/>
          <w:bCs/>
          <w:sz w:val="24"/>
          <w:szCs w:val="24"/>
        </w:rPr>
      </w:pPr>
      <w:r>
        <w:rPr>
          <w:rFonts w:hint="eastAsia" w:ascii="仿宋" w:hAnsi="仿宋" w:eastAsia="仿宋" w:cs="仿宋"/>
          <w:b/>
          <w:bCs/>
          <w:sz w:val="24"/>
          <w:szCs w:val="24"/>
        </w:rPr>
        <w:t xml:space="preserve">4、供应商提供声明函内容不实的，属于提供虚假材料谋取中标、成交，依照《中华人民共和国政府采购法》等国家有关规定追究相应责任。</w:t>
      </w:r>
      <w:r/>
    </w:p>
    <w:p>
      <w:pPr>
        <w:rPr>
          <w:rFonts w:ascii="仿宋" w:hAnsi="仿宋" w:eastAsia="仿宋" w:cs="仿宋"/>
          <w:b/>
          <w:sz w:val="32"/>
          <w:lang w:eastAsia="zh-CN"/>
        </w:rPr>
      </w:pPr>
      <w:r>
        <w:rPr>
          <w:rFonts w:ascii="仿宋" w:hAnsi="仿宋" w:eastAsia="仿宋" w:cs="仿宋"/>
          <w:b/>
          <w:sz w:val="32"/>
          <w:lang w:eastAsia="zh-CN"/>
        </w:rPr>
      </w:r>
      <w:r/>
    </w:p>
    <w:p>
      <w:pPr>
        <w:ind w:left="0" w:firstLine="0"/>
        <w:spacing w:after="0" w:line="439" w:lineRule="atLeast"/>
        <w:rPr>
          <w:rFonts w:ascii="仿宋" w:hAnsi="仿宋" w:eastAsia="仿宋" w:cs="仿宋"/>
          <w:b/>
          <w:bCs/>
          <w:sz w:val="32"/>
          <w:szCs w:val="32"/>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lang w:eastAsia="zh-CN"/>
        </w:rPr>
        <w:t xml:space="preserve">17、残疾人福利性单位声明函（如有）</w:t>
      </w:r>
      <w:r/>
    </w:p>
    <w:p>
      <w:pPr>
        <w:spacing w:after="0" w:line="47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2"/>
          <w:lang w:eastAsia="zh-CN"/>
        </w:rPr>
        <w:t xml:space="preserve"> </w:t>
      </w:r>
      <w:r/>
    </w:p>
    <w:p>
      <w:pPr>
        <w:ind w:firstLine="2560"/>
        <w:spacing w:after="0" w:line="47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lang w:eastAsia="zh-CN"/>
        </w:rPr>
        <w:t xml:space="preserve">残疾人福利性单位声明函</w:t>
      </w:r>
      <w:r/>
    </w:p>
    <w:p>
      <w:pPr>
        <w:ind w:firstLine="1928"/>
        <w:spacing w:after="0" w:line="47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2"/>
          <w:lang w:eastAsia="zh-CN"/>
        </w:rPr>
        <w:t xml:space="preserve"> </w:t>
      </w:r>
      <w:r/>
    </w:p>
    <w:p>
      <w:pPr>
        <w:ind w:firstLine="480"/>
        <w:spacing w:after="0" w:line="47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本单位郑重声明，根据《财政部</w:t>
      </w:r>
      <w:r>
        <w:rPr>
          <w:rFonts w:ascii="仿宋" w:hAnsi="仿宋" w:eastAsia="仿宋" w:cs="仿宋"/>
          <w:sz w:val="24"/>
          <w:lang w:eastAsia="zh-CN"/>
        </w:rPr>
        <w:t xml:space="preserve"> </w:t>
      </w:r>
      <w:r>
        <w:rPr>
          <w:rFonts w:hint="eastAsia" w:ascii="仿宋" w:hAnsi="仿宋" w:eastAsia="仿宋" w:cs="仿宋"/>
          <w:sz w:val="24"/>
          <w:lang w:eastAsia="zh-CN"/>
        </w:rPr>
        <w:t xml:space="preserve"> 民政部</w:t>
      </w:r>
      <w:r>
        <w:rPr>
          <w:rFonts w:ascii="仿宋" w:hAnsi="仿宋" w:eastAsia="仿宋" w:cs="仿宋"/>
          <w:sz w:val="24"/>
          <w:lang w:eastAsia="zh-CN"/>
        </w:rPr>
        <w:t xml:space="preserve"> </w:t>
      </w:r>
      <w:r>
        <w:rPr>
          <w:rFonts w:hint="eastAsia" w:ascii="仿宋" w:hAnsi="仿宋" w:eastAsia="仿宋" w:cs="仿宋"/>
          <w:sz w:val="24"/>
          <w:lang w:eastAsia="zh-CN"/>
        </w:rPr>
        <w:t xml:space="preserve"> 中国残疾人联合会关于促进残疾人就业政府采购政策的通知》（财库〔</w:t>
      </w:r>
      <w:r>
        <w:rPr>
          <w:rFonts w:ascii="仿宋" w:hAnsi="仿宋" w:eastAsia="仿宋" w:cs="仿宋"/>
          <w:sz w:val="24"/>
          <w:lang w:eastAsia="zh-CN"/>
        </w:rPr>
        <w:t xml:space="preserve">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after="0" w:line="47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本单位对上述声明的真实性负责。如有虚假，将依法承担相应责任。</w:t>
      </w:r>
      <w:r/>
    </w:p>
    <w:p>
      <w:pPr>
        <w:spacing w:after="0" w:line="47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spacing w:after="0" w:line="47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spacing w:after="0" w:line="47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单位名称（盖章）：</w:t>
      </w:r>
      <w:r/>
    </w:p>
    <w:p>
      <w:pPr>
        <w:spacing w:after="0" w:line="47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日 期：</w:t>
      </w:r>
      <w:bookmarkEnd w:id="271"/>
      <w:r/>
      <w:bookmarkEnd w:id="265"/>
      <w:r/>
      <w:r/>
    </w:p>
    <w:p>
      <w:pPr>
        <w:ind w:firstLine="482"/>
        <w:jc w:val="both"/>
        <w:spacing w:after="0"/>
        <w:rPr>
          <w:rFonts w:ascii="仿宋" w:hAnsi="仿宋" w:eastAsia="仿宋" w:cs="仿宋"/>
          <w:b/>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r>
      <w:r/>
    </w:p>
    <w:p>
      <w:pPr>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 </w:t>
      </w:r>
      <w:r/>
    </w:p>
    <w:p>
      <w:pPr>
        <w:ind w:left="0" w:firstLine="0"/>
        <w:rPr>
          <w:rFonts w:hint="eastAsia"/>
        </w:rPr>
      </w:pPr>
      <w:r>
        <w:rPr>
          <w:rFonts w:hint="eastAsia"/>
        </w:rPr>
        <w:br w:type="page" w:clear="all"/>
      </w:r>
      <w:r/>
    </w:p>
    <w:p>
      <w:pPr>
        <w:ind w:left="0" w:firstLine="0"/>
        <w:jc w:val="center"/>
        <w:rPr>
          <w:rFonts w:ascii="仿宋" w:hAnsi="仿宋" w:eastAsia="仿宋" w:cs="仿宋"/>
          <w:lang w:eastAsia="zh-CN"/>
        </w:rPr>
      </w:pPr>
      <w:r>
        <w:rPr>
          <w:rFonts w:ascii="仿宋" w:hAnsi="仿宋" w:eastAsia="仿宋" w:cs="仿宋"/>
          <w:b/>
          <w:sz w:val="44"/>
          <w:lang w:eastAsia="zh-CN"/>
        </w:rPr>
        <w:t xml:space="preserve">第五部分    评标方法与评标标准</w:t>
      </w:r>
      <w:bookmarkEnd w:id="264"/>
      <w:r/>
      <w:r/>
    </w:p>
    <w:p>
      <w:pPr>
        <w:ind w:firstLine="0"/>
        <w:spacing w:line="360" w:lineRule="auto"/>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p>
      <w:pPr>
        <w:ind w:firstLine="0"/>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lang w:val="en-US" w:eastAsia="zh-CN"/>
        </w:rPr>
        <w:t xml:space="preserve">一、</w:t>
      </w:r>
      <w:r>
        <w:rPr>
          <w:rFonts w:hint="eastAsia" w:asciiTheme="minorEastAsia" w:hAnsiTheme="minorEastAsia" w:eastAsiaTheme="minorEastAsia"/>
          <w:b/>
          <w:sz w:val="24"/>
          <w:szCs w:val="24"/>
        </w:rPr>
        <w:t xml:space="preserve">评标方法</w:t>
      </w:r>
      <w:r/>
    </w:p>
    <w:p>
      <w:pPr>
        <w:ind w:firstLine="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一、本次招标的评标方法采用综合评分法。即指投标文件满足招标文件全部实质性要求，且按照评审因素的量化指标评审得分最高的投标人为中标候选人的评标方法。采购人书面授权评标委员会直接确定中标供应商。</w:t>
      </w:r>
      <w:r/>
    </w:p>
    <w:p>
      <w:pPr>
        <w:ind w:firstLine="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    二、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ind w:firstLine="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    三、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    四、如出现评审得分最高的投标人有两个或两个以上的，以投标报价较低者优先作为该标段中标候选人，如果投标报价也相同的，则由公证机构组织以抽签方式确定中标候选人。</w:t>
      </w:r>
      <w:r/>
    </w:p>
    <w:p>
      <w:pPr>
        <w:ind w:firstLine="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七、针对小微型企业的加分：</w:t>
      </w:r>
      <w:r/>
    </w:p>
    <w:p>
      <w:pPr>
        <w:ind w:firstLine="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根据《政府采购促进中小企业发展管理办法》（财库﹝</w:t>
      </w:r>
      <w:r>
        <w:rPr>
          <w:rFonts w:asciiTheme="minorEastAsia" w:hAnsiTheme="minorEastAsia" w:eastAsiaTheme="minorEastAsia"/>
          <w:sz w:val="24"/>
          <w:szCs w:val="24"/>
        </w:rPr>
        <w:t xml:space="preserve">2020﹞46号）及《关于贯彻执行绿色采购、促进残疾人就业和支持监狱企业发展有关政策的通知》（苏财购〔2019〕10号）规定：</w:t>
      </w:r>
      <w:r/>
    </w:p>
    <w:p>
      <w:pPr>
        <w:ind w:firstLine="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ind w:firstLine="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2、在服务采购项目中，服务由小型或微型企业承接，即提供服务的人员为小型或微型企业依照《中华人民共和国民法典》订立劳动合同的从业人员，其报价给予20%的扣除，用扣除后的价格参与价格评审。</w:t>
      </w:r>
      <w:r/>
    </w:p>
    <w:p>
      <w:pPr>
        <w:ind w:firstLine="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3、在货物采购项目中，供应商提供的货物既有小型或微型企业制造货物，也有中型或大型企业制造货物的，不享受本办法规定的小微企业价格扶持政策。</w:t>
      </w:r>
      <w:r/>
    </w:p>
    <w:p>
      <w:pPr>
        <w:ind w:firstLine="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4、以联合体形式参加政府采购活动，联合体各方均为中小企业的，联合体视同中小企业。其中，联合体各方均为小微企业的，联合体视同小微企业。</w:t>
      </w:r>
      <w:r/>
    </w:p>
    <w:p>
      <w:pPr>
        <w:ind w:firstLine="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5、符合中小企业划分标准的个体工商户，在政府采购活动中视同中小企业。</w:t>
      </w:r>
      <w:r/>
    </w:p>
    <w:p>
      <w:pPr>
        <w:ind w:firstLine="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6、中小企业划分标准详见“工信部联企业〔2011〕300号通知”。</w:t>
      </w:r>
      <w:r/>
    </w:p>
    <w:p>
      <w:pPr>
        <w:ind w:firstLine="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7、残疾人福利性单位及监狱企业视同小微型企业，享受评审中价格扣除等促进中小企业发展的政府采购政策。</w:t>
      </w:r>
      <w:r/>
    </w:p>
    <w:p>
      <w:pPr>
        <w:ind w:firstLine="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8、中标、成交供应商享受规定的中小企业扶持政策的，《中小企业声明函》应当随中标、成交结果同时公告，接受社会监督。</w:t>
      </w:r>
      <w:r/>
    </w:p>
    <w:p>
      <w:pPr>
        <w:ind w:firstLine="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9、供应商按照规定提供声明函内容不实的， 属于提供虚假材料谋取中标、 成交， 依照《中华人民共和国政府采购法》 等国家有关规定追究相应责任。</w:t>
      </w:r>
      <w:r/>
    </w:p>
    <w:p>
      <w:pPr>
        <w:ind w:firstLine="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0"/>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二、评分标准</w:t>
      </w:r>
      <w:r/>
    </w:p>
    <w:p>
      <w:pPr>
        <w:ind w:firstLine="42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1、投标价格：最高为30分</w:t>
      </w:r>
      <w:r/>
    </w:p>
    <w:p>
      <w:pPr>
        <w:ind w:firstLine="4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第一步：投标报价低于或等于财政预算价格的，为有效投标报价。超财政预算的投标报价或招标文件规定的报价为无效投标报价。无效投标报价的投标文件不进行评审，也不得标。</w:t>
      </w:r>
      <w:r/>
    </w:p>
    <w:p>
      <w:pPr>
        <w:ind w:firstLine="4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第二步：在所有有效投标报价中满足招标文件要求，且投标价格最低的投标报价为评标基准价，其价格分为30分，其他投标人的价格分按照下列公式计算（计算结果四舍五入保留两位小数）。</w:t>
      </w:r>
      <w:r/>
    </w:p>
    <w:p>
      <w:pPr>
        <w:ind w:firstLine="420"/>
        <w:spacing w:line="360" w:lineRule="auto"/>
        <w:rPr>
          <w:rFonts w:asciiTheme="minorEastAsia" w:hAnsiTheme="minorEastAsia" w:eastAsiaTheme="minorEastAsia"/>
          <w:bCs/>
          <w:sz w:val="24"/>
          <w:szCs w:val="24"/>
        </w:rPr>
      </w:pPr>
      <w:r>
        <w:rPr>
          <w:rFonts w:hint="eastAsia" w:asciiTheme="minorEastAsia" w:hAnsiTheme="minorEastAsia" w:eastAsiaTheme="minorEastAsia"/>
          <w:sz w:val="24"/>
          <w:szCs w:val="24"/>
        </w:rPr>
        <w:t xml:space="preserve">投标报价得分＝（评</w:t>
      </w:r>
      <w:r>
        <w:rPr>
          <w:rFonts w:hint="eastAsia" w:asciiTheme="minorEastAsia" w:hAnsiTheme="minorEastAsia" w:eastAsiaTheme="minorEastAsia"/>
          <w:bCs/>
          <w:sz w:val="24"/>
          <w:szCs w:val="24"/>
        </w:rPr>
        <w:t xml:space="preserve">标基准价/投标报价）×30％×100</w:t>
      </w:r>
      <w:r/>
    </w:p>
    <w:p>
      <w:pPr>
        <w:ind w:firstLine="42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2、投标技术部分：</w:t>
      </w:r>
      <w:r>
        <w:rPr>
          <w:rFonts w:asciiTheme="minorEastAsia" w:hAnsiTheme="minorEastAsia" w:eastAsiaTheme="minorEastAsia"/>
          <w:b/>
          <w:sz w:val="24"/>
          <w:szCs w:val="24"/>
        </w:rPr>
        <w:t xml:space="preserve">64</w:t>
      </w:r>
      <w:r>
        <w:rPr>
          <w:rFonts w:hint="eastAsia" w:asciiTheme="minorEastAsia" w:hAnsiTheme="minorEastAsia" w:eastAsiaTheme="minorEastAsia"/>
          <w:b/>
          <w:sz w:val="24"/>
          <w:szCs w:val="24"/>
        </w:rPr>
        <w:t xml:space="preserve">分</w:t>
      </w:r>
      <w:r/>
    </w:p>
    <w:p>
      <w:pPr>
        <w:ind w:firstLine="422"/>
        <w:spacing w:line="360" w:lineRule="auto"/>
        <w:rPr>
          <w:rFonts w:asciiTheme="minorEastAsia" w:hAnsiTheme="minorEastAsia" w:eastAsiaTheme="minorEastAsia"/>
          <w:b/>
          <w:bCs/>
          <w:sz w:val="24"/>
          <w:szCs w:val="24"/>
        </w:rPr>
      </w:pPr>
      <w:r>
        <w:rPr>
          <w:rFonts w:hint="eastAsia" w:asciiTheme="minorEastAsia" w:hAnsiTheme="minorEastAsia" w:eastAsiaTheme="minorEastAsia"/>
          <w:b/>
          <w:sz w:val="24"/>
          <w:szCs w:val="24"/>
        </w:rPr>
        <w:t xml:space="preserve">（1）技术参数响应（</w:t>
      </w:r>
      <w:r>
        <w:rPr>
          <w:rFonts w:asciiTheme="minorEastAsia" w:hAnsiTheme="minorEastAsia" w:eastAsiaTheme="minorEastAsia"/>
          <w:b/>
          <w:sz w:val="24"/>
          <w:szCs w:val="24"/>
        </w:rPr>
        <w:t xml:space="preserve">32</w:t>
      </w:r>
      <w:r>
        <w:rPr>
          <w:rFonts w:hint="eastAsia" w:asciiTheme="minorEastAsia" w:hAnsiTheme="minorEastAsia" w:eastAsiaTheme="minorEastAsia"/>
          <w:b/>
          <w:sz w:val="24"/>
          <w:szCs w:val="24"/>
        </w:rPr>
        <w:t xml:space="preserve">分）</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根据投标人对第三部分项目需求中的“▲技术指标”的响应情况进行评审，标明偏离情况。投标人填写的技术偏离表所提供的技术指标，应按招标需求要求在投标文件中提供技术响应。其中标“▲”项为重要指标，共32项，每有一条不满足扣1分，满分32分。</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（“▲”项指标须提供需求中要求的证明材料，否则不得分。）</w:t>
      </w:r>
      <w:r/>
    </w:p>
    <w:p>
      <w:pPr>
        <w:ind w:firstLine="42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（2）技术方案部分（</w:t>
      </w:r>
      <w:r>
        <w:rPr>
          <w:rFonts w:asciiTheme="minorEastAsia" w:hAnsiTheme="minorEastAsia" w:eastAsiaTheme="minorEastAsia"/>
          <w:b/>
          <w:sz w:val="24"/>
          <w:szCs w:val="24"/>
        </w:rPr>
        <w:t xml:space="preserve">32</w:t>
      </w:r>
      <w:r>
        <w:rPr>
          <w:rFonts w:hint="eastAsia" w:asciiTheme="minorEastAsia" w:hAnsiTheme="minorEastAsia" w:eastAsiaTheme="minorEastAsia"/>
          <w:b/>
          <w:sz w:val="24"/>
          <w:szCs w:val="24"/>
        </w:rPr>
        <w:t xml:space="preserve">分）</w:t>
      </w:r>
      <w:r/>
    </w:p>
    <w:p>
      <w:pPr>
        <w:ind w:firstLine="42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1）项目需求理解及分析（</w:t>
      </w:r>
      <w:r>
        <w:rPr>
          <w:rFonts w:asciiTheme="minorEastAsia" w:hAnsiTheme="minorEastAsia" w:eastAsiaTheme="minorEastAsia"/>
          <w:b/>
          <w:sz w:val="24"/>
          <w:szCs w:val="24"/>
        </w:rPr>
        <w:t xml:space="preserve">8</w:t>
      </w:r>
      <w:r>
        <w:rPr>
          <w:rFonts w:hint="eastAsia" w:asciiTheme="minorEastAsia" w:hAnsiTheme="minorEastAsia" w:eastAsiaTheme="minorEastAsia"/>
          <w:b/>
          <w:sz w:val="24"/>
          <w:szCs w:val="24"/>
        </w:rPr>
        <w:t xml:space="preserve">分）</w:t>
      </w:r>
      <w:r/>
    </w:p>
    <w:p>
      <w:pPr>
        <w:ind w:firstLine="4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投标人针对本项目实际提供需求理解及分析进行评审，方案包括：①本项目总体架构（应用架构、网络架构）；②建设现状、存在问题和解决思路；③各系统建设的架构、功能、特色亮点；④各系统及业务软件方案特点和关键性技术。</w:t>
      </w:r>
      <w:r/>
    </w:p>
    <w:p>
      <w:pPr>
        <w:ind w:firstLine="4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方案内容针对本项目且符合本项目实际需求的，得</w:t>
      </w:r>
      <w:r>
        <w:rPr>
          <w:rFonts w:asciiTheme="minorEastAsia" w:hAnsiTheme="minorEastAsia" w:eastAsiaTheme="minorEastAsia"/>
          <w:sz w:val="24"/>
          <w:szCs w:val="24"/>
        </w:rPr>
        <w:t xml:space="preserve">8</w:t>
      </w:r>
      <w:r>
        <w:rPr>
          <w:rFonts w:hint="eastAsia" w:asciiTheme="minorEastAsia" w:hAnsiTheme="minorEastAsia" w:eastAsiaTheme="minorEastAsia"/>
          <w:sz w:val="24"/>
          <w:szCs w:val="24"/>
        </w:rPr>
        <w:t xml:space="preserve">分，每缺少一项内容，或内容明显错误，或内容非专门针对本项目，或内容不能满足本项目实际需求的，每一项扣</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分。</w:t>
      </w:r>
      <w:r/>
    </w:p>
    <w:p>
      <w:pPr>
        <w:ind w:firstLine="422"/>
        <w:spacing w:line="360" w:lineRule="auto"/>
        <w:rPr>
          <w:rFonts w:asciiTheme="minorEastAsia" w:hAnsiTheme="minorEastAsia" w:eastAsiaTheme="minorEastAsia"/>
          <w:b/>
          <w:sz w:val="24"/>
          <w:szCs w:val="24"/>
        </w:rPr>
      </w:pPr>
      <w:r>
        <w:rPr>
          <w:rFonts w:asciiTheme="minorEastAsia" w:hAnsiTheme="minorEastAsia" w:eastAsiaTheme="minorEastAsia"/>
          <w:b/>
          <w:sz w:val="24"/>
          <w:szCs w:val="24"/>
        </w:rPr>
        <w:t xml:space="preserve">2</w:t>
      </w:r>
      <w:r>
        <w:rPr>
          <w:rFonts w:hint="eastAsia" w:asciiTheme="minorEastAsia" w:hAnsiTheme="minorEastAsia" w:eastAsiaTheme="minorEastAsia"/>
          <w:b/>
          <w:sz w:val="24"/>
          <w:szCs w:val="24"/>
        </w:rPr>
        <w:t xml:space="preserve">）施工组织方案（</w:t>
      </w:r>
      <w:r>
        <w:rPr>
          <w:rFonts w:asciiTheme="minorEastAsia" w:hAnsiTheme="minorEastAsia" w:eastAsiaTheme="minorEastAsia"/>
          <w:b/>
          <w:sz w:val="24"/>
          <w:szCs w:val="24"/>
        </w:rPr>
        <w:t xml:space="preserve">8</w:t>
      </w:r>
      <w:r>
        <w:rPr>
          <w:rFonts w:hint="eastAsia" w:asciiTheme="minorEastAsia" w:hAnsiTheme="minorEastAsia" w:eastAsiaTheme="minorEastAsia"/>
          <w:b/>
          <w:sz w:val="24"/>
          <w:szCs w:val="24"/>
        </w:rPr>
        <w:t xml:space="preserve">分）</w:t>
      </w:r>
      <w:r/>
    </w:p>
    <w:p>
      <w:pPr>
        <w:ind w:firstLine="420"/>
        <w:spacing w:line="360" w:lineRule="auto"/>
        <w:rPr>
          <w:rFonts w:asciiTheme="minorEastAsia" w:hAnsiTheme="minorEastAsia" w:eastAsiaTheme="minorEastAsia"/>
          <w:sz w:val="24"/>
          <w:szCs w:val="24"/>
        </w:rPr>
      </w:pPr>
      <w:r/>
      <w:bookmarkStart w:id="266" w:name="_Hlk180702586"/>
      <w:r>
        <w:rPr>
          <w:rFonts w:hint="eastAsia" w:asciiTheme="minorEastAsia" w:hAnsiTheme="minorEastAsia" w:eastAsiaTheme="minorEastAsia"/>
          <w:sz w:val="24"/>
          <w:szCs w:val="24"/>
        </w:rPr>
        <w:t xml:space="preserve">根据投标人针对本项目涉及的</w:t>
      </w:r>
      <w:r>
        <w:rPr>
          <w:rFonts w:hint="eastAsia" w:ascii="宋体" w:hAnsi="宋体" w:eastAsia="宋体" w:cs="宋体"/>
          <w:sz w:val="24"/>
          <w:szCs w:val="24"/>
        </w:rPr>
        <w:t xml:space="preserve">国省道路口施工</w:t>
      </w:r>
      <w:r>
        <w:rPr>
          <w:rFonts w:hint="eastAsia" w:asciiTheme="minorEastAsia" w:hAnsiTheme="minorEastAsia" w:eastAsiaTheme="minorEastAsia"/>
          <w:sz w:val="24"/>
          <w:szCs w:val="24"/>
        </w:rPr>
        <w:t xml:space="preserve">组织方案进行评审，方案包括：①设备布置平面图（</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分）；②路口顶管平面图（</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分）；③点位分布图纸（</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分）；④施工组织方案（</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分）。</w:t>
      </w:r>
      <w:r/>
    </w:p>
    <w:p>
      <w:pPr>
        <w:ind w:firstLine="4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方案内容针对本项目且符合本项目实际需求的，得</w:t>
      </w:r>
      <w:r>
        <w:rPr>
          <w:rFonts w:asciiTheme="minorEastAsia" w:hAnsiTheme="minorEastAsia" w:eastAsiaTheme="minorEastAsia"/>
          <w:sz w:val="24"/>
          <w:szCs w:val="24"/>
        </w:rPr>
        <w:t xml:space="preserve">8</w:t>
      </w:r>
      <w:r>
        <w:rPr>
          <w:rFonts w:hint="eastAsia" w:asciiTheme="minorEastAsia" w:hAnsiTheme="minorEastAsia" w:eastAsiaTheme="minorEastAsia"/>
          <w:sz w:val="24"/>
          <w:szCs w:val="24"/>
        </w:rPr>
        <w:t xml:space="preserve">分，每缺少一项内容，或内容明显错误，或内容非专门针对本项目，或内容不能满足本项目实际需求的，按照对应分值扣减。</w:t>
      </w:r>
      <w:bookmarkEnd w:id="266"/>
      <w:r/>
      <w:r/>
    </w:p>
    <w:p>
      <w:pPr>
        <w:ind w:firstLine="422"/>
        <w:spacing w:line="360" w:lineRule="auto"/>
        <w:rPr>
          <w:rFonts w:asciiTheme="minorEastAsia" w:hAnsiTheme="minorEastAsia" w:eastAsiaTheme="minorEastAsia"/>
          <w:b/>
          <w:sz w:val="24"/>
          <w:szCs w:val="24"/>
        </w:rPr>
      </w:pPr>
      <w:r>
        <w:rPr>
          <w:rFonts w:asciiTheme="minorEastAsia" w:hAnsiTheme="minorEastAsia" w:eastAsiaTheme="minorEastAsia"/>
          <w:b/>
          <w:sz w:val="24"/>
          <w:szCs w:val="24"/>
        </w:rPr>
        <w:t xml:space="preserve">3</w:t>
      </w:r>
      <w:r>
        <w:rPr>
          <w:rFonts w:hint="eastAsia" w:asciiTheme="minorEastAsia" w:hAnsiTheme="minorEastAsia" w:eastAsiaTheme="minorEastAsia"/>
          <w:b/>
          <w:sz w:val="24"/>
          <w:szCs w:val="24"/>
        </w:rPr>
        <w:t xml:space="preserve">）内场数字基座实施方案（</w:t>
      </w:r>
      <w:r>
        <w:rPr>
          <w:rFonts w:asciiTheme="minorEastAsia" w:hAnsiTheme="minorEastAsia" w:eastAsiaTheme="minorEastAsia"/>
          <w:b/>
          <w:sz w:val="24"/>
          <w:szCs w:val="24"/>
        </w:rPr>
        <w:t xml:space="preserve">6</w:t>
      </w:r>
      <w:r>
        <w:rPr>
          <w:rFonts w:hint="eastAsia" w:asciiTheme="minorEastAsia" w:hAnsiTheme="minorEastAsia" w:eastAsiaTheme="minorEastAsia"/>
          <w:b/>
          <w:sz w:val="24"/>
          <w:szCs w:val="24"/>
        </w:rPr>
        <w:t xml:space="preserve">分）</w:t>
      </w:r>
      <w:r/>
    </w:p>
    <w:p>
      <w:pPr>
        <w:ind w:firstLine="4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投标人针对本项目实际提供内场数字基座实施方案进行评审，方案包括：①内场数字基座存在问题和需求；②本次建设内容信息量测算依据；③数字基座应用架构及网络架构；④云计算、大数据、轻量云等方案建设需求、建设目标、建设原则、建设方案、实施方案；⑤图片存储方案建设需求、建设目标、建设原则、建设方案、实施方案；⑥智能算力底座方案建设需求、建设目标、建设原则、建设方案、实施方案。</w:t>
      </w:r>
      <w:r/>
    </w:p>
    <w:p>
      <w:pPr>
        <w:ind w:firstLine="4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方案内容针对本项目且符合本项目实际需求的，得</w:t>
      </w:r>
      <w:r>
        <w:rPr>
          <w:rFonts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分，每缺少一项内容，或内容明显错误，或内容非专门针对本项目，或内容不能满足本项目实际需求的，每一项扣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p>
      <w:pPr>
        <w:ind w:firstLine="42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4）业务软件演示（</w:t>
      </w:r>
      <w:r>
        <w:rPr>
          <w:rFonts w:asciiTheme="minorEastAsia" w:hAnsiTheme="minorEastAsia" w:eastAsiaTheme="minorEastAsia"/>
          <w:b/>
          <w:sz w:val="24"/>
          <w:szCs w:val="24"/>
        </w:rPr>
        <w:t xml:space="preserve">6</w:t>
      </w:r>
      <w:r>
        <w:rPr>
          <w:rFonts w:hint="eastAsia" w:asciiTheme="minorEastAsia" w:hAnsiTheme="minorEastAsia" w:eastAsiaTheme="minorEastAsia"/>
          <w:b/>
          <w:sz w:val="24"/>
          <w:szCs w:val="24"/>
        </w:rPr>
        <w:t xml:space="preserve">分） </w:t>
      </w:r>
      <w:r>
        <w:rPr>
          <w:rFonts w:asciiTheme="minorEastAsia" w:hAnsiTheme="minorEastAsia" w:eastAsiaTheme="minorEastAsia"/>
          <w:b/>
          <w:sz w:val="24"/>
          <w:szCs w:val="24"/>
        </w:rPr>
        <w:t xml:space="preserve"> </w:t>
      </w:r>
      <w:r/>
    </w:p>
    <w:p>
      <w:pPr>
        <w:ind w:firstLine="4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投标人针对“业务应用拓展”中的以下功能进行视频演示：</w:t>
      </w:r>
      <w:r/>
    </w:p>
    <w:p>
      <w:pPr>
        <w:ind w:firstLine="4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①</w:t>
      </w:r>
      <w:r>
        <w:rPr>
          <w:rFonts w:asciiTheme="minorEastAsia" w:hAnsiTheme="minorEastAsia" w:eastAsiaTheme="minorEastAsia"/>
          <w:sz w:val="24"/>
          <w:szCs w:val="24"/>
        </w:rPr>
        <w:t xml:space="preserve">重点车辆检测。包括：渣土车、叉车、挖掘机、汽车吊、随车吊、混凝土泵车、混凝土搅拌车、登高车、消防车、危化车、清洁车、洒水车的检测；</w:t>
      </w:r>
      <w:r/>
    </w:p>
    <w:p>
      <w:pPr>
        <w:ind w:firstLine="4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②</w:t>
      </w:r>
      <w:r>
        <w:rPr>
          <w:rFonts w:asciiTheme="minorEastAsia" w:hAnsiTheme="minorEastAsia" w:eastAsiaTheme="minorEastAsia"/>
          <w:sz w:val="24"/>
          <w:szCs w:val="24"/>
        </w:rPr>
        <w:t xml:space="preserve">违法行为检测。包括：驾驶员不系安全带、驾驶员开车打电话、渣土车未遮盖布、货车车斗载人、夜间车灯异常、不按导向车道行驶、占用非机动车道行驶、网状线停车、未礼让行人、人行横道停车、违法停车、黄牌客货车右转不停、摩托车闯禁、非机动车违法闯入机动车道、非机动车逆行、非机动车越线停车、骑行人不戴头盔、非机动车运载煤气钢罐、三轮车运载煤气钢罐并识别牌照</w:t>
      </w:r>
      <w:r>
        <w:rPr>
          <w:rFonts w:hint="eastAsia" w:asciiTheme="minorEastAsia" w:hAnsiTheme="minorEastAsia" w:eastAsiaTheme="minorEastAsia"/>
          <w:sz w:val="24"/>
          <w:szCs w:val="24"/>
        </w:rPr>
        <w:t xml:space="preserve">；</w:t>
      </w:r>
      <w:r/>
    </w:p>
    <w:p>
      <w:pPr>
        <w:ind w:firstLine="4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③</w:t>
      </w:r>
      <w:r>
        <w:rPr>
          <w:rFonts w:asciiTheme="minorEastAsia" w:hAnsiTheme="minorEastAsia" w:eastAsiaTheme="minorEastAsia"/>
          <w:sz w:val="24"/>
          <w:szCs w:val="24"/>
        </w:rPr>
        <w:t xml:space="preserve">重点目标身份识别：骑警、饿了么骑手、美团骑手；</w:t>
      </w:r>
      <w:r/>
    </w:p>
    <w:p>
      <w:pPr>
        <w:ind w:firstLine="4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④</w:t>
      </w:r>
      <w:r>
        <w:rPr>
          <w:rFonts w:asciiTheme="minorEastAsia" w:hAnsiTheme="minorEastAsia" w:eastAsiaTheme="minorEastAsia"/>
          <w:sz w:val="24"/>
          <w:szCs w:val="24"/>
        </w:rPr>
        <w:t xml:space="preserve">系统支持对已接入的前端相机进行智能分析任务的创建和管理，其中任务创建支持分析算法配置、分析时间配置，任务管理支持任务的批量启动批量停止和算法规则修改编辑；</w:t>
      </w:r>
      <w:r/>
    </w:p>
    <w:p>
      <w:pPr>
        <w:ind w:firstLine="4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⑤</w:t>
      </w:r>
      <w:r>
        <w:rPr>
          <w:rFonts w:asciiTheme="minorEastAsia" w:hAnsiTheme="minorEastAsia" w:eastAsiaTheme="minorEastAsia"/>
          <w:sz w:val="24"/>
          <w:szCs w:val="24"/>
        </w:rPr>
        <w:t xml:space="preserve">数据分析功能。包括：违法感知（一车一档）、高频违法类型、高频违法地点、违法统计、违法热力图（时段、点位、数量）。</w:t>
      </w:r>
      <w:r/>
    </w:p>
    <w:p>
      <w:pPr>
        <w:ind w:firstLine="4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演示内容全面且符合本项目实际需求的得</w:t>
      </w:r>
      <w:r>
        <w:rPr>
          <w:rFonts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分，每缺少一项内容，或内容明显错误，或内容非专门针对本项目，或内容不能满足本项目实际需求的，每一项扣</w:t>
      </w:r>
      <w:r>
        <w:rPr>
          <w:rFonts w:asciiTheme="minorEastAsia" w:hAnsiTheme="minorEastAsia" w:eastAsiaTheme="minorEastAsia"/>
          <w:sz w:val="24"/>
          <w:szCs w:val="24"/>
        </w:rPr>
        <w:t xml:space="preserve">1.2</w:t>
      </w:r>
      <w:r>
        <w:rPr>
          <w:rFonts w:hint="eastAsia" w:asciiTheme="minorEastAsia" w:hAnsiTheme="minorEastAsia" w:eastAsiaTheme="minorEastAsia"/>
          <w:sz w:val="24"/>
          <w:szCs w:val="24"/>
        </w:rPr>
        <w:t xml:space="preserve">分。</w:t>
      </w:r>
      <w:r/>
    </w:p>
    <w:p>
      <w:pPr>
        <w:ind w:firstLine="4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投标人须按采购文件评分细则中“视频演示”的要求录制好演示视频(需配置声音讲解,视频时长不超过10分钟,视频格式为MP4，清晰度达720P或以上，大小不超过系统要求,如有疑问可拨打咨询技术支持电话)，并按要求将视频压缩包上传至系统指定模块中。评委将根据评分点的演示功能和效果进行评审。）</w:t>
      </w:r>
      <w:r/>
    </w:p>
    <w:p>
      <w:pPr>
        <w:ind w:firstLine="422"/>
        <w:spacing w:line="360" w:lineRule="auto"/>
        <w:rPr>
          <w:rFonts w:asciiTheme="minorEastAsia" w:hAnsiTheme="minorEastAsia" w:eastAsiaTheme="minorEastAsia"/>
          <w:b/>
          <w:sz w:val="24"/>
          <w:szCs w:val="24"/>
        </w:rPr>
      </w:pPr>
      <w:r>
        <w:rPr>
          <w:rFonts w:asciiTheme="minorEastAsia" w:hAnsiTheme="minorEastAsia" w:eastAsiaTheme="minorEastAsia"/>
          <w:b/>
          <w:sz w:val="24"/>
          <w:szCs w:val="24"/>
        </w:rPr>
        <w:t xml:space="preserve">5</w:t>
      </w:r>
      <w:r>
        <w:rPr>
          <w:rFonts w:hint="eastAsia" w:asciiTheme="minorEastAsia" w:hAnsiTheme="minorEastAsia" w:eastAsiaTheme="minorEastAsia"/>
          <w:b/>
          <w:sz w:val="24"/>
          <w:szCs w:val="24"/>
        </w:rPr>
        <w:t xml:space="preserve">）服务方案（</w:t>
      </w:r>
      <w:r>
        <w:rPr>
          <w:rFonts w:asciiTheme="minorEastAsia" w:hAnsiTheme="minorEastAsia" w:eastAsiaTheme="minorEastAsia"/>
          <w:b/>
          <w:sz w:val="24"/>
          <w:szCs w:val="24"/>
        </w:rPr>
        <w:t xml:space="preserve">4</w:t>
      </w:r>
      <w:r>
        <w:rPr>
          <w:rFonts w:hint="eastAsia" w:asciiTheme="minorEastAsia" w:hAnsiTheme="minorEastAsia" w:eastAsiaTheme="minorEastAsia"/>
          <w:b/>
          <w:sz w:val="24"/>
          <w:szCs w:val="24"/>
        </w:rPr>
        <w:t xml:space="preserve">分）</w:t>
      </w:r>
      <w:r/>
    </w:p>
    <w:p>
      <w:pPr>
        <w:pStyle w:val="1128"/>
        <w:ind w:firstLine="480"/>
        <w:spacing w:after="0" w:line="360" w:lineRule="auto"/>
        <w:rPr>
          <w:rFonts w:asciiTheme="minorEastAsia" w:hAnsiTheme="minorEastAsia" w:eastAsiaTheme="minorEastAsia" w:cstheme="minorBidi"/>
          <w:sz w:val="24"/>
          <w:szCs w:val="24"/>
          <w:lang w:eastAsia="zh-CN"/>
        </w:rPr>
      </w:pPr>
      <w:r>
        <w:rPr>
          <w:rFonts w:asciiTheme="minorEastAsia" w:hAnsiTheme="minorEastAsia" w:eastAsiaTheme="minorEastAsia" w:cstheme="minorBidi"/>
          <w:sz w:val="24"/>
          <w:szCs w:val="24"/>
          <w:lang w:eastAsia="zh-CN"/>
        </w:rPr>
        <w:t xml:space="preserve">根据投</w:t>
      </w:r>
      <w:r>
        <w:rPr>
          <w:rFonts w:hint="eastAsia" w:asciiTheme="minorEastAsia" w:hAnsiTheme="minorEastAsia" w:eastAsiaTheme="minorEastAsia" w:cstheme="minorBidi"/>
          <w:sz w:val="24"/>
          <w:szCs w:val="24"/>
          <w:lang w:eastAsia="zh-CN"/>
        </w:rPr>
        <w:t xml:space="preserve">标人对本项目的售后服务内容方案进行评分，方案内容至少包括：①售后服务保障</w:t>
      </w:r>
      <w:r>
        <w:rPr>
          <w:rFonts w:asciiTheme="minorEastAsia" w:hAnsiTheme="minorEastAsia" w:eastAsiaTheme="minorEastAsia" w:cstheme="minorBidi"/>
          <w:sz w:val="24"/>
          <w:szCs w:val="24"/>
          <w:lang w:eastAsia="zh-CN"/>
        </w:rPr>
        <w:t xml:space="preserve">；</w:t>
      </w:r>
      <w:r>
        <w:rPr>
          <w:rFonts w:hint="eastAsia" w:asciiTheme="minorEastAsia" w:hAnsiTheme="minorEastAsia" w:eastAsiaTheme="minorEastAsia" w:cstheme="minorBidi"/>
          <w:sz w:val="24"/>
          <w:szCs w:val="24"/>
          <w:lang w:eastAsia="zh-CN"/>
        </w:rPr>
        <w:t xml:space="preserve">②售后服务流程</w:t>
      </w:r>
      <w:r>
        <w:rPr>
          <w:rFonts w:asciiTheme="minorEastAsia" w:hAnsiTheme="minorEastAsia" w:eastAsiaTheme="minorEastAsia" w:cstheme="minorBidi"/>
          <w:sz w:val="24"/>
          <w:szCs w:val="24"/>
          <w:lang w:eastAsia="zh-CN"/>
        </w:rPr>
        <w:t xml:space="preserve">；</w:t>
      </w:r>
      <w:r>
        <w:rPr>
          <w:rFonts w:hint="eastAsia" w:asciiTheme="minorEastAsia" w:hAnsiTheme="minorEastAsia" w:eastAsiaTheme="minorEastAsia" w:cstheme="minorBidi"/>
          <w:sz w:val="24"/>
          <w:szCs w:val="24"/>
          <w:lang w:eastAsia="zh-CN"/>
        </w:rPr>
        <w:t xml:space="preserve">③售后服务内容</w:t>
      </w:r>
      <w:r>
        <w:rPr>
          <w:rFonts w:asciiTheme="minorEastAsia" w:hAnsiTheme="minorEastAsia" w:eastAsiaTheme="minorEastAsia" w:cstheme="minorBidi"/>
          <w:sz w:val="24"/>
          <w:szCs w:val="24"/>
          <w:lang w:eastAsia="zh-CN"/>
        </w:rPr>
        <w:t xml:space="preserve">；</w:t>
      </w:r>
      <w:r>
        <w:rPr>
          <w:rFonts w:hint="eastAsia" w:asciiTheme="minorEastAsia" w:hAnsiTheme="minorEastAsia" w:eastAsiaTheme="minorEastAsia" w:cstheme="minorBidi"/>
          <w:sz w:val="24"/>
          <w:szCs w:val="24"/>
          <w:lang w:eastAsia="zh-CN"/>
        </w:rPr>
        <w:t xml:space="preserve">④售后服务时间</w:t>
      </w:r>
      <w:r>
        <w:rPr>
          <w:rFonts w:asciiTheme="minorEastAsia" w:hAnsiTheme="minorEastAsia" w:eastAsiaTheme="minorEastAsia" w:cstheme="minorBidi"/>
          <w:sz w:val="24"/>
          <w:szCs w:val="24"/>
          <w:lang w:eastAsia="zh-CN"/>
        </w:rPr>
        <w:t xml:space="preserve">等内容</w:t>
      </w:r>
      <w:r>
        <w:rPr>
          <w:rFonts w:hint="eastAsia" w:asciiTheme="minorEastAsia" w:hAnsiTheme="minorEastAsia" w:eastAsiaTheme="minorEastAsia" w:cstheme="minorBidi"/>
          <w:sz w:val="24"/>
          <w:szCs w:val="24"/>
          <w:lang w:eastAsia="zh-CN"/>
        </w:rPr>
        <w:t xml:space="preserve">。</w:t>
      </w:r>
      <w:r/>
    </w:p>
    <w:p>
      <w:pPr>
        <w:pStyle w:val="1128"/>
        <w:ind w:firstLine="480"/>
        <w:spacing w:after="0" w:line="360" w:lineRule="auto"/>
        <w:rPr>
          <w:rFonts w:asciiTheme="minorEastAsia" w:hAnsiTheme="minorEastAsia" w:eastAsiaTheme="minorEastAsia" w:cstheme="minorBidi"/>
          <w:sz w:val="24"/>
          <w:szCs w:val="24"/>
          <w:lang w:eastAsia="zh-CN"/>
        </w:rPr>
      </w:pPr>
      <w:r>
        <w:rPr>
          <w:rFonts w:hint="eastAsia" w:asciiTheme="minorEastAsia" w:hAnsiTheme="minorEastAsia" w:eastAsiaTheme="minorEastAsia" w:cstheme="minorBidi"/>
          <w:sz w:val="24"/>
          <w:szCs w:val="24"/>
          <w:lang w:eastAsia="zh-CN"/>
        </w:rPr>
        <w:t xml:space="preserve">方案内容针对本项目且符合本项目实际需求的，得</w:t>
      </w:r>
      <w:r>
        <w:rPr>
          <w:rFonts w:asciiTheme="minorEastAsia" w:hAnsiTheme="minorEastAsia" w:eastAsiaTheme="minorEastAsia" w:cstheme="minorBidi"/>
          <w:sz w:val="24"/>
          <w:szCs w:val="24"/>
          <w:lang w:eastAsia="zh-CN"/>
        </w:rPr>
        <w:t xml:space="preserve">4</w:t>
      </w:r>
      <w:r>
        <w:rPr>
          <w:rFonts w:hint="eastAsia" w:asciiTheme="minorEastAsia" w:hAnsiTheme="minorEastAsia" w:eastAsiaTheme="minorEastAsia" w:cstheme="minorBidi"/>
          <w:sz w:val="24"/>
          <w:szCs w:val="24"/>
          <w:lang w:eastAsia="zh-CN"/>
        </w:rPr>
        <w:t xml:space="preserve">分，每缺少一项内容，或内容明显错误，或内容非专门针对本项目，或内容不能满足本项目实际需求的，每一项扣</w:t>
      </w:r>
      <w:r>
        <w:rPr>
          <w:rFonts w:asciiTheme="minorEastAsia" w:hAnsiTheme="minorEastAsia" w:eastAsiaTheme="minorEastAsia" w:cstheme="minorBidi"/>
          <w:sz w:val="24"/>
          <w:szCs w:val="24"/>
          <w:lang w:eastAsia="zh-CN"/>
        </w:rPr>
        <w:t xml:space="preserve">1</w:t>
      </w:r>
      <w:r>
        <w:rPr>
          <w:rFonts w:hint="eastAsia" w:asciiTheme="minorEastAsia" w:hAnsiTheme="minorEastAsia" w:eastAsiaTheme="minorEastAsia" w:cstheme="minorBidi"/>
          <w:sz w:val="24"/>
          <w:szCs w:val="24"/>
          <w:lang w:eastAsia="zh-CN"/>
        </w:rPr>
        <w:t xml:space="preserve">分。</w:t>
      </w:r>
      <w:r/>
    </w:p>
    <w:p>
      <w:pPr>
        <w:ind w:firstLine="422"/>
        <w:spacing w:line="360" w:lineRule="auto"/>
        <w:rPr>
          <w:rFonts w:asciiTheme="minorEastAsia" w:hAnsiTheme="minorEastAsia" w:eastAsiaTheme="minorEastAsia"/>
          <w:b/>
          <w:color w:val="000000" w:themeColor="text1"/>
          <w:sz w:val="24"/>
          <w:szCs w:val="24"/>
          <w14:textFill>
            <w14:solidFill>
              <w14:schemeClr w14:val="tx1"/>
            </w14:solidFill>
          </w14:textFill>
        </w:rPr>
      </w:pPr>
      <w:r>
        <w:rPr>
          <w:rFonts w:hint="eastAsia" w:asciiTheme="minorEastAsia" w:hAnsiTheme="minorEastAsia" w:eastAsiaTheme="minorEastAsia"/>
          <w:b/>
          <w:color w:val="000000" w:themeColor="text1"/>
          <w:sz w:val="24"/>
          <w:szCs w:val="24"/>
          <w14:textFill>
            <w14:solidFill>
              <w14:schemeClr w14:val="tx1"/>
            </w14:solidFill>
          </w14:textFill>
        </w:rPr>
        <w:t xml:space="preserve">3、投标单位综合实力：（</w:t>
      </w:r>
      <w:r>
        <w:rPr>
          <w:rFonts w:asciiTheme="minorEastAsia" w:hAnsiTheme="minorEastAsia" w:eastAsiaTheme="minorEastAsia"/>
          <w:b/>
          <w:color w:val="000000" w:themeColor="text1"/>
          <w:sz w:val="24"/>
          <w:szCs w:val="24"/>
          <w14:textFill>
            <w14:solidFill>
              <w14:schemeClr w14:val="tx1"/>
            </w14:solidFill>
          </w14:textFill>
        </w:rPr>
        <w:t xml:space="preserve">6</w:t>
      </w:r>
      <w:r>
        <w:rPr>
          <w:rFonts w:hint="eastAsia" w:asciiTheme="minorEastAsia" w:hAnsiTheme="minorEastAsia" w:eastAsiaTheme="minorEastAsia"/>
          <w:b/>
          <w:color w:val="000000" w:themeColor="text1"/>
          <w:sz w:val="24"/>
          <w:szCs w:val="24"/>
          <w14:textFill>
            <w14:solidFill>
              <w14:schemeClr w14:val="tx1"/>
            </w14:solidFill>
          </w14:textFill>
        </w:rPr>
        <w:t xml:space="preserve">分） </w:t>
      </w:r>
      <w:r/>
    </w:p>
    <w:p>
      <w:pPr>
        <w:ind w:firstLine="42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）本项目运维人员具有注册信息安全专业人员证书（CISP）的,每提供一名得</w:t>
      </w:r>
      <w:r>
        <w:rPr>
          <w:rFonts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分，最高4分；具有高级工程师证书（电子信息类）的，每提供一名得</w:t>
      </w:r>
      <w:r>
        <w:rPr>
          <w:rFonts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分，最高</w:t>
      </w:r>
      <w:r>
        <w:rPr>
          <w:rFonts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分；需提供证书原件的扫描件和近3个月社保证明，</w:t>
      </w:r>
      <w:r>
        <w:rPr>
          <w:rFonts w:hint="eastAsia" w:cs="宋体" w:asciiTheme="minorEastAsia" w:hAnsiTheme="minorEastAsia" w:eastAsiaTheme="minorEastAsia"/>
          <w:bCs/>
          <w:sz w:val="24"/>
          <w:szCs w:val="24"/>
        </w:rPr>
        <w:t xml:space="preserve">不提供不得分。</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分）</w:t>
      </w:r>
      <w:r/>
    </w:p>
    <w:p>
      <w:pPr>
        <w:ind w:firstLine="36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w:t>
      </w:r>
      <w:r>
        <w:rPr>
          <w:rFonts w:cs="宋体" w:asciiTheme="minorEastAsia" w:hAnsiTheme="minorEastAsia" w:eastAsiaTheme="minorEastAsia"/>
          <w:bCs/>
          <w:sz w:val="24"/>
          <w:szCs w:val="24"/>
        </w:rPr>
        <w:t xml:space="preserve">2</w:t>
      </w:r>
      <w:r>
        <w:rPr>
          <w:rFonts w:hint="eastAsia" w:cs="宋体" w:asciiTheme="minorEastAsia" w:hAnsiTheme="minorEastAsia" w:eastAsiaTheme="minorEastAsia"/>
          <w:bCs/>
          <w:sz w:val="24"/>
          <w:szCs w:val="24"/>
        </w:rPr>
        <w:t xml:space="preserve">）投标人具有2021年1</w:t>
      </w:r>
      <w:r>
        <w:rPr>
          <w:rFonts w:cs="宋体" w:asciiTheme="minorEastAsia" w:hAnsiTheme="minorEastAsia" w:eastAsiaTheme="minorEastAsia"/>
          <w:bCs/>
          <w:sz w:val="24"/>
          <w:szCs w:val="24"/>
        </w:rPr>
        <w:t xml:space="preserve">0</w:t>
      </w:r>
      <w:r>
        <w:rPr>
          <w:rFonts w:hint="eastAsia" w:cs="宋体" w:asciiTheme="minorEastAsia" w:hAnsiTheme="minorEastAsia" w:eastAsiaTheme="minorEastAsia"/>
          <w:bCs/>
          <w:sz w:val="24"/>
          <w:szCs w:val="24"/>
        </w:rPr>
        <w:t xml:space="preserve">月1日（以合同签订日期为准）以来类似项目业绩（信号机、电子警察类项目），每提供1个业绩，得</w:t>
      </w:r>
      <w:r>
        <w:rPr>
          <w:rFonts w:cs="宋体" w:asciiTheme="minorEastAsia" w:hAnsiTheme="minorEastAsia" w:eastAsiaTheme="minorEastAsia"/>
          <w:bCs/>
          <w:sz w:val="24"/>
          <w:szCs w:val="24"/>
        </w:rPr>
        <w:t xml:space="preserve">1</w:t>
      </w:r>
      <w:r>
        <w:rPr>
          <w:rFonts w:hint="eastAsia" w:cs="宋体" w:asciiTheme="minorEastAsia" w:hAnsiTheme="minorEastAsia" w:eastAsiaTheme="minorEastAsia"/>
          <w:bCs/>
          <w:sz w:val="24"/>
          <w:szCs w:val="24"/>
        </w:rPr>
        <w:t xml:space="preserve">分，最高得</w:t>
      </w:r>
      <w:r>
        <w:rPr>
          <w:rFonts w:cs="宋体" w:asciiTheme="minorEastAsia" w:hAnsiTheme="minorEastAsia" w:eastAsiaTheme="minorEastAsia"/>
          <w:bCs/>
          <w:sz w:val="24"/>
          <w:szCs w:val="24"/>
        </w:rPr>
        <w:t xml:space="preserve">1</w:t>
      </w:r>
      <w:r>
        <w:rPr>
          <w:rFonts w:hint="eastAsia" w:cs="宋体" w:asciiTheme="minorEastAsia" w:hAnsiTheme="minorEastAsia" w:eastAsiaTheme="minorEastAsia"/>
          <w:bCs/>
          <w:sz w:val="24"/>
          <w:szCs w:val="24"/>
        </w:rPr>
        <w:t xml:space="preserve">分。</w:t>
      </w:r>
      <w:r/>
    </w:p>
    <w:p>
      <w:pPr>
        <w:ind w:firstLine="36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cs="宋体" w:asciiTheme="minorEastAsia" w:hAnsiTheme="minorEastAsia" w:eastAsiaTheme="minorEastAsia"/>
          <w:bCs/>
          <w:color w:val="000000" w:themeColor="text1"/>
          <w:sz w:val="24"/>
          <w:szCs w:val="24"/>
          <w14:textFill>
            <w14:solidFill>
              <w14:schemeClr w14:val="tx1"/>
            </w14:solidFill>
          </w14:textFill>
        </w:rPr>
      </w:r>
      <w:r/>
    </w:p>
    <w:p>
      <w:pPr>
        <w:ind w:firstLine="422"/>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
          <w:color w:val="000000" w:themeColor="text1"/>
          <w:sz w:val="24"/>
          <w:szCs w:val="24"/>
          <w14:textFill>
            <w14:solidFill>
              <w14:schemeClr w14:val="tx1"/>
            </w14:solidFill>
          </w14:textFill>
        </w:rPr>
        <w:t xml:space="preserve">注：</w:t>
      </w:r>
      <w:r>
        <w:rPr>
          <w:rFonts w:hint="eastAsia" w:asciiTheme="minorEastAsia" w:hAnsiTheme="minorEastAsia" w:eastAsiaTheme="minorEastAsia"/>
          <w:bCs/>
          <w:color w:val="000000" w:themeColor="text1"/>
          <w:sz w:val="24"/>
          <w:szCs w:val="24"/>
          <w14:textFill>
            <w14:solidFill>
              <w14:schemeClr w14:val="tx1"/>
            </w14:solidFill>
          </w14:textFill>
        </w:rPr>
        <w:t xml:space="preserve">（1）针对评分标准中评分的每一条，投标人在投标文件中均应提供清晰明了的相关资料并做出相应说明供评委评判，不提供相关资料的视为不具备该项得分的条件。</w:t>
      </w:r>
      <w:r/>
    </w:p>
    <w:p>
      <w:pPr>
        <w:ind w:firstLine="42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（2）所有扫描件需清晰可见，字迹不清晰、图片模糊的视为未提供，评委有权不给分。</w:t>
      </w:r>
      <w:r/>
    </w:p>
    <w:p>
      <w:pPr>
        <w:ind w:firstLine="42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r>
      <w:r/>
    </w:p>
    <w:p>
      <w:pPr>
        <w:rPr>
          <w:rFonts w:hAnsi="宋体" w:cs="宋体"/>
          <w:sz w:val="24"/>
          <w:szCs w:val="24"/>
          <w:u w:val="single"/>
        </w:rPr>
      </w:pPr>
      <w:r>
        <w:rPr>
          <w:rFonts w:hAnsi="宋体" w:cs="宋体"/>
          <w:sz w:val="24"/>
          <w:szCs w:val="24"/>
          <w:u w:val="single"/>
        </w:rPr>
        <w:br w:type="page" w:clear="all"/>
      </w:r>
      <w:r/>
    </w:p>
    <w:p>
      <w:pPr>
        <w:jc w:val="cente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t xml:space="preserve">第六部分 合同格式</w:t>
      </w:r>
      <w:r/>
    </w:p>
    <w:p>
      <w:pPr>
        <w:ind w:firstLine="643"/>
        <w:jc w:val="center"/>
        <w:spacing w:after="0" w:line="439" w:lineRule="atLeast"/>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pStyle w:val="977"/>
        <w:jc w:val="center"/>
        <w:spacing w:after="0"/>
        <w:rPr>
          <w:rFonts w:hint="eastAsia" w:ascii="宋体" w:hAnsi="宋体" w:eastAsia="宋体" w:cs="宋体"/>
          <w:b w:val="0"/>
          <w:bCs w:val="0"/>
          <w:spacing w:val="-20"/>
          <w:sz w:val="48"/>
          <w:szCs w:val="48"/>
          <w:lang w:eastAsia="zh-CN"/>
        </w:rPr>
      </w:pPr>
      <w:r>
        <w:rPr>
          <w:rFonts w:hint="eastAsia" w:ascii="宋体" w:hAnsi="宋体" w:eastAsia="宋体" w:cs="宋体"/>
          <w:b w:val="0"/>
          <w:bCs w:val="0"/>
          <w:spacing w:val="-20"/>
          <w:sz w:val="48"/>
          <w:szCs w:val="48"/>
          <w:lang w:eastAsia="zh-CN"/>
        </w:rPr>
        <w:t xml:space="preserve">政府采购货物买卖合同</w:t>
      </w:r>
      <w:r/>
    </w:p>
    <w:p>
      <w:pPr>
        <w:pStyle w:val="977"/>
        <w:jc w:val="center"/>
        <w:spacing w:after="0"/>
        <w:rPr>
          <w:rFonts w:hint="eastAsia" w:ascii="宋体" w:hAnsi="宋体" w:eastAsia="宋体" w:cs="宋体"/>
          <w:b w:val="0"/>
          <w:bCs w:val="0"/>
          <w:spacing w:val="-20"/>
          <w:sz w:val="48"/>
          <w:szCs w:val="48"/>
          <w:lang w:eastAsia="zh-CN"/>
        </w:rPr>
      </w:pPr>
      <w:r>
        <w:rPr>
          <w:rFonts w:hint="eastAsia" w:ascii="宋体" w:hAnsi="宋体" w:eastAsia="宋体" w:cs="宋体"/>
          <w:b w:val="0"/>
          <w:bCs w:val="0"/>
          <w:spacing w:val="-20"/>
          <w:sz w:val="48"/>
          <w:szCs w:val="48"/>
          <w:lang w:eastAsia="zh-CN"/>
        </w:rPr>
        <w:t xml:space="preserve">（试行）</w:t>
      </w:r>
      <w:r/>
    </w:p>
    <w:p>
      <w:pPr>
        <w:rPr>
          <w:rFonts w:ascii="宋体" w:hAnsi="宋体" w:cs="宋体"/>
          <w:b/>
          <w:bCs/>
          <w:spacing w:val="-20"/>
          <w:sz w:val="40"/>
          <w:szCs w:val="40"/>
          <w:lang w:eastAsia="zh-CN"/>
        </w:rPr>
      </w:pPr>
      <w:r>
        <w:rPr>
          <w:rFonts w:ascii="宋体" w:hAnsi="宋体" w:cs="宋体"/>
          <w:b/>
          <w:bCs/>
          <w:spacing w:val="-20"/>
          <w:sz w:val="40"/>
          <w:szCs w:val="40"/>
          <w:lang w:eastAsia="zh-CN"/>
        </w:rPr>
      </w:r>
      <w:r/>
    </w:p>
    <w:p>
      <w:pPr>
        <w:rPr>
          <w:rFonts w:ascii="宋体" w:hAnsi="宋体" w:cs="宋体"/>
          <w:b/>
          <w:bCs/>
          <w:spacing w:val="-20"/>
          <w:sz w:val="40"/>
          <w:szCs w:val="40"/>
          <w:lang w:eastAsia="zh-CN"/>
        </w:rPr>
      </w:pPr>
      <w:r>
        <w:rPr>
          <w:rFonts w:ascii="宋体" w:hAnsi="宋体" w:cs="宋体"/>
          <w:b/>
          <w:bCs/>
          <w:spacing w:val="-20"/>
          <w:sz w:val="40"/>
          <w:szCs w:val="40"/>
          <w:lang w:eastAsia="zh-CN"/>
        </w:rPr>
      </w:r>
      <w:r/>
    </w:p>
    <w:p>
      <w:pPr>
        <w:rPr>
          <w:rFonts w:ascii="宋体" w:hAnsi="宋体" w:cs="宋体"/>
          <w:b/>
          <w:bCs/>
          <w:spacing w:val="-20"/>
          <w:sz w:val="40"/>
          <w:szCs w:val="40"/>
          <w:lang w:eastAsia="zh-CN"/>
        </w:rPr>
      </w:pPr>
      <w:r>
        <w:rPr>
          <w:rFonts w:ascii="宋体" w:hAnsi="宋体" w:cs="宋体"/>
          <w:b/>
          <w:bCs/>
          <w:spacing w:val="-20"/>
          <w:sz w:val="40"/>
          <w:szCs w:val="40"/>
          <w:lang w:eastAsia="zh-CN"/>
        </w:rPr>
      </w:r>
      <w:r/>
    </w:p>
    <w:p>
      <w:pPr>
        <w:ind w:left="440"/>
        <w:spacing w:line="360" w:lineRule="auto"/>
        <w:rPr>
          <w:sz w:val="32"/>
          <w:szCs w:val="32"/>
          <w:lang w:eastAsia="zh-CN"/>
        </w:rPr>
      </w:pPr>
      <w:r>
        <w:rPr>
          <w:rFonts w:hint="eastAsia" w:ascii="宋体" w:hAnsi="宋体" w:cs="宋体"/>
          <w:sz w:val="32"/>
          <w:szCs w:val="32"/>
          <w:lang w:eastAsia="zh-CN"/>
        </w:rPr>
        <w:t xml:space="preserve">项目名称：</w:t>
      </w:r>
      <w:r>
        <w:rPr>
          <w:rFonts w:hint="eastAsia"/>
          <w:sz w:val="32"/>
          <w:szCs w:val="32"/>
          <w:u w:val="single"/>
          <w:lang w:eastAsia="zh-CN"/>
        </w:rPr>
        <w:t xml:space="preserve">                             </w:t>
      </w:r>
      <w:r/>
    </w:p>
    <w:p>
      <w:pPr>
        <w:ind w:left="440"/>
        <w:spacing w:line="360" w:lineRule="auto"/>
        <w:rPr>
          <w:sz w:val="32"/>
          <w:szCs w:val="32"/>
          <w:u w:val="single"/>
          <w:lang w:eastAsia="zh-CN"/>
        </w:rPr>
      </w:pPr>
      <w:r>
        <w:rPr>
          <w:rFonts w:hint="eastAsia"/>
          <w:sz w:val="32"/>
          <w:szCs w:val="32"/>
          <w:lang w:eastAsia="zh-CN"/>
        </w:rPr>
        <w:t xml:space="preserve">合同编号：</w:t>
      </w:r>
      <w:r>
        <w:rPr>
          <w:rFonts w:hint="eastAsia"/>
          <w:sz w:val="32"/>
          <w:szCs w:val="32"/>
          <w:u w:val="single"/>
          <w:lang w:eastAsia="zh-CN"/>
        </w:rPr>
        <w:t xml:space="preserve">                             </w:t>
      </w:r>
      <w:r/>
    </w:p>
    <w:p>
      <w:pPr>
        <w:ind w:left="440"/>
        <w:spacing w:line="360" w:lineRule="auto"/>
        <w:rPr>
          <w:sz w:val="32"/>
          <w:szCs w:val="32"/>
          <w:lang w:eastAsia="zh-CN"/>
        </w:rPr>
      </w:pPr>
      <w:r>
        <w:rPr>
          <w:rFonts w:hint="eastAsia"/>
          <w:sz w:val="32"/>
          <w:szCs w:val="32"/>
          <w:lang w:eastAsia="zh-CN"/>
        </w:rPr>
        <w:t xml:space="preserve">甲    方：</w:t>
      </w:r>
      <w:r>
        <w:rPr>
          <w:rFonts w:hint="eastAsia"/>
          <w:sz w:val="32"/>
          <w:szCs w:val="32"/>
          <w:u w:val="single"/>
          <w:lang w:eastAsia="zh-CN"/>
        </w:rPr>
        <w:t xml:space="preserve">                             </w:t>
      </w:r>
      <w:r/>
    </w:p>
    <w:p>
      <w:pPr>
        <w:ind w:left="440"/>
        <w:spacing w:line="360" w:lineRule="auto"/>
        <w:rPr>
          <w:sz w:val="32"/>
          <w:szCs w:val="32"/>
          <w:u w:val="single"/>
          <w:lang w:eastAsia="zh-CN"/>
        </w:rPr>
      </w:pPr>
      <w:r>
        <w:rPr>
          <w:rFonts w:hint="eastAsia"/>
          <w:sz w:val="32"/>
          <w:szCs w:val="32"/>
          <w:lang w:eastAsia="zh-CN"/>
        </w:rPr>
        <w:t xml:space="preserve">乙    方：</w:t>
      </w:r>
      <w:r>
        <w:rPr>
          <w:rFonts w:hint="eastAsia"/>
          <w:sz w:val="32"/>
          <w:szCs w:val="32"/>
          <w:u w:val="single"/>
          <w:lang w:eastAsia="zh-CN"/>
        </w:rPr>
        <w:t xml:space="preserve">                             </w:t>
      </w:r>
      <w:r/>
    </w:p>
    <w:p>
      <w:pPr>
        <w:ind w:left="440"/>
        <w:spacing w:line="360" w:lineRule="auto"/>
        <w:rPr>
          <w:sz w:val="32"/>
          <w:szCs w:val="32"/>
          <w:lang w:eastAsia="zh-CN"/>
        </w:rPr>
      </w:pPr>
      <w:r>
        <w:rPr>
          <w:rFonts w:hint="eastAsia"/>
          <w:sz w:val="32"/>
          <w:szCs w:val="32"/>
          <w:lang w:eastAsia="zh-CN"/>
        </w:rPr>
        <w:t xml:space="preserve">签订时间：</w:t>
      </w:r>
      <w:r>
        <w:rPr>
          <w:rFonts w:hint="eastAsia"/>
          <w:sz w:val="32"/>
          <w:szCs w:val="32"/>
          <w:u w:val="single"/>
          <w:lang w:eastAsia="zh-CN"/>
        </w:rPr>
        <w:t xml:space="preserve">      </w:t>
      </w:r>
      <w:r>
        <w:rPr>
          <w:sz w:val="32"/>
          <w:szCs w:val="32"/>
          <w:u w:val="single"/>
          <w:lang w:eastAsia="zh-CN"/>
        </w:rPr>
        <w:t xml:space="preserve">           </w:t>
      </w:r>
      <w:r>
        <w:rPr>
          <w:rFonts w:hint="eastAsia"/>
          <w:sz w:val="32"/>
          <w:szCs w:val="32"/>
          <w:u w:val="single"/>
          <w:lang w:eastAsia="zh-CN"/>
        </w:rPr>
        <w:t xml:space="preserve">            </w:t>
      </w:r>
      <w:r/>
    </w:p>
    <w:p>
      <w:pPr>
        <w:rPr>
          <w:lang w:eastAsia="zh-CN"/>
        </w:rPr>
      </w:pPr>
      <w:r>
        <w:rPr>
          <w:lang w:eastAsia="zh-CN"/>
        </w:rPr>
      </w:r>
      <w:r/>
    </w:p>
    <w:p>
      <w:pPr>
        <w:rPr>
          <w:rFonts w:eastAsia="黑体"/>
          <w:sz w:val="44"/>
          <w:szCs w:val="44"/>
          <w:lang w:eastAsia="zh-CN"/>
        </w:rPr>
      </w:pPr>
      <w:r>
        <w:rPr>
          <w:rFonts w:eastAsia="黑体"/>
          <w:sz w:val="44"/>
          <w:szCs w:val="44"/>
          <w:lang w:eastAsia="zh-CN"/>
        </w:rPr>
        <w:br w:type="page" w:clear="all"/>
      </w:r>
      <w:r/>
    </w:p>
    <w:p>
      <w:pPr>
        <w:pStyle w:val="967"/>
        <w:numPr>
          <w:ilvl w:val="0"/>
          <w:numId w:val="39"/>
        </w:numPr>
        <w:jc w:val="center"/>
        <w:spacing w:line="400" w:lineRule="exact"/>
        <w:rPr>
          <w:rFonts w:hint="eastAsia" w:ascii="黑体" w:hAnsi="华文中宋" w:eastAsia="黑体"/>
          <w:sz w:val="28"/>
          <w:szCs w:val="28"/>
          <w:lang w:eastAsia="zh-CN"/>
        </w:rPr>
      </w:pPr>
      <w:r/>
      <w:bookmarkStart w:id="267" w:name="_Toc22209"/>
      <w:r>
        <w:rPr>
          <w:rFonts w:hint="eastAsia" w:ascii="黑体" w:hAnsi="华文中宋" w:eastAsia="黑体"/>
          <w:sz w:val="28"/>
          <w:szCs w:val="28"/>
          <w:lang w:eastAsia="zh-CN"/>
        </w:rPr>
        <w:t xml:space="preserve">政府采购合同协议书</w:t>
      </w:r>
      <w:bookmarkEnd w:id="267"/>
      <w:r/>
      <w:r/>
    </w:p>
    <w:p>
      <w:pPr>
        <w:numPr>
          <w:ilvl w:val="0"/>
          <w:numId w:val="0"/>
        </w:numPr>
        <w:rPr>
          <w:lang w:eastAsia="zh-CN"/>
        </w:rPr>
      </w:pPr>
      <w:r>
        <w:rPr>
          <w:lang w:eastAsia="zh-CN"/>
        </w:rPr>
      </w:r>
      <w:r/>
    </w:p>
    <w:p>
      <w:pPr>
        <w:spacing w:line="3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甲方（全称）：</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（采购人、受采购人委托签订合同的单位或采购文件约定的合同甲方）</w:t>
      </w:r>
      <w:r/>
    </w:p>
    <w:p>
      <w:pPr>
        <w:spacing w:line="3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乙方（全称）：</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（供应商）</w:t>
      </w:r>
      <w:r/>
    </w:p>
    <w:p>
      <w:pPr>
        <w:spacing w:line="3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1001"/>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依据《中华人民共和国民法典》、《中华人民共和国政府采购法》等有关的法律法规，以及本采购项目的招标、乙方的投标文件及中标通知书，甲乙双方同意签订本合同。具体情况及要求如下：     </w:t>
      </w:r>
      <w:r/>
    </w:p>
    <w:p>
      <w:pPr>
        <w:numPr>
          <w:ilvl w:val="0"/>
          <w:numId w:val="40"/>
        </w:numPr>
        <w:ind w:firstLine="482"/>
        <w:spacing w:line="380" w:lineRule="exact"/>
        <w:rPr>
          <w:rFonts w:hint="eastAsia" w:ascii="宋体" w:hAnsi="宋体" w:eastAsia="宋体" w:cs="宋体"/>
          <w:b/>
          <w:sz w:val="24"/>
          <w:szCs w:val="24"/>
        </w:rPr>
      </w:pPr>
      <w:r>
        <w:rPr>
          <w:rFonts w:hint="eastAsia" w:ascii="宋体" w:hAnsi="宋体" w:eastAsia="宋体" w:cs="宋体"/>
          <w:b/>
          <w:sz w:val="24"/>
          <w:szCs w:val="24"/>
        </w:rPr>
        <w:t xml:space="preserve">项目信息</w:t>
      </w:r>
      <w:r/>
    </w:p>
    <w:p>
      <w:pPr>
        <w:pStyle w:val="1001"/>
        <w:numPr>
          <w:ilvl w:val="0"/>
          <w:numId w:val="41"/>
        </w:numPr>
        <w:ind w:firstLine="480"/>
        <w:spacing w:line="380" w:lineRule="exact"/>
        <w:rPr>
          <w:rFonts w:hint="eastAsia" w:ascii="宋体" w:hAnsi="宋体" w:eastAsia="宋体" w:cs="宋体"/>
          <w:sz w:val="24"/>
          <w:szCs w:val="24"/>
          <w:u w:val="single"/>
        </w:rPr>
      </w:pPr>
      <w:r>
        <w:rPr>
          <w:rFonts w:hint="eastAsia" w:ascii="宋体" w:hAnsi="宋体" w:eastAsia="宋体" w:cs="宋体"/>
          <w:sz w:val="24"/>
          <w:szCs w:val="24"/>
        </w:rPr>
        <w:t xml:space="preserve">采购项目名称：</w:t>
      </w:r>
      <w:r>
        <w:rPr>
          <w:rFonts w:hint="eastAsia" w:ascii="宋体" w:hAnsi="宋体" w:eastAsia="宋体" w:cs="宋体"/>
          <w:sz w:val="24"/>
          <w:szCs w:val="24"/>
          <w:u w:val="single"/>
        </w:rPr>
        <w:t xml:space="preserve">                                          </w:t>
      </w:r>
      <w:r/>
    </w:p>
    <w:p>
      <w:pPr>
        <w:pStyle w:val="1001"/>
        <w:numPr>
          <w:ilvl w:val="255"/>
          <w:numId w:val="0"/>
        </w:numPr>
        <w:spacing w:line="380" w:lineRule="exact"/>
        <w:tabs>
          <w:tab w:val="left" w:pos="999" w:leader="none"/>
        </w:tabs>
        <w:rPr>
          <w:rFonts w:hint="eastAsia" w:ascii="宋体" w:hAnsi="宋体" w:eastAsia="宋体" w:cs="宋体"/>
          <w:sz w:val="24"/>
          <w:szCs w:val="24"/>
        </w:rPr>
      </w:pPr>
      <w:r>
        <w:rPr>
          <w:rFonts w:hint="eastAsia" w:ascii="宋体" w:hAnsi="宋体" w:eastAsia="宋体" w:cs="宋体"/>
          <w:sz w:val="24"/>
          <w:szCs w:val="24"/>
        </w:rPr>
        <w:t xml:space="preserve">         采购项目编号：</w:t>
      </w:r>
      <w:r>
        <w:rPr>
          <w:rFonts w:hint="eastAsia" w:ascii="宋体" w:hAnsi="宋体" w:eastAsia="宋体" w:cs="宋体"/>
          <w:sz w:val="24"/>
          <w:szCs w:val="24"/>
          <w:u w:val="single"/>
        </w:rPr>
        <w:t xml:space="preserve">                                          </w:t>
      </w:r>
      <w:r/>
    </w:p>
    <w:p>
      <w:pPr>
        <w:pStyle w:val="1001"/>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（2）采购计划编号：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（3）项目内容：</w:t>
      </w:r>
      <w:r/>
    </w:p>
    <w:p>
      <w:pPr>
        <w:ind w:firstLine="480"/>
        <w:spacing w:line="3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采购标的及数量（台/套</w:t>
      </w:r>
      <w:r>
        <w:rPr>
          <w:rFonts w:hint="eastAsia" w:ascii="宋体" w:hAnsi="宋体" w:eastAsia="宋体" w:cs="宋体"/>
          <w:sz w:val="24"/>
          <w:szCs w:val="24"/>
          <w:lang w:val="en" w:eastAsia="zh-CN"/>
        </w:rPr>
        <w:t xml:space="preserve">/个/架/组等</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            </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 </w:t>
      </w:r>
      <w:r/>
    </w:p>
    <w:p>
      <w:pPr>
        <w:numPr>
          <w:ilvl w:val="255"/>
          <w:numId w:val="0"/>
        </w:numPr>
        <w:ind w:firstLine="480"/>
        <w:spacing w:line="380" w:lineRule="exact"/>
        <w:rPr>
          <w:rFonts w:hint="eastAsia" w:ascii="宋体" w:hAnsi="宋体" w:eastAsia="宋体" w:cs="宋体"/>
          <w:sz w:val="24"/>
          <w:szCs w:val="24"/>
          <w:lang w:val="en" w:eastAsia="zh-CN"/>
        </w:rPr>
      </w:pPr>
      <w:r>
        <w:rPr>
          <w:rFonts w:hint="eastAsia" w:ascii="宋体" w:hAnsi="宋体" w:eastAsia="宋体" w:cs="宋体"/>
          <w:sz w:val="24"/>
          <w:szCs w:val="24"/>
          <w:lang w:eastAsia="zh-CN"/>
        </w:rPr>
        <w:t xml:space="preserve">     品牌：</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val="en" w:eastAsia="zh-CN"/>
        </w:rPr>
        <w:t xml:space="preserve">   </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val="en" w:eastAsia="zh-CN"/>
        </w:rPr>
        <w:t xml:space="preserve"> </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val="en" w:eastAsia="zh-CN"/>
        </w:rPr>
        <w:t xml:space="preserve">     </w:t>
      </w:r>
      <w:r>
        <w:rPr>
          <w:rFonts w:hint="eastAsia" w:ascii="宋体" w:hAnsi="宋体" w:eastAsia="宋体" w:cs="宋体"/>
          <w:sz w:val="24"/>
          <w:szCs w:val="24"/>
          <w:lang w:eastAsia="zh-CN"/>
        </w:rPr>
        <w:t xml:space="preserve">规格型号：</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val="en" w:eastAsia="zh-CN"/>
        </w:rPr>
        <w:t xml:space="preserve">  </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val="en" w:eastAsia="zh-CN"/>
        </w:rPr>
        <w:t xml:space="preserve">   </w:t>
      </w:r>
      <w:r/>
    </w:p>
    <w:p>
      <w:pPr>
        <w:ind w:firstLine="1080"/>
        <w:spacing w:line="380" w:lineRule="exact"/>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 xml:space="preserve">采购标的的技术要求、商务要求具体见附件。</w:t>
      </w:r>
      <w:r/>
    </w:p>
    <w:p>
      <w:pPr>
        <w:numPr>
          <w:ilvl w:val="255"/>
          <w:numId w:val="0"/>
        </w:numPr>
        <w:ind w:firstLine="480"/>
        <w:spacing w:line="380" w:lineRule="exact"/>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 xml:space="preserve">     标的名称：</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val="en" w:eastAsia="zh-CN"/>
        </w:rPr>
        <w:t xml:space="preserve">               </w:t>
      </w:r>
      <w:r>
        <w:rPr>
          <w:rFonts w:hint="eastAsia" w:ascii="宋体" w:hAnsi="宋体" w:eastAsia="宋体" w:cs="宋体"/>
          <w:sz w:val="24"/>
          <w:szCs w:val="24"/>
          <w:u w:val="single"/>
          <w:lang w:eastAsia="zh-CN"/>
        </w:rPr>
        <w:t xml:space="preserve">    </w:t>
      </w:r>
      <w:r/>
    </w:p>
    <w:p>
      <w:pPr>
        <w:numPr>
          <w:ilvl w:val="255"/>
          <w:numId w:val="0"/>
        </w:numPr>
        <w:ind w:firstLine="480"/>
        <w:spacing w:line="3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关键部件：</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 品牌：</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 型号：</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 </w:t>
      </w:r>
      <w:r/>
    </w:p>
    <w:p>
      <w:pPr>
        <w:pStyle w:val="1063"/>
        <w:ind w:firstLine="420"/>
        <w:spacing w:line="38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
        </w:rPr>
        <w:t xml:space="preserve">4</w:t>
      </w:r>
      <w:r>
        <w:rPr>
          <w:rFonts w:hint="eastAsia" w:ascii="宋体" w:hAnsi="宋体" w:eastAsia="宋体" w:cs="宋体"/>
          <w:sz w:val="24"/>
          <w:szCs w:val="24"/>
        </w:rPr>
        <w:t xml:space="preserve">）政府采购组织形式：政府集中采购</w:t>
      </w:r>
      <w:r/>
    </w:p>
    <w:p>
      <w:pPr>
        <w:pStyle w:val="1063"/>
        <w:numPr>
          <w:ilvl w:val="255"/>
          <w:numId w:val="0"/>
        </w:numPr>
        <w:ind w:firstLine="420"/>
        <w:spacing w:line="380" w:lineRule="exact"/>
        <w:rPr>
          <w:rFonts w:hint="eastAsia" w:ascii="宋体" w:hAnsi="宋体" w:eastAsia="宋体" w:cs="宋体"/>
          <w:sz w:val="24"/>
          <w:szCs w:val="24"/>
          <w:u w:val="single"/>
        </w:rPr>
      </w:pPr>
      <w:r>
        <w:rPr>
          <w:rFonts w:hint="eastAsia" w:ascii="宋体" w:hAnsi="宋体" w:eastAsia="宋体" w:cs="宋体"/>
          <w:sz w:val="24"/>
          <w:szCs w:val="24"/>
        </w:rPr>
        <w:t xml:space="preserve">（</w:t>
      </w:r>
      <w:r>
        <w:rPr>
          <w:rFonts w:hint="eastAsia" w:ascii="宋体" w:hAnsi="宋体" w:eastAsia="宋体" w:cs="宋体"/>
          <w:sz w:val="24"/>
          <w:szCs w:val="24"/>
          <w:lang w:val="en"/>
        </w:rPr>
        <w:t xml:space="preserve">5</w:t>
      </w:r>
      <w:r>
        <w:rPr>
          <w:rFonts w:hint="eastAsia" w:ascii="宋体" w:hAnsi="宋体" w:eastAsia="宋体" w:cs="宋体"/>
          <w:sz w:val="24"/>
          <w:szCs w:val="24"/>
        </w:rPr>
        <w:t xml:space="preserve">）政府采购方式：公开招标</w:t>
      </w:r>
      <w:r/>
    </w:p>
    <w:p>
      <w:pPr>
        <w:pStyle w:val="1063"/>
        <w:numPr>
          <w:ilvl w:val="255"/>
          <w:numId w:val="0"/>
        </w:numPr>
        <w:ind w:firstLine="240"/>
        <w:spacing w:line="380" w:lineRule="exac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
        </w:rPr>
        <w:t xml:space="preserve">6</w:t>
      </w:r>
      <w:r>
        <w:rPr>
          <w:rFonts w:hint="eastAsia" w:ascii="宋体" w:hAnsi="宋体" w:eastAsia="宋体" w:cs="宋体"/>
          <w:sz w:val="24"/>
          <w:szCs w:val="24"/>
        </w:rPr>
        <w:t xml:space="preserve">）</w:t>
      </w:r>
      <w:r>
        <w:rPr>
          <w:rFonts w:hint="eastAsia" w:ascii="宋体" w:hAnsi="宋体" w:eastAsia="宋体" w:cs="宋体"/>
          <w:sz w:val="24"/>
          <w:szCs w:val="24"/>
        </w:rPr>
        <w:t xml:space="preserve">中标采购标的制造商是否为中小企业：</w:t>
      </w:r>
      <w:r>
        <w:rPr>
          <w:rFonts w:ascii="Wingdings" w:hAnsi="Wingdings" w:eastAsia="Wingdings" w:cs="Wingdings"/>
          <w:sz w:val="24"/>
          <w:szCs w:val="24"/>
        </w:rPr>
        <w:t xml:space="preserve">¨</w:t>
      </w:r>
      <w:r>
        <w:rPr>
          <w:rFonts w:hint="eastAsia" w:ascii="宋体" w:hAnsi="宋体" w:eastAsia="宋体" w:cs="宋体"/>
          <w:sz w:val="24"/>
          <w:szCs w:val="24"/>
        </w:rPr>
        <w:t xml:space="preserve">是      </w:t>
      </w:r>
      <w:r>
        <w:rPr>
          <w:rFonts w:ascii="Wingdings" w:hAnsi="Wingdings" w:eastAsia="Wingdings" w:cs="Wingdings"/>
          <w:sz w:val="24"/>
          <w:szCs w:val="24"/>
        </w:rPr>
        <w:t xml:space="preserve">¨</w:t>
      </w:r>
      <w:r>
        <w:rPr>
          <w:rFonts w:hint="eastAsia" w:ascii="宋体" w:hAnsi="宋体" w:eastAsia="宋体" w:cs="宋体"/>
          <w:sz w:val="24"/>
          <w:szCs w:val="24"/>
        </w:rPr>
        <w:t xml:space="preserve">否</w:t>
      </w:r>
      <w:r/>
    </w:p>
    <w:p>
      <w:pPr>
        <w:numPr>
          <w:ilvl w:val="255"/>
          <w:numId w:val="0"/>
        </w:numPr>
        <w:spacing w:line="380" w:lineRule="exact"/>
        <w:rPr>
          <w:rFonts w:hint="eastAsia" w:ascii="宋体" w:hAnsi="宋体" w:eastAsia="宋体" w:cs="宋体"/>
          <w:iCs/>
          <w:sz w:val="24"/>
          <w:szCs w:val="24"/>
          <w:lang w:eastAsia="zh-CN"/>
        </w:rPr>
      </w:pPr>
      <w:r>
        <w:rPr>
          <w:rFonts w:hint="eastAsia" w:ascii="宋体" w:hAnsi="宋体" w:eastAsia="宋体" w:cs="宋体"/>
          <w:sz w:val="24"/>
          <w:szCs w:val="24"/>
          <w:lang w:eastAsia="zh-CN"/>
        </w:rPr>
        <w:t xml:space="preserve">         本合同是否为专门面向中小企业的采购合同（中小企业预留合同）：</w:t>
      </w:r>
      <w:r>
        <w:rPr>
          <w:rFonts w:hint="eastAsia" w:ascii="宋体" w:hAnsi="宋体" w:eastAsia="宋体" w:cs="宋体"/>
          <w:iCs/>
          <w:sz w:val="24"/>
          <w:szCs w:val="24"/>
          <w:lang w:eastAsia="zh-CN"/>
        </w:rPr>
        <w:t xml:space="preserve">否</w:t>
      </w:r>
      <w:r/>
    </w:p>
    <w:p>
      <w:pPr>
        <w:numPr>
          <w:ilvl w:val="255"/>
          <w:numId w:val="0"/>
        </w:numPr>
        <w:spacing w:line="380" w:lineRule="exact"/>
        <w:rPr>
          <w:rFonts w:hint="eastAsia" w:ascii="宋体" w:hAnsi="宋体" w:eastAsia="宋体" w:cs="宋体"/>
          <w:iCs/>
          <w:sz w:val="24"/>
          <w:szCs w:val="24"/>
          <w:lang w:eastAsia="zh-CN"/>
        </w:rPr>
      </w:pPr>
      <w:r>
        <w:rPr>
          <w:rFonts w:hint="eastAsia" w:ascii="宋体" w:hAnsi="宋体" w:eastAsia="宋体" w:cs="宋体"/>
          <w:sz w:val="24"/>
          <w:szCs w:val="24"/>
          <w:lang w:eastAsia="zh-CN"/>
        </w:rPr>
        <w:t xml:space="preserve">         本项目不专门面向中小企业采购，给予小微企业评审优惠：</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是</w:t>
      </w:r>
      <w:r/>
    </w:p>
    <w:p>
      <w:pPr>
        <w:numPr>
          <w:ilvl w:val="255"/>
          <w:numId w:val="0"/>
        </w:numPr>
        <w:spacing w:line="380" w:lineRule="exact"/>
        <w:rPr>
          <w:rFonts w:hint="eastAsia" w:ascii="宋体" w:hAnsi="宋体" w:eastAsia="宋体" w:cs="宋体"/>
          <w:iCs/>
          <w:sz w:val="24"/>
          <w:szCs w:val="24"/>
          <w:lang w:eastAsia="zh-CN"/>
        </w:rPr>
      </w:pPr>
      <w:r>
        <w:rPr>
          <w:rFonts w:hint="eastAsia" w:ascii="宋体" w:hAnsi="宋体" w:eastAsia="宋体" w:cs="宋体"/>
          <w:sz w:val="24"/>
          <w:szCs w:val="24"/>
          <w:lang w:eastAsia="zh-CN"/>
        </w:rPr>
        <w:t xml:space="preserve">         中标采购标的制造商是否为残疾人福利性单位：</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是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否</w:t>
      </w:r>
      <w:r/>
    </w:p>
    <w:p>
      <w:pPr>
        <w:spacing w:line="3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中标采购标的制造商是否为监狱企业：</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是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否</w:t>
      </w:r>
      <w:r/>
    </w:p>
    <w:p>
      <w:pPr>
        <w:ind w:firstLine="480"/>
        <w:spacing w:line="3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 w:eastAsia="zh-CN"/>
        </w:rPr>
        <w:t xml:space="preserve">7</w:t>
      </w:r>
      <w:r>
        <w:rPr>
          <w:rFonts w:hint="eastAsia" w:ascii="宋体" w:hAnsi="宋体" w:eastAsia="宋体" w:cs="宋体"/>
          <w:sz w:val="24"/>
          <w:szCs w:val="24"/>
          <w:lang w:eastAsia="zh-CN"/>
        </w:rPr>
        <w:t xml:space="preserve">）合同是否分包：</w:t>
      </w:r>
      <w:r>
        <w:rPr>
          <w:rFonts w:hint="eastAsia" w:ascii="宋体" w:hAnsi="宋体" w:eastAsia="宋体" w:cs="宋体"/>
          <w:iCs/>
          <w:sz w:val="24"/>
          <w:szCs w:val="24"/>
          <w:lang w:eastAsia="zh-CN"/>
        </w:rPr>
        <w:t xml:space="preserve">否</w:t>
      </w:r>
      <w:r/>
    </w:p>
    <w:p>
      <w:pPr>
        <w:numPr>
          <w:ilvl w:val="255"/>
          <w:numId w:val="0"/>
        </w:numPr>
        <w:spacing w:line="380" w:lineRule="exact"/>
        <w:rPr>
          <w:rFonts w:hint="eastAsia" w:ascii="宋体" w:hAnsi="宋体" w:eastAsia="宋体" w:cs="宋体"/>
          <w:iCs/>
          <w:sz w:val="24"/>
          <w:szCs w:val="24"/>
          <w:lang w:eastAsia="zh-CN"/>
        </w:rPr>
      </w:pPr>
      <w:r>
        <w:rPr>
          <w:rFonts w:hint="eastAsia" w:ascii="宋体" w:hAnsi="宋体" w:eastAsia="宋体" w:cs="宋体"/>
          <w:sz w:val="24"/>
          <w:szCs w:val="24"/>
          <w:lang w:eastAsia="zh-CN"/>
        </w:rPr>
        <w:t xml:space="preserve">    （</w:t>
      </w:r>
      <w:r>
        <w:rPr>
          <w:rFonts w:hint="eastAsia" w:ascii="宋体" w:hAnsi="宋体" w:eastAsia="宋体" w:cs="宋体"/>
          <w:sz w:val="24"/>
          <w:szCs w:val="24"/>
          <w:lang w:val="en" w:eastAsia="zh-CN"/>
        </w:rPr>
        <w:t xml:space="preserve">8</w:t>
      </w:r>
      <w:r>
        <w:rPr>
          <w:rFonts w:hint="eastAsia" w:ascii="宋体" w:hAnsi="宋体" w:eastAsia="宋体" w:cs="宋体"/>
          <w:sz w:val="24"/>
          <w:szCs w:val="24"/>
          <w:lang w:eastAsia="zh-CN"/>
        </w:rPr>
        <w:t xml:space="preserve">）中标供应商是否为外商投资企业：</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是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否</w:t>
      </w:r>
      <w:r/>
    </w:p>
    <w:p>
      <w:pPr>
        <w:pStyle w:val="1063"/>
        <w:ind w:firstLine="420"/>
        <w:spacing w:line="380" w:lineRule="exact"/>
        <w:tabs>
          <w:tab w:val="left" w:pos="1340" w:leader="none"/>
        </w:tabs>
        <w:rPr>
          <w:rFonts w:hint="eastAsia" w:ascii="宋体" w:hAnsi="宋体" w:eastAsia="宋体" w:cs="宋体"/>
          <w:sz w:val="24"/>
          <w:szCs w:val="24"/>
          <w:u w:val="single"/>
        </w:rPr>
      </w:pPr>
      <w:r>
        <w:rPr>
          <w:rFonts w:hint="eastAsia" w:ascii="宋体" w:hAnsi="宋体" w:eastAsia="宋体" w:cs="宋体"/>
          <w:sz w:val="24"/>
          <w:szCs w:val="24"/>
        </w:rPr>
        <w:t xml:space="preserve">     外商投资企业类型：</w:t>
      </w:r>
      <w:r>
        <w:rPr>
          <w:rFonts w:ascii="Wingdings" w:hAnsi="Wingdings" w:eastAsia="Wingdings" w:cs="Wingdings"/>
          <w:iCs/>
          <w:sz w:val="24"/>
          <w:szCs w:val="24"/>
        </w:rPr>
        <w:t xml:space="preserve">¨</w:t>
      </w:r>
      <w:r>
        <w:rPr>
          <w:rFonts w:hint="eastAsia" w:ascii="宋体" w:hAnsi="宋体" w:eastAsia="宋体" w:cs="宋体"/>
          <w:sz w:val="24"/>
          <w:szCs w:val="24"/>
        </w:rPr>
        <w:t xml:space="preserve">全部由外国投资者投资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部分由外国投资者投资</w:t>
      </w:r>
      <w:r/>
    </w:p>
    <w:p>
      <w:pPr>
        <w:numPr>
          <w:ilvl w:val="255"/>
          <w:numId w:val="0"/>
        </w:numPr>
        <w:ind w:firstLine="480"/>
        <w:spacing w:line="3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 w:eastAsia="zh-CN"/>
        </w:rPr>
        <w:t xml:space="preserve">9</w:t>
      </w:r>
      <w:r>
        <w:rPr>
          <w:rFonts w:hint="eastAsia" w:ascii="宋体" w:hAnsi="宋体" w:eastAsia="宋体" w:cs="宋体"/>
          <w:sz w:val="24"/>
          <w:szCs w:val="24"/>
          <w:lang w:eastAsia="zh-CN"/>
        </w:rPr>
        <w:t xml:space="preserve">）是否涉及进口产品：否</w:t>
      </w:r>
      <w:r/>
    </w:p>
    <w:p>
      <w:pPr>
        <w:numPr>
          <w:ilvl w:val="255"/>
          <w:numId w:val="0"/>
        </w:numPr>
        <w:spacing w:line="380" w:lineRule="exact"/>
        <w:tabs>
          <w:tab w:val="left" w:pos="74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（1</w:t>
      </w:r>
      <w:r>
        <w:rPr>
          <w:rFonts w:hint="eastAsia" w:ascii="宋体" w:hAnsi="宋体" w:eastAsia="宋体" w:cs="宋体"/>
          <w:sz w:val="24"/>
          <w:szCs w:val="24"/>
          <w:lang w:val="en" w:eastAsia="zh-CN"/>
        </w:rPr>
        <w:t xml:space="preserve">0</w:t>
      </w:r>
      <w:r>
        <w:rPr>
          <w:rFonts w:hint="eastAsia" w:ascii="宋体" w:hAnsi="宋体" w:eastAsia="宋体" w:cs="宋体"/>
          <w:sz w:val="24"/>
          <w:szCs w:val="24"/>
          <w:lang w:eastAsia="zh-CN"/>
        </w:rPr>
        <w:t xml:space="preserve">）是否涉及节能产品：</w:t>
      </w:r>
      <w:r/>
    </w:p>
    <w:p>
      <w:pPr>
        <w:numPr>
          <w:ilvl w:val="255"/>
          <w:numId w:val="0"/>
        </w:numPr>
        <w:spacing w:line="380" w:lineRule="exact"/>
        <w:tabs>
          <w:tab w:val="left" w:pos="740" w:leader="none"/>
        </w:tabs>
        <w:rPr>
          <w:rFonts w:hint="eastAsia" w:ascii="宋体" w:hAnsi="宋体" w:eastAsia="宋体" w:cs="宋体"/>
          <w:iCs/>
          <w:sz w:val="24"/>
          <w:szCs w:val="24"/>
          <w:lang w:eastAsia="zh-CN"/>
        </w:rPr>
      </w:pPr>
      <w:r>
        <w:rPr>
          <w:rFonts w:hint="eastAsia" w:ascii="宋体" w:hAnsi="宋体" w:eastAsia="宋体" w:cs="宋体"/>
          <w:sz w:val="24"/>
          <w:szCs w:val="24"/>
          <w:lang w:eastAsia="zh-CN"/>
        </w:rPr>
        <w:t xml:space="preserve">         </w:t>
      </w:r>
      <w:r>
        <w:rPr>
          <w:rFonts w:ascii="Wingdings" w:hAnsi="Wingdings" w:eastAsia="Wingdings" w:cs="Wingdings"/>
          <w:sz w:val="24"/>
          <w:szCs w:val="24"/>
        </w:rPr>
        <w:t xml:space="preserve">¨</w:t>
      </w:r>
      <w:r>
        <w:rPr>
          <w:rFonts w:hint="eastAsia" w:ascii="宋体" w:hAnsi="宋体" w:eastAsia="宋体" w:cs="宋体"/>
          <w:sz w:val="24"/>
          <w:szCs w:val="24"/>
          <w:lang w:eastAsia="zh-CN"/>
        </w:rPr>
        <w:t xml:space="preserve">是，《节能产品政府采购品目清单》的底级品目名称：</w:t>
      </w:r>
      <w:r>
        <w:rPr>
          <w:rFonts w:hint="eastAsia" w:ascii="宋体" w:hAnsi="宋体" w:eastAsia="宋体" w:cs="宋体"/>
          <w:sz w:val="24"/>
          <w:szCs w:val="24"/>
          <w:u w:val="single"/>
          <w:lang w:eastAsia="zh-CN"/>
        </w:rPr>
        <w:t xml:space="preserve">         </w:t>
      </w:r>
      <w:r>
        <w:rPr>
          <w:rFonts w:hint="eastAsia" w:ascii="宋体" w:hAnsi="宋体" w:eastAsia="宋体" w:cs="宋体"/>
          <w:iCs/>
          <w:sz w:val="24"/>
          <w:szCs w:val="24"/>
          <w:lang w:eastAsia="zh-CN"/>
        </w:rPr>
        <w:t xml:space="preserve">     </w:t>
      </w:r>
      <w:r/>
    </w:p>
    <w:p>
      <w:pPr>
        <w:numPr>
          <w:ilvl w:val="255"/>
          <w:numId w:val="0"/>
        </w:numPr>
        <w:spacing w:line="380" w:lineRule="exact"/>
        <w:tabs>
          <w:tab w:val="left" w:pos="740" w:leader="none"/>
        </w:tabs>
        <w:rPr>
          <w:rFonts w:hint="eastAsia" w:ascii="宋体" w:hAnsi="宋体" w:eastAsia="宋体" w:cs="宋体"/>
          <w:iCs/>
          <w:sz w:val="24"/>
          <w:szCs w:val="24"/>
          <w:lang w:eastAsia="zh-CN"/>
        </w:rPr>
      </w:pPr>
      <w:r>
        <w:rPr>
          <w:rFonts w:hint="eastAsia" w:ascii="宋体" w:hAnsi="宋体" w:eastAsia="宋体" w:cs="宋体"/>
          <w:iCs/>
          <w:sz w:val="24"/>
          <w:szCs w:val="24"/>
          <w:lang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强制采购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优先采购    </w:t>
      </w:r>
      <w:r/>
    </w:p>
    <w:p>
      <w:pPr>
        <w:numPr>
          <w:ilvl w:val="255"/>
          <w:numId w:val="0"/>
        </w:numPr>
        <w:spacing w:line="380" w:lineRule="exact"/>
        <w:tabs>
          <w:tab w:val="left" w:pos="740" w:leader="none"/>
        </w:tabs>
        <w:rPr>
          <w:rFonts w:hint="eastAsia" w:ascii="宋体" w:hAnsi="宋体" w:eastAsia="宋体" w:cs="宋体"/>
          <w:sz w:val="24"/>
          <w:szCs w:val="24"/>
          <w:lang w:eastAsia="zh-CN"/>
        </w:rPr>
      </w:pPr>
      <w:r>
        <w:rPr>
          <w:rFonts w:hint="eastAsia" w:ascii="宋体" w:hAnsi="宋体" w:eastAsia="宋体" w:cs="宋体"/>
          <w:iCs/>
          <w:sz w:val="24"/>
          <w:szCs w:val="24"/>
          <w:lang w:eastAsia="zh-CN"/>
        </w:rPr>
        <w:t xml:space="preserve">         </w:t>
      </w:r>
      <w:r>
        <w:rPr>
          <w:rFonts w:ascii="Wingdings" w:hAnsi="Wingdings" w:eastAsia="Wingdings" w:cs="Wingdings"/>
          <w:sz w:val="24"/>
          <w:szCs w:val="24"/>
        </w:rPr>
        <w:t xml:space="preserve">þ</w:t>
      </w:r>
      <w:r>
        <w:rPr>
          <w:rFonts w:hint="eastAsia" w:ascii="宋体" w:hAnsi="宋体" w:eastAsia="宋体" w:cs="宋体"/>
          <w:sz w:val="24"/>
          <w:szCs w:val="24"/>
          <w:lang w:eastAsia="zh-CN"/>
        </w:rPr>
        <w:t xml:space="preserve">否</w:t>
      </w:r>
      <w:r/>
    </w:p>
    <w:p>
      <w:pPr>
        <w:numPr>
          <w:ilvl w:val="255"/>
          <w:numId w:val="0"/>
        </w:numPr>
        <w:spacing w:line="380" w:lineRule="exact"/>
        <w:tabs>
          <w:tab w:val="left" w:pos="74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是否涉及环境标志产品：</w:t>
      </w:r>
      <w:r/>
    </w:p>
    <w:p>
      <w:pPr>
        <w:numPr>
          <w:ilvl w:val="255"/>
          <w:numId w:val="0"/>
        </w:numPr>
        <w:spacing w:line="380" w:lineRule="exact"/>
        <w:tabs>
          <w:tab w:val="left" w:pos="74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w:t>
      </w:r>
      <w:r>
        <w:rPr>
          <w:rFonts w:ascii="Wingdings" w:hAnsi="Wingdings" w:eastAsia="Wingdings" w:cs="Wingdings"/>
          <w:sz w:val="24"/>
          <w:szCs w:val="24"/>
        </w:rPr>
        <w:t xml:space="preserve">¨</w:t>
      </w:r>
      <w:r>
        <w:rPr>
          <w:rFonts w:hint="eastAsia" w:ascii="宋体" w:hAnsi="宋体" w:eastAsia="宋体" w:cs="宋体"/>
          <w:sz w:val="24"/>
          <w:szCs w:val="24"/>
          <w:lang w:eastAsia="zh-CN"/>
        </w:rPr>
        <w:t xml:space="preserve">是，《环境标志产品政府采购品目清单》的底级品目名称：</w:t>
      </w:r>
      <w:r>
        <w:rPr>
          <w:rFonts w:hint="eastAsia" w:ascii="宋体" w:hAnsi="宋体" w:eastAsia="宋体" w:cs="宋体"/>
          <w:sz w:val="24"/>
          <w:szCs w:val="24"/>
          <w:u w:val="single"/>
          <w:lang w:eastAsia="zh-CN"/>
        </w:rPr>
        <w:t xml:space="preserve">         </w:t>
      </w:r>
      <w:r>
        <w:rPr>
          <w:rFonts w:hint="eastAsia" w:ascii="宋体" w:hAnsi="宋体" w:eastAsia="宋体" w:cs="宋体"/>
          <w:iCs/>
          <w:sz w:val="24"/>
          <w:szCs w:val="24"/>
          <w:lang w:eastAsia="zh-CN"/>
        </w:rPr>
        <w:t xml:space="preserve"> </w:t>
      </w:r>
      <w:r/>
    </w:p>
    <w:p>
      <w:pPr>
        <w:numPr>
          <w:ilvl w:val="255"/>
          <w:numId w:val="0"/>
        </w:numPr>
        <w:spacing w:line="380" w:lineRule="exact"/>
        <w:tabs>
          <w:tab w:val="left" w:pos="740" w:leader="none"/>
        </w:tabs>
        <w:rPr>
          <w:rFonts w:hint="eastAsia" w:ascii="宋体" w:hAnsi="宋体" w:eastAsia="宋体" w:cs="宋体"/>
          <w:iCs/>
          <w:sz w:val="24"/>
          <w:szCs w:val="24"/>
          <w:lang w:eastAsia="zh-CN"/>
        </w:rPr>
      </w:pPr>
      <w:r>
        <w:rPr>
          <w:rFonts w:hint="eastAsia" w:ascii="宋体" w:hAnsi="宋体" w:eastAsia="宋体" w:cs="宋体"/>
          <w:iCs/>
          <w:sz w:val="24"/>
          <w:szCs w:val="24"/>
          <w:lang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强制采购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优先采购    </w:t>
      </w:r>
      <w:r/>
    </w:p>
    <w:p>
      <w:pPr>
        <w:numPr>
          <w:ilvl w:val="255"/>
          <w:numId w:val="0"/>
        </w:numPr>
        <w:spacing w:line="380" w:lineRule="exact"/>
        <w:tabs>
          <w:tab w:val="left" w:pos="740" w:leader="none"/>
        </w:tabs>
        <w:rPr>
          <w:rFonts w:hint="eastAsia" w:ascii="宋体" w:hAnsi="宋体" w:eastAsia="宋体" w:cs="宋体"/>
          <w:sz w:val="24"/>
          <w:szCs w:val="24"/>
          <w:lang w:eastAsia="zh-CN"/>
        </w:rPr>
      </w:pPr>
      <w:r>
        <w:rPr>
          <w:rFonts w:hint="eastAsia" w:ascii="宋体" w:hAnsi="宋体" w:eastAsia="宋体" w:cs="宋体"/>
          <w:iCs/>
          <w:sz w:val="24"/>
          <w:szCs w:val="24"/>
          <w:lang w:eastAsia="zh-CN"/>
        </w:rPr>
        <w:t xml:space="preserve">         </w:t>
      </w:r>
      <w:r>
        <w:rPr>
          <w:rFonts w:ascii="Wingdings" w:hAnsi="Wingdings" w:eastAsia="Wingdings" w:cs="Wingdings"/>
          <w:sz w:val="24"/>
          <w:szCs w:val="24"/>
        </w:rPr>
        <w:t xml:space="preserve">þ</w:t>
      </w:r>
      <w:r>
        <w:rPr>
          <w:rFonts w:hint="eastAsia" w:ascii="宋体" w:hAnsi="宋体" w:eastAsia="宋体" w:cs="宋体"/>
          <w:sz w:val="24"/>
          <w:szCs w:val="24"/>
          <w:lang w:eastAsia="zh-CN"/>
        </w:rPr>
        <w:t xml:space="preserve">否</w:t>
      </w:r>
      <w:r/>
    </w:p>
    <w:p>
      <w:pPr>
        <w:pStyle w:val="1063"/>
        <w:numPr>
          <w:ilvl w:val="255"/>
          <w:numId w:val="0"/>
        </w:numPr>
        <w:spacing w:line="380" w:lineRule="exac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t xml:space="preserve">是否涉及绿色产品： </w:t>
      </w:r>
      <w:r/>
    </w:p>
    <w:p>
      <w:pPr>
        <w:pStyle w:val="1063"/>
        <w:ind w:firstLine="420"/>
        <w:spacing w:line="380" w:lineRule="exact"/>
        <w:rPr>
          <w:rFonts w:hint="eastAsia" w:ascii="宋体" w:hAnsi="宋体" w:eastAsia="宋体" w:cs="宋体"/>
          <w:sz w:val="24"/>
          <w:szCs w:val="24"/>
          <w:u w:val="single"/>
        </w:rPr>
      </w:pPr>
      <w:r>
        <w:rPr>
          <w:rFonts w:hint="eastAsia" w:ascii="宋体" w:hAnsi="宋体" w:eastAsia="宋体" w:cs="宋体"/>
          <w:sz w:val="24"/>
          <w:szCs w:val="24"/>
        </w:rPr>
        <w:t xml:space="preserve">     </w:t>
      </w:r>
      <w:r>
        <w:rPr>
          <w:rFonts w:ascii="Wingdings" w:hAnsi="Wingdings" w:eastAsia="Wingdings" w:cs="Wingdings"/>
          <w:sz w:val="24"/>
          <w:szCs w:val="24"/>
        </w:rPr>
        <w:t xml:space="preserve">¨</w:t>
      </w:r>
      <w:r>
        <w:rPr>
          <w:rFonts w:hint="eastAsia" w:ascii="宋体" w:hAnsi="宋体" w:eastAsia="宋体" w:cs="宋体"/>
          <w:sz w:val="24"/>
          <w:szCs w:val="24"/>
        </w:rPr>
        <w:t xml:space="preserve">是，绿色产品政府采购相关政策确定的底级品目名称：</w:t>
      </w:r>
      <w:r>
        <w:rPr>
          <w:rFonts w:hint="eastAsia" w:ascii="宋体" w:hAnsi="宋体" w:eastAsia="宋体" w:cs="宋体"/>
          <w:sz w:val="24"/>
          <w:szCs w:val="24"/>
          <w:u w:val="single"/>
        </w:rPr>
        <w:t xml:space="preserve">         </w:t>
      </w:r>
      <w:r/>
    </w:p>
    <w:p>
      <w:pPr>
        <w:numPr>
          <w:ilvl w:val="255"/>
          <w:numId w:val="0"/>
        </w:numPr>
        <w:spacing w:line="380" w:lineRule="exact"/>
        <w:tabs>
          <w:tab w:val="left" w:pos="740" w:leader="none"/>
        </w:tabs>
        <w:rPr>
          <w:rFonts w:hint="eastAsia" w:ascii="宋体" w:hAnsi="宋体" w:eastAsia="宋体" w:cs="宋体"/>
          <w:iCs/>
          <w:sz w:val="24"/>
          <w:szCs w:val="24"/>
          <w:lang w:eastAsia="zh-CN"/>
        </w:rPr>
      </w:pPr>
      <w:r>
        <w:rPr>
          <w:rFonts w:hint="eastAsia" w:ascii="宋体" w:hAnsi="宋体" w:eastAsia="宋体" w:cs="宋体"/>
          <w:iCs/>
          <w:sz w:val="24"/>
          <w:szCs w:val="24"/>
          <w:lang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强制采购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优先采购    </w:t>
      </w:r>
      <w:r/>
    </w:p>
    <w:p>
      <w:pPr>
        <w:pStyle w:val="1063"/>
        <w:ind w:firstLine="420"/>
        <w:spacing w:line="380" w:lineRule="exact"/>
        <w:rPr>
          <w:rFonts w:hint="eastAsia" w:ascii="宋体" w:hAnsi="宋体" w:eastAsia="宋体" w:cs="宋体"/>
          <w:sz w:val="24"/>
          <w:szCs w:val="24"/>
        </w:rPr>
      </w:pPr>
      <w:r>
        <w:rPr>
          <w:rFonts w:hint="eastAsia" w:ascii="宋体" w:hAnsi="宋体" w:eastAsia="宋体" w:cs="宋体"/>
          <w:sz w:val="24"/>
          <w:szCs w:val="24"/>
        </w:rPr>
        <w:t xml:space="preserve">     </w:t>
      </w:r>
      <w:r>
        <w:rPr>
          <w:rFonts w:ascii="Wingdings" w:hAnsi="Wingdings" w:eastAsia="Wingdings" w:cs="Wingdings"/>
          <w:sz w:val="24"/>
          <w:szCs w:val="24"/>
        </w:rPr>
        <w:t xml:space="preserve">¨</w:t>
      </w:r>
      <w:r>
        <w:rPr>
          <w:rFonts w:hint="eastAsia" w:ascii="宋体" w:hAnsi="宋体" w:eastAsia="宋体" w:cs="宋体"/>
          <w:sz w:val="24"/>
          <w:szCs w:val="24"/>
        </w:rPr>
        <w:t xml:space="preserve">否</w:t>
      </w:r>
      <w:r/>
    </w:p>
    <w:p>
      <w:pPr>
        <w:numPr>
          <w:ilvl w:val="255"/>
          <w:numId w:val="0"/>
        </w:numPr>
        <w:spacing w:line="3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（1</w:t>
      </w:r>
      <w:r>
        <w:rPr>
          <w:rFonts w:hint="eastAsia" w:ascii="宋体" w:hAnsi="宋体" w:eastAsia="宋体" w:cs="宋体"/>
          <w:sz w:val="24"/>
          <w:szCs w:val="24"/>
          <w:lang w:val="en" w:eastAsia="zh-CN"/>
        </w:rPr>
        <w:t xml:space="preserve">1</w:t>
      </w:r>
      <w:r>
        <w:rPr>
          <w:rFonts w:hint="eastAsia" w:ascii="宋体" w:hAnsi="宋体" w:eastAsia="宋体" w:cs="宋体"/>
          <w:sz w:val="24"/>
          <w:szCs w:val="24"/>
          <w:lang w:eastAsia="zh-CN"/>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60"/>
        <w:spacing w:line="380" w:lineRule="exact"/>
        <w:rPr>
          <w:rFonts w:hint="eastAsia" w:ascii="宋体" w:hAnsi="宋体" w:eastAsia="宋体" w:cs="宋体"/>
          <w:sz w:val="24"/>
          <w:szCs w:val="24"/>
        </w:rPr>
      </w:pPr>
      <w:r>
        <w:rPr>
          <w:rFonts w:ascii="Wingdings" w:hAnsi="Wingdings" w:eastAsia="Wingdings" w:cs="Wingdings"/>
          <w:sz w:val="24"/>
          <w:szCs w:val="24"/>
        </w:rPr>
        <w:t xml:space="preserve">¨</w:t>
      </w:r>
      <w:r>
        <w:rPr>
          <w:rFonts w:hint="eastAsia" w:ascii="宋体" w:hAnsi="宋体" w:eastAsia="宋体" w:cs="宋体"/>
          <w:sz w:val="24"/>
          <w:szCs w:val="24"/>
        </w:rPr>
        <w:t xml:space="preserve">是       </w:t>
      </w:r>
      <w:r>
        <w:rPr>
          <w:rFonts w:ascii="Wingdings" w:hAnsi="Wingdings" w:eastAsia="Wingdings" w:cs="Wingdings"/>
          <w:sz w:val="24"/>
          <w:szCs w:val="24"/>
        </w:rPr>
        <w:t xml:space="preserve">¨</w:t>
      </w:r>
      <w:r>
        <w:rPr>
          <w:rFonts w:hint="eastAsia" w:ascii="宋体" w:hAnsi="宋体" w:eastAsia="宋体" w:cs="宋体"/>
          <w:sz w:val="24"/>
          <w:szCs w:val="24"/>
        </w:rPr>
        <w:t xml:space="preserve">否      </w:t>
      </w:r>
      <w:r>
        <w:rPr>
          <w:rFonts w:ascii="Wingdings" w:hAnsi="Wingdings" w:eastAsia="Wingdings" w:cs="Wingdings"/>
          <w:sz w:val="24"/>
          <w:szCs w:val="24"/>
        </w:rPr>
        <w:t xml:space="preserve">¨</w:t>
      </w:r>
      <w:r>
        <w:rPr>
          <w:rFonts w:hint="eastAsia" w:ascii="宋体" w:hAnsi="宋体" w:eastAsia="宋体" w:cs="宋体"/>
          <w:sz w:val="24"/>
          <w:szCs w:val="24"/>
        </w:rPr>
        <w:t xml:space="preserve">不涉及</w:t>
      </w:r>
      <w:r/>
    </w:p>
    <w:p>
      <w:pPr>
        <w:numPr>
          <w:ilvl w:val="0"/>
          <w:numId w:val="40"/>
        </w:numPr>
        <w:ind w:firstLine="482"/>
        <w:spacing w:line="380" w:lineRule="exact"/>
        <w:rPr>
          <w:rFonts w:hint="eastAsia" w:ascii="宋体" w:hAnsi="宋体" w:eastAsia="宋体" w:cs="宋体"/>
          <w:b/>
          <w:sz w:val="24"/>
          <w:szCs w:val="24"/>
        </w:rPr>
      </w:pPr>
      <w:r>
        <w:rPr>
          <w:rFonts w:hint="eastAsia" w:ascii="宋体" w:hAnsi="宋体" w:eastAsia="宋体" w:cs="宋体"/>
          <w:b/>
          <w:sz w:val="24"/>
          <w:szCs w:val="24"/>
        </w:rPr>
        <w:t xml:space="preserve">合同金额</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（1）合同金额小写：</w:t>
      </w:r>
      <w:r>
        <w:rPr>
          <w:rFonts w:hint="eastAsia" w:ascii="宋体" w:hAnsi="宋体" w:eastAsia="宋体" w:cs="宋体"/>
          <w:sz w:val="24"/>
          <w:szCs w:val="24"/>
          <w:u w:val="single"/>
        </w:rPr>
        <w:t xml:space="preserve">                           </w:t>
      </w:r>
      <w:r/>
    </w:p>
    <w:p>
      <w:pPr>
        <w:spacing w:line="380" w:lineRule="exact"/>
        <w:rPr>
          <w:rFonts w:hint="eastAsia" w:ascii="宋体" w:hAnsi="宋体" w:eastAsia="宋体" w:cs="宋体"/>
          <w:sz w:val="24"/>
          <w:szCs w:val="24"/>
          <w:u w:val="single"/>
        </w:rPr>
      </w:pPr>
      <w:r>
        <w:rPr>
          <w:rFonts w:hint="eastAsia" w:ascii="宋体" w:hAnsi="宋体" w:eastAsia="宋体" w:cs="宋体"/>
          <w:sz w:val="24"/>
          <w:szCs w:val="24"/>
        </w:rPr>
        <w:t xml:space="preserve">                 大写：</w:t>
      </w:r>
      <w:r>
        <w:rPr>
          <w:rFonts w:hint="eastAsia" w:ascii="宋体" w:hAnsi="宋体" w:eastAsia="宋体" w:cs="宋体"/>
          <w:sz w:val="24"/>
          <w:szCs w:val="24"/>
          <w:u w:val="single"/>
        </w:rPr>
        <w:t xml:space="preserve">                           </w:t>
      </w:r>
      <w:r/>
    </w:p>
    <w:p>
      <w:pPr>
        <w:spacing w:line="3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（2）合同定价方式：</w:t>
      </w:r>
      <w:r>
        <w:rPr>
          <w:rFonts w:hint="eastAsia" w:ascii="宋体" w:hAnsi="宋体" w:eastAsia="宋体" w:cs="宋体"/>
          <w:iCs/>
          <w:sz w:val="24"/>
          <w:szCs w:val="24"/>
          <w:lang w:eastAsia="zh-CN"/>
        </w:rPr>
        <w:t xml:space="preserve">固定总价</w:t>
      </w:r>
      <w:r/>
    </w:p>
    <w:p>
      <w:pPr>
        <w:pStyle w:val="1131"/>
        <w:ind w:firstLine="440"/>
        <w:spacing w:line="380" w:lineRule="exact"/>
        <w:rPr>
          <w:rFonts w:hint="eastAsia" w:ascii="宋体" w:hAnsi="宋体" w:eastAsia="宋体" w:cs="宋体"/>
          <w:sz w:val="24"/>
          <w:lang w:eastAsia="zh-CN"/>
        </w:rPr>
      </w:pPr>
      <w:r>
        <w:rPr>
          <w:rFonts w:hint="eastAsia" w:ascii="宋体" w:hAnsi="宋体" w:eastAsia="宋体" w:cs="宋体"/>
          <w:sz w:val="24"/>
          <w:lang w:eastAsia="zh-CN"/>
        </w:rPr>
        <w:t xml:space="preserve">（3）付款方式：</w:t>
      </w:r>
      <w:r/>
    </w:p>
    <w:p>
      <w:pPr>
        <w:ind w:firstLine="720"/>
        <w:spacing w:line="380" w:lineRule="exact"/>
        <w:rPr>
          <w:rFonts w:hint="eastAsia" w:ascii="宋体" w:hAnsi="宋体" w:eastAsia="宋体" w:cs="宋体"/>
          <w:sz w:val="24"/>
          <w:szCs w:val="24"/>
          <w:u w:val="single"/>
          <w:lang w:eastAsia="zh-CN"/>
        </w:rPr>
      </w:pPr>
      <w:r>
        <w:rPr>
          <w:rFonts w:ascii="Wingdings" w:hAnsi="Wingdings" w:eastAsia="Wingdings" w:cs="Wingdings"/>
          <w:sz w:val="24"/>
          <w:szCs w:val="24"/>
        </w:rPr>
        <w:t xml:space="preserve">¨</w:t>
      </w:r>
      <w:r>
        <w:rPr>
          <w:rFonts w:hint="eastAsia" w:ascii="宋体" w:hAnsi="宋体" w:eastAsia="宋体" w:cs="宋体"/>
          <w:sz w:val="24"/>
          <w:szCs w:val="24"/>
          <w:lang w:eastAsia="zh-CN"/>
        </w:rPr>
        <w:t xml:space="preserve">全额付款：</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eastAsia="zh-CN"/>
        </w:rPr>
        <w:t xml:space="preserve">                    </w:t>
      </w:r>
      <w:r/>
    </w:p>
    <w:p>
      <w:pPr>
        <w:ind w:firstLine="720"/>
        <w:spacing w:line="380" w:lineRule="exact"/>
        <w:rPr>
          <w:rFonts w:hint="eastAsia" w:ascii="宋体" w:hAnsi="宋体" w:eastAsia="宋体" w:cs="宋体"/>
          <w:sz w:val="24"/>
          <w:szCs w:val="24"/>
          <w:lang w:eastAsia="zh-CN"/>
        </w:rPr>
      </w:pPr>
      <w:r>
        <w:rPr>
          <w:rFonts w:ascii="Wingdings" w:hAnsi="Wingdings" w:eastAsia="Wingdings" w:cs="Wingdings"/>
          <w:sz w:val="24"/>
          <w:szCs w:val="24"/>
        </w:rPr>
        <w:t xml:space="preserve">þ</w:t>
      </w:r>
      <w:r>
        <w:rPr>
          <w:rFonts w:hint="eastAsia" w:ascii="宋体" w:hAnsi="宋体" w:eastAsia="宋体" w:cs="宋体"/>
          <w:sz w:val="24"/>
          <w:szCs w:val="24"/>
          <w:lang w:eastAsia="zh-CN"/>
        </w:rPr>
        <w:t xml:space="preserve">分期付款：</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val="en-US" w:eastAsia="zh-CN"/>
        </w:rPr>
        <w:t xml:space="preserve">以采购文件中的付款方式为准</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，其中涉及预付款的：</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val="en-US" w:eastAsia="zh-CN"/>
        </w:rPr>
        <w:t xml:space="preserve">以采购文件中的付款方式为准</w:t>
      </w:r>
      <w:r>
        <w:rPr>
          <w:rFonts w:hint="eastAsia" w:ascii="宋体" w:hAnsi="宋体" w:eastAsia="宋体" w:cs="宋体"/>
          <w:sz w:val="24"/>
          <w:szCs w:val="24"/>
          <w:u w:val="single"/>
          <w:lang w:eastAsia="zh-CN"/>
        </w:rPr>
        <w:t xml:space="preserve">） </w:t>
      </w:r>
      <w:r/>
    </w:p>
    <w:p>
      <w:pPr>
        <w:ind w:firstLine="720"/>
        <w:spacing w:line="380" w:lineRule="exact"/>
        <w:rPr>
          <w:rFonts w:hint="eastAsia" w:ascii="宋体" w:hAnsi="宋体" w:eastAsia="宋体" w:cs="宋体"/>
          <w:sz w:val="24"/>
          <w:szCs w:val="24"/>
          <w:u w:val="single"/>
          <w:lang w:eastAsia="zh-CN"/>
        </w:rPr>
      </w:pPr>
      <w:r>
        <w:rPr>
          <w:rFonts w:ascii="Wingdings" w:hAnsi="Wingdings" w:eastAsia="Wingdings" w:cs="Wingdings"/>
          <w:sz w:val="24"/>
          <w:szCs w:val="24"/>
        </w:rPr>
        <w:t xml:space="preserve">¨</w:t>
      </w:r>
      <w:r>
        <w:rPr>
          <w:rFonts w:hint="eastAsia" w:ascii="宋体" w:hAnsi="宋体" w:eastAsia="宋体" w:cs="宋体"/>
          <w:sz w:val="24"/>
          <w:szCs w:val="24"/>
          <w:lang w:eastAsia="zh-CN"/>
        </w:rPr>
        <w:t xml:space="preserve">成本补偿：</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eastAsia="zh-CN"/>
        </w:rPr>
        <w:t xml:space="preserve">   </w:t>
      </w:r>
      <w:r/>
    </w:p>
    <w:p>
      <w:pPr>
        <w:ind w:firstLine="720"/>
        <w:spacing w:line="380" w:lineRule="exact"/>
        <w:rPr>
          <w:rFonts w:hint="eastAsia" w:ascii="宋体" w:hAnsi="宋体" w:eastAsia="宋体" w:cs="宋体"/>
          <w:sz w:val="24"/>
          <w:szCs w:val="24"/>
          <w:lang w:eastAsia="zh-CN"/>
        </w:rPr>
      </w:pPr>
      <w:r>
        <w:rPr>
          <w:rFonts w:ascii="Wingdings" w:hAnsi="Wingdings" w:eastAsia="Wingdings" w:cs="Wingdings"/>
          <w:sz w:val="24"/>
          <w:szCs w:val="24"/>
        </w:rPr>
        <w:t xml:space="preserve">¨</w:t>
      </w:r>
      <w:r>
        <w:rPr>
          <w:rFonts w:hint="eastAsia" w:ascii="宋体" w:hAnsi="宋体" w:eastAsia="宋体" w:cs="宋体"/>
          <w:sz w:val="24"/>
          <w:szCs w:val="24"/>
          <w:lang w:eastAsia="zh-CN"/>
        </w:rPr>
        <w:t xml:space="preserve">绩效激励：</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eastAsia="zh-CN"/>
        </w:rPr>
        <w:t xml:space="preserve">   </w:t>
      </w:r>
      <w:r/>
    </w:p>
    <w:p>
      <w:pPr>
        <w:numPr>
          <w:ilvl w:val="0"/>
          <w:numId w:val="40"/>
        </w:numPr>
        <w:ind w:firstLine="482"/>
        <w:spacing w:line="380" w:lineRule="exact"/>
        <w:rPr>
          <w:rFonts w:hint="eastAsia" w:ascii="宋体" w:hAnsi="宋体" w:eastAsia="宋体" w:cs="宋体"/>
          <w:b/>
          <w:sz w:val="24"/>
          <w:szCs w:val="24"/>
          <w:u w:val="single"/>
        </w:rPr>
      </w:pPr>
      <w:r>
        <w:rPr>
          <w:rFonts w:hint="eastAsia" w:ascii="宋体" w:hAnsi="宋体" w:eastAsia="宋体" w:cs="宋体"/>
          <w:b/>
          <w:sz w:val="24"/>
          <w:szCs w:val="24"/>
        </w:rPr>
        <w:t xml:space="preserve">合同履行</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（1）起始日期：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日，完成日期：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ind w:firstLine="480"/>
        <w:spacing w:line="380" w:lineRule="exact"/>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 xml:space="preserve">（2）履约地点</w:t>
      </w:r>
      <w:r>
        <w:rPr>
          <w:rFonts w:hint="eastAsia" w:ascii="宋体" w:hAnsi="宋体" w:eastAsia="宋体" w:cs="宋体"/>
          <w:bCs/>
          <w:sz w:val="24"/>
          <w:szCs w:val="24"/>
          <w:lang w:eastAsia="zh-CN"/>
        </w:rPr>
        <w:t xml:space="preserve">：</w:t>
      </w:r>
      <w:r>
        <w:rPr>
          <w:rFonts w:hint="eastAsia" w:ascii="宋体" w:hAnsi="宋体" w:eastAsia="宋体" w:cs="宋体"/>
          <w:sz w:val="24"/>
          <w:szCs w:val="24"/>
          <w:u w:val="single"/>
          <w:lang w:eastAsia="zh-CN"/>
        </w:rPr>
        <w:t xml:space="preserve">                             </w:t>
      </w:r>
      <w:r/>
    </w:p>
    <w:p>
      <w:pPr>
        <w:ind w:firstLine="480"/>
        <w:spacing w:line="380" w:lineRule="exact"/>
        <w:rPr>
          <w:rFonts w:hint="eastAsia" w:ascii="宋体" w:hAnsi="宋体" w:eastAsia="宋体" w:cs="宋体"/>
          <w:sz w:val="24"/>
          <w:szCs w:val="24"/>
          <w:lang w:eastAsia="zh-CN"/>
        </w:rPr>
      </w:pPr>
      <w:r>
        <w:rPr>
          <w:rFonts w:hint="eastAsia" w:ascii="宋体" w:hAnsi="宋体" w:eastAsia="宋体" w:cs="宋体"/>
          <w:bCs/>
          <w:sz w:val="24"/>
          <w:szCs w:val="24"/>
          <w:lang w:eastAsia="zh-CN"/>
        </w:rPr>
        <w:t xml:space="preserve">（3）履约担保：</w:t>
      </w:r>
      <w:r>
        <w:rPr>
          <w:rFonts w:hint="eastAsia" w:ascii="宋体" w:hAnsi="宋体" w:eastAsia="宋体" w:cs="宋体"/>
          <w:sz w:val="24"/>
          <w:szCs w:val="24"/>
          <w:lang w:eastAsia="zh-CN"/>
        </w:rPr>
        <w:t xml:space="preserve">是否收取履约保证金：是</w:t>
      </w:r>
      <w:r/>
    </w:p>
    <w:p>
      <w:pPr>
        <w:ind w:firstLine="480"/>
        <w:spacing w:line="38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（4）分期履行要求：</w:t>
      </w:r>
      <w:r>
        <w:rPr>
          <w:rFonts w:hint="eastAsia" w:ascii="宋体" w:hAnsi="宋体" w:eastAsia="宋体" w:cs="宋体"/>
          <w:color w:val="000000" w:themeColor="text1"/>
          <w:sz w:val="24"/>
          <w:szCs w:val="24"/>
          <w:u w:val="single"/>
          <w:lang w:eastAsia="zh-CN"/>
          <w14:textFill>
            <w14:solidFill>
              <w14:schemeClr w14:val="tx1"/>
            </w14:solidFill>
          </w14:textFill>
        </w:rPr>
        <w:t xml:space="preserve">             </w:t>
      </w:r>
      <w:r>
        <w:rPr>
          <w:rFonts w:hint="eastAsia" w:ascii="宋体" w:hAnsi="宋体" w:eastAsia="宋体" w:cs="宋体"/>
          <w:sz w:val="24"/>
          <w:szCs w:val="24"/>
          <w:u w:val="single"/>
          <w:lang w:eastAsia="zh-CN"/>
        </w:rPr>
        <w:t xml:space="preserve">                    </w:t>
      </w:r>
      <w:r>
        <w:rPr>
          <w:rFonts w:hint="eastAsia" w:ascii="宋体" w:hAnsi="宋体" w:eastAsia="宋体" w:cs="宋体"/>
          <w:bCs/>
          <w:sz w:val="24"/>
          <w:szCs w:val="24"/>
          <w:lang w:eastAsia="zh-CN"/>
        </w:rPr>
        <w:t xml:space="preserve">                                                        </w:t>
      </w:r>
      <w:r/>
    </w:p>
    <w:p>
      <w:pPr>
        <w:ind w:firstLine="480"/>
        <w:spacing w:line="380" w:lineRule="exact"/>
        <w:rPr>
          <w:rFonts w:hint="eastAsia" w:ascii="宋体" w:hAnsi="宋体" w:eastAsia="宋体" w:cs="宋体"/>
          <w:sz w:val="24"/>
          <w:szCs w:val="24"/>
          <w:u w:val="single"/>
          <w:lang w:eastAsia="zh-CN"/>
        </w:rPr>
      </w:pPr>
      <w:r>
        <w:rPr>
          <w:rFonts w:hint="eastAsia" w:ascii="宋体" w:hAnsi="宋体" w:eastAsia="宋体" w:cs="宋体"/>
          <w:bCs/>
          <w:sz w:val="24"/>
          <w:szCs w:val="24"/>
          <w:lang w:eastAsia="zh-CN"/>
        </w:rPr>
        <w:t xml:space="preserve">（5）风险处置措施和替代方案：</w:t>
      </w:r>
      <w:r>
        <w:rPr>
          <w:rFonts w:hint="eastAsia" w:ascii="宋体" w:hAnsi="宋体" w:eastAsia="宋体" w:cs="宋体"/>
          <w:color w:val="0000ff"/>
          <w:sz w:val="24"/>
          <w:szCs w:val="24"/>
          <w:u w:val="single"/>
          <w:lang w:eastAsia="zh-CN"/>
        </w:rPr>
        <w:t xml:space="preserve"> </w:t>
      </w:r>
      <w:r>
        <w:rPr>
          <w:rFonts w:hint="eastAsia" w:ascii="宋体" w:hAnsi="宋体" w:eastAsia="宋体" w:cs="宋体"/>
          <w:color w:val="000000" w:themeColor="text1"/>
          <w:sz w:val="24"/>
          <w:szCs w:val="24"/>
          <w:u w:val="single"/>
          <w:lang w:eastAsia="zh-CN"/>
          <w14:textFill>
            <w14:solidFill>
              <w14:schemeClr w14:val="tx1"/>
            </w14:solidFill>
          </w14:textFill>
        </w:rPr>
        <w:t xml:space="preserve">              </w:t>
      </w:r>
      <w:r>
        <w:rPr>
          <w:rFonts w:hint="eastAsia" w:ascii="宋体" w:hAnsi="宋体" w:eastAsia="宋体" w:cs="宋体"/>
          <w:sz w:val="24"/>
          <w:szCs w:val="24"/>
          <w:u w:val="single"/>
          <w:lang w:eastAsia="zh-CN"/>
        </w:rPr>
        <w:t xml:space="preserve">                                                </w:t>
      </w:r>
      <w:r/>
    </w:p>
    <w:p>
      <w:pPr>
        <w:numPr>
          <w:ilvl w:val="0"/>
          <w:numId w:val="40"/>
        </w:numPr>
        <w:ind w:firstLine="482"/>
        <w:spacing w:line="380" w:lineRule="exact"/>
        <w:rPr>
          <w:rFonts w:hint="eastAsia" w:ascii="宋体" w:hAnsi="宋体" w:eastAsia="宋体" w:cs="宋体"/>
          <w:b/>
          <w:sz w:val="24"/>
          <w:szCs w:val="24"/>
        </w:rPr>
      </w:pPr>
      <w:r>
        <w:rPr>
          <w:rFonts w:hint="eastAsia" w:ascii="宋体" w:hAnsi="宋体" w:eastAsia="宋体" w:cs="宋体"/>
          <w:b/>
          <w:sz w:val="24"/>
          <w:szCs w:val="24"/>
        </w:rPr>
        <w:t xml:space="preserve">合同验收</w:t>
      </w:r>
      <w:r/>
    </w:p>
    <w:p>
      <w:pPr>
        <w:numPr>
          <w:ilvl w:val="0"/>
          <w:numId w:val="42"/>
        </w:numPr>
        <w:ind w:firstLine="480"/>
        <w:spacing w:line="38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验收组织方式：</w:t>
      </w:r>
      <w:r>
        <w:rPr>
          <w:rFonts w:ascii="Wingdings" w:hAnsi="Wingdings" w:eastAsia="Wingdings" w:cs="Wingdings"/>
          <w:sz w:val="24"/>
          <w:szCs w:val="24"/>
        </w:rPr>
        <w:t xml:space="preserve">¨</w:t>
      </w:r>
      <w:r>
        <w:rPr>
          <w:rFonts w:hint="eastAsia" w:ascii="宋体" w:hAnsi="宋体" w:eastAsia="宋体" w:cs="宋体"/>
          <w:bCs/>
          <w:sz w:val="24"/>
          <w:szCs w:val="24"/>
          <w:lang w:eastAsia="zh-CN"/>
        </w:rPr>
        <w:t xml:space="preserve">自行组织 </w:t>
      </w:r>
      <w:r>
        <w:rPr>
          <w:rFonts w:ascii="Wingdings" w:hAnsi="Wingdings" w:eastAsia="Wingdings" w:cs="Wingdings"/>
          <w:sz w:val="24"/>
          <w:szCs w:val="24"/>
        </w:rPr>
        <w:t xml:space="preserve">¨</w:t>
      </w:r>
      <w:r>
        <w:rPr>
          <w:rFonts w:hint="eastAsia" w:ascii="宋体" w:hAnsi="宋体" w:eastAsia="宋体" w:cs="宋体"/>
          <w:bCs/>
          <w:sz w:val="24"/>
          <w:szCs w:val="24"/>
          <w:lang w:eastAsia="zh-CN"/>
        </w:rPr>
        <w:t xml:space="preserve">委托第三方组织</w:t>
      </w:r>
      <w:r/>
    </w:p>
    <w:p>
      <w:pPr>
        <w:spacing w:line="38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         验收主体：</w:t>
      </w:r>
      <w:r>
        <w:rPr>
          <w:rFonts w:hint="eastAsia" w:ascii="宋体" w:hAnsi="宋体" w:eastAsia="宋体" w:cs="宋体"/>
          <w:bCs/>
          <w:sz w:val="24"/>
          <w:szCs w:val="24"/>
          <w:u w:val="single"/>
          <w:lang w:eastAsia="zh-CN"/>
        </w:rPr>
        <w:t xml:space="preserve">                  </w:t>
      </w:r>
      <w:r/>
    </w:p>
    <w:p>
      <w:pPr>
        <w:spacing w:line="38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        是否邀请本项目的其他供应商参加验收：</w:t>
      </w:r>
      <w:r>
        <w:rPr>
          <w:rFonts w:ascii="Wingdings" w:hAnsi="Wingdings" w:eastAsia="Wingdings" w:cs="Wingdings"/>
          <w:sz w:val="24"/>
          <w:szCs w:val="24"/>
        </w:rPr>
        <w:t xml:space="preserve">¨</w:t>
      </w:r>
      <w:r>
        <w:rPr>
          <w:rFonts w:hint="eastAsia" w:ascii="宋体" w:hAnsi="宋体" w:eastAsia="宋体" w:cs="宋体"/>
          <w:bCs/>
          <w:sz w:val="24"/>
          <w:szCs w:val="24"/>
          <w:lang w:eastAsia="zh-CN"/>
        </w:rPr>
        <w:t xml:space="preserve">是  </w:t>
      </w:r>
      <w:r>
        <w:rPr>
          <w:rFonts w:ascii="Wingdings" w:hAnsi="Wingdings" w:eastAsia="Wingdings" w:cs="Wingdings"/>
          <w:sz w:val="24"/>
          <w:szCs w:val="24"/>
        </w:rPr>
        <w:t xml:space="preserve">¨</w:t>
      </w:r>
      <w:r>
        <w:rPr>
          <w:rFonts w:hint="eastAsia" w:ascii="宋体" w:hAnsi="宋体" w:eastAsia="宋体" w:cs="宋体"/>
          <w:bCs/>
          <w:sz w:val="24"/>
          <w:szCs w:val="24"/>
          <w:lang w:eastAsia="zh-CN"/>
        </w:rPr>
        <w:t xml:space="preserve">否</w:t>
      </w:r>
      <w:r/>
    </w:p>
    <w:p>
      <w:pPr>
        <w:ind w:firstLine="960"/>
        <w:spacing w:line="38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是否邀请专家参加验收：</w:t>
      </w:r>
      <w:r>
        <w:rPr>
          <w:rFonts w:ascii="Wingdings" w:hAnsi="Wingdings" w:eastAsia="Wingdings" w:cs="Wingdings"/>
          <w:sz w:val="24"/>
          <w:szCs w:val="24"/>
        </w:rPr>
        <w:t xml:space="preserve">¨</w:t>
      </w:r>
      <w:r>
        <w:rPr>
          <w:rFonts w:hint="eastAsia" w:ascii="宋体" w:hAnsi="宋体" w:eastAsia="宋体" w:cs="宋体"/>
          <w:bCs/>
          <w:sz w:val="24"/>
          <w:szCs w:val="24"/>
          <w:lang w:eastAsia="zh-CN"/>
        </w:rPr>
        <w:t xml:space="preserve">是  </w:t>
      </w:r>
      <w:r>
        <w:rPr>
          <w:rFonts w:ascii="Wingdings" w:hAnsi="Wingdings" w:eastAsia="Wingdings" w:cs="Wingdings"/>
          <w:sz w:val="24"/>
          <w:szCs w:val="24"/>
        </w:rPr>
        <w:t xml:space="preserve">¨</w:t>
      </w:r>
      <w:r>
        <w:rPr>
          <w:rFonts w:hint="eastAsia" w:ascii="宋体" w:hAnsi="宋体" w:eastAsia="宋体" w:cs="宋体"/>
          <w:bCs/>
          <w:sz w:val="24"/>
          <w:szCs w:val="24"/>
          <w:lang w:eastAsia="zh-CN"/>
        </w:rPr>
        <w:t xml:space="preserve">否</w:t>
      </w:r>
      <w:r/>
    </w:p>
    <w:p>
      <w:pPr>
        <w:ind w:firstLine="960"/>
        <w:spacing w:line="38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是否邀请服务对象参加验收：</w:t>
      </w:r>
      <w:r>
        <w:rPr>
          <w:rFonts w:ascii="Wingdings" w:hAnsi="Wingdings" w:eastAsia="Wingdings" w:cs="Wingdings"/>
          <w:sz w:val="24"/>
          <w:szCs w:val="24"/>
        </w:rPr>
        <w:t xml:space="preserve">¨</w:t>
      </w:r>
      <w:r>
        <w:rPr>
          <w:rFonts w:hint="eastAsia" w:ascii="宋体" w:hAnsi="宋体" w:eastAsia="宋体" w:cs="宋体"/>
          <w:bCs/>
          <w:sz w:val="24"/>
          <w:szCs w:val="24"/>
          <w:lang w:eastAsia="zh-CN"/>
        </w:rPr>
        <w:t xml:space="preserve">是  </w:t>
      </w:r>
      <w:r>
        <w:rPr>
          <w:rFonts w:ascii="Wingdings" w:hAnsi="Wingdings" w:eastAsia="Wingdings" w:cs="Wingdings"/>
          <w:sz w:val="24"/>
          <w:szCs w:val="24"/>
        </w:rPr>
        <w:t xml:space="preserve">¨</w:t>
      </w:r>
      <w:r>
        <w:rPr>
          <w:rFonts w:hint="eastAsia" w:ascii="宋体" w:hAnsi="宋体" w:eastAsia="宋体" w:cs="宋体"/>
          <w:bCs/>
          <w:sz w:val="24"/>
          <w:szCs w:val="24"/>
          <w:lang w:eastAsia="zh-CN"/>
        </w:rPr>
        <w:t xml:space="preserve">否</w:t>
      </w:r>
      <w:r/>
    </w:p>
    <w:p>
      <w:pPr>
        <w:ind w:firstLine="960"/>
        <w:spacing w:line="38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是否邀请第三方检测机构参加验收：</w:t>
      </w:r>
      <w:r>
        <w:rPr>
          <w:rFonts w:ascii="Wingdings" w:hAnsi="Wingdings" w:eastAsia="Wingdings" w:cs="Wingdings"/>
          <w:sz w:val="24"/>
          <w:szCs w:val="24"/>
        </w:rPr>
        <w:t xml:space="preserve">¨</w:t>
      </w:r>
      <w:r>
        <w:rPr>
          <w:rFonts w:hint="eastAsia" w:ascii="宋体" w:hAnsi="宋体" w:eastAsia="宋体" w:cs="宋体"/>
          <w:bCs/>
          <w:sz w:val="24"/>
          <w:szCs w:val="24"/>
          <w:lang w:eastAsia="zh-CN"/>
        </w:rPr>
        <w:t xml:space="preserve">是  </w:t>
      </w:r>
      <w:r>
        <w:rPr>
          <w:rFonts w:ascii="Wingdings" w:hAnsi="Wingdings" w:eastAsia="Wingdings" w:cs="Wingdings"/>
          <w:sz w:val="24"/>
          <w:szCs w:val="24"/>
        </w:rPr>
        <w:t xml:space="preserve">¨</w:t>
      </w:r>
      <w:r>
        <w:rPr>
          <w:rFonts w:hint="eastAsia" w:ascii="宋体" w:hAnsi="宋体" w:eastAsia="宋体" w:cs="宋体"/>
          <w:bCs/>
          <w:sz w:val="24"/>
          <w:szCs w:val="24"/>
          <w:lang w:eastAsia="zh-CN"/>
        </w:rPr>
        <w:t xml:space="preserve">否</w:t>
      </w:r>
      <w:r/>
    </w:p>
    <w:p>
      <w:pPr>
        <w:ind w:firstLine="960"/>
        <w:spacing w:line="38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是否进行抽查检测：</w:t>
      </w:r>
      <w:r>
        <w:rPr>
          <w:rFonts w:ascii="Wingdings" w:hAnsi="Wingdings" w:eastAsia="Wingdings" w:cs="Wingdings"/>
          <w:sz w:val="24"/>
          <w:szCs w:val="24"/>
        </w:rPr>
        <w:t xml:space="preserve">¨</w:t>
      </w:r>
      <w:r>
        <w:rPr>
          <w:rFonts w:hint="eastAsia" w:ascii="宋体" w:hAnsi="宋体" w:eastAsia="宋体" w:cs="宋体"/>
          <w:bCs/>
          <w:sz w:val="24"/>
          <w:szCs w:val="24"/>
          <w:lang w:eastAsia="zh-CN"/>
        </w:rPr>
        <w:t xml:space="preserve">是，抽查比例：</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 </w:t>
      </w:r>
      <w:r>
        <w:rPr>
          <w:rFonts w:ascii="Wingdings" w:hAnsi="Wingdings" w:eastAsia="Wingdings" w:cs="Wingdings"/>
          <w:sz w:val="24"/>
          <w:szCs w:val="24"/>
        </w:rPr>
        <w:t xml:space="preserve">¨</w:t>
      </w:r>
      <w:r>
        <w:rPr>
          <w:rFonts w:hint="eastAsia" w:ascii="宋体" w:hAnsi="宋体" w:eastAsia="宋体" w:cs="宋体"/>
          <w:bCs/>
          <w:sz w:val="24"/>
          <w:szCs w:val="24"/>
          <w:lang w:eastAsia="zh-CN"/>
        </w:rPr>
        <w:t xml:space="preserve">否</w:t>
      </w:r>
      <w:r/>
    </w:p>
    <w:p>
      <w:pPr>
        <w:ind w:firstLine="960"/>
        <w:spacing w:line="380" w:lineRule="exact"/>
        <w:rPr>
          <w:rFonts w:hint="eastAsia" w:ascii="宋体" w:hAnsi="宋体" w:eastAsia="宋体" w:cs="宋体"/>
          <w:bCs/>
          <w:sz w:val="24"/>
          <w:szCs w:val="24"/>
          <w:u w:val="single"/>
          <w:lang w:eastAsia="zh-CN"/>
        </w:rPr>
      </w:pPr>
      <w:r>
        <w:rPr>
          <w:rFonts w:hint="eastAsia" w:ascii="宋体" w:hAnsi="宋体" w:eastAsia="宋体" w:cs="宋体"/>
          <w:bCs/>
          <w:sz w:val="24"/>
          <w:szCs w:val="24"/>
          <w:lang w:eastAsia="zh-CN"/>
        </w:rPr>
        <w:t xml:space="preserve">是否存在破坏性检测：</w:t>
      </w:r>
      <w:r>
        <w:rPr>
          <w:rFonts w:ascii="Wingdings" w:hAnsi="Wingdings" w:eastAsia="Wingdings" w:cs="Wingdings"/>
          <w:sz w:val="24"/>
          <w:szCs w:val="24"/>
        </w:rPr>
        <w:t xml:space="preserve">¨</w:t>
      </w:r>
      <w:r>
        <w:rPr>
          <w:rFonts w:hint="eastAsia" w:ascii="宋体" w:hAnsi="宋体" w:eastAsia="宋体" w:cs="宋体"/>
          <w:bCs/>
          <w:sz w:val="24"/>
          <w:szCs w:val="24"/>
          <w:lang w:eastAsia="zh-CN"/>
        </w:rPr>
        <w:t xml:space="preserve">是，</w:t>
      </w:r>
      <w:r>
        <w:rPr>
          <w:rFonts w:hint="eastAsia" w:ascii="宋体" w:hAnsi="宋体" w:eastAsia="宋体" w:cs="宋体"/>
          <w:bCs/>
          <w:sz w:val="24"/>
          <w:szCs w:val="24"/>
          <w:u w:val="single"/>
          <w:lang w:eastAsia="zh-CN"/>
        </w:rPr>
        <w:t xml:space="preserve">（应明确对被破坏的检测产品的处理方式）</w:t>
      </w:r>
      <w:r/>
    </w:p>
    <w:p>
      <w:pPr>
        <w:ind w:firstLine="960"/>
        <w:spacing w:line="38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                    </w:t>
      </w:r>
      <w:r>
        <w:rPr>
          <w:rFonts w:ascii="Wingdings" w:hAnsi="Wingdings" w:eastAsia="Wingdings" w:cs="Wingdings"/>
          <w:sz w:val="24"/>
          <w:szCs w:val="24"/>
        </w:rPr>
        <w:t xml:space="preserve">¨</w:t>
      </w:r>
      <w:r>
        <w:rPr>
          <w:rFonts w:hint="eastAsia" w:ascii="宋体" w:hAnsi="宋体" w:eastAsia="宋体" w:cs="宋体"/>
          <w:bCs/>
          <w:sz w:val="24"/>
          <w:szCs w:val="24"/>
          <w:lang w:eastAsia="zh-CN"/>
        </w:rPr>
        <w:t xml:space="preserve">否</w:t>
      </w:r>
      <w:r/>
    </w:p>
    <w:p>
      <w:pPr>
        <w:ind w:firstLine="960"/>
        <w:spacing w:line="380" w:lineRule="exact"/>
        <w:rPr>
          <w:rFonts w:hint="eastAsia" w:ascii="宋体" w:hAnsi="宋体" w:eastAsia="宋体" w:cs="宋体"/>
          <w:bCs/>
          <w:sz w:val="24"/>
          <w:szCs w:val="24"/>
          <w:u w:val="single"/>
          <w:lang w:eastAsia="zh-CN"/>
        </w:rPr>
      </w:pPr>
      <w:r>
        <w:rPr>
          <w:rFonts w:hint="eastAsia" w:ascii="宋体" w:hAnsi="宋体" w:eastAsia="宋体" w:cs="宋体"/>
          <w:bCs/>
          <w:sz w:val="24"/>
          <w:szCs w:val="24"/>
          <w:lang w:eastAsia="zh-CN"/>
        </w:rPr>
        <w:t xml:space="preserve">验收组织的其他事项：</w:t>
      </w:r>
      <w:r>
        <w:rPr>
          <w:rFonts w:hint="eastAsia" w:ascii="宋体" w:hAnsi="宋体" w:eastAsia="宋体" w:cs="宋体"/>
          <w:bCs/>
          <w:sz w:val="24"/>
          <w:szCs w:val="24"/>
          <w:u w:val="single"/>
          <w:lang w:eastAsia="zh-CN"/>
        </w:rPr>
        <w:t xml:space="preserve">                </w:t>
      </w:r>
      <w:r/>
    </w:p>
    <w:p>
      <w:pPr>
        <w:ind w:firstLine="480"/>
        <w:spacing w:line="380" w:lineRule="exact"/>
        <w:rPr>
          <w:rFonts w:hint="eastAsia" w:ascii="宋体" w:hAnsi="宋体" w:eastAsia="宋体" w:cs="宋体"/>
          <w:bCs/>
          <w:sz w:val="24"/>
          <w:szCs w:val="24"/>
          <w:u w:val="single"/>
          <w:lang w:eastAsia="zh-CN"/>
        </w:rPr>
      </w:pPr>
      <w:r>
        <w:rPr>
          <w:rFonts w:hint="eastAsia" w:ascii="宋体" w:hAnsi="宋体" w:eastAsia="宋体" w:cs="宋体"/>
          <w:bCs/>
          <w:sz w:val="24"/>
          <w:szCs w:val="24"/>
          <w:lang w:eastAsia="zh-CN"/>
        </w:rPr>
        <w:t xml:space="preserve">（2）履约验收时间：</w:t>
      </w:r>
      <w:r>
        <w:rPr>
          <w:rFonts w:hint="eastAsia" w:ascii="宋体" w:hAnsi="宋体" w:eastAsia="宋体" w:cs="宋体"/>
          <w:bCs/>
          <w:sz w:val="24"/>
          <w:szCs w:val="24"/>
          <w:u w:val="single"/>
          <w:lang w:eastAsia="zh-CN"/>
        </w:rPr>
        <w:t xml:space="preserve">                                      </w:t>
      </w:r>
      <w:r/>
    </w:p>
    <w:p>
      <w:pPr>
        <w:ind w:firstLine="480"/>
        <w:spacing w:line="38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（3）履约验收方式：</w:t>
      </w:r>
      <w:r>
        <w:rPr>
          <w:rFonts w:ascii="Wingdings" w:hAnsi="Wingdings" w:eastAsia="Wingdings" w:cs="Wingdings"/>
          <w:sz w:val="24"/>
          <w:szCs w:val="24"/>
        </w:rPr>
        <w:t xml:space="preserve">¨</w:t>
      </w:r>
      <w:r>
        <w:rPr>
          <w:rFonts w:hint="eastAsia" w:ascii="宋体" w:hAnsi="宋体" w:eastAsia="宋体" w:cs="宋体"/>
          <w:bCs/>
          <w:sz w:val="24"/>
          <w:szCs w:val="24"/>
          <w:lang w:eastAsia="zh-CN"/>
        </w:rPr>
        <w:t xml:space="preserve">一次性验收         </w:t>
      </w:r>
      <w:r/>
    </w:p>
    <w:p>
      <w:pPr>
        <w:spacing w:line="38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                       </w:t>
      </w:r>
      <w:r>
        <w:rPr>
          <w:rFonts w:ascii="Wingdings" w:hAnsi="Wingdings" w:eastAsia="Wingdings" w:cs="Wingdings"/>
          <w:sz w:val="24"/>
          <w:szCs w:val="24"/>
        </w:rPr>
        <w:t xml:space="preserve">¨</w:t>
      </w:r>
      <w:r>
        <w:rPr>
          <w:rFonts w:hint="eastAsia" w:ascii="宋体" w:hAnsi="宋体" w:eastAsia="宋体" w:cs="宋体"/>
          <w:bCs/>
          <w:sz w:val="24"/>
          <w:szCs w:val="24"/>
          <w:lang w:eastAsia="zh-CN"/>
        </w:rPr>
        <w:t xml:space="preserve">分期/分项验收：</w:t>
      </w:r>
      <w:r>
        <w:rPr>
          <w:rFonts w:hint="eastAsia" w:ascii="宋体" w:hAnsi="宋体" w:eastAsia="宋体" w:cs="宋体"/>
          <w:bCs/>
          <w:sz w:val="24"/>
          <w:szCs w:val="24"/>
          <w:u w:val="single"/>
          <w:lang w:eastAsia="zh-CN"/>
        </w:rPr>
        <w:t xml:space="preserve">                       </w:t>
      </w:r>
      <w:r/>
    </w:p>
    <w:p>
      <w:pPr>
        <w:ind w:firstLine="480"/>
        <w:spacing w:line="38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（4）履约验收程序：</w:t>
      </w:r>
      <w:r>
        <w:rPr>
          <w:rFonts w:hint="eastAsia" w:ascii="宋体" w:hAnsi="宋体" w:eastAsia="宋体" w:cs="宋体"/>
          <w:bCs/>
          <w:sz w:val="24"/>
          <w:szCs w:val="24"/>
          <w:u w:val="single"/>
          <w:lang w:eastAsia="zh-CN"/>
        </w:rPr>
        <w:t xml:space="preserve">                                         </w:t>
      </w:r>
      <w:r/>
    </w:p>
    <w:p>
      <w:pPr>
        <w:ind w:firstLine="480"/>
        <w:spacing w:line="380" w:lineRule="exact"/>
        <w:rPr>
          <w:rFonts w:hint="eastAsia" w:ascii="宋体" w:hAnsi="宋体" w:eastAsia="宋体" w:cs="宋体"/>
          <w:bCs/>
          <w:sz w:val="24"/>
          <w:szCs w:val="24"/>
          <w:u w:val="single"/>
          <w:lang w:eastAsia="zh-CN"/>
        </w:rPr>
      </w:pPr>
      <w:r>
        <w:rPr>
          <w:rFonts w:hint="eastAsia" w:ascii="宋体" w:hAnsi="宋体" w:eastAsia="宋体" w:cs="宋体"/>
          <w:bCs/>
          <w:sz w:val="24"/>
          <w:szCs w:val="24"/>
          <w:lang w:eastAsia="zh-CN"/>
        </w:rPr>
        <w:t xml:space="preserve">（5）履约验收的内容：</w:t>
      </w:r>
      <w:r>
        <w:rPr>
          <w:rFonts w:hint="eastAsia" w:ascii="宋体" w:hAnsi="宋体" w:eastAsia="宋体" w:cs="宋体"/>
          <w:bCs/>
          <w:sz w:val="24"/>
          <w:szCs w:val="24"/>
          <w:u w:val="single"/>
          <w:lang w:eastAsia="zh-CN"/>
        </w:rPr>
        <w:t xml:space="preserve">                                        </w:t>
      </w:r>
      <w:r/>
    </w:p>
    <w:p>
      <w:pPr>
        <w:ind w:firstLine="480"/>
        <w:spacing w:line="380" w:lineRule="exact"/>
        <w:rPr>
          <w:rFonts w:hint="eastAsia" w:ascii="宋体" w:hAnsi="宋体" w:eastAsia="宋体" w:cs="宋体"/>
          <w:bCs/>
          <w:sz w:val="24"/>
          <w:szCs w:val="24"/>
          <w:u w:val="single"/>
          <w:lang w:eastAsia="zh-CN"/>
        </w:rPr>
      </w:pPr>
      <w:r>
        <w:rPr>
          <w:rFonts w:hint="eastAsia" w:ascii="宋体" w:hAnsi="宋体" w:eastAsia="宋体" w:cs="宋体"/>
          <w:bCs/>
          <w:sz w:val="24"/>
          <w:szCs w:val="24"/>
          <w:lang w:eastAsia="zh-CN"/>
        </w:rPr>
        <w:t xml:space="preserve">（6）履约验收标准：</w:t>
      </w:r>
      <w:r>
        <w:rPr>
          <w:rFonts w:hint="eastAsia" w:ascii="宋体" w:hAnsi="宋体" w:eastAsia="宋体" w:cs="宋体"/>
          <w:bCs/>
          <w:sz w:val="24"/>
          <w:szCs w:val="24"/>
          <w:u w:val="single"/>
          <w:lang w:eastAsia="zh-CN"/>
        </w:rPr>
        <w:t xml:space="preserve">                                         </w:t>
      </w:r>
      <w:r/>
    </w:p>
    <w:p>
      <w:pPr>
        <w:pStyle w:val="1063"/>
        <w:ind w:firstLine="420"/>
        <w:spacing w:line="380" w:lineRule="exact"/>
        <w:rPr>
          <w:rFonts w:hint="eastAsia" w:ascii="宋体" w:hAnsi="宋体" w:eastAsia="宋体" w:cs="宋体"/>
          <w:sz w:val="24"/>
          <w:szCs w:val="24"/>
        </w:rPr>
      </w:pPr>
      <w:r>
        <w:rPr>
          <w:rFonts w:hint="eastAsia" w:ascii="宋体" w:hAnsi="宋体" w:eastAsia="宋体" w:cs="宋体"/>
          <w:bCs/>
          <w:sz w:val="24"/>
          <w:szCs w:val="24"/>
        </w:rPr>
        <w:t xml:space="preserve">（7）是否以采购活动中供应商提供的样品作为参考：</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480"/>
        <w:spacing w:line="380" w:lineRule="exact"/>
        <w:rPr>
          <w:rFonts w:hint="eastAsia" w:ascii="宋体" w:hAnsi="宋体" w:eastAsia="宋体" w:cs="宋体"/>
          <w:bCs/>
          <w:sz w:val="24"/>
          <w:szCs w:val="24"/>
          <w:u w:val="single"/>
          <w:lang w:eastAsia="zh-CN"/>
        </w:rPr>
      </w:pPr>
      <w:r>
        <w:rPr>
          <w:rFonts w:hint="eastAsia" w:ascii="宋体" w:hAnsi="宋体" w:eastAsia="宋体" w:cs="宋体"/>
          <w:bCs/>
          <w:sz w:val="24"/>
          <w:szCs w:val="24"/>
          <w:lang w:eastAsia="zh-CN"/>
        </w:rPr>
        <w:t xml:space="preserve">（8）履约验收其他事项：</w:t>
      </w:r>
      <w:r>
        <w:rPr>
          <w:rFonts w:hint="eastAsia" w:ascii="宋体" w:hAnsi="宋体" w:eastAsia="宋体" w:cs="宋体"/>
          <w:bCs/>
          <w:sz w:val="24"/>
          <w:szCs w:val="24"/>
          <w:u w:val="single"/>
          <w:lang w:eastAsia="zh-CN"/>
        </w:rPr>
        <w:t xml:space="preserve">                           </w:t>
      </w:r>
      <w:r/>
    </w:p>
    <w:p>
      <w:pPr>
        <w:numPr>
          <w:ilvl w:val="0"/>
          <w:numId w:val="40"/>
        </w:numPr>
        <w:ind w:firstLine="482"/>
        <w:spacing w:line="380" w:lineRule="exact"/>
        <w:rPr>
          <w:rFonts w:hint="eastAsia" w:ascii="宋体" w:hAnsi="宋体" w:eastAsia="宋体" w:cs="宋体"/>
          <w:b/>
          <w:sz w:val="24"/>
          <w:szCs w:val="24"/>
        </w:rPr>
      </w:pPr>
      <w:r>
        <w:rPr>
          <w:rFonts w:hint="eastAsia" w:ascii="宋体" w:hAnsi="宋体" w:eastAsia="宋体" w:cs="宋体"/>
          <w:b/>
          <w:sz w:val="24"/>
          <w:szCs w:val="24"/>
        </w:rPr>
        <w:t xml:space="preserve">组成合同的文件</w:t>
      </w:r>
      <w:r/>
    </w:p>
    <w:p>
      <w:pPr>
        <w:ind w:firstLine="480"/>
        <w:spacing w:line="3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本协议书与下列文件一起构成合同文件，如下述文件之间有任何抵触、矛盾或歧义，应按以下顺序解释：</w:t>
      </w:r>
      <w:r/>
    </w:p>
    <w:p>
      <w:pPr>
        <w:ind w:firstLine="480"/>
        <w:spacing w:line="3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（1）政府采购合同协议书及其变更、补充协议</w:t>
      </w:r>
      <w:r/>
    </w:p>
    <w:p>
      <w:pPr>
        <w:ind w:firstLine="480"/>
        <w:spacing w:line="3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（2）政府采购合同专用条款</w:t>
      </w:r>
      <w:r/>
    </w:p>
    <w:p>
      <w:pPr>
        <w:ind w:firstLine="480"/>
        <w:spacing w:line="3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（3）政府采购合同通用条款</w:t>
      </w:r>
      <w:r/>
    </w:p>
    <w:p>
      <w:pPr>
        <w:ind w:firstLine="480"/>
        <w:spacing w:line="3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（4）中标（成交）通知书</w:t>
      </w:r>
      <w:r/>
    </w:p>
    <w:p>
      <w:pPr>
        <w:ind w:firstLine="480"/>
        <w:spacing w:line="3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（5）投标（响应）文件</w:t>
      </w:r>
      <w:r/>
    </w:p>
    <w:p>
      <w:pPr>
        <w:ind w:firstLine="480"/>
        <w:spacing w:line="3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（6）采购文件</w:t>
      </w:r>
      <w:r/>
    </w:p>
    <w:p>
      <w:pPr>
        <w:ind w:firstLine="480"/>
        <w:spacing w:line="3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（7）有关技术文件，图纸</w:t>
      </w:r>
      <w:r/>
    </w:p>
    <w:p>
      <w:pPr>
        <w:pStyle w:val="1063"/>
        <w:ind w:firstLine="420"/>
        <w:spacing w:line="380" w:lineRule="exact"/>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color w:val="000000" w:themeColor="text1"/>
          <w:sz w:val="24"/>
          <w:szCs w:val="24"/>
          <w14:textFill>
            <w14:solidFill>
              <w14:schemeClr w14:val="tx1"/>
            </w14:solidFill>
          </w14:textFill>
        </w:rPr>
        <w:t xml:space="preserve">国家法律、行政法规和规章制度规定或合同约定的作为合同组成部分的其他文件</w:t>
      </w:r>
      <w:r/>
    </w:p>
    <w:p>
      <w:pPr>
        <w:numPr>
          <w:ilvl w:val="0"/>
          <w:numId w:val="40"/>
        </w:numPr>
        <w:ind w:firstLine="482"/>
        <w:spacing w:line="380" w:lineRule="exact"/>
        <w:rPr>
          <w:rFonts w:hint="eastAsia" w:ascii="宋体" w:hAnsi="宋体" w:eastAsia="宋体" w:cs="宋体"/>
          <w:b/>
          <w:sz w:val="24"/>
          <w:szCs w:val="24"/>
        </w:rPr>
      </w:pPr>
      <w:r>
        <w:rPr>
          <w:rFonts w:hint="eastAsia" w:ascii="宋体" w:hAnsi="宋体" w:eastAsia="宋体" w:cs="宋体"/>
          <w:b/>
          <w:sz w:val="24"/>
          <w:szCs w:val="24"/>
        </w:rPr>
        <w:t xml:space="preserve">合同生效</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本合同自</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生效。</w:t>
      </w:r>
      <w:r/>
    </w:p>
    <w:p>
      <w:pPr>
        <w:numPr>
          <w:ilvl w:val="0"/>
          <w:numId w:val="40"/>
        </w:numPr>
        <w:ind w:firstLine="482"/>
        <w:spacing w:line="380" w:lineRule="exact"/>
        <w:rPr>
          <w:rFonts w:hint="eastAsia" w:ascii="宋体" w:hAnsi="宋体" w:eastAsia="宋体" w:cs="宋体"/>
          <w:b/>
          <w:sz w:val="24"/>
          <w:szCs w:val="24"/>
        </w:rPr>
      </w:pPr>
      <w:r>
        <w:rPr>
          <w:rFonts w:hint="eastAsia" w:ascii="宋体" w:hAnsi="宋体" w:eastAsia="宋体" w:cs="宋体"/>
          <w:b/>
          <w:sz w:val="24"/>
          <w:szCs w:val="24"/>
        </w:rPr>
        <w:t xml:space="preserve">合同份数</w:t>
      </w:r>
      <w:r/>
    </w:p>
    <w:p>
      <w:pPr>
        <w:ind w:firstLine="480"/>
        <w:spacing w:line="3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本合同一式</w:t>
      </w:r>
      <w:r>
        <w:rPr>
          <w:rFonts w:hint="eastAsia" w:ascii="宋体" w:hAnsi="宋体" w:eastAsia="宋体" w:cs="宋体"/>
          <w:sz w:val="24"/>
          <w:szCs w:val="24"/>
          <w:u w:val="single"/>
          <w:lang w:val="en-US" w:eastAsia="zh-CN"/>
        </w:rPr>
        <w:t xml:space="preserve">陆</w:t>
      </w:r>
      <w:r>
        <w:rPr>
          <w:rFonts w:hint="eastAsia" w:ascii="宋体" w:hAnsi="宋体" w:eastAsia="宋体" w:cs="宋体"/>
          <w:sz w:val="24"/>
          <w:szCs w:val="24"/>
          <w:lang w:eastAsia="zh-CN"/>
        </w:rPr>
        <w:t xml:space="preserve">份，甲方执</w:t>
      </w:r>
      <w:r>
        <w:rPr>
          <w:rFonts w:hint="eastAsia" w:ascii="宋体" w:hAnsi="宋体" w:eastAsia="宋体" w:cs="宋体"/>
          <w:sz w:val="24"/>
          <w:szCs w:val="24"/>
          <w:u w:val="single"/>
          <w:lang w:val="en-US" w:eastAsia="zh-CN"/>
        </w:rPr>
        <w:t xml:space="preserve">叁</w:t>
      </w:r>
      <w:r>
        <w:rPr>
          <w:rFonts w:hint="eastAsia" w:ascii="宋体" w:hAnsi="宋体" w:eastAsia="宋体" w:cs="宋体"/>
          <w:sz w:val="24"/>
          <w:szCs w:val="24"/>
          <w:lang w:eastAsia="zh-CN"/>
        </w:rPr>
        <w:t xml:space="preserve">份，乙方执</w:t>
      </w:r>
      <w:r>
        <w:rPr>
          <w:rFonts w:hint="eastAsia" w:ascii="宋体" w:hAnsi="宋体" w:eastAsia="宋体" w:cs="宋体"/>
          <w:sz w:val="24"/>
          <w:szCs w:val="24"/>
          <w:u w:val="single"/>
          <w:lang w:val="en-US" w:eastAsia="zh-CN"/>
        </w:rPr>
        <w:t xml:space="preserve">叁</w:t>
      </w:r>
      <w:r>
        <w:rPr>
          <w:rFonts w:hint="eastAsia" w:ascii="宋体" w:hAnsi="宋体" w:eastAsia="宋体" w:cs="宋体"/>
          <w:sz w:val="24"/>
          <w:szCs w:val="24"/>
          <w:lang w:eastAsia="zh-CN"/>
        </w:rPr>
        <w:t xml:space="preserve">份，均具有同等法律效力。</w:t>
      </w:r>
      <w:r/>
    </w:p>
    <w:p>
      <w:pPr>
        <w:ind w:firstLine="480"/>
        <w:spacing w:line="3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合同订立时间：</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年</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月</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日</w:t>
      </w:r>
      <w:r/>
    </w:p>
    <w:p>
      <w:pPr>
        <w:ind w:firstLine="480"/>
        <w:spacing w:line="3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合同订立地点：</w:t>
      </w:r>
      <w:r>
        <w:rPr>
          <w:rFonts w:hint="eastAsia" w:ascii="宋体" w:hAnsi="宋体" w:eastAsia="宋体" w:cs="宋体"/>
          <w:sz w:val="24"/>
          <w:szCs w:val="24"/>
          <w:u w:val="single"/>
          <w:lang w:eastAsia="zh-CN"/>
        </w:rPr>
        <w:t xml:space="preserve">                           </w:t>
      </w:r>
      <w:r/>
    </w:p>
    <w:p>
      <w:pPr>
        <w:ind w:firstLine="480"/>
        <w:spacing w:line="3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附件：具体标的及其技术要求和商务要求、联合协议、分包意向协议等。</w:t>
      </w:r>
      <w:r/>
    </w:p>
    <w:p>
      <w:pPr>
        <w:pStyle w:val="1131"/>
        <w:ind w:firstLine="440"/>
        <w:spacing w:line="380" w:lineRule="exact"/>
        <w:rPr>
          <w:rFonts w:hint="eastAsia" w:ascii="宋体" w:hAnsi="宋体" w:eastAsia="宋体" w:cs="宋体"/>
          <w:sz w:val="24"/>
          <w:lang w:eastAsia="zh-CN"/>
        </w:rPr>
      </w:pPr>
      <w:r>
        <w:rPr>
          <w:rFonts w:hint="eastAsia" w:ascii="宋体" w:hAnsi="宋体" w:eastAsia="宋体" w:cs="宋体"/>
          <w:sz w:val="24"/>
          <w:lang w:eastAsia="zh-CN"/>
        </w:rPr>
      </w:r>
      <w:r/>
    </w:p>
    <w:p>
      <w:pPr>
        <w:pStyle w:val="967"/>
        <w:numPr>
          <w:ilvl w:val="1"/>
          <w:numId w:val="0"/>
        </w:numPr>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 w:eastAsia="zh-CN"/>
        </w:rPr>
        <w:t xml:space="preserve">   </w:t>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br w:type="page" w:clear="all"/>
      </w:r>
      <w:r/>
    </w:p>
    <w:p>
      <w:pPr>
        <w:pStyle w:val="1131"/>
        <w:ind w:firstLine="440"/>
        <w:rPr>
          <w:rFonts w:hint="eastAsia" w:ascii="宋体" w:hAnsi="宋体" w:eastAsia="宋体" w:cs="宋体"/>
          <w:sz w:val="24"/>
          <w:lang w:eastAsia="zh-CN"/>
        </w:rPr>
      </w:pPr>
      <w:r>
        <w:rPr>
          <w:rFonts w:hint="eastAsia" w:ascii="宋体" w:hAnsi="宋体" w:eastAsia="宋体" w:cs="宋体"/>
          <w:sz w:val="24"/>
          <w:lang w:eastAsia="zh-CN"/>
        </w:rPr>
      </w:r>
      <w:r/>
    </w:p>
    <w:tbl>
      <w:tblPr>
        <w:tblStyle w:val="976"/>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甲方（采购人、受采购人委托签订合同的单位或采购文件约定的合同甲方）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lang w:eastAsia="zh-CN"/>
              </w:rPr>
            </w:pPr>
            <w:r>
              <w:rPr>
                <w:rFonts w:hint="eastAsia" w:ascii="宋体" w:hAnsi="宋体" w:eastAsia="宋体" w:cs="宋体"/>
                <w:spacing w:val="20"/>
                <w:sz w:val="24"/>
                <w:szCs w:val="24"/>
                <w:lang w:eastAsia="zh-CN"/>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法定代表人</w:t>
            </w:r>
            <w:r/>
          </w:p>
          <w:p>
            <w:pPr>
              <w:ind w:firstLine="115"/>
              <w:jc w:val="center"/>
              <w:spacing w:line="3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法定代表人</w:t>
            </w:r>
            <w:r/>
          </w:p>
          <w:p>
            <w:pPr>
              <w:jc w:val="center"/>
              <w:spacing w:line="3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586"/>
        </w:trPr>
        <w:tc>
          <w:tcPr>
            <w:gridSpan w:val="4"/>
            <w:tcBorders>
              <w:top w:val="single" w:color="auto" w:sz="2" w:space="0"/>
            </w:tcBorders>
            <w:tcW w:w="5000" w:type="pct"/>
            <w:vAlign w:val="center"/>
            <w:textDirection w:val="lrTb"/>
            <w:noWrap w:val="false"/>
          </w:tcPr>
          <w:p>
            <w:pPr>
              <w:pStyle w:val="1001"/>
              <w:jc w:val="left"/>
              <w:spacing w:before="120" w:line="360" w:lineRule="auto"/>
              <w:rPr>
                <w:rFonts w:hint="eastAsia" w:ascii="宋体" w:hAnsi="宋体" w:eastAsia="宋体" w:cs="宋体"/>
                <w:spacing w:val="20"/>
                <w:sz w:val="24"/>
                <w:szCs w:val="24"/>
              </w:rPr>
            </w:pPr>
            <w:r>
              <w:rPr>
                <w:rFonts w:hint="eastAsia" w:ascii="宋体" w:hAnsi="宋体" w:eastAsia="宋体" w:cs="宋体"/>
                <w:sz w:val="24"/>
                <w:szCs w:val="24"/>
              </w:rPr>
              <w:t xml:space="preserve">注：涉及联合体或其他合同主体的信息应按上表格式加列。</w:t>
            </w:r>
            <w:r/>
          </w:p>
        </w:tc>
      </w:tr>
    </w:tbl>
    <w:p>
      <w:pPr>
        <w:pStyle w:val="967"/>
        <w:numPr>
          <w:ilvl w:val="1"/>
          <w:numId w:val="0"/>
        </w:numPr>
        <w:jc w:val="center"/>
        <w:spacing w:before="120"/>
        <w:rPr>
          <w:rFonts w:hint="eastAsia" w:ascii="宋体" w:hAnsi="宋体" w:eastAsia="宋体" w:cs="宋体"/>
          <w:sz w:val="28"/>
          <w:szCs w:val="28"/>
          <w:lang w:eastAsia="zh-CN"/>
        </w:rPr>
      </w:pPr>
      <w:r>
        <w:rPr>
          <w:rFonts w:hint="eastAsia" w:ascii="宋体" w:hAnsi="宋体" w:eastAsia="宋体" w:cs="宋体"/>
          <w:sz w:val="24"/>
          <w:szCs w:val="24"/>
          <w:u w:val="single"/>
          <w:lang w:eastAsia="zh-CN"/>
        </w:rPr>
        <w:br w:type="page" w:clear="all"/>
      </w:r>
      <w:bookmarkStart w:id="268" w:name="_Toc27624"/>
      <w:r>
        <w:rPr>
          <w:rFonts w:hint="eastAsia" w:ascii="宋体" w:hAnsi="宋体" w:eastAsia="宋体" w:cs="宋体"/>
          <w:sz w:val="28"/>
          <w:szCs w:val="28"/>
          <w:lang w:eastAsia="zh-CN"/>
        </w:rPr>
        <w:t xml:space="preserve">第二节 政府采购合同通用条款</w:t>
      </w:r>
      <w:bookmarkEnd w:id="268"/>
      <w:r/>
      <w:r/>
    </w:p>
    <w:p>
      <w:pPr>
        <w:ind w:firstLine="482"/>
        <w:keepLines w:val="0"/>
        <w:keepNext w:val="0"/>
        <w:pageBreakBefore w:val="0"/>
        <w:spacing w:line="560" w:lineRule="exact"/>
        <w:tabs>
          <w:tab w:val="left" w:pos="8820" w:leader="none"/>
          <w:tab w:val="left" w:pos="9345" w:leader="none"/>
          <w:tab w:val="left" w:pos="9765" w:leader="none"/>
        </w:tabs>
        <w:rPr>
          <w:rFonts w:hint="eastAsia" w:ascii="宋体" w:hAnsi="宋体" w:eastAsia="宋体" w:cs="宋体"/>
          <w:b/>
          <w:bCs/>
          <w:sz w:val="24"/>
          <w:szCs w:val="24"/>
          <w:lang w:eastAsia="zh-CN"/>
        </w:rPr>
      </w:pPr>
      <w:r>
        <w:rPr>
          <w:rFonts w:hint="eastAsia" w:ascii="宋体" w:hAnsi="宋体" w:eastAsia="宋体" w:cs="宋体"/>
          <w:b/>
          <w:sz w:val="24"/>
          <w:szCs w:val="24"/>
          <w:lang w:eastAsia="zh-CN"/>
        </w:rPr>
        <w:t xml:space="preserve">1. </w:t>
      </w:r>
      <w:r>
        <w:rPr>
          <w:rFonts w:hint="eastAsia" w:ascii="宋体" w:hAnsi="宋体" w:eastAsia="宋体" w:cs="宋体"/>
          <w:b/>
          <w:bCs/>
          <w:sz w:val="24"/>
          <w:szCs w:val="24"/>
          <w:lang w:eastAsia="zh-CN"/>
        </w:rPr>
        <w:t xml:space="preserve">定义</w:t>
      </w:r>
      <w:r/>
    </w:p>
    <w:p>
      <w:pPr>
        <w:ind w:firstLine="480"/>
        <w:keepLines w:val="0"/>
        <w:keepNext w:val="0"/>
        <w:pageBreakBefore w:val="0"/>
        <w:spacing w:line="56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1.1合同当事人</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（1）采购人（以下称甲方）是指使用财政性资金，通过政府采购方式向供应商购买货物及其相关服务的国家机关、事业单位、团体组织。</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（2）供应商（以下称乙方）是指参加政府采购活动并且中标（成交），向采购人提供合同约定的货物及其相关服务的法人、非法人组织或者自然人。</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（3）其他合同主体是指除采购人和供应商以外，</w:t>
      </w:r>
      <w:r>
        <w:rPr>
          <w:rFonts w:hint="eastAsia" w:ascii="宋体" w:hAnsi="宋体" w:eastAsia="宋体" w:cs="宋体"/>
          <w:bCs/>
          <w:color w:val="000000" w:themeColor="text1"/>
          <w:sz w:val="24"/>
          <w:szCs w:val="24"/>
          <w:lang w:eastAsia="zh-CN"/>
          <w14:textFill>
            <w14:solidFill>
              <w14:schemeClr w14:val="tx1"/>
            </w14:solidFill>
          </w14:textFill>
        </w:rPr>
        <w:t xml:space="preserve">依法参与合同缔结或履行，享有权利、承担义务的合同当事人</w:t>
      </w:r>
      <w:r>
        <w:rPr>
          <w:rFonts w:hint="eastAsia" w:ascii="宋体" w:hAnsi="宋体" w:eastAsia="宋体" w:cs="宋体"/>
          <w:sz w:val="24"/>
          <w:szCs w:val="24"/>
          <w:lang w:eastAsia="zh-CN"/>
        </w:rPr>
        <w:t xml:space="preserve">。</w:t>
      </w:r>
      <w:r/>
    </w:p>
    <w:p>
      <w:pPr>
        <w:ind w:firstLine="480"/>
        <w:keepLines w:val="0"/>
        <w:keepNext w:val="0"/>
        <w:pageBreakBefore w:val="0"/>
        <w:spacing w:line="560" w:lineRule="exact"/>
        <w:tabs>
          <w:tab w:val="left" w:pos="570" w:leader="none"/>
          <w:tab w:val="left" w:pos="9240" w:leader="none"/>
          <w:tab w:val="left" w:pos="9555"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1.2本合同下列术语应解释为：</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（1）“合同”系指</w:t>
      </w:r>
      <w:r>
        <w:rPr>
          <w:rFonts w:hint="eastAsia" w:ascii="宋体" w:hAnsi="宋体" w:eastAsia="宋体" w:cs="宋体"/>
          <w:bCs/>
          <w:color w:val="000000" w:themeColor="text1"/>
          <w:sz w:val="24"/>
          <w:szCs w:val="24"/>
          <w:lang w:eastAsia="zh-CN"/>
          <w14:textFill>
            <w14:solidFill>
              <w14:schemeClr w14:val="tx1"/>
            </w14:solidFill>
          </w14:textFill>
        </w:rPr>
        <w:t xml:space="preserve">合同当事人意思表示达成一致的任何协议，包括签署的</w:t>
      </w:r>
      <w:r>
        <w:rPr>
          <w:rFonts w:hint="eastAsia" w:ascii="宋体" w:hAnsi="宋体" w:eastAsia="宋体" w:cs="宋体"/>
          <w:sz w:val="24"/>
          <w:szCs w:val="24"/>
          <w:lang w:eastAsia="zh-CN"/>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themeColor="text1"/>
          <w:sz w:val="24"/>
          <w:szCs w:val="24"/>
          <w:lang w:eastAsia="zh-CN"/>
          <w14:textFill>
            <w14:solidFill>
              <w14:schemeClr w14:val="tx1"/>
            </w14:solidFill>
          </w14:textFill>
        </w:rPr>
        <w:t xml:space="preserve">国家法律、行政法规和规章制度规定或合同约定的作为合同组成部分的其他文件</w:t>
      </w:r>
      <w:r>
        <w:rPr>
          <w:rFonts w:hint="eastAsia" w:ascii="宋体" w:hAnsi="宋体" w:eastAsia="宋体" w:cs="宋体"/>
          <w:sz w:val="24"/>
          <w:szCs w:val="24"/>
          <w:lang w:eastAsia="zh-CN"/>
        </w:rPr>
        <w:t xml:space="preserve">。</w:t>
      </w:r>
      <w:r/>
    </w:p>
    <w:p>
      <w:pPr>
        <w:ind w:firstLine="480"/>
        <w:keepLines w:val="0"/>
        <w:keepNext w:val="0"/>
        <w:pageBreakBefore w:val="0"/>
        <w:spacing w:line="560" w:lineRule="exact"/>
        <w:tabs>
          <w:tab w:val="left" w:pos="570" w:leader="none"/>
          <w:tab w:val="left" w:pos="9240" w:leader="none"/>
          <w:tab w:val="left" w:pos="9555"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（2）“合同价款”系指根据本合同规定乙方在全面履行合同义务后甲方应支付给乙方的价款。</w:t>
      </w:r>
      <w:r/>
    </w:p>
    <w:p>
      <w:pPr>
        <w:ind w:firstLine="480"/>
        <w:keepLines w:val="0"/>
        <w:keepNext w:val="0"/>
        <w:pageBreakBefore w:val="0"/>
        <w:spacing w:line="560" w:lineRule="exact"/>
        <w:tabs>
          <w:tab w:val="left" w:pos="570" w:leader="none"/>
          <w:tab w:val="left" w:pos="9240" w:leader="none"/>
          <w:tab w:val="left" w:pos="9555" w:leader="none"/>
        </w:tabs>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sz w:val="24"/>
          <w:szCs w:val="24"/>
          <w:lang w:eastAsia="zh-CN"/>
        </w:rPr>
        <w:t xml:space="preserve">（3）“货物”系指乙方根据本合同规定须向甲方提供的各种形态和种类的物品，包括原材料、设备、产品（</w:t>
      </w:r>
      <w:r>
        <w:rPr>
          <w:rFonts w:hint="eastAsia" w:ascii="宋体" w:hAnsi="宋体" w:eastAsia="宋体" w:cs="宋体"/>
          <w:color w:val="000000" w:themeColor="text1"/>
          <w:sz w:val="24"/>
          <w:szCs w:val="24"/>
          <w:lang w:eastAsia="zh-CN"/>
          <w14:textFill>
            <w14:solidFill>
              <w14:schemeClr w14:val="tx1"/>
            </w14:solidFill>
          </w14:textFill>
        </w:rPr>
        <w:t xml:space="preserve">包括软件）及相关的其备品备件、工具、手册及</w:t>
      </w:r>
      <w:r>
        <w:rPr>
          <w:rFonts w:hint="eastAsia" w:ascii="宋体" w:hAnsi="宋体" w:eastAsia="宋体" w:cs="宋体"/>
          <w:color w:val="000000" w:themeColor="text1"/>
          <w:sz w:val="24"/>
          <w:szCs w:val="24"/>
          <w:lang w:val="en" w:eastAsia="zh-CN"/>
          <w14:textFill>
            <w14:solidFill>
              <w14:schemeClr w14:val="tx1"/>
            </w14:solidFill>
          </w14:textFill>
        </w:rPr>
        <w:t xml:space="preserve">其他</w:t>
      </w:r>
      <w:r>
        <w:rPr>
          <w:rFonts w:hint="eastAsia" w:ascii="宋体" w:hAnsi="宋体" w:eastAsia="宋体" w:cs="宋体"/>
          <w:color w:val="000000" w:themeColor="text1"/>
          <w:sz w:val="24"/>
          <w:szCs w:val="24"/>
          <w:lang w:eastAsia="zh-CN"/>
          <w14:textFill>
            <w14:solidFill>
              <w14:schemeClr w14:val="tx1"/>
            </w14:solidFill>
          </w14:textFill>
        </w:rPr>
        <w:t xml:space="preserve">技术资料和材料等。</w:t>
      </w:r>
      <w:r/>
    </w:p>
    <w:p>
      <w:pPr>
        <w:ind w:firstLine="480"/>
        <w:keepLines w:val="0"/>
        <w:keepNext w:val="0"/>
        <w:pageBreakBefore w:val="0"/>
        <w:spacing w:line="56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（4）“</w:t>
      </w:r>
      <w:r>
        <w:rPr>
          <w:rFonts w:hint="eastAsia" w:ascii="宋体" w:hAnsi="宋体" w:eastAsia="宋体" w:cs="宋体"/>
          <w:sz w:val="24"/>
          <w:szCs w:val="24"/>
          <w:lang w:eastAsia="zh-CN"/>
        </w:rPr>
        <w:t xml:space="preserve">相关</w:t>
      </w:r>
      <w:r>
        <w:rPr>
          <w:rFonts w:hint="eastAsia" w:ascii="宋体" w:hAnsi="宋体" w:eastAsia="宋体" w:cs="宋体"/>
          <w:color w:val="000000" w:themeColor="text1"/>
          <w:sz w:val="24"/>
          <w:szCs w:val="24"/>
          <w:lang w:eastAsia="zh-CN"/>
          <w14:textFill>
            <w14:solidFill>
              <w14:schemeClr w14:val="tx1"/>
            </w14:solidFill>
          </w14:textFill>
        </w:rPr>
        <w:t xml:space="preserve">服务”系指根据合同规定，乙方应提供的与货物有关的技术、管理和</w:t>
      </w:r>
      <w:r>
        <w:rPr>
          <w:rFonts w:hint="eastAsia" w:ascii="宋体" w:hAnsi="宋体" w:eastAsia="宋体" w:cs="宋体"/>
          <w:color w:val="000000" w:themeColor="text1"/>
          <w:sz w:val="24"/>
          <w:szCs w:val="24"/>
          <w:lang w:val="en" w:eastAsia="zh-CN"/>
          <w14:textFill>
            <w14:solidFill>
              <w14:schemeClr w14:val="tx1"/>
            </w14:solidFill>
          </w14:textFill>
        </w:rPr>
        <w:t xml:space="preserve">其他</w:t>
      </w:r>
      <w:r>
        <w:rPr>
          <w:rFonts w:hint="eastAsia" w:ascii="宋体" w:hAnsi="宋体" w:eastAsia="宋体" w:cs="宋体"/>
          <w:color w:val="000000" w:themeColor="text1"/>
          <w:sz w:val="24"/>
          <w:szCs w:val="24"/>
          <w:lang w:eastAsia="zh-CN"/>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000000" w:themeColor="text1"/>
          <w:sz w:val="24"/>
          <w:szCs w:val="24"/>
          <w:lang w:val="en" w:eastAsia="zh-CN"/>
          <w14:textFill>
            <w14:solidFill>
              <w14:schemeClr w14:val="tx1"/>
            </w14:solidFill>
          </w14:textFill>
        </w:rPr>
        <w:t xml:space="preserve">其他</w:t>
      </w:r>
      <w:r>
        <w:rPr>
          <w:rFonts w:hint="eastAsia" w:ascii="宋体" w:hAnsi="宋体" w:eastAsia="宋体" w:cs="宋体"/>
          <w:color w:val="000000" w:themeColor="text1"/>
          <w:sz w:val="24"/>
          <w:szCs w:val="24"/>
          <w:lang w:eastAsia="zh-CN"/>
          <w14:textFill>
            <w14:solidFill>
              <w14:schemeClr w14:val="tx1"/>
            </w14:solidFill>
          </w14:textFill>
        </w:rPr>
        <w:t xml:space="preserve">义务。</w:t>
      </w:r>
      <w:r/>
    </w:p>
    <w:p>
      <w:pPr>
        <w:ind w:firstLine="480"/>
        <w:keepLines w:val="0"/>
        <w:keepNext w:val="0"/>
        <w:pageBreakBefore w:val="0"/>
        <w:spacing w:line="56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80"/>
        <w:keepLines w:val="0"/>
        <w:keepNext w:val="0"/>
        <w:pageBreakBefore w:val="0"/>
        <w:spacing w:line="560" w:lineRule="exact"/>
        <w:tabs>
          <w:tab w:val="left" w:pos="570" w:leader="none"/>
          <w:tab w:val="left" w:pos="9240" w:leader="none"/>
          <w:tab w:val="left" w:pos="9555" w:leader="none"/>
        </w:tabs>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（6）</w:t>
      </w:r>
      <w:r>
        <w:rPr>
          <w:rFonts w:hint="eastAsia" w:ascii="宋体" w:hAnsi="宋体" w:eastAsia="宋体" w:cs="宋体"/>
          <w:sz w:val="24"/>
          <w:szCs w:val="24"/>
          <w:lang w:eastAsia="zh-CN"/>
        </w:rPr>
        <w:t xml:space="preserve">“联合体”系指由两个以上的自然人、法人或者非法人组织组成，以一个供应商的身份共同参加政府采购的主体</w:t>
      </w:r>
      <w:r>
        <w:rPr>
          <w:rFonts w:hint="eastAsia" w:ascii="宋体" w:hAnsi="宋体" w:eastAsia="宋体" w:cs="宋体"/>
          <w:color w:val="000000" w:themeColor="text1"/>
          <w:sz w:val="24"/>
          <w:szCs w:val="24"/>
          <w:lang w:eastAsia="zh-CN"/>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themeColor="text1"/>
          <w:sz w:val="24"/>
          <w:szCs w:val="24"/>
          <w:lang w:eastAsia="zh-CN"/>
          <w14:textFill>
            <w14:solidFill>
              <w14:schemeClr w14:val="tx1"/>
            </w14:solidFill>
          </w14:textFill>
        </w:rPr>
        <w:t xml:space="preserve">政府采购合同专用条款</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firstLine="480"/>
        <w:keepLines w:val="0"/>
        <w:keepNext w:val="0"/>
        <w:pageBreakBefore w:val="0"/>
        <w:spacing w:line="560" w:lineRule="exact"/>
        <w:tabs>
          <w:tab w:val="left" w:pos="570" w:leader="none"/>
          <w:tab w:val="left" w:pos="9240" w:leader="none"/>
          <w:tab w:val="left" w:pos="9555" w:leader="none"/>
        </w:tabs>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（7）其他术语解释，见【</w:t>
      </w:r>
      <w:r>
        <w:rPr>
          <w:rFonts w:hint="eastAsia" w:ascii="宋体" w:hAnsi="宋体" w:eastAsia="宋体" w:cs="宋体"/>
          <w:b/>
          <w:bCs/>
          <w:color w:val="000000" w:themeColor="text1"/>
          <w:sz w:val="24"/>
          <w:szCs w:val="24"/>
          <w:lang w:eastAsia="zh-CN"/>
          <w14:textFill>
            <w14:solidFill>
              <w14:schemeClr w14:val="tx1"/>
            </w14:solidFill>
          </w14:textFill>
        </w:rPr>
        <w:t xml:space="preserve">政府采购合同专用条款</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numPr>
          <w:ilvl w:val="0"/>
          <w:numId w:val="43"/>
        </w:numPr>
        <w:ind w:firstLine="482"/>
        <w:keepLines w:val="0"/>
        <w:keepNext w:val="0"/>
        <w:pageBreakBefore w:val="0"/>
        <w:spacing w:line="56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合同标的及金额</w:t>
      </w:r>
      <w:r/>
    </w:p>
    <w:p>
      <w:pPr>
        <w:ind w:firstLine="480"/>
        <w:keepLines w:val="0"/>
        <w:keepNext w:val="0"/>
        <w:pageBreakBefore w:val="0"/>
        <w:spacing w:line="560" w:lineRule="exact"/>
        <w:rPr>
          <w:rFonts w:hint="eastAsia" w:ascii="宋体" w:hAnsi="宋体" w:eastAsia="宋体" w:cs="宋体"/>
          <w:b/>
          <w:bCs/>
          <w:i/>
          <w:iCs/>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000000" w:themeColor="text1"/>
          <w:sz w:val="24"/>
          <w:szCs w:val="24"/>
          <w:lang w:val="en" w:eastAsia="zh-CN"/>
          <w14:textFill>
            <w14:solidFill>
              <w14:schemeClr w14:val="tx1"/>
            </w14:solidFill>
          </w14:textFill>
        </w:rPr>
        <w:t xml:space="preserve">其他</w:t>
      </w:r>
      <w:r>
        <w:rPr>
          <w:rFonts w:hint="eastAsia" w:ascii="宋体" w:hAnsi="宋体" w:eastAsia="宋体" w:cs="宋体"/>
          <w:color w:val="000000" w:themeColor="text1"/>
          <w:sz w:val="24"/>
          <w:szCs w:val="24"/>
          <w:lang w:eastAsia="zh-CN"/>
          <w14:textFill>
            <w14:solidFill>
              <w14:schemeClr w14:val="tx1"/>
            </w14:solidFill>
          </w14:textFill>
        </w:rPr>
        <w:t xml:space="preserve">任何费用。</w:t>
      </w:r>
      <w:r/>
    </w:p>
    <w:p>
      <w:pPr>
        <w:ind w:firstLine="482"/>
        <w:keepLines w:val="0"/>
        <w:keepNext w:val="0"/>
        <w:pageBreakBefore w:val="0"/>
        <w:spacing w:line="560" w:lineRule="exact"/>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3. 履行合同的时间、地点和方式</w:t>
      </w:r>
      <w:r/>
    </w:p>
    <w:p>
      <w:pPr>
        <w:ind w:firstLine="480"/>
        <w:keepLines w:val="0"/>
        <w:keepNext w:val="0"/>
        <w:pageBreakBefore w:val="0"/>
        <w:spacing w:line="56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3.1 </w:t>
      </w:r>
      <w:r>
        <w:rPr>
          <w:rFonts w:hint="eastAsia" w:ascii="宋体" w:hAnsi="宋体" w:eastAsia="宋体" w:cs="宋体"/>
          <w:sz w:val="24"/>
          <w:szCs w:val="24"/>
          <w:lang w:eastAsia="zh-CN"/>
        </w:rPr>
        <w:t xml:space="preserve">乙方应当在约定的时间、地点，按照约定方式履行合同。</w:t>
      </w:r>
      <w:r/>
    </w:p>
    <w:p>
      <w:pPr>
        <w:ind w:firstLine="482"/>
        <w:keepLines w:val="0"/>
        <w:keepNext w:val="0"/>
        <w:pageBreakBefore w:val="0"/>
        <w:spacing w:line="560" w:lineRule="exact"/>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4. 甲方的权利和义务</w:t>
      </w:r>
      <w:r/>
    </w:p>
    <w:p>
      <w:pPr>
        <w:ind w:firstLine="480"/>
        <w:keepLines w:val="0"/>
        <w:keepNext w:val="0"/>
        <w:pageBreakBefore w:val="0"/>
        <w:spacing w:line="56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keepLines w:val="0"/>
        <w:keepNext w:val="0"/>
        <w:pageBreakBefore w:val="0"/>
        <w:spacing w:line="56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80"/>
        <w:keepLines w:val="0"/>
        <w:keepNext w:val="0"/>
        <w:pageBreakBefore w:val="0"/>
        <w:spacing w:line="56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4.3 甲方有权要求乙方对缺陷部分予以修复，并按合同约定享有货物保修及其他合同约定的权利。</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color w:val="000000" w:themeColor="text1"/>
          <w:sz w:val="24"/>
          <w:szCs w:val="24"/>
          <w:lang w:eastAsia="zh-CN"/>
          <w14:textFill>
            <w14:solidFill>
              <w14:schemeClr w14:val="tx1"/>
            </w14:solidFill>
          </w14:textFill>
        </w:rPr>
        <w:t xml:space="preserve">4.4 甲方应当按照合同约定及时对交付的货物进行验收，</w:t>
      </w:r>
      <w:r>
        <w:rPr>
          <w:rFonts w:hint="eastAsia" w:ascii="宋体" w:hAnsi="宋体" w:eastAsia="宋体" w:cs="宋体"/>
          <w:sz w:val="24"/>
          <w:szCs w:val="24"/>
          <w:lang w:eastAsia="zh-CN"/>
        </w:rPr>
        <w:t xml:space="preserve">未</w:t>
      </w:r>
      <w:r>
        <w:rPr>
          <w:rFonts w:hint="eastAsia" w:ascii="宋体" w:hAnsi="宋体" w:eastAsia="宋体" w:cs="宋体"/>
          <w:color w:val="000000" w:themeColor="text1"/>
          <w:sz w:val="24"/>
          <w:szCs w:val="24"/>
          <w:lang w:eastAsia="zh-CN"/>
          <w14:textFill>
            <w14:solidFill>
              <w14:schemeClr w14:val="tx1"/>
            </w14:solidFill>
          </w14:textFill>
        </w:rPr>
        <w:t xml:space="preserve">在</w:t>
      </w:r>
      <w:r>
        <w:rPr>
          <w:rFonts w:hint="eastAsia" w:ascii="宋体" w:hAnsi="宋体" w:eastAsia="宋体" w:cs="宋体"/>
          <w:b/>
          <w:bCs/>
          <w:sz w:val="24"/>
          <w:szCs w:val="24"/>
          <w:lang w:eastAsia="zh-CN"/>
        </w:rPr>
        <w:t xml:space="preserve">【政府采购合同专用条款】</w:t>
      </w:r>
      <w:r>
        <w:rPr>
          <w:rFonts w:hint="eastAsia" w:ascii="宋体" w:hAnsi="宋体" w:eastAsia="宋体" w:cs="宋体"/>
          <w:sz w:val="24"/>
          <w:szCs w:val="24"/>
          <w:lang w:eastAsia="zh-CN"/>
        </w:rPr>
        <w:t xml:space="preserve">约定的期限内对乙方履约提出任何异议或者向乙方作出任何说明的，</w:t>
      </w:r>
      <w:r>
        <w:rPr>
          <w:rFonts w:hint="eastAsia" w:ascii="宋体" w:hAnsi="宋体" w:eastAsia="宋体" w:cs="宋体"/>
          <w:color w:val="000000" w:themeColor="text1"/>
          <w:sz w:val="24"/>
          <w:szCs w:val="24"/>
          <w:lang w:eastAsia="zh-CN"/>
          <w14:textFill>
            <w14:solidFill>
              <w14:schemeClr w14:val="tx1"/>
            </w14:solidFill>
          </w14:textFill>
        </w:rPr>
        <w:t xml:space="preserve">视为验收通过。</w:t>
      </w:r>
      <w:r/>
    </w:p>
    <w:p>
      <w:pPr>
        <w:ind w:firstLine="480"/>
        <w:keepLines w:val="0"/>
        <w:keepNext w:val="0"/>
        <w:pageBreakBefore w:val="0"/>
        <w:spacing w:line="56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80"/>
        <w:keepLines w:val="0"/>
        <w:keepNext w:val="0"/>
        <w:pageBreakBefore w:val="0"/>
        <w:spacing w:line="56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4.6 国家法律法规规定及</w:t>
      </w:r>
      <w:r>
        <w:rPr>
          <w:rFonts w:hint="eastAsia" w:ascii="宋体" w:hAnsi="宋体" w:eastAsia="宋体" w:cs="宋体"/>
          <w:b/>
          <w:bCs/>
          <w:sz w:val="24"/>
          <w:szCs w:val="24"/>
          <w:lang w:eastAsia="zh-CN"/>
        </w:rPr>
        <w:t xml:space="preserve">【政府采购合同专用条款】</w:t>
      </w:r>
      <w:r>
        <w:rPr>
          <w:rFonts w:hint="eastAsia" w:ascii="宋体" w:hAnsi="宋体" w:eastAsia="宋体" w:cs="宋体"/>
          <w:color w:val="000000" w:themeColor="text1"/>
          <w:sz w:val="24"/>
          <w:szCs w:val="24"/>
          <w:lang w:eastAsia="zh-CN"/>
          <w14:textFill>
            <w14:solidFill>
              <w14:schemeClr w14:val="tx1"/>
            </w14:solidFill>
          </w14:textFill>
        </w:rPr>
        <w:t xml:space="preserve">约定应由甲方承担的其他义务和责任。</w:t>
      </w:r>
      <w:r/>
    </w:p>
    <w:p>
      <w:pPr>
        <w:ind w:firstLine="482"/>
        <w:keepLines w:val="0"/>
        <w:keepNext w:val="0"/>
        <w:pageBreakBefore w:val="0"/>
        <w:spacing w:line="560" w:lineRule="exact"/>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5. 乙方的权利和义务</w:t>
      </w:r>
      <w:r/>
    </w:p>
    <w:p>
      <w:pPr>
        <w:ind w:firstLine="480"/>
        <w:keepLines w:val="0"/>
        <w:keepNext w:val="0"/>
        <w:pageBreakBefore w:val="0"/>
        <w:spacing w:line="56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5.1 签署合同后，乙方应确定项目负责人（或项目联系人），负责与本合同有关的事务。</w:t>
      </w:r>
      <w:r/>
    </w:p>
    <w:p>
      <w:pPr>
        <w:ind w:firstLine="480"/>
        <w:keepLines w:val="0"/>
        <w:keepNext w:val="0"/>
        <w:pageBreakBefore w:val="0"/>
        <w:spacing w:line="56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977"/>
        <w:ind w:firstLine="480"/>
        <w:keepLines w:val="0"/>
        <w:keepNext w:val="0"/>
        <w:pageBreakBefore w:val="0"/>
        <w:spacing w:after="0" w:line="56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5.3乙方有权根据合同约定向甲方收取合同价款。</w:t>
      </w:r>
      <w:r/>
    </w:p>
    <w:p>
      <w:pPr>
        <w:pStyle w:val="977"/>
        <w:ind w:firstLine="480"/>
        <w:keepLines w:val="0"/>
        <w:keepNext w:val="0"/>
        <w:pageBreakBefore w:val="0"/>
        <w:spacing w:after="0" w:line="56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5.4国家法律法规规定及</w:t>
      </w:r>
      <w:r>
        <w:rPr>
          <w:rFonts w:hint="eastAsia" w:ascii="宋体" w:hAnsi="宋体" w:eastAsia="宋体" w:cs="宋体"/>
          <w:b/>
          <w:bCs/>
          <w:sz w:val="24"/>
          <w:szCs w:val="24"/>
          <w:lang w:eastAsia="zh-CN"/>
        </w:rPr>
        <w:t xml:space="preserve">【政府采购合同专用条款】</w:t>
      </w:r>
      <w:r>
        <w:rPr>
          <w:rFonts w:hint="eastAsia" w:ascii="宋体" w:hAnsi="宋体" w:eastAsia="宋体" w:cs="宋体"/>
          <w:sz w:val="24"/>
          <w:szCs w:val="24"/>
          <w:lang w:eastAsia="zh-CN"/>
        </w:rPr>
        <w:t xml:space="preserve">约定应</w:t>
      </w:r>
      <w:r>
        <w:rPr>
          <w:rFonts w:hint="eastAsia" w:ascii="宋体" w:hAnsi="宋体" w:eastAsia="宋体" w:cs="宋体"/>
          <w:color w:val="000000" w:themeColor="text1"/>
          <w:sz w:val="24"/>
          <w:szCs w:val="24"/>
          <w:lang w:eastAsia="zh-CN"/>
          <w14:textFill>
            <w14:solidFill>
              <w14:schemeClr w14:val="tx1"/>
            </w14:solidFill>
          </w14:textFill>
        </w:rPr>
        <w:t xml:space="preserve">由乙方承担的其他义务和责任。</w:t>
      </w:r>
      <w:r/>
    </w:p>
    <w:p>
      <w:pPr>
        <w:numPr>
          <w:ilvl w:val="0"/>
          <w:numId w:val="44"/>
        </w:numPr>
        <w:ind w:firstLine="482"/>
        <w:keepLines w:val="0"/>
        <w:keepNext w:val="0"/>
        <w:pageBreakBefore w:val="0"/>
        <w:spacing w:line="56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合同履行</w:t>
      </w:r>
      <w:r/>
    </w:p>
    <w:p>
      <w:pPr>
        <w:ind w:firstLine="480"/>
        <w:keepLines w:val="0"/>
        <w:keepNext w:val="0"/>
        <w:pageBreakBefore w:val="0"/>
        <w:spacing w:line="56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6.1 甲乙双方应当按照</w:t>
      </w:r>
      <w:r>
        <w:rPr>
          <w:rFonts w:hint="eastAsia" w:ascii="宋体" w:hAnsi="宋体" w:eastAsia="宋体" w:cs="宋体"/>
          <w:b/>
          <w:bCs/>
          <w:sz w:val="24"/>
          <w:szCs w:val="24"/>
          <w:lang w:eastAsia="zh-CN"/>
        </w:rPr>
        <w:t xml:space="preserve">【政府采购合同专用条款】</w:t>
      </w:r>
      <w:r>
        <w:rPr>
          <w:rFonts w:hint="eastAsia" w:ascii="宋体" w:hAnsi="宋体" w:eastAsia="宋体" w:cs="宋体"/>
          <w:color w:val="000000" w:themeColor="text1"/>
          <w:sz w:val="24"/>
          <w:szCs w:val="24"/>
          <w:lang w:eastAsia="zh-CN"/>
          <w14:textFill>
            <w14:solidFill>
              <w14:schemeClr w14:val="tx1"/>
            </w14:solidFill>
          </w14:textFill>
        </w:rPr>
        <w:t xml:space="preserve">约定顺序履行合同义务；如果没有先后顺序的，应当同时履行。</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color w:val="000000" w:themeColor="text1"/>
          <w:sz w:val="24"/>
          <w:szCs w:val="24"/>
          <w:lang w:eastAsia="zh-CN"/>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keepLines w:val="0"/>
        <w:keepNext w:val="0"/>
        <w:pageBreakBefore w:val="0"/>
        <w:spacing w:line="560" w:lineRule="exact"/>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7. 货物包装、运输、保险和交付要求</w:t>
      </w:r>
      <w:r/>
    </w:p>
    <w:p>
      <w:pPr>
        <w:ind w:firstLine="480"/>
        <w:keepLines w:val="0"/>
        <w:keepNext w:val="0"/>
        <w:pageBreakBefore w:val="0"/>
        <w:spacing w:line="56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7.1 本合同</w:t>
      </w:r>
      <w:r>
        <w:rPr>
          <w:rFonts w:hint="eastAsia" w:ascii="宋体" w:hAnsi="宋体" w:eastAsia="宋体" w:cs="宋体"/>
          <w:bCs/>
          <w:color w:val="000000" w:themeColor="text1"/>
          <w:sz w:val="24"/>
          <w:szCs w:val="24"/>
          <w:lang w:eastAsia="zh-CN"/>
          <w14:textFill>
            <w14:solidFill>
              <w14:schemeClr w14:val="tx1"/>
            </w14:solidFill>
          </w14:textFill>
        </w:rPr>
        <w:t xml:space="preserve">涉及商品包装、快递包装的，</w:t>
      </w:r>
      <w:r>
        <w:rPr>
          <w:rFonts w:hint="eastAsia" w:ascii="宋体" w:hAnsi="宋体" w:eastAsia="宋体" w:cs="宋体"/>
          <w:color w:val="000000" w:themeColor="text1"/>
          <w:sz w:val="24"/>
          <w:szCs w:val="24"/>
          <w:lang w:eastAsia="zh-CN"/>
          <w14:textFill>
            <w14:solidFill>
              <w14:schemeClr w14:val="tx1"/>
            </w14:solidFill>
          </w14:textFill>
        </w:rPr>
        <w:t xml:space="preserve">除</w:t>
      </w:r>
      <w:r>
        <w:rPr>
          <w:rFonts w:hint="eastAsia" w:ascii="宋体" w:hAnsi="宋体" w:eastAsia="宋体" w:cs="宋体"/>
          <w:b/>
          <w:color w:val="000000" w:themeColor="text1"/>
          <w:sz w:val="24"/>
          <w:szCs w:val="24"/>
          <w:lang w:eastAsia="zh-CN"/>
          <w14:textFill>
            <w14:solidFill>
              <w14:schemeClr w14:val="tx1"/>
            </w14:solidFill>
          </w14:textFill>
        </w:rPr>
        <w:t xml:space="preserve">【政府采购合同专用条款】</w:t>
      </w:r>
      <w:r>
        <w:rPr>
          <w:rFonts w:hint="eastAsia" w:ascii="宋体" w:hAnsi="宋体" w:eastAsia="宋体" w:cs="宋体"/>
          <w:bCs/>
          <w:color w:val="000000" w:themeColor="text1"/>
          <w:sz w:val="24"/>
          <w:szCs w:val="24"/>
          <w:lang w:eastAsia="zh-CN"/>
          <w14:textFill>
            <w14:solidFill>
              <w14:schemeClr w14:val="tx1"/>
            </w14:solidFill>
          </w14:textFill>
        </w:rPr>
        <w:t xml:space="preserve">另有约定外，</w:t>
      </w:r>
      <w:r>
        <w:rPr>
          <w:rFonts w:hint="eastAsia" w:ascii="宋体" w:hAnsi="宋体" w:eastAsia="宋体" w:cs="宋体"/>
          <w:color w:val="000000" w:themeColor="text1"/>
          <w:sz w:val="24"/>
          <w:szCs w:val="24"/>
          <w:lang w:eastAsia="zh-CN"/>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宋体"/>
          <w:b/>
          <w:color w:val="000000" w:themeColor="text1"/>
          <w:sz w:val="24"/>
          <w:szCs w:val="24"/>
          <w:lang w:eastAsia="zh-CN"/>
          <w14:textFill>
            <w14:solidFill>
              <w14:schemeClr w14:val="tx1"/>
            </w14:solidFill>
          </w14:textFill>
        </w:rPr>
        <w:t xml:space="preserve">【政府采购合同专用条款】</w:t>
      </w:r>
      <w:r>
        <w:rPr>
          <w:rFonts w:hint="eastAsia" w:ascii="宋体" w:hAnsi="宋体" w:eastAsia="宋体" w:cs="宋体"/>
          <w:bCs/>
          <w:color w:val="000000" w:themeColor="text1"/>
          <w:sz w:val="24"/>
          <w:szCs w:val="24"/>
          <w:lang w:eastAsia="zh-CN"/>
          <w14:textFill>
            <w14:solidFill>
              <w14:schemeClr w14:val="tx1"/>
            </w14:solidFill>
          </w14:textFill>
        </w:rPr>
        <w:t xml:space="preserve">约定的</w:t>
      </w:r>
      <w:r>
        <w:rPr>
          <w:rFonts w:hint="eastAsia" w:ascii="宋体" w:hAnsi="宋体" w:eastAsia="宋体" w:cs="宋体"/>
          <w:color w:val="000000" w:themeColor="text1"/>
          <w:sz w:val="24"/>
          <w:szCs w:val="24"/>
          <w:lang w:eastAsia="zh-CN"/>
          <w14:textFill>
            <w14:solidFill>
              <w14:schemeClr w14:val="tx1"/>
            </w14:solidFill>
          </w14:textFill>
        </w:rPr>
        <w:t xml:space="preserve">指定现场。</w:t>
      </w:r>
      <w:r/>
    </w:p>
    <w:p>
      <w:pPr>
        <w:ind w:firstLine="480"/>
        <w:keepLines w:val="0"/>
        <w:keepNext w:val="0"/>
        <w:pageBreakBefore w:val="0"/>
        <w:spacing w:line="56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7.2 除</w:t>
      </w:r>
      <w:r>
        <w:rPr>
          <w:rFonts w:hint="eastAsia" w:ascii="宋体" w:hAnsi="宋体" w:eastAsia="宋体" w:cs="宋体"/>
          <w:b/>
          <w:color w:val="000000" w:themeColor="text1"/>
          <w:sz w:val="24"/>
          <w:szCs w:val="24"/>
          <w:lang w:eastAsia="zh-CN"/>
          <w14:textFill>
            <w14:solidFill>
              <w14:schemeClr w14:val="tx1"/>
            </w14:solidFill>
          </w14:textFill>
        </w:rPr>
        <w:t xml:space="preserve">【政府采购合同专用条款】</w:t>
      </w:r>
      <w:r>
        <w:rPr>
          <w:rFonts w:hint="eastAsia" w:ascii="宋体" w:hAnsi="宋体" w:eastAsia="宋体" w:cs="宋体"/>
          <w:bCs/>
          <w:color w:val="000000" w:themeColor="text1"/>
          <w:sz w:val="24"/>
          <w:szCs w:val="24"/>
          <w:lang w:eastAsia="zh-CN"/>
          <w14:textFill>
            <w14:solidFill>
              <w14:schemeClr w14:val="tx1"/>
            </w14:solidFill>
          </w14:textFill>
        </w:rPr>
        <w:t xml:space="preserve">另有约定外，</w:t>
      </w:r>
      <w:r>
        <w:rPr>
          <w:rFonts w:hint="eastAsia" w:ascii="宋体" w:hAnsi="宋体" w:eastAsia="宋体" w:cs="宋体"/>
          <w:color w:val="000000" w:themeColor="text1"/>
          <w:sz w:val="24"/>
          <w:szCs w:val="24"/>
          <w:lang w:eastAsia="zh-CN"/>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80"/>
        <w:keepLines w:val="0"/>
        <w:keepNext w:val="0"/>
        <w:pageBreakBefore w:val="0"/>
        <w:spacing w:line="56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7.3 货物保险要求按</w:t>
      </w:r>
      <w:r>
        <w:rPr>
          <w:rFonts w:hint="eastAsia" w:ascii="宋体" w:hAnsi="宋体" w:eastAsia="宋体" w:cs="宋体"/>
          <w:b/>
          <w:color w:val="000000" w:themeColor="text1"/>
          <w:sz w:val="24"/>
          <w:szCs w:val="24"/>
          <w:lang w:eastAsia="zh-CN"/>
          <w14:textFill>
            <w14:solidFill>
              <w14:schemeClr w14:val="tx1"/>
            </w14:solidFill>
          </w14:textFill>
        </w:rPr>
        <w:t xml:space="preserve">【政府采购合同专用条款】</w:t>
      </w:r>
      <w:r>
        <w:rPr>
          <w:rFonts w:hint="eastAsia" w:ascii="宋体" w:hAnsi="宋体" w:eastAsia="宋体" w:cs="宋体"/>
          <w:bCs/>
          <w:color w:val="000000" w:themeColor="text1"/>
          <w:sz w:val="24"/>
          <w:szCs w:val="24"/>
          <w:lang w:eastAsia="zh-CN"/>
          <w14:textFill>
            <w14:solidFill>
              <w14:schemeClr w14:val="tx1"/>
            </w14:solidFill>
          </w14:textFill>
        </w:rPr>
        <w:t xml:space="preserve">规定执行</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firstLine="480"/>
        <w:keepLines w:val="0"/>
        <w:keepNext w:val="0"/>
        <w:pageBreakBefore w:val="0"/>
        <w:spacing w:line="56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keepLines w:val="0"/>
        <w:keepNext w:val="0"/>
        <w:pageBreakBefore w:val="0"/>
        <w:spacing w:line="56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7.5 </w:t>
      </w:r>
      <w:r>
        <w:rPr>
          <w:rFonts w:hint="eastAsia" w:ascii="宋体" w:hAnsi="宋体" w:eastAsia="宋体" w:cs="宋体"/>
          <w:color w:val="000000"/>
          <w:sz w:val="24"/>
          <w:szCs w:val="24"/>
          <w:lang w:eastAsia="zh-CN"/>
        </w:rPr>
        <w:t xml:space="preserve">乙方在运输到达之前应提前通知甲方，并提示货物运输装卸的注意事项，甲方配合乙方做好货物的接收工作。</w:t>
      </w:r>
      <w:r/>
    </w:p>
    <w:p>
      <w:pPr>
        <w:pStyle w:val="1063"/>
        <w:ind w:firstLine="480"/>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7.6 </w:t>
      </w:r>
      <w:r>
        <w:rPr>
          <w:rFonts w:hint="eastAsia" w:ascii="宋体" w:hAnsi="宋体" w:eastAsia="宋体" w:cs="宋体"/>
          <w:color w:val="000000"/>
          <w:sz w:val="24"/>
          <w:szCs w:val="24"/>
        </w:rPr>
        <w:t xml:space="preserve">如因包装、运输问题导致货物</w:t>
      </w:r>
      <w:r>
        <w:rPr>
          <w:rFonts w:hint="eastAsia" w:ascii="宋体" w:hAnsi="宋体" w:eastAsia="宋体" w:cs="宋体"/>
          <w:color w:val="000000" w:themeColor="text1"/>
          <w:sz w:val="24"/>
          <w:szCs w:val="24"/>
          <w14:textFill>
            <w14:solidFill>
              <w14:schemeClr w14:val="tx1"/>
            </w14:solidFill>
          </w14:textFill>
        </w:rPr>
        <w:t xml:space="preserve">损毁、丢失</w:t>
      </w:r>
      <w:r>
        <w:rPr>
          <w:rFonts w:hint="eastAsia" w:ascii="宋体" w:hAnsi="宋体" w:eastAsia="宋体" w:cs="宋体"/>
          <w:color w:val="000000"/>
          <w:sz w:val="24"/>
          <w:szCs w:val="24"/>
        </w:rPr>
        <w:t xml:space="preserve">或者品质下降，甲方有权要求降价、换货、拒收部分或整批货物，由此产生的费用和损失，均由乙方承担。</w:t>
      </w:r>
      <w:r/>
    </w:p>
    <w:p>
      <w:pPr>
        <w:ind w:firstLine="482"/>
        <w:keepLines w:val="0"/>
        <w:keepNext w:val="0"/>
        <w:pageBreakBefore w:val="0"/>
        <w:spacing w:line="560" w:lineRule="exact"/>
        <w:rPr>
          <w:rFonts w:hint="eastAsia" w:ascii="宋体" w:hAnsi="宋体" w:eastAsia="宋体" w:cs="宋体"/>
          <w:b/>
          <w:sz w:val="24"/>
          <w:szCs w:val="24"/>
          <w:lang w:eastAsia="zh-CN"/>
        </w:rPr>
      </w:pPr>
      <w:r>
        <w:rPr>
          <w:rFonts w:hint="eastAsia" w:ascii="宋体" w:hAnsi="宋体" w:eastAsia="宋体" w:cs="宋体"/>
          <w:b/>
          <w:color w:val="000000" w:themeColor="text1"/>
          <w:sz w:val="24"/>
          <w:szCs w:val="24"/>
          <w:lang w:eastAsia="zh-CN"/>
          <w14:textFill>
            <w14:solidFill>
              <w14:schemeClr w14:val="tx1"/>
            </w14:solidFill>
          </w14:textFill>
        </w:rPr>
        <w:t xml:space="preserve">8. </w:t>
      </w:r>
      <w:r>
        <w:rPr>
          <w:rFonts w:hint="eastAsia" w:ascii="宋体" w:hAnsi="宋体" w:eastAsia="宋体" w:cs="宋体"/>
          <w:b/>
          <w:sz w:val="24"/>
          <w:szCs w:val="24"/>
          <w:lang w:eastAsia="zh-CN"/>
        </w:rPr>
        <w:t xml:space="preserve">质量标准和保证</w:t>
      </w:r>
      <w:r/>
    </w:p>
    <w:p>
      <w:pPr>
        <w:pStyle w:val="1011"/>
        <w:ind w:firstLine="480"/>
        <w:keepLines w:val="0"/>
        <w:keepNext w:val="0"/>
        <w:pageBreakBefore w:val="0"/>
        <w:spacing w:line="560" w:lineRule="exact"/>
        <w:rPr>
          <w:rFonts w:hint="eastAsia" w:ascii="宋体" w:hAnsi="宋体" w:eastAsia="宋体" w:cs="宋体"/>
          <w:b/>
          <w:sz w:val="24"/>
          <w:szCs w:val="24"/>
          <w:lang w:eastAsia="zh-CN"/>
        </w:rPr>
      </w:pPr>
      <w:r>
        <w:rPr>
          <w:rFonts w:hint="eastAsia" w:ascii="宋体" w:hAnsi="宋体" w:eastAsia="宋体" w:cs="宋体"/>
          <w:sz w:val="24"/>
          <w:szCs w:val="24"/>
          <w:lang w:eastAsia="zh-CN"/>
        </w:rPr>
        <w:t xml:space="preserve">8.1 质量标准</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（1）本合同下提供的货物应符合合同</w:t>
      </w:r>
      <w:r>
        <w:rPr>
          <w:rFonts w:hint="eastAsia" w:ascii="宋体" w:hAnsi="宋体" w:eastAsia="宋体" w:cs="宋体"/>
          <w:color w:val="000000"/>
          <w:sz w:val="24"/>
          <w:szCs w:val="24"/>
          <w:lang w:eastAsia="zh-CN"/>
        </w:rPr>
        <w:t xml:space="preserve">约定的</w:t>
      </w:r>
      <w:r>
        <w:rPr>
          <w:rFonts w:hint="eastAsia" w:ascii="宋体" w:hAnsi="宋体" w:eastAsia="宋体" w:cs="宋体"/>
          <w:sz w:val="24"/>
          <w:szCs w:val="24"/>
          <w:lang w:eastAsia="zh-CN"/>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11"/>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（2）采用中华人民共和国法定计量单位。</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（3）乙方所提供的货物应符合国家有关安全、环保、卫生的规定。</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（4）乙方应向甲方提交所提供货物的技术文件，包括相应的中文技术文件，如：产品目录、图纸、操作手册、使用说明、维护手册或服务指南等。上述文件应包装好随货物一同发运。</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8.2 保证</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4"/>
          <w:szCs w:val="24"/>
          <w:lang w:eastAsia="zh-CN"/>
        </w:rPr>
        <w:t xml:space="preserve">【政府采购合同专用条款】</w:t>
      </w:r>
      <w:r>
        <w:rPr>
          <w:rFonts w:hint="eastAsia" w:ascii="宋体" w:hAnsi="宋体" w:eastAsia="宋体" w:cs="宋体"/>
          <w:sz w:val="24"/>
          <w:szCs w:val="24"/>
          <w:lang w:eastAsia="zh-CN"/>
        </w:rPr>
        <w:t xml:space="preserve">规定或乙方书面承诺（两者以较长的为准）的质量保证期内，本保证保持有效。</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（2）在质量保证期内所发现的缺陷，甲方应尽快以书面形式通知乙方。</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（3）乙方收到通知后，应在</w:t>
      </w:r>
      <w:r>
        <w:rPr>
          <w:rFonts w:hint="eastAsia" w:ascii="宋体" w:hAnsi="宋体" w:eastAsia="宋体" w:cs="宋体"/>
          <w:b/>
          <w:sz w:val="24"/>
          <w:szCs w:val="24"/>
          <w:lang w:eastAsia="zh-CN"/>
        </w:rPr>
        <w:t xml:space="preserve">【政府采购合同专用条款】</w:t>
      </w:r>
      <w:r>
        <w:rPr>
          <w:rFonts w:hint="eastAsia" w:ascii="宋体" w:hAnsi="宋体" w:eastAsia="宋体" w:cs="宋体"/>
          <w:sz w:val="24"/>
          <w:szCs w:val="24"/>
          <w:lang w:eastAsia="zh-CN"/>
        </w:rPr>
        <w:t xml:space="preserve">规定的响应时间内以合理的速度免费维修或更换有缺陷的货物或部件。</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themeColor="text1"/>
          <w:sz w:val="24"/>
          <w:szCs w:val="24"/>
          <w:lang w:eastAsia="zh-CN"/>
          <w14:textFill>
            <w14:solidFill>
              <w14:schemeClr w14:val="tx1"/>
            </w14:solidFill>
          </w14:textFill>
        </w:rPr>
        <w:t xml:space="preserve">5</w:t>
      </w:r>
      <w:r>
        <w:rPr>
          <w:rFonts w:hint="eastAsia" w:ascii="宋体" w:hAnsi="宋体" w:eastAsia="宋体" w:cs="宋体"/>
          <w:sz w:val="24"/>
          <w:szCs w:val="24"/>
          <w:lang w:eastAsia="zh-CN"/>
        </w:rPr>
        <w:t xml:space="preserve">.1条规定以书面形式</w:t>
      </w:r>
      <w:r>
        <w:rPr>
          <w:rFonts w:hint="eastAsia" w:ascii="宋体" w:hAnsi="宋体" w:eastAsia="宋体" w:cs="宋体"/>
          <w:color w:val="000000" w:themeColor="text1"/>
          <w:sz w:val="24"/>
          <w:szCs w:val="24"/>
          <w:lang w:eastAsia="zh-CN"/>
          <w14:textFill>
            <w14:solidFill>
              <w14:schemeClr w14:val="tx1"/>
            </w14:solidFill>
          </w14:textFill>
        </w:rPr>
        <w:t xml:space="preserve">追究</w:t>
      </w:r>
      <w:r>
        <w:rPr>
          <w:rFonts w:hint="eastAsia" w:ascii="宋体" w:hAnsi="宋体" w:eastAsia="宋体" w:cs="宋体"/>
          <w:sz w:val="24"/>
          <w:szCs w:val="24"/>
          <w:lang w:eastAsia="zh-CN"/>
        </w:rPr>
        <w:t xml:space="preserve">乙方</w:t>
      </w:r>
      <w:r>
        <w:rPr>
          <w:rFonts w:hint="eastAsia" w:ascii="宋体" w:hAnsi="宋体" w:eastAsia="宋体" w:cs="宋体"/>
          <w:color w:val="000000" w:themeColor="text1"/>
          <w:sz w:val="24"/>
          <w:szCs w:val="24"/>
          <w:lang w:eastAsia="zh-CN"/>
          <w14:textFill>
            <w14:solidFill>
              <w14:schemeClr w14:val="tx1"/>
            </w14:solidFill>
          </w14:textFill>
        </w:rPr>
        <w:t xml:space="preserve">的违约责任</w:t>
      </w:r>
      <w:r>
        <w:rPr>
          <w:rFonts w:hint="eastAsia" w:ascii="宋体" w:hAnsi="宋体" w:eastAsia="宋体" w:cs="宋体"/>
          <w:sz w:val="24"/>
          <w:szCs w:val="24"/>
          <w:lang w:eastAsia="zh-CN"/>
        </w:rPr>
        <w:t xml:space="preserve">。</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（5）乙方在约定的时间内未能弥补缺陷，甲方可采取必要的补救措施，但其风险和费用将由乙方承担，甲方根据合同约定对乙方行使的其他权利不受影响。</w:t>
      </w:r>
      <w:r/>
    </w:p>
    <w:p>
      <w:pPr>
        <w:ind w:firstLine="482"/>
        <w:keepLines w:val="0"/>
        <w:keepNext w:val="0"/>
        <w:pageBreakBefore w:val="0"/>
        <w:spacing w:line="560" w:lineRule="exact"/>
        <w:rPr>
          <w:rFonts w:hint="eastAsia" w:ascii="宋体" w:hAnsi="宋体" w:eastAsia="宋体" w:cs="宋体"/>
          <w:b/>
          <w:bCs/>
          <w:sz w:val="24"/>
          <w:szCs w:val="24"/>
          <w:lang w:eastAsia="zh-CN"/>
        </w:rPr>
      </w:pPr>
      <w:r>
        <w:rPr>
          <w:rFonts w:hint="eastAsia" w:ascii="宋体" w:hAnsi="宋体" w:eastAsia="宋体" w:cs="宋体"/>
          <w:b/>
          <w:bCs/>
          <w:color w:val="000000" w:themeColor="text1"/>
          <w:sz w:val="24"/>
          <w:szCs w:val="24"/>
          <w:lang w:eastAsia="zh-CN"/>
          <w14:textFill>
            <w14:solidFill>
              <w14:schemeClr w14:val="tx1"/>
            </w14:solidFill>
          </w14:textFill>
        </w:rPr>
        <w:t xml:space="preserve">9</w:t>
      </w:r>
      <w:r>
        <w:rPr>
          <w:rFonts w:hint="eastAsia" w:ascii="宋体" w:hAnsi="宋体" w:eastAsia="宋体" w:cs="宋体"/>
          <w:b/>
          <w:bCs/>
          <w:sz w:val="24"/>
          <w:szCs w:val="24"/>
          <w:lang w:eastAsia="zh-CN"/>
        </w:rPr>
        <w:t xml:space="preserve">.</w:t>
      </w:r>
      <w:r>
        <w:rPr>
          <w:rFonts w:hint="eastAsia" w:ascii="宋体" w:hAnsi="宋体" w:eastAsia="宋体" w:cs="宋体"/>
          <w:b/>
          <w:bCs/>
          <w:color w:val="000000" w:themeColor="text1"/>
          <w:sz w:val="24"/>
          <w:szCs w:val="24"/>
          <w:lang w:eastAsia="zh-CN"/>
          <w14:textFill>
            <w14:solidFill>
              <w14:schemeClr w14:val="tx1"/>
            </w14:solidFill>
          </w14:textFill>
        </w:rPr>
        <w:t xml:space="preserve"> </w:t>
      </w:r>
      <w:r>
        <w:rPr>
          <w:rFonts w:hint="eastAsia" w:ascii="宋体" w:hAnsi="宋体" w:eastAsia="宋体" w:cs="宋体"/>
          <w:b/>
          <w:bCs/>
          <w:sz w:val="24"/>
          <w:szCs w:val="24"/>
          <w:lang w:eastAsia="zh-CN"/>
        </w:rPr>
        <w:t xml:space="preserve">权利瑕疵担保</w:t>
      </w:r>
      <w:r/>
    </w:p>
    <w:p>
      <w:pPr>
        <w:ind w:firstLine="480"/>
        <w:keepLines w:val="0"/>
        <w:keepNext w:val="0"/>
        <w:pageBreakBefore w:val="0"/>
        <w:spacing w:line="56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9.1 乙方保证对其出售的货物享有合法的权利。</w:t>
      </w:r>
      <w:r/>
    </w:p>
    <w:p>
      <w:pPr>
        <w:ind w:firstLine="480"/>
        <w:keepLines w:val="0"/>
        <w:keepNext w:val="0"/>
        <w:pageBreakBefore w:val="0"/>
        <w:spacing w:line="56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9.2 </w:t>
      </w:r>
      <w:r>
        <w:rPr>
          <w:rFonts w:hint="eastAsia" w:ascii="宋体" w:hAnsi="宋体" w:eastAsia="宋体" w:cs="宋体"/>
          <w:sz w:val="24"/>
          <w:szCs w:val="24"/>
          <w:lang w:eastAsia="zh-CN"/>
        </w:rPr>
        <w:t xml:space="preserve">乙方保证在交付的货物上不存在抵押权等担保物权。</w:t>
      </w:r>
      <w:r/>
    </w:p>
    <w:p>
      <w:pPr>
        <w:ind w:firstLine="480"/>
        <w:keepLines w:val="0"/>
        <w:keepNext w:val="0"/>
        <w:pageBreakBefore w:val="0"/>
        <w:spacing w:line="56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9.3 如甲方使用上述货物构成对第三人侵权的，则由乙方承担全部责任。</w:t>
      </w:r>
      <w:r/>
    </w:p>
    <w:p>
      <w:pPr>
        <w:ind w:firstLine="482"/>
        <w:keepLines w:val="0"/>
        <w:keepNext w:val="0"/>
        <w:pageBreakBefore w:val="0"/>
        <w:spacing w:line="560" w:lineRule="exact"/>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10. 知识产权保护</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color w:val="000000" w:themeColor="text1"/>
          <w:sz w:val="24"/>
          <w:szCs w:val="24"/>
          <w:lang w:eastAsia="zh-CN"/>
          <w14:textFill>
            <w14:solidFill>
              <w14:schemeClr w14:val="tx1"/>
            </w14:solidFill>
          </w14:textFill>
        </w:rPr>
        <w:t xml:space="preserve">10.1 乙方对其所销售的货物应当享有知识产权或经权利人合法授权，保证没有侵犯任</w:t>
      </w:r>
      <w:r>
        <w:rPr>
          <w:rFonts w:hint="eastAsia" w:ascii="宋体" w:hAnsi="宋体" w:eastAsia="宋体" w:cs="宋体"/>
          <w:sz w:val="24"/>
          <w:szCs w:val="24"/>
          <w:lang w:eastAsia="zh-CN"/>
        </w:rPr>
        <w:t xml:space="preserve">何第三人的知识产权等权利。</w:t>
      </w:r>
      <w:bookmarkStart w:id="269" w:name="_Hlk163047038"/>
      <w:r>
        <w:rPr>
          <w:rFonts w:hint="eastAsia" w:ascii="宋体" w:hAnsi="宋体" w:eastAsia="宋体" w:cs="宋体"/>
          <w:sz w:val="24"/>
          <w:szCs w:val="24"/>
          <w:lang w:eastAsia="zh-CN"/>
        </w:rPr>
        <w:t xml:space="preserve">因违反前述约定对第三人构成侵权的，应当由乙方向第三人承担法律责任；甲方依法向第三人赔偿后，有权向乙方追偿。甲方有其他损失的，乙方应当赔偿</w:t>
      </w:r>
      <w:bookmarkEnd w:id="269"/>
      <w:r>
        <w:rPr>
          <w:rFonts w:hint="eastAsia" w:ascii="宋体" w:hAnsi="宋体" w:eastAsia="宋体" w:cs="宋体"/>
          <w:sz w:val="24"/>
          <w:szCs w:val="24"/>
          <w:lang w:eastAsia="zh-CN"/>
        </w:rPr>
        <w:t xml:space="preserve">。</w:t>
      </w:r>
      <w:r/>
    </w:p>
    <w:p>
      <w:pPr>
        <w:ind w:firstLine="482"/>
        <w:keepLines w:val="0"/>
        <w:keepNext w:val="0"/>
        <w:pageBreakBefore w:val="0"/>
        <w:spacing w:line="56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11. 保密义务</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4"/>
          <w:szCs w:val="24"/>
          <w:lang w:eastAsia="zh-CN"/>
        </w:rPr>
        <w:t xml:space="preserve">【政府采购合同专用条款】</w:t>
      </w:r>
      <w:r>
        <w:rPr>
          <w:rFonts w:hint="eastAsia" w:ascii="宋体" w:hAnsi="宋体" w:eastAsia="宋体" w:cs="宋体"/>
          <w:sz w:val="24"/>
          <w:szCs w:val="24"/>
          <w:lang w:eastAsia="zh-CN"/>
        </w:rPr>
        <w:t xml:space="preserve">中约定。</w:t>
      </w:r>
      <w:r/>
    </w:p>
    <w:p>
      <w:pPr>
        <w:ind w:firstLine="482"/>
        <w:keepLines w:val="0"/>
        <w:keepNext w:val="0"/>
        <w:pageBreakBefore w:val="0"/>
        <w:spacing w:line="56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12. 合同价款支付</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12.1 合同价款支付按照国库集中支付制度及财政管理相关规定执行。</w:t>
      </w:r>
      <w:r/>
    </w:p>
    <w:p>
      <w:pPr>
        <w:pStyle w:val="967"/>
        <w:numPr>
          <w:ilvl w:val="1"/>
          <w:numId w:val="0"/>
        </w:numPr>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977"/>
        <w:ind w:firstLine="482"/>
        <w:keepLines w:val="0"/>
        <w:keepNext w:val="0"/>
        <w:pageBreakBefore w:val="0"/>
        <w:spacing w:after="0" w:line="56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13. 履约保证金</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13.1 </w:t>
      </w:r>
      <w:r>
        <w:rPr>
          <w:rFonts w:hint="eastAsia" w:ascii="宋体" w:hAnsi="宋体" w:eastAsia="宋体" w:cs="宋体"/>
          <w:b/>
          <w:bCs/>
          <w:sz w:val="24"/>
          <w:szCs w:val="24"/>
          <w:lang w:eastAsia="zh-CN"/>
        </w:rPr>
        <w:t xml:space="preserve">合同签订前乙方支付合同金额的</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lang w:eastAsia="zh-CN"/>
        </w:rPr>
        <w:t xml:space="preserve">%（即【        】元）作为履约保证金。</w:t>
      </w:r>
      <w:r>
        <w:rPr>
          <w:rFonts w:hint="eastAsia" w:ascii="宋体" w:hAnsi="宋体" w:eastAsia="宋体" w:cs="宋体"/>
          <w:sz w:val="24"/>
          <w:szCs w:val="24"/>
          <w:lang w:eastAsia="zh-CN"/>
        </w:rPr>
        <w:t xml:space="preserve">乙方应当以支票、汇票、本票或者金融机构、担保机构出具的保函等非现金形式提交</w:t>
      </w:r>
      <w:r>
        <w:rPr>
          <w:rFonts w:hint="eastAsia" w:ascii="宋体" w:hAnsi="宋体" w:eastAsia="宋体" w:cs="宋体"/>
          <w:sz w:val="24"/>
          <w:szCs w:val="24"/>
          <w:lang w:val="en-US" w:eastAsia="zh-CN"/>
        </w:rPr>
        <w:t xml:space="preserve">给甲方</w:t>
      </w:r>
      <w:r>
        <w:rPr>
          <w:rFonts w:hint="eastAsia" w:ascii="宋体" w:hAnsi="宋体" w:eastAsia="宋体" w:cs="宋体"/>
          <w:sz w:val="24"/>
          <w:szCs w:val="24"/>
          <w:lang w:eastAsia="zh-CN"/>
        </w:rPr>
        <w:t xml:space="preserve">。</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13.2 如果乙方出现</w:t>
      </w:r>
      <w:r>
        <w:rPr>
          <w:rFonts w:hint="eastAsia" w:ascii="宋体" w:hAnsi="宋体" w:eastAsia="宋体" w:cs="宋体"/>
          <w:b/>
          <w:bCs/>
          <w:sz w:val="24"/>
          <w:szCs w:val="24"/>
          <w:lang w:eastAsia="zh-CN"/>
        </w:rPr>
        <w:t xml:space="preserve">【政府采购合同专用条款】</w:t>
      </w:r>
      <w:r>
        <w:rPr>
          <w:rFonts w:hint="eastAsia" w:ascii="宋体" w:hAnsi="宋体" w:eastAsia="宋体" w:cs="宋体"/>
          <w:sz w:val="24"/>
          <w:szCs w:val="24"/>
          <w:lang w:eastAsia="zh-CN"/>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13.3 甲方在项目通过验收后按照</w:t>
      </w:r>
      <w:r>
        <w:rPr>
          <w:rFonts w:hint="eastAsia" w:ascii="宋体" w:hAnsi="宋体" w:eastAsia="宋体" w:cs="宋体"/>
          <w:b/>
          <w:sz w:val="24"/>
          <w:szCs w:val="24"/>
          <w:lang w:eastAsia="zh-CN"/>
        </w:rPr>
        <w:t xml:space="preserve">【政府采购合同专用条款】</w:t>
      </w:r>
      <w:r>
        <w:rPr>
          <w:rFonts w:hint="eastAsia" w:ascii="宋体" w:hAnsi="宋体" w:eastAsia="宋体" w:cs="宋体"/>
          <w:sz w:val="24"/>
          <w:szCs w:val="24"/>
          <w:lang w:eastAsia="zh-CN"/>
        </w:rPr>
        <w:t xml:space="preserve">规定的时间内将履约保证金退还乙方；逾期退还的，乙方可要求甲方支付违约金，违约金按照</w:t>
      </w:r>
      <w:r>
        <w:rPr>
          <w:rFonts w:hint="eastAsia" w:ascii="宋体" w:hAnsi="宋体" w:eastAsia="宋体" w:cs="宋体"/>
          <w:b/>
          <w:sz w:val="24"/>
          <w:szCs w:val="24"/>
          <w:lang w:eastAsia="zh-CN"/>
        </w:rPr>
        <w:t xml:space="preserve">【政府采购合同专用条款】</w:t>
      </w:r>
      <w:r>
        <w:rPr>
          <w:rFonts w:hint="eastAsia" w:ascii="宋体" w:hAnsi="宋体" w:eastAsia="宋体" w:cs="宋体"/>
          <w:sz w:val="24"/>
          <w:szCs w:val="24"/>
          <w:lang w:eastAsia="zh-CN"/>
        </w:rPr>
        <w:t xml:space="preserve">规定支付。</w:t>
      </w:r>
      <w:r/>
    </w:p>
    <w:p>
      <w:pPr>
        <w:ind w:firstLine="482"/>
        <w:keepLines w:val="0"/>
        <w:keepNext w:val="0"/>
        <w:pageBreakBefore w:val="0"/>
        <w:spacing w:line="560" w:lineRule="exact"/>
        <w:rPr>
          <w:rFonts w:hint="eastAsia" w:ascii="宋体" w:hAnsi="宋体" w:eastAsia="宋体" w:cs="宋体"/>
          <w:b/>
          <w:sz w:val="24"/>
          <w:szCs w:val="24"/>
          <w:lang w:eastAsia="zh-CN"/>
        </w:rPr>
      </w:pPr>
      <w:r>
        <w:rPr>
          <w:rFonts w:hint="eastAsia" w:ascii="宋体" w:hAnsi="宋体" w:eastAsia="宋体" w:cs="宋体"/>
          <w:b/>
          <w:bCs/>
          <w:sz w:val="24"/>
          <w:szCs w:val="24"/>
          <w:lang w:eastAsia="zh-CN"/>
        </w:rPr>
        <w:t xml:space="preserve">14. </w:t>
      </w:r>
      <w:r>
        <w:rPr>
          <w:rFonts w:hint="eastAsia" w:ascii="宋体" w:hAnsi="宋体" w:eastAsia="宋体" w:cs="宋体"/>
          <w:b/>
          <w:sz w:val="24"/>
          <w:szCs w:val="24"/>
          <w:lang w:eastAsia="zh-CN"/>
        </w:rPr>
        <w:t xml:space="preserve">售后服务</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14.1 除项目不涉及或采购活动中明确约定无须承担外，乙方还应提供下列服务：</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（1）货物的现场移动、安装、调试、启动监督及技术支持；</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（2）提供货物组装和维修所需的专用工具和辅助材料；</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（3）在</w:t>
      </w:r>
      <w:r>
        <w:rPr>
          <w:rFonts w:hint="eastAsia" w:ascii="宋体" w:hAnsi="宋体" w:eastAsia="宋体" w:cs="宋体"/>
          <w:b/>
          <w:bCs/>
          <w:sz w:val="24"/>
          <w:szCs w:val="24"/>
          <w:lang w:eastAsia="zh-CN"/>
        </w:rPr>
        <w:t xml:space="preserve">【政府采购合同专用条款】</w:t>
      </w:r>
      <w:r>
        <w:rPr>
          <w:rFonts w:hint="eastAsia" w:ascii="宋体" w:hAnsi="宋体" w:eastAsia="宋体" w:cs="宋体"/>
          <w:sz w:val="24"/>
          <w:szCs w:val="24"/>
          <w:lang w:eastAsia="zh-CN"/>
        </w:rPr>
        <w:t xml:space="preserve">约定的期限内对所有的货物实施运行监督、维修，但前提条件是该服务并不能免除乙方在质量保证期内所承担的义务；</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（4）在制造商所在地或指定现场就货物的安装、启动、运营、维护、废弃处置等对甲方操作人员进行培训；</w:t>
      </w:r>
      <w:r/>
    </w:p>
    <w:p>
      <w:pPr>
        <w:pStyle w:val="1063"/>
        <w:ind w:firstLine="480"/>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（5）依照法律、行政法规的规定或者按照</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w:t>
      </w:r>
      <w:r>
        <w:rPr>
          <w:rFonts w:hint="eastAsia" w:ascii="宋体" w:hAnsi="宋体" w:eastAsia="宋体" w:cs="宋体"/>
          <w:b/>
          <w:sz w:val="24"/>
          <w:szCs w:val="24"/>
          <w:lang w:eastAsia="zh-CN"/>
        </w:rPr>
        <w:t xml:space="preserve">【政府采购合同专用条款】</w:t>
      </w:r>
      <w:r>
        <w:rPr>
          <w:rFonts w:hint="eastAsia" w:ascii="宋体" w:hAnsi="宋体" w:eastAsia="宋体" w:cs="宋体"/>
          <w:sz w:val="24"/>
          <w:szCs w:val="24"/>
          <w:lang w:eastAsia="zh-CN"/>
        </w:rPr>
        <w:t xml:space="preserve">规定由乙方提供的其他服务。</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14.2 乙方提供的售后服务的费用已包含在合同价款中，甲方不再另行支付。</w:t>
      </w:r>
      <w:r/>
    </w:p>
    <w:p>
      <w:pPr>
        <w:ind w:firstLine="482"/>
        <w:keepLines w:val="0"/>
        <w:keepNext w:val="0"/>
        <w:pageBreakBefore w:val="0"/>
        <w:spacing w:line="56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15. 违约责任</w:t>
      </w:r>
      <w:r/>
    </w:p>
    <w:p>
      <w:pPr>
        <w:ind w:firstLine="480"/>
        <w:keepLines w:val="0"/>
        <w:keepNext w:val="0"/>
        <w:pageBreakBefore w:val="0"/>
        <w:spacing w:line="56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15.1质量瑕疵的违约责任</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乙方提供的产品不符合合同约定的质量标准或存在产品质量缺陷，甲方有权要求乙方根据</w:t>
      </w:r>
      <w:r>
        <w:rPr>
          <w:rFonts w:hint="eastAsia" w:ascii="宋体" w:hAnsi="宋体" w:eastAsia="宋体" w:cs="宋体"/>
          <w:b/>
          <w:sz w:val="24"/>
          <w:szCs w:val="24"/>
          <w:lang w:eastAsia="zh-CN"/>
        </w:rPr>
        <w:t xml:space="preserve">【政府采购合同专用条款】</w:t>
      </w:r>
      <w:r>
        <w:rPr>
          <w:rFonts w:hint="eastAsia" w:ascii="宋体" w:hAnsi="宋体" w:eastAsia="宋体" w:cs="宋体"/>
          <w:bCs/>
          <w:sz w:val="24"/>
          <w:szCs w:val="24"/>
          <w:lang w:eastAsia="zh-CN"/>
        </w:rPr>
        <w:t xml:space="preserve">要求</w:t>
      </w:r>
      <w:r>
        <w:rPr>
          <w:rFonts w:hint="eastAsia" w:ascii="宋体" w:hAnsi="宋体" w:eastAsia="宋体" w:cs="宋体"/>
          <w:sz w:val="24"/>
          <w:szCs w:val="24"/>
          <w:lang w:eastAsia="zh-CN"/>
        </w:rPr>
        <w:t xml:space="preserve">及时修理、重作、更换，并承担由此给甲方造成的损失。</w:t>
      </w:r>
      <w:r/>
    </w:p>
    <w:p>
      <w:pPr>
        <w:ind w:firstLine="480"/>
        <w:keepLines w:val="0"/>
        <w:keepNext w:val="0"/>
        <w:pageBreakBefore w:val="0"/>
        <w:spacing w:line="56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15.2 迟延交货的违约责任</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 w:val="24"/>
          <w:szCs w:val="24"/>
          <w:lang w:eastAsia="zh-CN"/>
        </w:rPr>
        <w:t xml:space="preserve">【政府采购合同专用条款】</w:t>
      </w:r>
      <w:r>
        <w:rPr>
          <w:rFonts w:hint="eastAsia" w:ascii="宋体" w:hAnsi="宋体" w:eastAsia="宋体" w:cs="宋体"/>
          <w:sz w:val="24"/>
          <w:szCs w:val="24"/>
          <w:lang w:eastAsia="zh-CN"/>
        </w:rPr>
        <w:t xml:space="preserve">规定执行。如果涉及公共利益，且赔偿金额无法弥补公共利益损失，甲方可要求继续履行或者采取其他补救措施。</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15.3 迟延支付的违约责任</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甲方存在迟延支付乙方合同款项的，应当承担</w:t>
      </w:r>
      <w:r>
        <w:rPr>
          <w:rFonts w:hint="eastAsia" w:ascii="宋体" w:hAnsi="宋体" w:eastAsia="宋体" w:cs="宋体"/>
          <w:b/>
          <w:bCs/>
          <w:sz w:val="24"/>
          <w:szCs w:val="24"/>
          <w:lang w:eastAsia="zh-CN"/>
        </w:rPr>
        <w:t xml:space="preserve">【政府采购合同专用条款】</w:t>
      </w:r>
      <w:r>
        <w:rPr>
          <w:rFonts w:hint="eastAsia" w:ascii="宋体" w:hAnsi="宋体" w:eastAsia="宋体" w:cs="宋体"/>
          <w:sz w:val="24"/>
          <w:szCs w:val="24"/>
          <w:lang w:eastAsia="zh-CN"/>
        </w:rPr>
        <w:t xml:space="preserve">规定的逾期付款利息。</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bCs/>
          <w:sz w:val="24"/>
          <w:szCs w:val="24"/>
          <w:lang w:eastAsia="zh-CN"/>
        </w:rPr>
        <w:t xml:space="preserve">15.4其他违约责任根据项目实际需要按</w:t>
      </w:r>
      <w:r>
        <w:rPr>
          <w:rFonts w:hint="eastAsia" w:ascii="宋体" w:hAnsi="宋体" w:eastAsia="宋体" w:cs="宋体"/>
          <w:b/>
          <w:bCs/>
          <w:sz w:val="24"/>
          <w:szCs w:val="24"/>
          <w:lang w:eastAsia="zh-CN"/>
        </w:rPr>
        <w:t xml:space="preserve">【政府采购合同专用条款】</w:t>
      </w:r>
      <w:r>
        <w:rPr>
          <w:rFonts w:hint="eastAsia" w:ascii="宋体" w:hAnsi="宋体" w:eastAsia="宋体" w:cs="宋体"/>
          <w:sz w:val="24"/>
          <w:szCs w:val="24"/>
          <w:lang w:eastAsia="zh-CN"/>
        </w:rPr>
        <w:t xml:space="preserve">规定执行。</w:t>
      </w:r>
      <w:r/>
    </w:p>
    <w:p>
      <w:pPr>
        <w:numPr>
          <w:ilvl w:val="0"/>
          <w:numId w:val="45"/>
        </w:numPr>
        <w:ind w:firstLine="482"/>
        <w:keepLines w:val="0"/>
        <w:keepNext w:val="0"/>
        <w:pageBreakBefore w:val="0"/>
        <w:spacing w:line="560" w:lineRule="exact"/>
        <w:rPr>
          <w:rFonts w:hint="eastAsia" w:ascii="宋体" w:hAnsi="宋体" w:eastAsia="宋体" w:cs="宋体"/>
          <w:b/>
          <w:sz w:val="24"/>
          <w:szCs w:val="24"/>
        </w:rPr>
      </w:pPr>
      <w:r>
        <w:rPr>
          <w:rFonts w:hint="eastAsia" w:ascii="宋体" w:hAnsi="宋体" w:eastAsia="宋体" w:cs="宋体"/>
          <w:b/>
          <w:sz w:val="24"/>
          <w:szCs w:val="24"/>
        </w:rPr>
        <w:t xml:space="preserve">合同变更、中止与终止</w:t>
      </w:r>
      <w:r/>
    </w:p>
    <w:p>
      <w:pPr>
        <w:ind w:firstLine="480"/>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    16.1合同的变更</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政府采购合同履行中，在不改变合同其他条款的前提下，甲方可以在合同价款10%的范围内追加与合同标的相同的货物，并就此与乙方协商一致后签订补充协议。</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16.2合同的中止</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（1）合同履行过程中因供应商就采购文件、采购过程或结果提起投诉的，甲方认为有必要的，可以中止合同的履行。</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63"/>
        <w:ind w:firstLine="480"/>
        <w:jc w:val="both"/>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（4）甲方不得以行政区划调整、政府换届、机构或者职能调整以及相关责任人更替为由中止合同。</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16.3合同的终止</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（1）合同因有效期限届满而终止；</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（2）乙方未按合同约定履行，构成根本性违约的，甲方有权终止合同，并追究乙方的违约责任。</w:t>
      </w:r>
      <w:r/>
    </w:p>
    <w:p>
      <w:pPr>
        <w:pStyle w:val="1063"/>
        <w:ind w:firstLine="480"/>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16.4 </w:t>
      </w:r>
      <w:r>
        <w:rPr>
          <w:rFonts w:hint="eastAsia" w:ascii="宋体" w:hAnsi="宋体" w:eastAsia="宋体" w:cs="宋体"/>
          <w:sz w:val="24"/>
          <w:szCs w:val="24"/>
        </w:rPr>
        <w:t xml:space="preserve">涉及国家利益、社会公共利益的情形</w:t>
      </w:r>
      <w:r/>
    </w:p>
    <w:p>
      <w:pPr>
        <w:pStyle w:val="1063"/>
        <w:ind w:firstLine="480"/>
        <w:jc w:val="both"/>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keepLines w:val="0"/>
        <w:keepNext w:val="0"/>
        <w:pageBreakBefore w:val="0"/>
        <w:spacing w:line="56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17. 合同分包</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17.1 乙方不得将合同转包给其他供应商。涉及合同分包的，乙方应根据采购文件和投标（响应）文件规定进行合同分包。</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17.2 乙方执行政府采购政策向中小企业依法分包的，乙方应当按采购文件和投标（响应）文件签订分包意向协议，分包意向协议属于本合同组成部分。</w:t>
      </w:r>
      <w:r/>
    </w:p>
    <w:p>
      <w:pPr>
        <w:ind w:firstLine="482"/>
        <w:keepLines w:val="0"/>
        <w:keepNext w:val="0"/>
        <w:pageBreakBefore w:val="0"/>
        <w:spacing w:line="56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18. 不可抗力</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18.1 不可抗力是指合同双方不能预见、不能避免且不能克服的客观情况。</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18.2 任何一方对由于不可抗力造成的部分或全部不能履行合同不承担违约责任。但迟延履行后发生不可抗力的，不能免除责任。</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keepLines w:val="0"/>
        <w:keepNext w:val="0"/>
        <w:pageBreakBefore w:val="0"/>
        <w:spacing w:line="56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19. 解决争议的方法</w:t>
      </w:r>
      <w:r/>
    </w:p>
    <w:p>
      <w:pPr>
        <w:pStyle w:val="1063"/>
        <w:ind w:firstLine="480"/>
        <w:jc w:val="both"/>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63"/>
        <w:ind w:firstLine="480"/>
        <w:jc w:val="both"/>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19.2 选择仲裁的，应在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中明确仲裁机构及仲裁地；通过诉讼方式解决的，可以在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中进一步约定选择与争议有实际联系的地点的人民法院管辖，但管辖法院的约定不得违反级别管辖和专属管辖的规定。</w:t>
      </w:r>
      <w:r/>
    </w:p>
    <w:p>
      <w:pPr>
        <w:pStyle w:val="1063"/>
        <w:ind w:firstLine="480"/>
        <w:jc w:val="both"/>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19.3 如甲乙双方有争议的事项不影响合同其他部分的履行，在争议解决期间，合同其他部分应当继续履行。</w:t>
      </w:r>
      <w:r/>
    </w:p>
    <w:p>
      <w:pPr>
        <w:ind w:firstLine="482"/>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b/>
          <w:sz w:val="24"/>
          <w:szCs w:val="24"/>
          <w:lang w:eastAsia="zh-CN"/>
        </w:rPr>
        <w:t xml:space="preserve">20. 政府采购政策</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20.1 </w:t>
      </w:r>
      <w:r>
        <w:rPr>
          <w:rFonts w:hint="eastAsia" w:ascii="宋体" w:hAnsi="宋体" w:eastAsia="宋体" w:cs="宋体"/>
          <w:sz w:val="24"/>
          <w:szCs w:val="24"/>
          <w:lang w:val="en-GB" w:eastAsia="zh-CN"/>
        </w:rPr>
        <w:t xml:space="preserve">本合同应当按照规定执行政府采购政策。</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20.2 本合同依法执行政府采购政策的方式和内容，属于合同履约验收的范围。甲乙双方</w:t>
      </w:r>
      <w:r>
        <w:rPr>
          <w:rFonts w:hint="eastAsia" w:ascii="宋体" w:hAnsi="宋体" w:eastAsia="宋体" w:cs="宋体"/>
          <w:sz w:val="24"/>
          <w:szCs w:val="24"/>
          <w:lang w:val="en-GB" w:eastAsia="zh-CN"/>
        </w:rPr>
        <w:t xml:space="preserve">未按规定要求执行政府采购政策造成损失的</w:t>
      </w:r>
      <w:r>
        <w:rPr>
          <w:rFonts w:hint="eastAsia" w:ascii="宋体" w:hAnsi="宋体" w:eastAsia="宋体" w:cs="宋体"/>
          <w:sz w:val="24"/>
          <w:szCs w:val="24"/>
          <w:lang w:eastAsia="zh-CN"/>
        </w:rPr>
        <w:t xml:space="preserve">，有过错的一方应当承担赔偿责任，双方都有过错的，各自承担相应的责任。</w:t>
      </w:r>
      <w:r/>
    </w:p>
    <w:p>
      <w:pPr>
        <w:pStyle w:val="977"/>
        <w:ind w:firstLine="480"/>
        <w:keepLines w:val="0"/>
        <w:keepNext w:val="0"/>
        <w:pageBreakBefore w:val="0"/>
        <w:spacing w:after="0"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keepLines w:val="0"/>
        <w:keepNext w:val="0"/>
        <w:pageBreakBefore w:val="0"/>
        <w:spacing w:line="5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21. 法律适用</w:t>
      </w:r>
      <w:r/>
    </w:p>
    <w:p>
      <w:pPr>
        <w:pStyle w:val="1063"/>
        <w:ind w:firstLine="480"/>
        <w:jc w:val="both"/>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21.1 本合同的订立、生效、解释、履行及与本合同有关的争议解决，均适用法律、行政法规。</w:t>
      </w:r>
      <w:r/>
    </w:p>
    <w:p>
      <w:pPr>
        <w:pStyle w:val="1063"/>
        <w:ind w:firstLine="480"/>
        <w:jc w:val="both"/>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21.2 本合同条款与法律、行政法规的强制性规定不一致的，双方当事人应按照法律、行政法规的强制性规定修改本合同的相关条款。</w:t>
      </w:r>
      <w:r/>
    </w:p>
    <w:p>
      <w:pPr>
        <w:numPr>
          <w:ilvl w:val="255"/>
          <w:numId w:val="0"/>
        </w:numPr>
        <w:ind w:firstLine="482"/>
        <w:keepLines w:val="0"/>
        <w:keepNext w:val="0"/>
        <w:pageBreakBefore w:val="0"/>
        <w:spacing w:line="5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22. 通知</w:t>
      </w:r>
      <w:r/>
    </w:p>
    <w:p>
      <w:pPr>
        <w:pStyle w:val="1063"/>
        <w:ind w:firstLine="480"/>
        <w:jc w:val="both"/>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22.1 本合同任何一方向对方发出的通知、信件、数据电文等，应当发送至本合同第一部分《政府采购合同协议书》所约定的通讯地址、联系人、联系电话或电子邮箱。</w:t>
      </w:r>
      <w:r/>
    </w:p>
    <w:p>
      <w:pPr>
        <w:pStyle w:val="1063"/>
        <w:ind w:firstLine="480"/>
        <w:jc w:val="both"/>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    22.2 一方当事人变更名称、住所、联系人、联系电话或电子邮箱等信息的，应当在变更后3日内及时书面通知对方，对方实际收到变更通知前的送达仍为有效送达。</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22.3本合同一方给另一方的通知均应采用书面形式，传真或快递送到本合同中规定的对方的地址和办理签收手续。</w:t>
      </w:r>
      <w:r/>
    </w:p>
    <w:p>
      <w:pPr>
        <w:ind w:firstLine="480"/>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22.4通知以送达之日或通知书中规定的生效之日起生效，两者中以较迟之日为准。</w:t>
      </w:r>
      <w:r/>
    </w:p>
    <w:p>
      <w:pPr>
        <w:numPr>
          <w:ilvl w:val="0"/>
          <w:numId w:val="46"/>
        </w:numPr>
        <w:ind w:firstLine="482"/>
        <w:keepLines w:val="0"/>
        <w:keepNext w:val="0"/>
        <w:pageBreakBefore w:val="0"/>
        <w:spacing w:line="560" w:lineRule="exact"/>
        <w:rPr>
          <w:rFonts w:hint="eastAsia" w:ascii="宋体" w:hAnsi="宋体" w:eastAsia="宋体" w:cs="宋体"/>
          <w:b/>
          <w:bCs/>
          <w:sz w:val="24"/>
          <w:szCs w:val="24"/>
        </w:rPr>
      </w:pPr>
      <w:r>
        <w:rPr>
          <w:rFonts w:hint="eastAsia" w:ascii="宋体" w:hAnsi="宋体" w:eastAsia="宋体" w:cs="宋体"/>
          <w:b/>
          <w:bCs/>
          <w:sz w:val="24"/>
          <w:szCs w:val="24"/>
        </w:rPr>
        <w:t xml:space="preserve">合同未尽事项</w:t>
      </w:r>
      <w:r/>
    </w:p>
    <w:p>
      <w:pPr>
        <w:ind w:firstLine="480"/>
        <w:keepLines w:val="0"/>
        <w:keepNext w:val="0"/>
        <w:pageBreakBefore w:val="0"/>
        <w:spacing w:line="56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23.1合同未尽事项见</w:t>
      </w:r>
      <w:r>
        <w:rPr>
          <w:rFonts w:hint="eastAsia" w:ascii="宋体" w:hAnsi="宋体" w:eastAsia="宋体" w:cs="宋体"/>
          <w:b/>
          <w:sz w:val="24"/>
          <w:szCs w:val="24"/>
          <w:lang w:eastAsia="zh-CN"/>
        </w:rPr>
        <w:t xml:space="preserve">【政府采购合同专用条款】</w:t>
      </w:r>
      <w:r>
        <w:rPr>
          <w:rFonts w:hint="eastAsia" w:ascii="宋体" w:hAnsi="宋体" w:eastAsia="宋体" w:cs="宋体"/>
          <w:bCs/>
          <w:sz w:val="24"/>
          <w:szCs w:val="24"/>
          <w:lang w:eastAsia="zh-CN"/>
        </w:rPr>
        <w:t xml:space="preserve">。</w:t>
      </w:r>
      <w:r/>
    </w:p>
    <w:p>
      <w:pPr>
        <w:ind w:firstLine="480"/>
        <w:keepLines w:val="0"/>
        <w:keepNext w:val="0"/>
        <w:pageBreakBefore w:val="0"/>
        <w:spacing w:line="560" w:lineRule="exact"/>
        <w:rPr>
          <w:rFonts w:hint="eastAsia" w:ascii="宋体" w:hAnsi="宋体" w:eastAsia="宋体" w:cs="宋体"/>
          <w:sz w:val="28"/>
          <w:szCs w:val="28"/>
          <w:lang w:eastAsia="zh-CN"/>
        </w:rPr>
      </w:pPr>
      <w:r>
        <w:rPr>
          <w:rFonts w:hint="eastAsia" w:ascii="宋体" w:hAnsi="宋体" w:eastAsia="宋体" w:cs="宋体"/>
          <w:bCs/>
          <w:sz w:val="24"/>
          <w:szCs w:val="24"/>
          <w:lang w:eastAsia="zh-CN"/>
        </w:rPr>
        <w:t xml:space="preserve">    23.2 合同附件与合同正文具有同等的法律效力。</w:t>
      </w:r>
      <w:bookmarkStart w:id="270" w:name="_Toc20313"/>
      <w:r/>
      <w:r/>
    </w:p>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br w:type="page" w:clear="all"/>
      </w:r>
      <w:r/>
    </w:p>
    <w:p>
      <w:pPr>
        <w:pStyle w:val="967"/>
        <w:numPr>
          <w:ilvl w:val="1"/>
          <w:numId w:val="0"/>
        </w:num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第三节 政府采购合同专用条款</w:t>
      </w:r>
      <w:bookmarkEnd w:id="270"/>
      <w:r/>
      <w:r/>
    </w:p>
    <w:tbl>
      <w:tblPr>
        <w:tblStyle w:val="976"/>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第1.2（6）项</w:t>
            </w:r>
            <w:r/>
          </w:p>
        </w:tc>
        <w:tc>
          <w:tcPr>
            <w:tcW w:w="1742" w:type="dxa"/>
            <w:vAlign w:val="center"/>
            <w:textDirection w:val="lrTb"/>
            <w:noWrap w:val="false"/>
          </w:tcPr>
          <w:p>
            <w:pPr>
              <w:ind w:left="0" w:firstLine="0"/>
              <w:rPr>
                <w:rFonts w:hint="eastAsia" w:ascii="宋体" w:hAnsi="宋体" w:eastAsia="宋体" w:cs="宋体"/>
                <w:sz w:val="24"/>
                <w:szCs w:val="24"/>
              </w:rPr>
            </w:pPr>
            <w:r>
              <w:rPr>
                <w:rFonts w:hint="eastAsia" w:ascii="宋体" w:hAnsi="宋体" w:eastAsia="宋体" w:cs="宋体"/>
                <w:sz w:val="24"/>
                <w:szCs w:val="24"/>
              </w:rPr>
              <w:t xml:space="preserve">联合体具体要求</w:t>
            </w:r>
            <w:r/>
          </w:p>
        </w:tc>
        <w:tc>
          <w:tcPr>
            <w:tcW w:w="517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604"/>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第1.2（7）项</w:t>
            </w:r>
            <w:r/>
          </w:p>
        </w:tc>
        <w:tc>
          <w:tcPr>
            <w:tcW w:w="1742" w:type="dxa"/>
            <w:vAlign w:val="center"/>
            <w:textDirection w:val="lrTb"/>
            <w:noWrap w:val="false"/>
          </w:tcPr>
          <w:p>
            <w:pPr>
              <w:ind w:left="0" w:firstLine="0"/>
              <w:rPr>
                <w:rFonts w:hint="eastAsia" w:ascii="宋体" w:hAnsi="宋体" w:eastAsia="宋体" w:cs="宋体"/>
                <w:sz w:val="24"/>
                <w:szCs w:val="24"/>
              </w:rPr>
            </w:pPr>
            <w:r>
              <w:rPr>
                <w:rFonts w:hint="eastAsia" w:ascii="宋体" w:hAnsi="宋体" w:eastAsia="宋体" w:cs="宋体"/>
                <w:sz w:val="24"/>
                <w:szCs w:val="24"/>
              </w:rPr>
              <w:t xml:space="preserve">其他术语解释</w:t>
            </w:r>
            <w:r/>
          </w:p>
        </w:tc>
        <w:tc>
          <w:tcPr>
            <w:tcW w:w="517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第4.4款</w:t>
            </w:r>
            <w:r/>
          </w:p>
        </w:tc>
        <w:tc>
          <w:tcPr>
            <w:tcW w:w="1742" w:type="dxa"/>
            <w:vAlign w:val="center"/>
            <w:textDirection w:val="lrTb"/>
            <w:noWrap w:val="false"/>
          </w:tcPr>
          <w:p>
            <w:pPr>
              <w:ind w:left="0" w:firstLine="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履约验收中甲方提出异议或作出说明的期限</w:t>
            </w:r>
            <w:r/>
          </w:p>
        </w:tc>
        <w:tc>
          <w:tcPr>
            <w:tcW w:w="5170" w:type="dxa"/>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第4.6款</w:t>
            </w:r>
            <w:r/>
          </w:p>
        </w:tc>
        <w:tc>
          <w:tcPr>
            <w:tcW w:w="1742" w:type="dxa"/>
            <w:vAlign w:val="center"/>
            <w:textDirection w:val="lrTb"/>
            <w:noWrap w:val="false"/>
          </w:tcPr>
          <w:p>
            <w:pPr>
              <w:ind w:left="0" w:firstLine="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约定甲方承担的其他义务和责任</w:t>
            </w:r>
            <w:r/>
          </w:p>
        </w:tc>
        <w:tc>
          <w:tcPr>
            <w:tcW w:w="5170" w:type="dxa"/>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第5.4款</w:t>
            </w:r>
            <w:r/>
          </w:p>
        </w:tc>
        <w:tc>
          <w:tcPr>
            <w:tcW w:w="1742" w:type="dxa"/>
            <w:vAlign w:val="center"/>
            <w:textDirection w:val="lrTb"/>
            <w:noWrap w:val="false"/>
          </w:tcPr>
          <w:p>
            <w:pPr>
              <w:ind w:left="0" w:firstLine="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约定乙方承担的其他义务和责任</w:t>
            </w:r>
            <w:r/>
          </w:p>
        </w:tc>
        <w:tc>
          <w:tcPr>
            <w:tcW w:w="5170" w:type="dxa"/>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第6.1款</w:t>
            </w:r>
            <w:r/>
          </w:p>
        </w:tc>
        <w:tc>
          <w:tcPr>
            <w:tcW w:w="1742" w:type="dxa"/>
            <w:vAlign w:val="center"/>
            <w:textDirection w:val="lrTb"/>
            <w:noWrap w:val="false"/>
          </w:tcPr>
          <w:p>
            <w:pPr>
              <w:ind w:left="0" w:firstLine="0"/>
              <w:rPr>
                <w:rFonts w:hint="eastAsia" w:ascii="宋体" w:hAnsi="宋体" w:eastAsia="宋体" w:cs="宋体"/>
                <w:sz w:val="24"/>
                <w:szCs w:val="24"/>
              </w:rPr>
            </w:pPr>
            <w:r>
              <w:rPr>
                <w:rFonts w:hint="eastAsia" w:ascii="宋体" w:hAnsi="宋体" w:eastAsia="宋体" w:cs="宋体"/>
                <w:sz w:val="24"/>
                <w:szCs w:val="24"/>
              </w:rPr>
              <w:t xml:space="preserve">履行合同义务的顺序</w:t>
            </w:r>
            <w:r/>
          </w:p>
        </w:tc>
        <w:tc>
          <w:tcPr>
            <w:tcW w:w="517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667"/>
        </w:trPr>
        <w:tc>
          <w:tcPr>
            <w:tcW w:w="1607"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第7.1款</w:t>
            </w:r>
            <w:r/>
          </w:p>
        </w:tc>
        <w:tc>
          <w:tcPr>
            <w:tcW w:w="1742" w:type="dxa"/>
            <w:vAlign w:val="center"/>
            <w:textDirection w:val="lrTb"/>
            <w:noWrap w:val="false"/>
          </w:tcPr>
          <w:p>
            <w:pPr>
              <w:ind w:left="0" w:firstLine="0"/>
              <w:rPr>
                <w:rFonts w:hint="eastAsia" w:ascii="宋体" w:hAnsi="宋体" w:eastAsia="宋体" w:cs="宋体"/>
                <w:sz w:val="24"/>
                <w:szCs w:val="24"/>
              </w:rPr>
            </w:pPr>
            <w:r>
              <w:rPr>
                <w:rFonts w:hint="eastAsia" w:ascii="宋体" w:hAnsi="宋体" w:eastAsia="宋体" w:cs="宋体"/>
                <w:sz w:val="24"/>
                <w:szCs w:val="24"/>
              </w:rPr>
              <w:t xml:space="preserve">包装特殊要求</w:t>
            </w:r>
            <w:r/>
          </w:p>
        </w:tc>
        <w:tc>
          <w:tcPr>
            <w:tcW w:w="517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667"/>
        </w:trPr>
        <w:tc>
          <w:tcPr>
            <w:tcW w:w="1607"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742" w:type="dxa"/>
            <w:vAlign w:val="center"/>
            <w:textDirection w:val="lrTb"/>
            <w:noWrap w:val="false"/>
          </w:tcPr>
          <w:p>
            <w:pPr>
              <w:ind w:left="0" w:firstLine="0"/>
              <w:rPr>
                <w:rFonts w:hint="eastAsia" w:ascii="宋体" w:hAnsi="宋体" w:eastAsia="宋体" w:cs="宋体"/>
                <w:sz w:val="24"/>
                <w:szCs w:val="24"/>
              </w:rPr>
            </w:pPr>
            <w:r>
              <w:rPr>
                <w:rFonts w:hint="eastAsia" w:ascii="宋体" w:hAnsi="宋体" w:eastAsia="宋体" w:cs="宋体"/>
                <w:sz w:val="24"/>
                <w:szCs w:val="24"/>
              </w:rPr>
              <w:t xml:space="preserve">指定现场</w:t>
            </w:r>
            <w:r/>
          </w:p>
        </w:tc>
        <w:tc>
          <w:tcPr>
            <w:tcW w:w="517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772"/>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第7.2款</w:t>
            </w:r>
            <w:r/>
          </w:p>
        </w:tc>
        <w:tc>
          <w:tcPr>
            <w:tcW w:w="1742" w:type="dxa"/>
            <w:vAlign w:val="center"/>
            <w:textDirection w:val="lrTb"/>
            <w:noWrap w:val="false"/>
          </w:tcPr>
          <w:p>
            <w:pPr>
              <w:ind w:left="0" w:firstLine="0"/>
              <w:rPr>
                <w:rFonts w:hint="eastAsia" w:ascii="宋体" w:hAnsi="宋体" w:eastAsia="宋体" w:cs="宋体"/>
                <w:sz w:val="24"/>
                <w:szCs w:val="24"/>
              </w:rPr>
            </w:pPr>
            <w:r>
              <w:rPr>
                <w:rFonts w:hint="eastAsia" w:ascii="宋体" w:hAnsi="宋体" w:eastAsia="宋体" w:cs="宋体"/>
                <w:sz w:val="24"/>
                <w:szCs w:val="24"/>
              </w:rPr>
              <w:t xml:space="preserve">运输特殊要求</w:t>
            </w:r>
            <w:r/>
          </w:p>
        </w:tc>
        <w:tc>
          <w:tcPr>
            <w:tcW w:w="517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667"/>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第7.3款</w:t>
            </w:r>
            <w:r/>
          </w:p>
        </w:tc>
        <w:tc>
          <w:tcPr>
            <w:tcW w:w="1742" w:type="dxa"/>
            <w:vAlign w:val="center"/>
            <w:textDirection w:val="lrTb"/>
            <w:noWrap w:val="false"/>
          </w:tcPr>
          <w:p>
            <w:pPr>
              <w:ind w:left="0" w:firstLine="0"/>
              <w:rPr>
                <w:rFonts w:hint="eastAsia" w:ascii="宋体" w:hAnsi="宋体" w:eastAsia="宋体" w:cs="宋体"/>
                <w:sz w:val="24"/>
                <w:szCs w:val="24"/>
              </w:rPr>
            </w:pPr>
            <w:r>
              <w:rPr>
                <w:rFonts w:hint="eastAsia" w:ascii="宋体" w:hAnsi="宋体" w:eastAsia="宋体" w:cs="宋体"/>
                <w:sz w:val="24"/>
                <w:szCs w:val="24"/>
              </w:rPr>
              <w:t xml:space="preserve">保险要求</w:t>
            </w:r>
            <w:r/>
          </w:p>
        </w:tc>
        <w:tc>
          <w:tcPr>
            <w:tcW w:w="517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第8.2（1）项</w:t>
            </w:r>
            <w:r/>
          </w:p>
        </w:tc>
        <w:tc>
          <w:tcPr>
            <w:tcW w:w="1742" w:type="dxa"/>
            <w:vAlign w:val="center"/>
            <w:textDirection w:val="lrTb"/>
            <w:noWrap w:val="false"/>
          </w:tcPr>
          <w:p>
            <w:pPr>
              <w:ind w:left="0" w:firstLine="0"/>
              <w:rPr>
                <w:rFonts w:hint="eastAsia" w:ascii="宋体" w:hAnsi="宋体" w:eastAsia="宋体" w:cs="宋体"/>
                <w:sz w:val="24"/>
                <w:szCs w:val="24"/>
              </w:rPr>
            </w:pPr>
            <w:r>
              <w:rPr>
                <w:rFonts w:hint="eastAsia" w:ascii="宋体" w:hAnsi="宋体" w:eastAsia="宋体" w:cs="宋体"/>
                <w:sz w:val="24"/>
                <w:szCs w:val="24"/>
              </w:rPr>
              <w:t xml:space="preserve">质量保证期</w:t>
            </w:r>
            <w:r/>
          </w:p>
        </w:tc>
        <w:tc>
          <w:tcPr>
            <w:tcW w:w="5170"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r>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第8.2（3）项</w:t>
            </w:r>
            <w:r/>
          </w:p>
        </w:tc>
        <w:tc>
          <w:tcPr>
            <w:tcW w:w="1742" w:type="dxa"/>
            <w:vAlign w:val="center"/>
            <w:textDirection w:val="lrTb"/>
            <w:noWrap w:val="false"/>
          </w:tcPr>
          <w:p>
            <w:pPr>
              <w:ind w:left="0" w:firstLine="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货物质量缺陷</w:t>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响应时间</w:t>
            </w:r>
            <w:r/>
          </w:p>
        </w:tc>
        <w:tc>
          <w:tcPr>
            <w:tcW w:w="5170" w:type="dxa"/>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pStyle w:val="1063"/>
              <w:ind w:firstLine="0"/>
              <w:jc w:val="center"/>
              <w:rPr>
                <w:rFonts w:hint="eastAsia" w:ascii="宋体" w:hAnsi="宋体" w:eastAsia="宋体" w:cs="宋体"/>
                <w:sz w:val="24"/>
                <w:szCs w:val="24"/>
              </w:rPr>
            </w:pPr>
            <w:r>
              <w:rPr>
                <w:rFonts w:hint="eastAsia" w:ascii="宋体" w:hAnsi="宋体" w:eastAsia="宋体" w:cs="宋体"/>
                <w:sz w:val="24"/>
                <w:szCs w:val="24"/>
              </w:rPr>
              <w:t xml:space="preserve">第11.1款</w:t>
            </w:r>
            <w:r/>
          </w:p>
        </w:tc>
        <w:tc>
          <w:tcPr>
            <w:tcW w:w="1742" w:type="dxa"/>
            <w:vAlign w:val="center"/>
            <w:textDirection w:val="lrTb"/>
            <w:noWrap w:val="false"/>
          </w:tcPr>
          <w:p>
            <w:pPr>
              <w:ind w:left="0" w:firstLine="0"/>
              <w:rPr>
                <w:rFonts w:hint="eastAsia" w:ascii="宋体" w:hAnsi="宋体" w:eastAsia="宋体" w:cs="宋体"/>
                <w:sz w:val="24"/>
                <w:szCs w:val="24"/>
              </w:rPr>
            </w:pPr>
            <w:r>
              <w:rPr>
                <w:rFonts w:hint="eastAsia" w:ascii="宋体" w:hAnsi="宋体" w:eastAsia="宋体" w:cs="宋体"/>
                <w:sz w:val="24"/>
                <w:szCs w:val="24"/>
              </w:rPr>
              <w:t xml:space="preserve">其他应当保密的信息</w:t>
            </w:r>
            <w:r/>
          </w:p>
        </w:tc>
        <w:tc>
          <w:tcPr>
            <w:tcW w:w="517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697"/>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第12.2款</w:t>
            </w:r>
            <w:r/>
          </w:p>
        </w:tc>
        <w:tc>
          <w:tcPr>
            <w:tcW w:w="1742" w:type="dxa"/>
            <w:vAlign w:val="center"/>
            <w:textDirection w:val="lrTb"/>
            <w:noWrap w:val="false"/>
          </w:tcPr>
          <w:p>
            <w:pPr>
              <w:ind w:left="0" w:firstLine="0"/>
              <w:rPr>
                <w:rFonts w:hint="eastAsia" w:ascii="宋体" w:hAnsi="宋体" w:eastAsia="宋体" w:cs="宋体"/>
                <w:sz w:val="24"/>
                <w:szCs w:val="24"/>
              </w:rPr>
            </w:pPr>
            <w:r>
              <w:rPr>
                <w:rFonts w:hint="eastAsia" w:ascii="宋体" w:hAnsi="宋体" w:eastAsia="宋体" w:cs="宋体"/>
                <w:sz w:val="24"/>
                <w:szCs w:val="24"/>
              </w:rPr>
              <w:t xml:space="preserve">合同价款支付时间</w:t>
            </w:r>
            <w:r/>
          </w:p>
        </w:tc>
        <w:tc>
          <w:tcPr>
            <w:tcW w:w="5170" w:type="dxa"/>
            <w:vAlign w:val="center"/>
            <w:textDirection w:val="lrTb"/>
            <w:noWrap w:val="false"/>
          </w:tcPr>
          <w:p>
            <w:pPr>
              <w:ind w:left="0" w:firstLine="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以采购文件约定为准</w:t>
            </w:r>
            <w:r/>
          </w:p>
        </w:tc>
      </w:tr>
      <w:tr>
        <w:trPr>
          <w:trHeight w:val="697"/>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第13.2款</w:t>
            </w:r>
            <w:r/>
          </w:p>
        </w:tc>
        <w:tc>
          <w:tcPr>
            <w:tcW w:w="1742" w:type="dxa"/>
            <w:vAlign w:val="center"/>
            <w:textDirection w:val="lrTb"/>
            <w:noWrap w:val="false"/>
          </w:tcPr>
          <w:p>
            <w:pPr>
              <w:ind w:left="0" w:firstLine="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履约保证金不予退还的情形</w:t>
            </w:r>
            <w:r/>
          </w:p>
        </w:tc>
        <w:tc>
          <w:tcPr>
            <w:tcW w:w="5170" w:type="dxa"/>
            <w:vAlign w:val="center"/>
            <w:textDirection w:val="lrTb"/>
            <w:noWrap w:val="false"/>
          </w:tcPr>
          <w:p>
            <w:pPr>
              <w:ind w:left="0" w:firstLine="0"/>
              <w:rPr>
                <w:rFonts w:hint="eastAsia" w:ascii="宋体" w:hAnsi="宋体" w:eastAsia="宋体" w:cs="宋体"/>
                <w:sz w:val="24"/>
                <w:szCs w:val="24"/>
                <w:lang w:eastAsia="zh-CN"/>
              </w:rPr>
            </w:pPr>
            <w:r>
              <w:rPr>
                <w:rFonts w:ascii="宋体" w:hAnsi="宋体" w:eastAsia="宋体" w:cs="宋体"/>
                <w:sz w:val="24"/>
                <w:szCs w:val="24"/>
              </w:rPr>
              <w:t xml:space="preserve">履约保证金用以约束供应商在合同履行中的行为，弥补合同执行中由于自身行为可能给采购人带来的各种损失。</w:t>
            </w:r>
            <w:r/>
          </w:p>
        </w:tc>
      </w:tr>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第13.3款</w:t>
            </w:r>
            <w:r/>
          </w:p>
        </w:tc>
        <w:tc>
          <w:tcPr>
            <w:tcW w:w="1742" w:type="dxa"/>
            <w:vAlign w:val="center"/>
            <w:textDirection w:val="lrTb"/>
            <w:noWrap w:val="false"/>
          </w:tcPr>
          <w:p>
            <w:pPr>
              <w:ind w:left="0" w:firstLine="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履约保证金退还时间及逾期退还的违约金</w:t>
            </w:r>
            <w:r/>
          </w:p>
        </w:tc>
        <w:tc>
          <w:tcPr>
            <w:tcW w:w="5170" w:type="dxa"/>
            <w:vAlign w:val="center"/>
            <w:textDirection w:val="lrTb"/>
            <w:noWrap w:val="false"/>
          </w:tcPr>
          <w:p>
            <w:pPr>
              <w:ind w:left="0" w:firstLine="0"/>
              <w:rPr>
                <w:rFonts w:hint="eastAsia" w:ascii="宋体" w:hAnsi="宋体" w:eastAsia="宋体" w:cs="宋体"/>
                <w:sz w:val="24"/>
                <w:szCs w:val="24"/>
                <w:lang w:eastAsia="zh-CN"/>
              </w:rPr>
            </w:pPr>
            <w:r>
              <w:rPr>
                <w:rFonts w:ascii="宋体" w:hAnsi="宋体" w:eastAsia="宋体" w:cs="宋体"/>
                <w:sz w:val="24"/>
                <w:szCs w:val="24"/>
              </w:rPr>
              <w:t xml:space="preserve">履约保证金（无息）将在中标供应商合同履行完毕且质保期满后，采购人在五个工作日内退返中标供应商。</w:t>
            </w:r>
            <w:r/>
          </w:p>
        </w:tc>
      </w:tr>
      <w:tr>
        <w:trPr>
          <w:trHeight w:val="784"/>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第14.1（3）项</w:t>
            </w:r>
            <w:r/>
          </w:p>
        </w:tc>
        <w:tc>
          <w:tcPr>
            <w:tcW w:w="1742" w:type="dxa"/>
            <w:vAlign w:val="center"/>
            <w:textDirection w:val="lrTb"/>
            <w:noWrap w:val="false"/>
          </w:tcPr>
          <w:p>
            <w:pPr>
              <w:ind w:left="0" w:firstLine="0"/>
              <w:rPr>
                <w:rFonts w:hint="eastAsia" w:ascii="宋体" w:hAnsi="宋体" w:eastAsia="宋体" w:cs="宋体"/>
                <w:sz w:val="24"/>
                <w:szCs w:val="24"/>
              </w:rPr>
            </w:pPr>
            <w:r>
              <w:rPr>
                <w:rFonts w:hint="eastAsia" w:ascii="宋体" w:hAnsi="宋体" w:eastAsia="宋体" w:cs="宋体"/>
                <w:sz w:val="24"/>
                <w:szCs w:val="24"/>
              </w:rPr>
              <w:t xml:space="preserve">运行监督、维修期限</w:t>
            </w:r>
            <w:r/>
          </w:p>
        </w:tc>
        <w:tc>
          <w:tcPr>
            <w:tcW w:w="517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784"/>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第14.1（5）项</w:t>
            </w:r>
            <w:r/>
          </w:p>
        </w:tc>
        <w:tc>
          <w:tcPr>
            <w:tcW w:w="1742" w:type="dxa"/>
            <w:vAlign w:val="center"/>
            <w:textDirection w:val="lrTb"/>
            <w:noWrap w:val="false"/>
          </w:tcPr>
          <w:p>
            <w:pPr>
              <w:ind w:left="0" w:firstLine="0"/>
              <w:rPr>
                <w:rFonts w:hint="eastAsia" w:ascii="宋体" w:hAnsi="宋体" w:eastAsia="宋体" w:cs="宋体"/>
                <w:sz w:val="24"/>
                <w:szCs w:val="24"/>
              </w:rPr>
            </w:pPr>
            <w:r>
              <w:rPr>
                <w:rFonts w:hint="eastAsia" w:ascii="宋体" w:hAnsi="宋体" w:eastAsia="宋体" w:cs="宋体"/>
                <w:sz w:val="24"/>
                <w:szCs w:val="24"/>
              </w:rPr>
              <w:t xml:space="preserve">货物回收的约定</w:t>
            </w:r>
            <w:r/>
          </w:p>
        </w:tc>
        <w:tc>
          <w:tcPr>
            <w:tcW w:w="517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第14.1（6）项</w:t>
            </w:r>
            <w:r/>
          </w:p>
        </w:tc>
        <w:tc>
          <w:tcPr>
            <w:tcW w:w="1742" w:type="dxa"/>
            <w:vAlign w:val="center"/>
            <w:textDirection w:val="lrTb"/>
            <w:noWrap w:val="false"/>
          </w:tcPr>
          <w:p>
            <w:pPr>
              <w:ind w:left="0" w:firstLine="0"/>
              <w:rPr>
                <w:rFonts w:hint="eastAsia" w:ascii="宋体" w:hAnsi="宋体" w:eastAsia="宋体" w:cs="宋体"/>
                <w:sz w:val="24"/>
                <w:szCs w:val="24"/>
              </w:rPr>
            </w:pPr>
            <w:r>
              <w:rPr>
                <w:rFonts w:hint="eastAsia" w:ascii="宋体" w:hAnsi="宋体" w:eastAsia="宋体" w:cs="宋体"/>
                <w:sz w:val="24"/>
                <w:szCs w:val="24"/>
              </w:rPr>
              <w:t xml:space="preserve">乙方提供的其他服务</w:t>
            </w:r>
            <w:r/>
          </w:p>
        </w:tc>
        <w:tc>
          <w:tcPr>
            <w:tcW w:w="517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第15.1款</w:t>
            </w:r>
            <w:r/>
          </w:p>
        </w:tc>
        <w:tc>
          <w:tcPr>
            <w:tcW w:w="1742" w:type="dxa"/>
            <w:vAlign w:val="center"/>
            <w:textDirection w:val="lrTb"/>
            <w:noWrap w:val="false"/>
          </w:tcPr>
          <w:p>
            <w:pPr>
              <w:ind w:left="0" w:firstLine="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修理、重作、更换相关具体规定</w:t>
            </w:r>
            <w:r/>
          </w:p>
        </w:tc>
        <w:tc>
          <w:tcPr>
            <w:tcW w:w="5170" w:type="dxa"/>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第15.2（2）项</w:t>
            </w:r>
            <w:r/>
          </w:p>
        </w:tc>
        <w:tc>
          <w:tcPr>
            <w:tcW w:w="1742" w:type="dxa"/>
            <w:vAlign w:val="center"/>
            <w:textDirection w:val="lrTb"/>
            <w:noWrap w:val="false"/>
          </w:tcPr>
          <w:p>
            <w:pPr>
              <w:ind w:left="0" w:firstLine="0"/>
              <w:rPr>
                <w:rFonts w:hint="eastAsia" w:ascii="宋体" w:hAnsi="宋体" w:eastAsia="宋体" w:cs="宋体"/>
                <w:sz w:val="24"/>
                <w:szCs w:val="24"/>
              </w:rPr>
            </w:pPr>
            <w:r>
              <w:rPr>
                <w:rFonts w:hint="eastAsia" w:ascii="宋体" w:hAnsi="宋体" w:eastAsia="宋体" w:cs="宋体"/>
                <w:sz w:val="24"/>
                <w:szCs w:val="24"/>
              </w:rPr>
              <w:t xml:space="preserve">迟延交货赔偿费</w:t>
            </w:r>
            <w:r/>
          </w:p>
        </w:tc>
        <w:tc>
          <w:tcPr>
            <w:tcW w:w="5170" w:type="dxa"/>
            <w:vAlign w:val="center"/>
            <w:textDirection w:val="lrTb"/>
            <w:noWrap w:val="false"/>
          </w:tcPr>
          <w:p>
            <w:pPr>
              <w:rPr>
                <w:rFonts w:hint="eastAsia" w:ascii="宋体" w:hAnsi="宋体" w:eastAsia="宋体" w:cs="宋体"/>
                <w:sz w:val="24"/>
                <w:szCs w:val="24"/>
                <w:u w:val="single"/>
              </w:rPr>
            </w:pPr>
            <w:r>
              <w:rPr>
                <w:rFonts w:hint="eastAsia" w:ascii="宋体" w:hAnsi="宋体" w:eastAsia="宋体" w:cs="宋体"/>
                <w:sz w:val="24"/>
                <w:szCs w:val="24"/>
                <w:u w:val="single"/>
              </w:rPr>
            </w:r>
            <w:r/>
          </w:p>
        </w:tc>
      </w:tr>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第15.3款</w:t>
            </w:r>
            <w:r/>
          </w:p>
        </w:tc>
        <w:tc>
          <w:tcPr>
            <w:tcW w:w="1742" w:type="dxa"/>
            <w:vAlign w:val="center"/>
            <w:textDirection w:val="lrTb"/>
            <w:noWrap w:val="false"/>
          </w:tcPr>
          <w:p>
            <w:pPr>
              <w:ind w:left="0" w:firstLine="0"/>
              <w:rPr>
                <w:rFonts w:hint="eastAsia" w:ascii="宋体" w:hAnsi="宋体" w:eastAsia="宋体" w:cs="宋体"/>
                <w:sz w:val="24"/>
                <w:szCs w:val="24"/>
              </w:rPr>
            </w:pPr>
            <w:r>
              <w:rPr>
                <w:rFonts w:hint="eastAsia" w:ascii="宋体" w:hAnsi="宋体" w:eastAsia="宋体" w:cs="宋体"/>
                <w:sz w:val="24"/>
                <w:szCs w:val="24"/>
              </w:rPr>
              <w:t xml:space="preserve">逾期付款利息</w:t>
            </w:r>
            <w:r/>
          </w:p>
        </w:tc>
        <w:tc>
          <w:tcPr>
            <w:tcW w:w="5170" w:type="dxa"/>
            <w:vAlign w:val="center"/>
            <w:textDirection w:val="lrTb"/>
            <w:noWrap w:val="false"/>
          </w:tcPr>
          <w:p>
            <w:pPr>
              <w:rPr>
                <w:rFonts w:hint="eastAsia" w:ascii="宋体" w:hAnsi="宋体" w:eastAsia="宋体" w:cs="宋体"/>
                <w:sz w:val="24"/>
                <w:szCs w:val="24"/>
                <w:u w:val="single"/>
              </w:rPr>
            </w:pPr>
            <w:r>
              <w:rPr>
                <w:rFonts w:hint="eastAsia" w:ascii="宋体" w:hAnsi="宋体" w:eastAsia="宋体" w:cs="宋体"/>
                <w:sz w:val="24"/>
                <w:szCs w:val="24"/>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ind w:left="0" w:firstLine="0"/>
              <w:rPr>
                <w:rFonts w:hint="eastAsia" w:ascii="宋体" w:hAnsi="宋体" w:eastAsia="宋体" w:cs="宋体"/>
                <w:sz w:val="24"/>
                <w:szCs w:val="24"/>
              </w:rPr>
            </w:pPr>
            <w:r>
              <w:rPr>
                <w:rFonts w:hint="eastAsia" w:ascii="宋体" w:hAnsi="宋体" w:eastAsia="宋体" w:cs="宋体"/>
                <w:sz w:val="24"/>
                <w:szCs w:val="24"/>
              </w:rPr>
              <w:t xml:space="preserve">其他违约责任</w:t>
            </w:r>
            <w:r/>
          </w:p>
        </w:tc>
        <w:tc>
          <w:tcPr>
            <w:tcBorders>
              <w:left w:val="single" w:color="auto" w:sz="2" w:space="0"/>
              <w:bottom w:val="single" w:color="auto" w:sz="2" w:space="0"/>
            </w:tcBorders>
            <w:tcW w:w="5170" w:type="dxa"/>
            <w:vAlign w:val="center"/>
            <w:textDirection w:val="lrTb"/>
            <w:noWrap w:val="false"/>
          </w:tcPr>
          <w:p>
            <w:pPr>
              <w:rPr>
                <w:rFonts w:hint="eastAsia" w:ascii="宋体" w:hAnsi="宋体" w:eastAsia="宋体" w:cs="宋体"/>
                <w:sz w:val="24"/>
                <w:szCs w:val="24"/>
                <w:u w:val="single"/>
              </w:rPr>
            </w:pPr>
            <w:r>
              <w:rPr>
                <w:rFonts w:hint="eastAsia" w:ascii="宋体" w:hAnsi="宋体" w:eastAsia="宋体" w:cs="宋体"/>
                <w:sz w:val="24"/>
                <w:szCs w:val="24"/>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ind w:left="0" w:firstLine="0"/>
              <w:rPr>
                <w:rFonts w:hint="eastAsia" w:ascii="宋体" w:hAnsi="宋体" w:eastAsia="宋体" w:cs="宋体"/>
                <w:sz w:val="24"/>
                <w:szCs w:val="24"/>
              </w:rPr>
            </w:pPr>
            <w:r>
              <w:rPr>
                <w:rFonts w:hint="eastAsia" w:ascii="宋体" w:hAnsi="宋体" w:eastAsia="宋体" w:cs="宋体"/>
                <w:sz w:val="24"/>
                <w:szCs w:val="24"/>
              </w:rPr>
              <w:t xml:space="preserve">解决争议的方法</w:t>
            </w:r>
            <w:r/>
          </w:p>
        </w:tc>
        <w:tc>
          <w:tcPr>
            <w:tcBorders>
              <w:top w:val="single" w:color="auto" w:sz="2" w:space="0"/>
              <w:left w:val="single" w:color="auto" w:sz="2" w:space="0"/>
            </w:tcBorders>
            <w:tcW w:w="5170" w:type="dxa"/>
            <w:vAlign w:val="center"/>
            <w:textDirection w:val="lrTb"/>
            <w:noWrap w:val="false"/>
          </w:tcPr>
          <w:p>
            <w:pPr>
              <w:spacing w:line="400" w:lineRule="exact"/>
              <w:rPr>
                <w:rFonts w:hint="eastAsia" w:ascii="宋体" w:hAnsi="宋体" w:eastAsia="宋体" w:cs="宋体"/>
                <w:iCs/>
                <w:sz w:val="24"/>
                <w:szCs w:val="24"/>
                <w:lang w:eastAsia="zh-CN"/>
              </w:rPr>
            </w:pPr>
            <w:r>
              <w:rPr>
                <w:rFonts w:hint="eastAsia" w:ascii="宋体" w:hAnsi="宋体" w:eastAsia="宋体" w:cs="宋体"/>
                <w:iCs/>
                <w:sz w:val="24"/>
                <w:szCs w:val="24"/>
                <w:lang w:eastAsia="zh-CN"/>
              </w:rPr>
              <w:t xml:space="preserve">因本合同及合同有关事项发生的争议，按下列第</w:t>
            </w:r>
            <w:r>
              <w:rPr>
                <w:rFonts w:hint="eastAsia" w:ascii="宋体" w:hAnsi="宋体" w:eastAsia="宋体" w:cs="宋体"/>
                <w:iCs/>
                <w:sz w:val="24"/>
                <w:szCs w:val="24"/>
                <w:u w:val="single"/>
                <w:lang w:val="en-US" w:eastAsia="zh-CN"/>
              </w:rPr>
              <w:t xml:space="preserve">2</w:t>
            </w:r>
            <w:r>
              <w:rPr>
                <w:rFonts w:hint="eastAsia" w:ascii="宋体" w:hAnsi="宋体" w:eastAsia="宋体" w:cs="宋体"/>
                <w:iCs/>
                <w:sz w:val="24"/>
                <w:szCs w:val="24"/>
                <w:lang w:eastAsia="zh-CN"/>
              </w:rPr>
              <w:t xml:space="preserve">种方式解决：</w:t>
            </w:r>
            <w:r/>
          </w:p>
          <w:p>
            <w:pPr>
              <w:spacing w:line="400" w:lineRule="exact"/>
              <w:rPr>
                <w:rFonts w:hint="eastAsia" w:ascii="宋体" w:hAnsi="宋体" w:eastAsia="宋体" w:cs="宋体"/>
                <w:iCs/>
                <w:sz w:val="24"/>
                <w:szCs w:val="24"/>
                <w:lang w:eastAsia="zh-CN"/>
              </w:rPr>
            </w:pPr>
            <w:r>
              <w:rPr>
                <w:rFonts w:hint="eastAsia" w:ascii="宋体" w:hAnsi="宋体" w:eastAsia="宋体" w:cs="宋体"/>
                <w:iCs/>
                <w:sz w:val="24"/>
                <w:szCs w:val="24"/>
                <w:lang w:eastAsia="zh-CN"/>
              </w:rPr>
              <w:t xml:space="preserve">（1）向</w:t>
            </w:r>
            <w:r>
              <w:rPr>
                <w:rFonts w:hint="eastAsia" w:ascii="宋体" w:hAnsi="宋体" w:eastAsia="宋体" w:cs="宋体"/>
                <w:iCs/>
                <w:sz w:val="24"/>
                <w:szCs w:val="24"/>
                <w:u w:val="single"/>
                <w:lang w:eastAsia="zh-CN"/>
              </w:rPr>
              <w:t xml:space="preserve">                    </w:t>
            </w:r>
            <w:r>
              <w:rPr>
                <w:rFonts w:hint="eastAsia" w:ascii="宋体" w:hAnsi="宋体" w:eastAsia="宋体" w:cs="宋体"/>
                <w:iCs/>
                <w:sz w:val="24"/>
                <w:szCs w:val="24"/>
                <w:lang w:eastAsia="zh-CN"/>
              </w:rPr>
              <w:t xml:space="preserve">仲裁委员会申请仲裁，仲裁地点为</w:t>
            </w:r>
            <w:r>
              <w:rPr>
                <w:rFonts w:hint="eastAsia" w:ascii="宋体" w:hAnsi="宋体" w:eastAsia="宋体" w:cs="宋体"/>
                <w:iCs/>
                <w:sz w:val="24"/>
                <w:szCs w:val="24"/>
                <w:u w:val="single"/>
                <w:lang w:eastAsia="zh-CN"/>
              </w:rPr>
              <w:t xml:space="preserve">           </w:t>
            </w:r>
            <w:r>
              <w:rPr>
                <w:rFonts w:hint="eastAsia" w:ascii="宋体" w:hAnsi="宋体" w:eastAsia="宋体" w:cs="宋体"/>
                <w:iCs/>
                <w:sz w:val="24"/>
                <w:szCs w:val="24"/>
                <w:lang w:eastAsia="zh-CN"/>
              </w:rPr>
              <w:t xml:space="preserve">；</w:t>
            </w:r>
            <w:r/>
          </w:p>
          <w:p>
            <w:pPr>
              <w:rPr>
                <w:rFonts w:hint="eastAsia" w:ascii="宋体" w:hAnsi="宋体" w:eastAsia="宋体" w:cs="宋体"/>
                <w:sz w:val="24"/>
                <w:szCs w:val="24"/>
                <w:u w:val="single"/>
                <w:lang w:eastAsia="zh-CN"/>
              </w:rPr>
            </w:pPr>
            <w:r>
              <w:rPr>
                <w:rFonts w:hint="eastAsia" w:ascii="宋体" w:hAnsi="宋体" w:eastAsia="宋体" w:cs="宋体"/>
                <w:iCs/>
                <w:sz w:val="24"/>
                <w:szCs w:val="24"/>
                <w:lang w:eastAsia="zh-CN"/>
              </w:rPr>
              <w:t xml:space="preserve">（2）向</w:t>
            </w:r>
            <w:r>
              <w:rPr>
                <w:rFonts w:hint="eastAsia" w:ascii="宋体" w:hAnsi="宋体" w:eastAsia="宋体" w:cs="宋体"/>
                <w:iCs/>
                <w:sz w:val="24"/>
                <w:szCs w:val="24"/>
                <w:u w:val="single"/>
                <w:lang w:eastAsia="zh-CN"/>
              </w:rPr>
              <w:t xml:space="preserve">  甲方所在地有管辖权的</w:t>
            </w:r>
            <w:r>
              <w:rPr>
                <w:rFonts w:hint="eastAsia" w:ascii="宋体" w:hAnsi="宋体" w:eastAsia="宋体" w:cs="宋体"/>
                <w:iCs/>
                <w:sz w:val="24"/>
                <w:szCs w:val="24"/>
                <w:lang w:eastAsia="zh-CN"/>
              </w:rPr>
              <w:t xml:space="preserve">人民法院起诉。</w:t>
            </w:r>
            <w:r/>
          </w:p>
        </w:tc>
      </w:tr>
      <w:tr>
        <w:trPr>
          <w:trHeight w:val="770"/>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第23.1款</w:t>
            </w:r>
            <w:r/>
          </w:p>
        </w:tc>
        <w:tc>
          <w:tcPr>
            <w:tcW w:w="1742"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bCs/>
                <w:sz w:val="24"/>
                <w:szCs w:val="24"/>
              </w:rPr>
              <w:t xml:space="preserve">其他专用条款</w:t>
            </w:r>
            <w:r/>
          </w:p>
        </w:tc>
        <w:tc>
          <w:tcPr>
            <w:tcW w:w="5170" w:type="dxa"/>
            <w:vAlign w:val="center"/>
            <w:textDirection w:val="lrTb"/>
            <w:noWrap w:val="false"/>
          </w:tcPr>
          <w:p>
            <w:pPr>
              <w:ind w:left="0" w:firstLine="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专用条款未明确约定，以采购文件要求的或中标单位承诺的为准。</w:t>
            </w:r>
            <w:r/>
          </w:p>
        </w:tc>
      </w:tr>
    </w:tbl>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125"/>
        <w:ind w:firstLine="480"/>
        <w:jc w:val="left"/>
        <w:spacing w:line="360" w:lineRule="auto"/>
        <w:rPr>
          <w:rFonts w:hAnsi="宋体" w:cs="宋体"/>
          <w:sz w:val="24"/>
          <w:szCs w:val="24"/>
          <w:u w:val="single"/>
        </w:rPr>
      </w:pPr>
      <w:r>
        <w:rPr>
          <w:rFonts w:hAnsi="宋体" w:cs="宋体"/>
          <w:sz w:val="24"/>
          <w:szCs w:val="24"/>
          <w:u w:val="single"/>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40"/>
        <w:spacing w:line="240" w:lineRule="auto"/>
      </w:pPr>
      <w:r>
        <w:separator/>
      </w:r>
      <w:r/>
    </w:p>
  </w:endnote>
  <w:endnote w:type="continuationSeparator" w:id="0">
    <w:p>
      <w:pPr>
        <w:ind w:firstLine="44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FangSong">
    <w:panose1 w:val="02010609060101010101"/>
  </w:font>
  <w:font w:name="楷体_GB2312">
    <w:panose1 w:val="02010609060101010101"/>
  </w:font>
  <w:font w:name="Calibri">
    <w:panose1 w:val="020F0502020204030204"/>
  </w:font>
  <w:font w:name="微软雅黑">
    <w:panose1 w:val="020B0503020204020204"/>
  </w:font>
  <w:font w:name="华文中宋">
    <w:panose1 w:val="02010600040101010101"/>
  </w:font>
  <w:font w:name="仿宋_GB2312">
    <w:panose1 w:val="02010609060101010101"/>
  </w:font>
  <w:font w:name="华文楷体">
    <w:panose1 w:val="02010600040101010101"/>
  </w:font>
  <w:font w:name="Wingdings">
    <w:panose1 w:val="05000000000000000000"/>
  </w:font>
  <w:font w:name="等线">
    <w:panose1 w:val="02010600030101010101"/>
  </w:font>
  <w:font w:name="仿宋">
    <w:panose1 w:val="02010609060101010101"/>
  </w:font>
  <w:font w:name="Symbol">
    <w:panose1 w:val="05050102010706020507"/>
  </w:font>
  <w:font w:name="MiSans Bold">
    <w:panose1 w:val="020B0503020202020204"/>
  </w:font>
  <w:font w:name="Courier New">
    <w:panose1 w:val="02070309020205020404"/>
  </w:font>
  <w:font w:name="MiSans">
    <w:panose1 w:val="020B0503020202020204"/>
  </w:font>
  <w:font w:name="HONOR Sans Design Demibold">
    <w:panose1 w:val="020B0503020202020204"/>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ind w:left="924" w:right="924" w:firstLine="26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
                            <w:rPr/>
                          </w:sdtPr>
                          <w:sdtContent>
                            <w:p>
                              <w:pPr>
                                <w:pStyle w:val="1021"/>
                                <w:ind w:left="924" w:right="924" w:firstLine="264"/>
                                <w:rPr>
                                  <w:rFonts w:asciiTheme="minorEastAsia" w:hAnsiTheme="minorEastAsia" w:eastAsiaTheme="minorEastAsia"/>
                                </w:rPr>
                              </w:pPr>
                              <w:r>
                                <w:rPr>
                                  <w:rFonts w:asciiTheme="minorEastAsia" w:hAnsiTheme="minorEastAsia" w:eastAsiaTheme="minorEastAsia"/>
                                </w:rPr>
                                <w:fldChar w:fldCharType="begin"/>
                              </w:r>
                              <w:r>
                                <w:rPr>
                                  <w:rFonts w:asciiTheme="minorEastAsia" w:hAnsiTheme="minorEastAsia" w:eastAsiaTheme="minorEastAsia"/>
                                </w:rPr>
                                <w:instrText xml:space="preserve">PAGE   \* MERGEFORMAT</w:instrText>
                              </w:r>
                              <w:r>
                                <w:rPr>
                                  <w:rFonts w:asciiTheme="minorEastAsia" w:hAnsiTheme="minorEastAsia" w:eastAsiaTheme="minorEastAsia"/>
                                </w:rPr>
                                <w:fldChar w:fldCharType="separate"/>
                              </w:r>
                              <w:r>
                                <w:rPr>
                                  <w:rFonts w:asciiTheme="minorEastAsia" w:hAnsiTheme="minorEastAsia" w:eastAsiaTheme="minorEastAsia"/>
                                  <w:lang w:val="zh-CN"/>
                                </w:rPr>
                                <w:t xml:space="preserve">13</w:t>
                              </w:r>
                              <w:r>
                                <w:rPr>
                                  <w:rFonts w:asciiTheme="minorEastAsia" w:hAnsiTheme="minorEastAsia" w:eastAsiaTheme="minorEastAsia"/>
                                </w:rPr>
                                <w:fldChar w:fldCharType="end"/>
                              </w:r>
                              <w:r/>
                            </w:p>
                          </w:sdtContent>
                        </w:sdt>
                        <w:p>
                          <w:pPr>
                            <w:pStyle w:val="1063"/>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
                      <w:rPr/>
                    </w:sdtPr>
                    <w:sdtContent>
                      <w:p>
                        <w:pPr>
                          <w:pStyle w:val="1021"/>
                          <w:ind w:left="924" w:right="924" w:firstLine="264"/>
                          <w:rPr>
                            <w:rFonts w:asciiTheme="minorEastAsia" w:hAnsiTheme="minorEastAsia" w:eastAsiaTheme="minorEastAsia"/>
                          </w:rPr>
                        </w:pPr>
                        <w:r>
                          <w:rPr>
                            <w:rFonts w:asciiTheme="minorEastAsia" w:hAnsiTheme="minorEastAsia" w:eastAsiaTheme="minorEastAsia"/>
                          </w:rPr>
                          <w:fldChar w:fldCharType="begin"/>
                        </w:r>
                        <w:r>
                          <w:rPr>
                            <w:rFonts w:asciiTheme="minorEastAsia" w:hAnsiTheme="minorEastAsia" w:eastAsiaTheme="minorEastAsia"/>
                          </w:rPr>
                          <w:instrText xml:space="preserve">PAGE   \* MERGEFORMAT</w:instrText>
                        </w:r>
                        <w:r>
                          <w:rPr>
                            <w:rFonts w:asciiTheme="minorEastAsia" w:hAnsiTheme="minorEastAsia" w:eastAsiaTheme="minorEastAsia"/>
                          </w:rPr>
                          <w:fldChar w:fldCharType="separate"/>
                        </w:r>
                        <w:r>
                          <w:rPr>
                            <w:rFonts w:asciiTheme="minorEastAsia" w:hAnsiTheme="minorEastAsia" w:eastAsiaTheme="minorEastAsia"/>
                            <w:lang w:val="zh-CN"/>
                          </w:rPr>
                          <w:t xml:space="preserve">13</w:t>
                        </w:r>
                        <w:r>
                          <w:rPr>
                            <w:rFonts w:asciiTheme="minorEastAsia" w:hAnsiTheme="minorEastAsia" w:eastAsiaTheme="minorEastAsia"/>
                          </w:rPr>
                          <w:fldChar w:fldCharType="end"/>
                        </w:r>
                        <w:r/>
                      </w:p>
                    </w:sdtContent>
                  </w:sdt>
                  <w:p>
                    <w:pPr>
                      <w:pStyle w:val="106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40"/>
        <w:spacing w:line="288" w:lineRule="auto"/>
      </w:pPr>
      <w:r>
        <w:separator/>
      </w:r>
      <w:r/>
    </w:p>
  </w:footnote>
  <w:footnote w:type="continuationSeparator" w:id="0">
    <w:p>
      <w:pPr>
        <w:ind w:firstLine="440"/>
        <w:spacing w:line="28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start w:val="1"/>
      <w:numFmt w:val="decimal"/>
      <w:isLgl/>
      <w:suff w:val="tab"/>
      <w:lvlText w:val="%1.%2"/>
      <w:lvlJc w:val="left"/>
      <w:pPr>
        <w:ind w:left="3970" w:firstLine="0"/>
      </w:pPr>
      <w:rPr>
        <w:rFonts w:hint="eastAsia"/>
      </w:rPr>
    </w:lvl>
    <w:lvl w:ilvl="2">
      <w:start w:val="1"/>
      <w:numFmt w:val="decimal"/>
      <w:pStyle w:val="1069"/>
      <w:isLgl/>
      <w:suff w:val="tab"/>
      <w:lvlText w:val="%1.%2.%3"/>
      <w:lvlJc w:val="left"/>
      <w:pPr>
        <w:ind w:left="0" w:firstLine="0"/>
      </w:pPr>
      <w:rPr>
        <w:rFonts w:hint="eastAsia"/>
      </w:rPr>
    </w:lvl>
    <w:lvl w:ilvl="3">
      <w:start w:val="1"/>
      <w:numFmt w:val="decimal"/>
      <w:isLgl/>
      <w:suff w:val="tab"/>
      <w:lvlText w:val="%1.%2.%3.%4"/>
      <w:lvlJc w:val="left"/>
      <w:pPr>
        <w:ind w:left="0" w:firstLine="0"/>
      </w:pPr>
      <w:rPr>
        <w:rFonts w:hint="eastAsia" w:ascii="宋体" w:hAnsi="宋体" w:eastAsia="宋体" w:cs="宋体"/>
        <w:sz w:val="21"/>
        <w:szCs w:val="21"/>
      </w:rPr>
    </w:lvl>
    <w:lvl w:ilvl="4">
      <w:start w:val="1"/>
      <w:numFmt w:val="decimal"/>
      <w:isLgl/>
      <w:suff w:val="tab"/>
      <w:lvlText w:val="%1.%2.%3.%4.%5"/>
      <w:lvlJc w:val="left"/>
      <w:pPr>
        <w:ind w:left="0" w:firstLine="0"/>
      </w:pPr>
      <w:rPr>
        <w:rFonts w:hint="eastAsia" w:ascii="宋体" w:hAnsi="宋体" w:eastAsia="宋体" w:cs="宋体"/>
        <w:sz w:val="21"/>
        <w:szCs w:val="21"/>
      </w:rPr>
    </w:lvl>
    <w:lvl w:ilvl="5">
      <w:start w:val="1"/>
      <w:numFmt w:val="decimal"/>
      <w:isLgl/>
      <w:suff w:val="tab"/>
      <w:lvlText w:val="%1.%2.%3.%4.%5.%6"/>
      <w:lvlJc w:val="left"/>
      <w:pPr>
        <w:ind w:left="0" w:firstLine="0"/>
      </w:pPr>
      <w:rPr>
        <w:rFonts w:hint="eastAsia"/>
      </w:rPr>
    </w:lvl>
    <w:lvl w:ilvl="6">
      <w:start w:val="1"/>
      <w:numFmt w:val="decimal"/>
      <w:isLgl/>
      <w:suff w:val="tab"/>
      <w:lvlText w:val="%1.%2.%3.%4.%5.%6.%7"/>
      <w:lvlJc w:val="left"/>
      <w:pPr>
        <w:ind w:left="0" w:firstLine="0"/>
      </w:pPr>
      <w:rPr>
        <w:rFonts w:hint="eastAsia"/>
      </w:rPr>
    </w:lvl>
    <w:lvl w:ilvl="7">
      <w:start w:val="1"/>
      <w:numFmt w:val="decimal"/>
      <w:isLgl/>
      <w:suff w:val="tab"/>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4">
    <w:multiLevelType w:val="hybridMultilevel"/>
    <w:lvl w:ilvl="0">
      <w:start w:val="1"/>
      <w:numFmt w:val="chineseCountingThousand"/>
      <w:pStyle w:val="1067"/>
      <w:isLgl w:val="false"/>
      <w:suff w:val="tab"/>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start w:val="1"/>
      <w:numFmt w:val="decimal"/>
      <w:isLgl/>
      <w:suff w:val="tab"/>
      <w:lvlText w:val="%1.%2"/>
      <w:lvlJc w:val="left"/>
      <w:pPr>
        <w:ind w:left="3970" w:firstLine="0"/>
      </w:pPr>
      <w:rPr>
        <w:rFonts w:hint="eastAsia"/>
      </w:rPr>
    </w:lvl>
    <w:lvl w:ilvl="2">
      <w:start w:val="1"/>
      <w:numFmt w:val="decimal"/>
      <w:isLgl/>
      <w:suff w:val="tab"/>
      <w:lvlText w:val="%1.%2.%3"/>
      <w:lvlJc w:val="left"/>
      <w:pPr>
        <w:ind w:left="0" w:firstLine="0"/>
      </w:pPr>
      <w:rPr>
        <w:rFonts w:hint="eastAsia"/>
      </w:rPr>
    </w:lvl>
    <w:lvl w:ilvl="3">
      <w:start w:val="1"/>
      <w:numFmt w:val="decimal"/>
      <w:pStyle w:val="1070"/>
      <w:isLgl/>
      <w:suff w:val="tab"/>
      <w:lvlText w:val="%1.%2.%3.%4"/>
      <w:lvlJc w:val="left"/>
      <w:pPr>
        <w:ind w:left="0" w:firstLine="0"/>
      </w:pPr>
      <w:rPr>
        <w:rFonts w:hint="eastAsia" w:ascii="宋体" w:hAnsi="宋体" w:eastAsia="宋体" w:cs="宋体"/>
        <w:sz w:val="21"/>
        <w:szCs w:val="21"/>
      </w:rPr>
    </w:lvl>
    <w:lvl w:ilvl="4">
      <w:start w:val="1"/>
      <w:numFmt w:val="decimal"/>
      <w:isLgl/>
      <w:suff w:val="tab"/>
      <w:lvlText w:val="%1.%2.%3.%4.%5"/>
      <w:lvlJc w:val="left"/>
      <w:pPr>
        <w:ind w:left="0" w:firstLine="0"/>
      </w:pPr>
      <w:rPr>
        <w:rFonts w:hint="eastAsia" w:ascii="宋体" w:hAnsi="宋体" w:eastAsia="宋体" w:cs="宋体"/>
        <w:sz w:val="21"/>
        <w:szCs w:val="21"/>
      </w:rPr>
    </w:lvl>
    <w:lvl w:ilvl="5">
      <w:start w:val="1"/>
      <w:numFmt w:val="decimal"/>
      <w:isLgl/>
      <w:suff w:val="tab"/>
      <w:lvlText w:val="%1.%2.%3.%4.%5.%6"/>
      <w:lvlJc w:val="left"/>
      <w:pPr>
        <w:ind w:left="0" w:firstLine="0"/>
      </w:pPr>
      <w:rPr>
        <w:rFonts w:hint="eastAsia"/>
      </w:rPr>
    </w:lvl>
    <w:lvl w:ilvl="6">
      <w:start w:val="1"/>
      <w:numFmt w:val="decimal"/>
      <w:isLgl/>
      <w:suff w:val="tab"/>
      <w:lvlText w:val="%1.%2.%3.%4.%5.%6.%7"/>
      <w:lvlJc w:val="left"/>
      <w:pPr>
        <w:ind w:left="0" w:firstLine="0"/>
      </w:pPr>
      <w:rPr>
        <w:rFonts w:hint="eastAsia"/>
      </w:rPr>
    </w:lvl>
    <w:lvl w:ilvl="7">
      <w:start w:val="1"/>
      <w:numFmt w:val="decimal"/>
      <w:isLgl/>
      <w:suff w:val="tab"/>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5">
    <w:multiLevelType w:val="hybridMultilevel"/>
    <w:lvl w:ilvl="0">
      <w:start w:val="1"/>
      <w:numFmt w:val="decimal"/>
      <w:pStyle w:val="981"/>
      <w:isLgl w:val="false"/>
      <w:suff w:val="tab"/>
      <w:lvlText w:val="(%1)"/>
      <w:lvlJc w:val="left"/>
      <w:pPr>
        <w:ind w:left="440" w:hanging="4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984"/>
      <w:isLgl w:val="false"/>
      <w:suff w:val="tab"/>
      <w:lvlText w:val="w"/>
      <w:lvlJc w:val="left"/>
      <w:pPr>
        <w:ind w:left="420" w:hanging="420"/>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pStyle w:val="991"/>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upperLetter"/>
      <w:pStyle w:val="1013"/>
      <w:isLgl w:val="false"/>
      <w:suff w:val="tab"/>
      <w:lvlText w:val="%1)"/>
      <w:lvlJc w:val="left"/>
      <w:pPr>
        <w:ind w:left="440" w:hanging="44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987"/>
      <w:isLgl w:val="false"/>
      <w:suff w:val="tab"/>
      <w:lvlText w:val="%1. "/>
      <w:lvlJc w:val="left"/>
      <w:pPr>
        <w:ind w:left="0" w:firstLine="0"/>
        <w:tabs>
          <w:tab w:val="left" w:pos="-420" w:leader="none"/>
        </w:tabs>
      </w:pPr>
      <w:rPr>
        <w:rFonts w:hint="default"/>
      </w:rPr>
    </w:lvl>
    <w:lvl w:ilvl="1">
      <w:start w:val="1"/>
      <w:numFmt w:val="decimal"/>
      <w:isLgl w:val="false"/>
      <w:suff w:val="tab"/>
      <w:lvlText w:val="%1.%2. "/>
      <w:lvlJc w:val="left"/>
      <w:pPr>
        <w:ind w:left="220" w:hanging="419"/>
        <w:tabs>
          <w:tab w:val="left" w:pos="419" w:leader="none"/>
        </w:tabs>
      </w:pPr>
      <w:rPr>
        <w:rFonts w:hint="default"/>
      </w:rPr>
    </w:lvl>
    <w:lvl w:ilvl="2">
      <w:start w:val="1"/>
      <w:numFmt w:val="decimal"/>
      <w:isLgl w:val="false"/>
      <w:suff w:val="tab"/>
      <w:lvlText w:val="%1.%2.%3. "/>
      <w:lvlJc w:val="left"/>
      <w:pPr>
        <w:ind w:left="2219" w:hanging="708"/>
        <w:tabs>
          <w:tab w:val="left" w:pos="51" w:leader="none"/>
        </w:tabs>
      </w:pPr>
      <w:rPr>
        <w:rFonts w:hint="default"/>
      </w:rPr>
    </w:lvl>
    <w:lvl w:ilvl="3">
      <w:start w:val="1"/>
      <w:numFmt w:val="decimal"/>
      <w:isLgl w:val="false"/>
      <w:suff w:val="tab"/>
      <w:lvlText w:val="%1.%2.%3.%4. "/>
      <w:lvlJc w:val="left"/>
      <w:pPr>
        <w:ind w:left="1100" w:hanging="853"/>
        <w:tabs>
          <w:tab w:val="left" w:pos="-420" w:leader="none"/>
        </w:tabs>
      </w:pPr>
      <w:rPr>
        <w:rFonts w:hint="default"/>
      </w:rPr>
    </w:lvl>
    <w:lvl w:ilvl="4">
      <w:start w:val="1"/>
      <w:numFmt w:val="decimal"/>
      <w:isLgl w:val="false"/>
      <w:suff w:val="tab"/>
      <w:lvlText w:val="%1.%2.%3.%4.%5. "/>
      <w:lvlJc w:val="left"/>
      <w:pPr>
        <w:ind w:left="1760" w:hanging="895"/>
        <w:tabs>
          <w:tab w:val="left" w:pos="-420" w:leader="none"/>
        </w:tabs>
      </w:pPr>
      <w:rPr>
        <w:rFonts w:hint="default"/>
      </w:rPr>
    </w:lvl>
    <w:lvl w:ilvl="5">
      <w:start w:val="1"/>
      <w:numFmt w:val="decimal"/>
      <w:isLgl w:val="false"/>
      <w:suff w:val="tab"/>
      <w:lvlText w:val="%1.%2.%3.%4.%5.%6. "/>
      <w:lvlJc w:val="left"/>
      <w:pPr>
        <w:ind w:left="2716" w:hanging="1136"/>
        <w:tabs>
          <w:tab w:val="left" w:pos="-420" w:leader="none"/>
        </w:tabs>
      </w:pPr>
      <w:rPr>
        <w:rFonts w:hint="default"/>
      </w:rPr>
    </w:lvl>
    <w:lvl w:ilvl="6">
      <w:start w:val="1"/>
      <w:numFmt w:val="decimal"/>
      <w:isLgl w:val="false"/>
      <w:suff w:val="tab"/>
      <w:lvlText w:val="%1.%2.%3.%4.%5.%6.%7. "/>
      <w:lvlJc w:val="left"/>
      <w:pPr>
        <w:ind w:left="3253" w:hanging="1273"/>
        <w:tabs>
          <w:tab w:val="left" w:pos="-420" w:leader="none"/>
        </w:tabs>
      </w:pPr>
      <w:rPr>
        <w:rFonts w:hint="default"/>
      </w:rPr>
    </w:lvl>
    <w:lvl w:ilvl="7">
      <w:start w:val="1"/>
      <w:numFmt w:val="decimal"/>
      <w:isLgl w:val="false"/>
      <w:suff w:val="tab"/>
      <w:lvlText w:val="%1.%2.%3.%4.%5.%6.%7.%8. "/>
      <w:lvlJc w:val="left"/>
      <w:pPr>
        <w:ind w:left="3798" w:hanging="1418"/>
        <w:tabs>
          <w:tab w:val="left" w:pos="-420" w:leader="none"/>
        </w:tabs>
      </w:pPr>
      <w:rPr>
        <w:rFonts w:hint="default"/>
      </w:rPr>
    </w:lvl>
    <w:lvl w:ilvl="8">
      <w:start w:val="1"/>
      <w:numFmt w:val="decimal"/>
      <w:isLgl w:val="false"/>
      <w:suff w:val="tab"/>
      <w:lvlText w:val="%1.%2.%3.%4.%5.%6.%7.%8.%9. "/>
      <w:lvlJc w:val="left"/>
      <w:pPr>
        <w:ind w:left="4228" w:hanging="1448"/>
        <w:tabs>
          <w:tab w:val="left" w:pos="-420" w:leader="none"/>
        </w:tabs>
      </w:pPr>
      <w:rPr>
        <w:rFonts w:hint="default"/>
      </w:rPr>
    </w:lvl>
  </w:abstractNum>
  <w:abstractNum w:abstractNumId="21">
    <w:multiLevelType w:val="hybridMultilevel"/>
    <w:lvl w:ilvl="0">
      <w:start w:val="1"/>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chineseCounting"/>
      <w:isLgl w:val="false"/>
      <w:suff w:val="nothing"/>
      <w:lvlText w:val="第%1章 "/>
      <w:lvlJc w:val="left"/>
      <w:pPr>
        <w:ind w:left="0" w:firstLine="402"/>
        <w:tabs>
          <w:tab w:val="left" w:pos="0" w:leader="none"/>
        </w:tabs>
      </w:pPr>
      <w:rPr>
        <w:rFonts w:hint="eastAsia" w:ascii="宋体" w:hAnsi="宋体" w:cs="宋体"/>
        <w:sz w:val="28"/>
        <w:szCs w:val="28"/>
      </w:rPr>
    </w:lvl>
    <w:lvl w:ilvl="1">
      <w:start w:val="1"/>
      <w:numFmt w:val="decimal"/>
      <w:isLgl/>
      <w:suff w:val="nothing"/>
      <w:lvlText w:val="%2、"/>
      <w:lvlJc w:val="left"/>
      <w:pPr>
        <w:ind w:left="0" w:firstLine="402"/>
        <w:tabs>
          <w:tab w:val="left" w:pos="0" w:leader="none"/>
        </w:tabs>
      </w:pPr>
      <w:rPr>
        <w:rFonts w:hint="eastAsia" w:ascii="宋体" w:hAnsi="宋体" w:cs="宋体"/>
        <w:sz w:val="28"/>
        <w:szCs w:val="28"/>
      </w:rPr>
    </w:lvl>
    <w:lvl w:ilvl="2">
      <w:start w:val="1"/>
      <w:numFmt w:val="decimal"/>
      <w:pStyle w:val="1065"/>
      <w:isLgl/>
      <w:suff w:val="nothing"/>
      <w:lvlText w:val="%2.%3．"/>
      <w:lvlJc w:val="left"/>
      <w:pPr>
        <w:ind w:left="0" w:firstLine="402"/>
        <w:tabs>
          <w:tab w:val="left" w:pos="0" w:leader="none"/>
        </w:tabs>
      </w:pPr>
      <w:rPr>
        <w:rFonts w:hint="eastAsia" w:ascii="宋体" w:hAnsi="宋体" w:cs="宋体"/>
        <w:sz w:val="28"/>
        <w:szCs w:val="28"/>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23">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pStyle w:val="1002"/>
      <w:isLgl w:val="false"/>
      <w:suff w:val="nothing"/>
      <w:lvlText w:val="%1) "/>
      <w:lvlJc w:val="left"/>
      <w:pPr>
        <w:ind w:left="0" w:firstLine="40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bullet"/>
      <w:pStyle w:val="1006"/>
      <w:isLgl w:val="false"/>
      <w:suff w:val="space"/>
      <w:lvlText w:val="²"/>
      <w:lvlJc w:val="left"/>
      <w:pPr>
        <w:ind w:left="420" w:hanging="420"/>
        <w:tabs>
          <w:tab w:val="left" w:pos="420" w:leader="none"/>
        </w:tabs>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bullet"/>
      <w:pStyle w:val="1012"/>
      <w:isLgl w:val="false"/>
      <w:suff w:val="tab"/>
      <w:lvlText w:val="§"/>
      <w:lvlJc w:val="left"/>
      <w:pPr>
        <w:ind w:left="2180" w:hanging="420"/>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bullet"/>
      <w:isLgl w:val="false"/>
      <w:suff w:val="tab"/>
      <w:lvlText w:val=""/>
      <w:lvlJc w:val="left"/>
      <w:pPr>
        <w:ind w:left="825" w:hanging="420"/>
      </w:pPr>
      <w:rPr>
        <w:rFonts w:hint="default" w:ascii="Wingdings" w:hAnsi="Wingdings"/>
      </w:rPr>
    </w:lvl>
    <w:lvl w:ilvl="1">
      <w:start w:val="1"/>
      <w:numFmt w:val="bullet"/>
      <w:isLgl w:val="false"/>
      <w:suff w:val="tab"/>
      <w:lvlText w:val=""/>
      <w:lvlJc w:val="left"/>
      <w:pPr>
        <w:ind w:left="1245" w:hanging="420"/>
      </w:pPr>
      <w:rPr>
        <w:rFonts w:hint="default" w:ascii="Wingdings" w:hAnsi="Wingdings"/>
      </w:rPr>
    </w:lvl>
    <w:lvl w:ilvl="2">
      <w:start w:val="1"/>
      <w:numFmt w:val="bullet"/>
      <w:isLgl w:val="false"/>
      <w:suff w:val="tab"/>
      <w:lvlText w:val=""/>
      <w:lvlJc w:val="left"/>
      <w:pPr>
        <w:ind w:left="1665" w:hanging="420"/>
      </w:pPr>
      <w:rPr>
        <w:rFonts w:hint="default" w:ascii="Wingdings" w:hAnsi="Wingdings"/>
      </w:rPr>
    </w:lvl>
    <w:lvl w:ilvl="3">
      <w:start w:val="1"/>
      <w:numFmt w:val="bullet"/>
      <w:isLgl w:val="false"/>
      <w:suff w:val="tab"/>
      <w:lvlText w:val=""/>
      <w:lvlJc w:val="left"/>
      <w:pPr>
        <w:ind w:left="2085" w:hanging="420"/>
      </w:pPr>
      <w:rPr>
        <w:rFonts w:hint="default" w:ascii="Wingdings" w:hAnsi="Wingdings"/>
      </w:rPr>
    </w:lvl>
    <w:lvl w:ilvl="4">
      <w:start w:val="1"/>
      <w:numFmt w:val="bullet"/>
      <w:isLgl w:val="false"/>
      <w:suff w:val="tab"/>
      <w:lvlText w:val=""/>
      <w:lvlJc w:val="left"/>
      <w:pPr>
        <w:ind w:left="2505" w:hanging="420"/>
      </w:pPr>
      <w:rPr>
        <w:rFonts w:hint="default" w:ascii="Wingdings" w:hAnsi="Wingdings"/>
      </w:rPr>
    </w:lvl>
    <w:lvl w:ilvl="5">
      <w:start w:val="1"/>
      <w:numFmt w:val="bullet"/>
      <w:isLgl w:val="false"/>
      <w:suff w:val="tab"/>
      <w:lvlText w:val=""/>
      <w:lvlJc w:val="left"/>
      <w:pPr>
        <w:ind w:left="2925" w:hanging="420"/>
      </w:pPr>
      <w:rPr>
        <w:rFonts w:hint="default" w:ascii="Wingdings" w:hAnsi="Wingdings"/>
      </w:rPr>
    </w:lvl>
    <w:lvl w:ilvl="6">
      <w:start w:val="1"/>
      <w:numFmt w:val="bullet"/>
      <w:isLgl w:val="false"/>
      <w:suff w:val="tab"/>
      <w:lvlText w:val=""/>
      <w:lvlJc w:val="left"/>
      <w:pPr>
        <w:ind w:left="3345" w:hanging="420"/>
      </w:pPr>
      <w:rPr>
        <w:rFonts w:hint="default" w:ascii="Wingdings" w:hAnsi="Wingdings"/>
      </w:rPr>
    </w:lvl>
    <w:lvl w:ilvl="7">
      <w:start w:val="1"/>
      <w:numFmt w:val="bullet"/>
      <w:isLgl w:val="false"/>
      <w:suff w:val="tab"/>
      <w:lvlText w:val=""/>
      <w:lvlJc w:val="left"/>
      <w:pPr>
        <w:ind w:left="3765" w:hanging="420"/>
      </w:pPr>
      <w:rPr>
        <w:rFonts w:hint="default" w:ascii="Wingdings" w:hAnsi="Wingdings"/>
      </w:rPr>
    </w:lvl>
    <w:lvl w:ilvl="8">
      <w:start w:val="1"/>
      <w:numFmt w:val="bullet"/>
      <w:isLgl w:val="false"/>
      <w:suff w:val="tab"/>
      <w:lvlText w:val=""/>
      <w:lvlJc w:val="left"/>
      <w:pPr>
        <w:ind w:left="4185" w:hanging="420"/>
      </w:pPr>
      <w:rPr>
        <w:rFonts w:hint="default" w:ascii="Wingdings" w:hAnsi="Wingdings"/>
      </w:rPr>
    </w:lvl>
  </w:abstractNum>
  <w:abstractNum w:abstractNumId="31">
    <w:multiLevelType w:val="hybridMultilevel"/>
    <w:lvl w:ilvl="0">
      <w:start w:val="1"/>
      <w:numFmt w:val="lowerLetter"/>
      <w:pStyle w:val="1031"/>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chineseCounting"/>
      <w:pStyle w:val="1064"/>
      <w:isLgl w:val="false"/>
      <w:suff w:val="nothing"/>
      <w:lvlText w:val="第%1章 "/>
      <w:lvlJc w:val="left"/>
      <w:pPr>
        <w:ind w:left="425" w:hanging="425"/>
      </w:pPr>
      <w:rPr>
        <w:rFonts w:hint="eastAsia"/>
      </w:rPr>
    </w:lvl>
    <w:lvl w:ilvl="1">
      <w:start w:val="1"/>
      <w:numFmt w:val="decimal"/>
      <w:isLgl/>
      <w:suff w:val="tab"/>
      <w:lvlText w:val="%1.%2."/>
      <w:lvlJc w:val="left"/>
      <w:pPr>
        <w:ind w:left="567" w:hanging="567"/>
      </w:pPr>
      <w:rPr>
        <w:rFonts w:hint="eastAsia"/>
      </w:rPr>
    </w:lvl>
    <w:lvl w:ilvl="2">
      <w:start w:val="1"/>
      <w:numFmt w:val="decimal"/>
      <w:isLgl/>
      <w:suff w:val="tab"/>
      <w:lvlText w:val="%1.%2.%3."/>
      <w:lvlJc w:val="left"/>
      <w:pPr>
        <w:ind w:left="709" w:hanging="709"/>
      </w:pPr>
      <w:rPr>
        <w:rFonts w:hint="eastAsia"/>
      </w:rPr>
    </w:lvl>
    <w:lvl w:ilvl="3">
      <w:start w:val="1"/>
      <w:numFmt w:val="decimal"/>
      <w:isLgl/>
      <w:suff w:val="tab"/>
      <w:lvlText w:val="%1.%2.%3.%4."/>
      <w:lvlJc w:val="left"/>
      <w:pPr>
        <w:ind w:left="850" w:hanging="850"/>
      </w:pPr>
      <w:rPr>
        <w:rFonts w:hint="eastAsia"/>
      </w:rPr>
    </w:lvl>
    <w:lvl w:ilvl="4">
      <w:start w:val="1"/>
      <w:numFmt w:val="decimal"/>
      <w:isLgl/>
      <w:suff w:val="tab"/>
      <w:lvlText w:val="%1.%2.%3.%4.%5."/>
      <w:lvlJc w:val="left"/>
      <w:pPr>
        <w:ind w:left="991" w:hanging="991"/>
      </w:pPr>
      <w:rPr>
        <w:rFonts w:hint="eastAsia"/>
      </w:rPr>
    </w:lvl>
    <w:lvl w:ilvl="5">
      <w:start w:val="1"/>
      <w:numFmt w:val="decimal"/>
      <w:isLgl/>
      <w:suff w:val="tab"/>
      <w:lvlText w:val="%1.%2.%3.%4.%5.%6."/>
      <w:lvlJc w:val="left"/>
      <w:pPr>
        <w:ind w:left="1134" w:hanging="1134"/>
      </w:pPr>
      <w:rPr>
        <w:rFonts w:hint="eastAsia"/>
      </w:rPr>
    </w:lvl>
    <w:lvl w:ilvl="6">
      <w:start w:val="1"/>
      <w:numFmt w:val="decimal"/>
      <w:isLgl/>
      <w:suff w:val="tab"/>
      <w:lvlText w:val="%1.%2.%3.%4.%5.%6.%7."/>
      <w:lvlJc w:val="left"/>
      <w:pPr>
        <w:ind w:left="1275" w:hanging="1275"/>
      </w:pPr>
      <w:rPr>
        <w:rFonts w:hint="eastAsia"/>
      </w:rPr>
    </w:lvl>
    <w:lvl w:ilvl="7">
      <w:start w:val="1"/>
      <w:numFmt w:val="decimal"/>
      <w:isLgl/>
      <w:suff w:val="tab"/>
      <w:lvlText w:val="%1.%2.%3.%4.%5.%6.%7.%8."/>
      <w:lvlJc w:val="left"/>
      <w:pPr>
        <w:ind w:left="1418" w:hanging="1418"/>
      </w:pPr>
      <w:rPr>
        <w:rFonts w:hint="eastAsia"/>
      </w:rPr>
    </w:lvl>
    <w:lvl w:ilvl="8">
      <w:start w:val="1"/>
      <w:numFmt w:val="decimal"/>
      <w:isLgl/>
      <w:suff w:val="tab"/>
      <w:lvlText w:val="%1.%2.%3.%4.%5.%6.%7.%8.%9."/>
      <w:lvlJc w:val="left"/>
      <w:pPr>
        <w:ind w:left="1558" w:hanging="1558"/>
      </w:pPr>
      <w:rPr>
        <w:rFonts w:hint="eastAsia"/>
      </w:rPr>
    </w:lvl>
  </w:abstractNum>
  <w:abstractNum w:abstractNumId="38">
    <w:multiLevelType w:val="hybridMultilevel"/>
    <w:lvl w:ilvl="0">
      <w:start w:val="1"/>
      <w:numFmt w:val="bullet"/>
      <w:pStyle w:val="1000"/>
      <w:isLgl w:val="false"/>
      <w:suff w:val="tab"/>
      <w:lvlText w:val="w"/>
      <w:lvlJc w:val="left"/>
      <w:pPr>
        <w:ind w:left="420" w:hanging="420"/>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chineseCountingThousand"/>
      <w:isLgl w:val="false"/>
      <w:suff w:val="tab"/>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start w:val="1"/>
      <w:numFmt w:val="decimal"/>
      <w:pStyle w:val="1068"/>
      <w:isLgl/>
      <w:suff w:val="tab"/>
      <w:lvlText w:val="%1.%2"/>
      <w:lvlJc w:val="left"/>
      <w:pPr>
        <w:ind w:left="3970" w:firstLine="0"/>
      </w:pPr>
      <w:rPr>
        <w:rFonts w:hint="eastAsia"/>
      </w:rPr>
    </w:lvl>
    <w:lvl w:ilvl="2">
      <w:start w:val="1"/>
      <w:numFmt w:val="decimal"/>
      <w:isLgl/>
      <w:suff w:val="tab"/>
      <w:lvlText w:val="%1.%2.%3"/>
      <w:lvlJc w:val="left"/>
      <w:pPr>
        <w:ind w:left="0" w:firstLine="0"/>
      </w:pPr>
      <w:rPr>
        <w:rFonts w:hint="eastAsia"/>
      </w:rPr>
    </w:lvl>
    <w:lvl w:ilvl="3">
      <w:start w:val="1"/>
      <w:numFmt w:val="decimal"/>
      <w:isLgl/>
      <w:suff w:val="tab"/>
      <w:lvlText w:val="%1.%2.%3.%4"/>
      <w:lvlJc w:val="left"/>
      <w:pPr>
        <w:ind w:left="0" w:firstLine="0"/>
      </w:pPr>
      <w:rPr>
        <w:rFonts w:hint="eastAsia" w:ascii="宋体" w:hAnsi="宋体" w:eastAsia="宋体" w:cs="宋体"/>
        <w:sz w:val="21"/>
        <w:szCs w:val="21"/>
      </w:rPr>
    </w:lvl>
    <w:lvl w:ilvl="4">
      <w:start w:val="1"/>
      <w:numFmt w:val="decimal"/>
      <w:isLgl/>
      <w:suff w:val="tab"/>
      <w:lvlText w:val="%1.%2.%3.%4.%5"/>
      <w:lvlJc w:val="left"/>
      <w:pPr>
        <w:ind w:left="0" w:firstLine="0"/>
      </w:pPr>
      <w:rPr>
        <w:rFonts w:hint="eastAsia" w:ascii="宋体" w:hAnsi="宋体" w:eastAsia="宋体" w:cs="宋体"/>
        <w:sz w:val="21"/>
        <w:szCs w:val="21"/>
      </w:rPr>
    </w:lvl>
    <w:lvl w:ilvl="5">
      <w:start w:val="1"/>
      <w:numFmt w:val="decimal"/>
      <w:isLgl/>
      <w:suff w:val="tab"/>
      <w:lvlText w:val="%1.%2.%3.%4.%5.%6"/>
      <w:lvlJc w:val="left"/>
      <w:pPr>
        <w:ind w:left="0" w:firstLine="0"/>
      </w:pPr>
      <w:rPr>
        <w:rFonts w:hint="eastAsia"/>
      </w:rPr>
    </w:lvl>
    <w:lvl w:ilvl="6">
      <w:start w:val="1"/>
      <w:numFmt w:val="decimal"/>
      <w:isLgl/>
      <w:suff w:val="tab"/>
      <w:lvlText w:val="%1.%2.%3.%4.%5.%6.%7"/>
      <w:lvlJc w:val="left"/>
      <w:pPr>
        <w:ind w:left="0" w:firstLine="0"/>
      </w:pPr>
      <w:rPr>
        <w:rFonts w:hint="eastAsia"/>
      </w:rPr>
    </w:lvl>
    <w:lvl w:ilvl="7">
      <w:start w:val="1"/>
      <w:numFmt w:val="decimal"/>
      <w:isLgl/>
      <w:suff w:val="tab"/>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41">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pStyle w:val="966"/>
      <w:isLgl w:val="false"/>
      <w:suff w:val="nothing"/>
      <w:lvlText w:val="%1. "/>
      <w:lvlJc w:val="left"/>
      <w:pPr>
        <w:ind w:left="432" w:hanging="432"/>
        <w:tabs>
          <w:tab w:val="left" w:pos="0" w:leader="none"/>
        </w:tabs>
      </w:pPr>
      <w:rPr>
        <w:rFonts w:hint="default"/>
      </w:rPr>
    </w:lvl>
    <w:lvl w:ilvl="1">
      <w:start w:val="1"/>
      <w:numFmt w:val="decimal"/>
      <w:pStyle w:val="967"/>
      <w:isLgl/>
      <w:suff w:val="tab"/>
      <w:lvlText w:val="%1.%2. "/>
      <w:lvlJc w:val="left"/>
      <w:pPr>
        <w:ind w:left="575" w:hanging="575"/>
        <w:tabs>
          <w:tab w:val="left" w:pos="420" w:leader="none"/>
        </w:tabs>
      </w:pPr>
      <w:rPr>
        <w:rFonts w:hint="eastAsia" w:ascii="宋体" w:hAnsi="宋体" w:eastAsia="宋体" w:cs="宋体"/>
        <w:sz w:val="21"/>
        <w:szCs w:val="21"/>
      </w:rPr>
    </w:lvl>
    <w:lvl w:ilvl="2">
      <w:start w:val="1"/>
      <w:numFmt w:val="decimal"/>
      <w:pStyle w:val="968"/>
      <w:isLgl/>
      <w:suff w:val="tab"/>
      <w:lvlText w:val="%1.%2.%3. "/>
      <w:lvlJc w:val="left"/>
      <w:pPr>
        <w:ind w:left="720" w:hanging="720"/>
      </w:pPr>
      <w:rPr>
        <w:rFonts w:hint="eastAsia" w:ascii="宋体" w:hAnsi="宋体"/>
      </w:rPr>
    </w:lvl>
    <w:lvl w:ilvl="3">
      <w:start w:val="1"/>
      <w:numFmt w:val="decimal"/>
      <w:pStyle w:val="969"/>
      <w:isLgl/>
      <w:suff w:val="tab"/>
      <w:lvlText w:val="%1.%2.%3.%4. "/>
      <w:lvlJc w:val="left"/>
      <w:pPr>
        <w:ind w:left="864" w:hanging="864"/>
      </w:pPr>
      <w:rPr>
        <w:rFonts w:hint="default" w:ascii="宋体" w:hAnsi="宋体" w:eastAsia="宋体" w:cs="宋体"/>
        <w:sz w:val="21"/>
        <w:szCs w:val="21"/>
      </w:rPr>
    </w:lvl>
    <w:lvl w:ilvl="4">
      <w:start w:val="1"/>
      <w:numFmt w:val="decimal"/>
      <w:pStyle w:val="970"/>
      <w:isLgl/>
      <w:suff w:val="tab"/>
      <w:lvlText w:val="%1.%2.%3.%4.%5. "/>
      <w:lvlJc w:val="left"/>
      <w:pPr>
        <w:ind w:left="1008" w:hanging="1008"/>
      </w:pPr>
      <w:rPr>
        <w:rFonts w:hint="default" w:ascii="宋体" w:hAnsi="宋体" w:eastAsia="宋体" w:cs="宋体"/>
        <w:sz w:val="21"/>
        <w:szCs w:val="21"/>
      </w:rPr>
    </w:lvl>
    <w:lvl w:ilvl="5">
      <w:start w:val="1"/>
      <w:numFmt w:val="decimal"/>
      <w:pStyle w:val="971"/>
      <w:isLgl/>
      <w:suff w:val="tab"/>
      <w:lvlText w:val="%1.%2.%3.%4.%5.%6. "/>
      <w:lvlJc w:val="left"/>
      <w:pPr>
        <w:ind w:left="1151" w:hanging="1151"/>
      </w:pPr>
      <w:rPr>
        <w:rFonts w:hint="eastAsia"/>
      </w:rPr>
    </w:lvl>
    <w:lvl w:ilvl="6">
      <w:start w:val="1"/>
      <w:numFmt w:val="decimal"/>
      <w:pStyle w:val="972"/>
      <w:isLgl/>
      <w:suff w:val="tab"/>
      <w:lvlText w:val="%1.%2.%3.%4.%5.%6.%7. "/>
      <w:lvlJc w:val="left"/>
      <w:pPr>
        <w:ind w:left="1296" w:hanging="1296"/>
      </w:pPr>
      <w:rPr>
        <w:rFonts w:hint="eastAsia"/>
      </w:rPr>
    </w:lvl>
    <w:lvl w:ilvl="7">
      <w:start w:val="1"/>
      <w:numFmt w:val="decimal"/>
      <w:pStyle w:val="973"/>
      <w:isLgl/>
      <w:suff w:val="tab"/>
      <w:lvlText w:val="%1.%2.%3.%4.%5.%6.%7.%8. "/>
      <w:lvlJc w:val="left"/>
      <w:pPr>
        <w:ind w:left="1440" w:hanging="1440"/>
      </w:pPr>
      <w:rPr>
        <w:rFonts w:hint="eastAsia"/>
      </w:rPr>
    </w:lvl>
    <w:lvl w:ilvl="8">
      <w:start w:val="1"/>
      <w:numFmt w:val="decimal"/>
      <w:pStyle w:val="974"/>
      <w:isLgl/>
      <w:suff w:val="tab"/>
      <w:lvlText w:val="%1.%2.%3.%4.%5.%6.%7.%8.%9. "/>
      <w:lvlJc w:val="left"/>
      <w:pPr>
        <w:ind w:left="1583" w:hanging="1583"/>
      </w:pPr>
      <w:rPr>
        <w:rFonts w:hint="eastAsia"/>
      </w:rPr>
    </w:lvl>
  </w:abstractNum>
  <w:abstractNum w:abstractNumId="4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4"/>
  </w:num>
  <w:num w:numId="2">
    <w:abstractNumId w:val="5"/>
  </w:num>
  <w:num w:numId="3">
    <w:abstractNumId w:val="8"/>
  </w:num>
  <w:num w:numId="4">
    <w:abstractNumId w:val="20"/>
  </w:num>
  <w:num w:numId="5">
    <w:abstractNumId w:val="16"/>
  </w:num>
  <w:num w:numId="6">
    <w:abstractNumId w:val="38"/>
  </w:num>
  <w:num w:numId="7">
    <w:abstractNumId w:val="24"/>
  </w:num>
  <w:num w:numId="8">
    <w:abstractNumId w:val="26"/>
  </w:num>
  <w:num w:numId="9">
    <w:abstractNumId w:val="29"/>
  </w:num>
  <w:num w:numId="10">
    <w:abstractNumId w:val="19"/>
  </w:num>
  <w:num w:numId="11">
    <w:abstractNumId w:val="31"/>
  </w:num>
  <w:num w:numId="12">
    <w:abstractNumId w:val="37"/>
  </w:num>
  <w:num w:numId="13">
    <w:abstractNumId w:val="22"/>
  </w:num>
  <w:num w:numId="14">
    <w:abstractNumId w:val="4"/>
  </w:num>
  <w:num w:numId="15">
    <w:abstractNumId w:val="40"/>
  </w:num>
  <w:num w:numId="16">
    <w:abstractNumId w:val="3"/>
  </w:num>
  <w:num w:numId="17">
    <w:abstractNumId w:val="23"/>
  </w:num>
  <w:num w:numId="18">
    <w:abstractNumId w:val="30"/>
  </w:num>
  <w:num w:numId="19">
    <w:abstractNumId w:val="7"/>
  </w:num>
  <w:num w:numId="20">
    <w:abstractNumId w:val="10"/>
  </w:num>
  <w:num w:numId="21">
    <w:abstractNumId w:val="36"/>
  </w:num>
  <w:num w:numId="22">
    <w:abstractNumId w:val="2"/>
  </w:num>
  <w:num w:numId="23">
    <w:abstractNumId w:val="1"/>
  </w:num>
  <w:num w:numId="24">
    <w:abstractNumId w:val="33"/>
  </w:num>
  <w:num w:numId="25">
    <w:abstractNumId w:val="15"/>
  </w:num>
  <w:num w:numId="26">
    <w:abstractNumId w:val="14"/>
  </w:num>
  <w:num w:numId="27">
    <w:abstractNumId w:val="18"/>
  </w:num>
  <w:num w:numId="28">
    <w:abstractNumId w:val="0"/>
  </w:num>
  <w:num w:numId="29">
    <w:abstractNumId w:val="42"/>
  </w:num>
  <w:num w:numId="30">
    <w:abstractNumId w:val="35"/>
  </w:num>
  <w:num w:numId="31">
    <w:abstractNumId w:val="32"/>
  </w:num>
  <w:num w:numId="32">
    <w:abstractNumId w:val="28"/>
  </w:num>
  <w:num w:numId="33">
    <w:abstractNumId w:val="41"/>
  </w:num>
  <w:num w:numId="34">
    <w:abstractNumId w:val="25"/>
  </w:num>
  <w:num w:numId="35">
    <w:abstractNumId w:val="39"/>
  </w:num>
  <w:num w:numId="36">
    <w:abstractNumId w:val="27"/>
  </w:num>
  <w:num w:numId="37">
    <w:abstractNumId w:val="45"/>
  </w:num>
  <w:num w:numId="38">
    <w:abstractNumId w:val="34"/>
  </w:num>
  <w:num w:numId="39">
    <w:abstractNumId w:val="21"/>
  </w:num>
  <w:num w:numId="40">
    <w:abstractNumId w:val="43"/>
  </w:num>
  <w:num w:numId="41">
    <w:abstractNumId w:val="9"/>
  </w:num>
  <w:num w:numId="42">
    <w:abstractNumId w:val="17"/>
  </w:num>
  <w:num w:numId="43">
    <w:abstractNumId w:val="12"/>
  </w:num>
  <w:num w:numId="44">
    <w:abstractNumId w:val="11"/>
  </w:num>
  <w:num w:numId="45">
    <w:abstractNumId w:val="6"/>
  </w:num>
  <w:num w:numId="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1">
    <w:name w:val="Heading 1 Char"/>
    <w:basedOn w:val="975"/>
    <w:link w:val="966"/>
    <w:uiPriority w:val="9"/>
    <w:rPr>
      <w:rFonts w:ascii="Arial" w:hAnsi="Arial" w:eastAsia="Arial" w:cs="Arial"/>
      <w:sz w:val="40"/>
      <w:szCs w:val="40"/>
    </w:rPr>
  </w:style>
  <w:style w:type="character" w:styleId="822">
    <w:name w:val="Heading 2 Char"/>
    <w:basedOn w:val="975"/>
    <w:link w:val="967"/>
    <w:uiPriority w:val="9"/>
    <w:rPr>
      <w:rFonts w:ascii="Arial" w:hAnsi="Arial" w:eastAsia="Arial" w:cs="Arial"/>
      <w:sz w:val="34"/>
    </w:rPr>
  </w:style>
  <w:style w:type="character" w:styleId="823">
    <w:name w:val="Heading 3 Char"/>
    <w:basedOn w:val="975"/>
    <w:link w:val="968"/>
    <w:uiPriority w:val="9"/>
    <w:rPr>
      <w:rFonts w:ascii="Arial" w:hAnsi="Arial" w:eastAsia="Arial" w:cs="Arial"/>
      <w:sz w:val="30"/>
      <w:szCs w:val="30"/>
    </w:rPr>
  </w:style>
  <w:style w:type="character" w:styleId="824">
    <w:name w:val="Heading 4 Char"/>
    <w:basedOn w:val="975"/>
    <w:link w:val="969"/>
    <w:uiPriority w:val="9"/>
    <w:rPr>
      <w:rFonts w:ascii="Arial" w:hAnsi="Arial" w:eastAsia="Arial" w:cs="Arial"/>
      <w:b/>
      <w:bCs/>
      <w:sz w:val="26"/>
      <w:szCs w:val="26"/>
    </w:rPr>
  </w:style>
  <w:style w:type="character" w:styleId="825">
    <w:name w:val="Heading 5 Char"/>
    <w:basedOn w:val="975"/>
    <w:link w:val="970"/>
    <w:uiPriority w:val="9"/>
    <w:rPr>
      <w:rFonts w:ascii="Arial" w:hAnsi="Arial" w:eastAsia="Arial" w:cs="Arial"/>
      <w:b/>
      <w:bCs/>
      <w:sz w:val="24"/>
      <w:szCs w:val="24"/>
    </w:rPr>
  </w:style>
  <w:style w:type="character" w:styleId="826">
    <w:name w:val="Heading 6 Char"/>
    <w:basedOn w:val="975"/>
    <w:link w:val="971"/>
    <w:uiPriority w:val="9"/>
    <w:rPr>
      <w:rFonts w:ascii="Arial" w:hAnsi="Arial" w:eastAsia="Arial" w:cs="Arial"/>
      <w:b/>
      <w:bCs/>
      <w:sz w:val="22"/>
      <w:szCs w:val="22"/>
    </w:rPr>
  </w:style>
  <w:style w:type="character" w:styleId="827">
    <w:name w:val="Heading 7 Char"/>
    <w:basedOn w:val="975"/>
    <w:link w:val="972"/>
    <w:uiPriority w:val="9"/>
    <w:rPr>
      <w:rFonts w:ascii="Arial" w:hAnsi="Arial" w:eastAsia="Arial" w:cs="Arial"/>
      <w:b/>
      <w:bCs/>
      <w:i/>
      <w:iCs/>
      <w:sz w:val="22"/>
      <w:szCs w:val="22"/>
    </w:rPr>
  </w:style>
  <w:style w:type="character" w:styleId="828">
    <w:name w:val="Heading 8 Char"/>
    <w:basedOn w:val="975"/>
    <w:link w:val="973"/>
    <w:uiPriority w:val="9"/>
    <w:rPr>
      <w:rFonts w:ascii="Arial" w:hAnsi="Arial" w:eastAsia="Arial" w:cs="Arial"/>
      <w:i/>
      <w:iCs/>
      <w:sz w:val="22"/>
      <w:szCs w:val="22"/>
    </w:rPr>
  </w:style>
  <w:style w:type="character" w:styleId="829">
    <w:name w:val="Heading 9 Char"/>
    <w:basedOn w:val="975"/>
    <w:link w:val="974"/>
    <w:uiPriority w:val="9"/>
    <w:rPr>
      <w:rFonts w:ascii="Arial" w:hAnsi="Arial" w:eastAsia="Arial" w:cs="Arial"/>
      <w:i/>
      <w:iCs/>
      <w:sz w:val="21"/>
      <w:szCs w:val="21"/>
    </w:rPr>
  </w:style>
  <w:style w:type="character" w:styleId="830">
    <w:name w:val="Title Char"/>
    <w:basedOn w:val="975"/>
    <w:link w:val="1050"/>
    <w:uiPriority w:val="10"/>
    <w:rPr>
      <w:sz w:val="48"/>
      <w:szCs w:val="48"/>
    </w:rPr>
  </w:style>
  <w:style w:type="character" w:styleId="831">
    <w:name w:val="Subtitle Char"/>
    <w:basedOn w:val="975"/>
    <w:link w:val="1030"/>
    <w:uiPriority w:val="11"/>
    <w:rPr>
      <w:sz w:val="24"/>
      <w:szCs w:val="24"/>
    </w:rPr>
  </w:style>
  <w:style w:type="character" w:styleId="832">
    <w:name w:val="Quote Char"/>
    <w:link w:val="1099"/>
    <w:uiPriority w:val="29"/>
    <w:rPr>
      <w:i/>
    </w:rPr>
  </w:style>
  <w:style w:type="character" w:styleId="833">
    <w:name w:val="Intense Quote Char"/>
    <w:link w:val="1091"/>
    <w:uiPriority w:val="30"/>
    <w:rPr>
      <w:i/>
    </w:rPr>
  </w:style>
  <w:style w:type="character" w:styleId="834">
    <w:name w:val="Header Char"/>
    <w:basedOn w:val="975"/>
    <w:link w:val="1023"/>
    <w:uiPriority w:val="99"/>
  </w:style>
  <w:style w:type="character" w:styleId="835">
    <w:name w:val="Footer Char"/>
    <w:basedOn w:val="975"/>
    <w:link w:val="1021"/>
    <w:uiPriority w:val="99"/>
  </w:style>
  <w:style w:type="character" w:styleId="836">
    <w:name w:val="Caption Char"/>
    <w:basedOn w:val="989"/>
    <w:link w:val="1021"/>
    <w:uiPriority w:val="99"/>
  </w:style>
  <w:style w:type="table" w:styleId="837">
    <w:name w:val="Table Grid Light"/>
    <w:basedOn w:val="9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8">
    <w:name w:val="Plain Table 1"/>
    <w:basedOn w:val="9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name w:val="Plain Table 2"/>
    <w:basedOn w:val="9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name w:val="Plain Table 3"/>
    <w:basedOn w:val="9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name w:val="Plain Table 4"/>
    <w:basedOn w:val="9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name w:val="Plain Table 5"/>
    <w:basedOn w:val="9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3">
    <w:name w:val="Grid Table 1 Light"/>
    <w:basedOn w:val="9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4">
    <w:name w:val="Grid Table 1 Light - Accent 1"/>
    <w:basedOn w:val="9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5">
    <w:name w:val="Grid Table 1 Light - Accent 2"/>
    <w:basedOn w:val="9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6">
    <w:name w:val="Grid Table 1 Light - Accent 3"/>
    <w:basedOn w:val="9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7">
    <w:name w:val="Grid Table 1 Light - Accent 4"/>
    <w:basedOn w:val="9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8">
    <w:name w:val="Grid Table 1 Light - Accent 5"/>
    <w:basedOn w:val="9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9">
    <w:name w:val="Grid Table 1 Light - Accent 6"/>
    <w:basedOn w:val="9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0">
    <w:name w:val="Grid Table 2"/>
    <w:basedOn w:val="9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1">
    <w:name w:val="Grid Table 2 - Accent 1"/>
    <w:basedOn w:val="9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2">
    <w:name w:val="Grid Table 2 - Accent 2"/>
    <w:basedOn w:val="9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3">
    <w:name w:val="Grid Table 2 - Accent 3"/>
    <w:basedOn w:val="9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4">
    <w:name w:val="Grid Table 2 - Accent 4"/>
    <w:basedOn w:val="9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5">
    <w:name w:val="Grid Table 2 - Accent 5"/>
    <w:basedOn w:val="9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6">
    <w:name w:val="Grid Table 2 - Accent 6"/>
    <w:basedOn w:val="9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7">
    <w:name w:val="Grid Table 3"/>
    <w:basedOn w:val="9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1"/>
    <w:basedOn w:val="9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2"/>
    <w:basedOn w:val="9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3"/>
    <w:basedOn w:val="9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4"/>
    <w:basedOn w:val="9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5"/>
    <w:basedOn w:val="9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6"/>
    <w:basedOn w:val="9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4"/>
    <w:basedOn w:val="9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name w:val="Grid Table 4 - Accent 1"/>
    <w:basedOn w:val="97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6">
    <w:name w:val="Grid Table 4 - Accent 2"/>
    <w:basedOn w:val="97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7">
    <w:name w:val="Grid Table 4 - Accent 3"/>
    <w:basedOn w:val="97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8">
    <w:name w:val="Grid Table 4 - Accent 4"/>
    <w:basedOn w:val="97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9">
    <w:name w:val="Grid Table 4 - Accent 5"/>
    <w:basedOn w:val="97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0">
    <w:name w:val="Grid Table 4 - Accent 6"/>
    <w:basedOn w:val="97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1">
    <w:name w:val="Grid Table 5 Dark"/>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2">
    <w:name w:val="Grid Table 5 Dark- Accent 1"/>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73">
    <w:name w:val="Grid Table 5 Dark - Accent 2"/>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74">
    <w:name w:val="Grid Table 5 Dark - Accent 3"/>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75">
    <w:name w:val="Grid Table 5 Dark- Accent 4"/>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6">
    <w:name w:val="Grid Table 5 Dark - Accent 5"/>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77">
    <w:name w:val="Grid Table 5 Dark - Accent 6"/>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78">
    <w:name w:val="Grid Table 6 Colorful"/>
    <w:basedOn w:val="9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9">
    <w:name w:val="Grid Table 6 Colorful - Accent 1"/>
    <w:basedOn w:val="97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80">
    <w:name w:val="Grid Table 6 Colorful - Accent 2"/>
    <w:basedOn w:val="9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81">
    <w:name w:val="Grid Table 6 Colorful - Accent 3"/>
    <w:basedOn w:val="97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82">
    <w:name w:val="Grid Table 6 Colorful - Accent 4"/>
    <w:basedOn w:val="9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83">
    <w:name w:val="Grid Table 6 Colorful - Accent 5"/>
    <w:basedOn w:val="97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84">
    <w:name w:val="Grid Table 6 Colorful - Accent 6"/>
    <w:basedOn w:val="97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85">
    <w:name w:val="Grid Table 7 Colorful"/>
    <w:basedOn w:val="9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6">
    <w:name w:val="Grid Table 7 Colorful - Accent 1"/>
    <w:basedOn w:val="97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7">
    <w:name w:val="Grid Table 7 Colorful - Accent 2"/>
    <w:basedOn w:val="97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8">
    <w:name w:val="Grid Table 7 Colorful - Accent 3"/>
    <w:basedOn w:val="97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9">
    <w:name w:val="Grid Table 7 Colorful - Accent 4"/>
    <w:basedOn w:val="97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0">
    <w:name w:val="Grid Table 7 Colorful - Accent 5"/>
    <w:basedOn w:val="97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1">
    <w:name w:val="Grid Table 7 Colorful - Accent 6"/>
    <w:basedOn w:val="97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2">
    <w:name w:val="List Table 1 Light"/>
    <w:basedOn w:val="9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name w:val="List Table 1 Light - Accent 1"/>
    <w:basedOn w:val="97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4">
    <w:name w:val="List Table 1 Light - Accent 2"/>
    <w:basedOn w:val="97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5">
    <w:name w:val="List Table 1 Light - Accent 3"/>
    <w:basedOn w:val="97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6">
    <w:name w:val="List Table 1 Light - Accent 4"/>
    <w:basedOn w:val="97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7">
    <w:name w:val="List Table 1 Light - Accent 5"/>
    <w:basedOn w:val="97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8">
    <w:name w:val="List Table 1 Light - Accent 6"/>
    <w:basedOn w:val="97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9">
    <w:name w:val="List Table 2"/>
    <w:basedOn w:val="9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0">
    <w:name w:val="List Table 2 - Accent 1"/>
    <w:basedOn w:val="97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1">
    <w:name w:val="List Table 2 - Accent 2"/>
    <w:basedOn w:val="97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2">
    <w:name w:val="List Table 2 - Accent 3"/>
    <w:basedOn w:val="97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3">
    <w:name w:val="List Table 2 - Accent 4"/>
    <w:basedOn w:val="97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4">
    <w:name w:val="List Table 2 - Accent 5"/>
    <w:basedOn w:val="97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5">
    <w:name w:val="List Table 2 - Accent 6"/>
    <w:basedOn w:val="97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6">
    <w:name w:val="List Table 3"/>
    <w:basedOn w:val="9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7">
    <w:name w:val="List Table 3 - Accent 1"/>
    <w:basedOn w:val="97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08">
    <w:name w:val="List Table 3 - Accent 2"/>
    <w:basedOn w:val="9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09">
    <w:name w:val="List Table 3 - Accent 3"/>
    <w:basedOn w:val="97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10">
    <w:name w:val="List Table 3 - Accent 4"/>
    <w:basedOn w:val="9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11">
    <w:name w:val="List Table 3 - Accent 5"/>
    <w:basedOn w:val="97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12">
    <w:name w:val="List Table 3 - Accent 6"/>
    <w:basedOn w:val="97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13">
    <w:name w:val="List Table 4"/>
    <w:basedOn w:val="9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4">
    <w:name w:val="List Table 4 - Accent 1"/>
    <w:basedOn w:val="97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15">
    <w:name w:val="List Table 4 - Accent 2"/>
    <w:basedOn w:val="97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16">
    <w:name w:val="List Table 4 - Accent 3"/>
    <w:basedOn w:val="97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17">
    <w:name w:val="List Table 4 - Accent 4"/>
    <w:basedOn w:val="97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18">
    <w:name w:val="List Table 4 - Accent 5"/>
    <w:basedOn w:val="97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19">
    <w:name w:val="List Table 4 - Accent 6"/>
    <w:basedOn w:val="97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20">
    <w:name w:val="List Table 5 Dark"/>
    <w:basedOn w:val="9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1"/>
    <w:basedOn w:val="97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2"/>
    <w:basedOn w:val="97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3"/>
    <w:basedOn w:val="97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4"/>
    <w:basedOn w:val="97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5"/>
    <w:basedOn w:val="97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6"/>
    <w:basedOn w:val="97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6 Colorful"/>
    <w:basedOn w:val="9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8">
    <w:name w:val="List Table 6 Colorful - Accent 1"/>
    <w:basedOn w:val="97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29">
    <w:name w:val="List Table 6 Colorful - Accent 2"/>
    <w:basedOn w:val="97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30">
    <w:name w:val="List Table 6 Colorful - Accent 3"/>
    <w:basedOn w:val="97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31">
    <w:name w:val="List Table 6 Colorful - Accent 4"/>
    <w:basedOn w:val="97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32">
    <w:name w:val="List Table 6 Colorful - Accent 5"/>
    <w:basedOn w:val="97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33">
    <w:name w:val="List Table 6 Colorful - Accent 6"/>
    <w:basedOn w:val="97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34">
    <w:name w:val="List Table 7 Colorful"/>
    <w:basedOn w:val="9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5">
    <w:name w:val="List Table 7 Colorful - Accent 1"/>
    <w:basedOn w:val="97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36">
    <w:name w:val="List Table 7 Colorful - Accent 2"/>
    <w:basedOn w:val="97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37">
    <w:name w:val="List Table 7 Colorful - Accent 3"/>
    <w:basedOn w:val="97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38">
    <w:name w:val="List Table 7 Colorful - Accent 4"/>
    <w:basedOn w:val="97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39">
    <w:name w:val="List Table 7 Colorful - Accent 5"/>
    <w:basedOn w:val="97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40">
    <w:name w:val="List Table 7 Colorful - Accent 6"/>
    <w:basedOn w:val="97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41">
    <w:name w:val="Lined - Accent"/>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2">
    <w:name w:val="Lined - Accent 1"/>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43">
    <w:name w:val="Lined - Accent 2"/>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44">
    <w:name w:val="Lined - Accent 3"/>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45">
    <w:name w:val="Lined - Accent 4"/>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46">
    <w:name w:val="Lined - Accent 5"/>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47">
    <w:name w:val="Lined - Accent 6"/>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48">
    <w:name w:val="Bordered &amp; Lined - Accent"/>
    <w:basedOn w:val="97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9">
    <w:name w:val="Bordered &amp; Lined - Accent 1"/>
    <w:basedOn w:val="97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50">
    <w:name w:val="Bordered &amp; Lined - Accent 2"/>
    <w:basedOn w:val="97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51">
    <w:name w:val="Bordered &amp; Lined - Accent 3"/>
    <w:basedOn w:val="97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52">
    <w:name w:val="Bordered &amp; Lined - Accent 4"/>
    <w:basedOn w:val="97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53">
    <w:name w:val="Bordered &amp; Lined - Accent 5"/>
    <w:basedOn w:val="97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54">
    <w:name w:val="Bordered &amp; Lined - Accent 6"/>
    <w:basedOn w:val="97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55">
    <w:name w:val="Bordered"/>
    <w:basedOn w:val="97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6">
    <w:name w:val="Bordered - Accent 1"/>
    <w:basedOn w:val="9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7">
    <w:name w:val="Bordered - Accent 2"/>
    <w:basedOn w:val="9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8">
    <w:name w:val="Bordered - Accent 3"/>
    <w:basedOn w:val="9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9">
    <w:name w:val="Bordered - Accent 4"/>
    <w:basedOn w:val="9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0">
    <w:name w:val="Bordered - Accent 5"/>
    <w:basedOn w:val="9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1">
    <w:name w:val="Bordered - Accent 6"/>
    <w:basedOn w:val="9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2">
    <w:name w:val="Footnote Text Char"/>
    <w:link w:val="1033"/>
    <w:uiPriority w:val="99"/>
    <w:rPr>
      <w:sz w:val="18"/>
    </w:rPr>
  </w:style>
  <w:style w:type="character" w:styleId="963">
    <w:name w:val="Endnote Text Char"/>
    <w:link w:val="1018"/>
    <w:uiPriority w:val="99"/>
    <w:rPr>
      <w:sz w:val="20"/>
    </w:rPr>
  </w:style>
  <w:style w:type="paragraph" w:styleId="964">
    <w:name w:val="TOC Heading"/>
    <w:uiPriority w:val="39"/>
    <w:unhideWhenUsed/>
  </w:style>
  <w:style w:type="paragraph" w:styleId="965" w:default="1">
    <w:name w:val="Normal"/>
    <w:next w:val="977"/>
    <w:uiPriority w:val="0"/>
    <w:qFormat/>
    <w:pPr>
      <w:ind w:firstLine="440"/>
      <w:jc w:val="both"/>
      <w:spacing w:line="288" w:lineRule="auto"/>
      <w:widowControl w:val="off"/>
    </w:pPr>
    <w:rPr>
      <w:rFonts w:ascii="MiSans" w:hAnsi="MiSans" w:eastAsia="MiSans" w:cstheme="minorBidi"/>
      <w:sz w:val="22"/>
      <w:szCs w:val="22"/>
      <w:lang w:val="en-US" w:eastAsia="zh-CN" w:bidi="ar-SA"/>
    </w:rPr>
  </w:style>
  <w:style w:type="paragraph" w:styleId="966">
    <w:name w:val="Heading 1"/>
    <w:basedOn w:val="965"/>
    <w:next w:val="965"/>
    <w:link w:val="1129"/>
    <w:uiPriority w:val="9"/>
    <w:qFormat/>
    <w:pPr>
      <w:numPr>
        <w:ilvl w:val="0"/>
        <w:numId w:val="1"/>
      </w:numPr>
      <w:ind w:firstLine="0"/>
      <w:jc w:val="left"/>
      <w:keepLines/>
      <w:keepNext/>
      <w:spacing w:line="360" w:lineRule="auto"/>
      <w:outlineLvl w:val="0"/>
    </w:pPr>
    <w:rPr>
      <w:rFonts w:eastAsia="宋体"/>
      <w:b/>
      <w:bCs/>
      <w:sz w:val="21"/>
      <w:szCs w:val="36"/>
    </w:rPr>
  </w:style>
  <w:style w:type="paragraph" w:styleId="967">
    <w:name w:val="Heading 2"/>
    <w:basedOn w:val="965"/>
    <w:next w:val="965"/>
    <w:uiPriority w:val="9"/>
    <w:unhideWhenUsed/>
    <w:qFormat/>
    <w:pPr>
      <w:numPr>
        <w:ilvl w:val="1"/>
        <w:numId w:val="1"/>
      </w:numPr>
      <w:ind w:left="0" w:firstLine="422"/>
      <w:spacing w:line="360" w:lineRule="auto"/>
      <w:outlineLvl w:val="1"/>
    </w:pPr>
    <w:rPr>
      <w:rFonts w:ascii="Times New Roman" w:hAnsi="Times New Roman" w:eastAsia="宋体"/>
      <w:b/>
      <w:bCs/>
      <w:sz w:val="21"/>
      <w:szCs w:val="32"/>
    </w:rPr>
  </w:style>
  <w:style w:type="paragraph" w:styleId="968">
    <w:name w:val="Heading 3"/>
    <w:basedOn w:val="965"/>
    <w:next w:val="965"/>
    <w:uiPriority w:val="9"/>
    <w:unhideWhenUsed/>
    <w:qFormat/>
    <w:pPr>
      <w:numPr>
        <w:ilvl w:val="2"/>
        <w:numId w:val="1"/>
      </w:numPr>
      <w:ind w:left="0" w:firstLine="422"/>
      <w:spacing w:line="360" w:lineRule="auto"/>
      <w:tabs>
        <w:tab w:val="left" w:pos="312" w:leader="none"/>
      </w:tabs>
      <w:outlineLvl w:val="2"/>
    </w:pPr>
    <w:rPr>
      <w:rFonts w:ascii="宋体" w:hAnsi="宋体" w:eastAsia="宋体" w:cs="宋体"/>
      <w:b/>
      <w:bCs/>
      <w:sz w:val="21"/>
      <w:szCs w:val="21"/>
    </w:rPr>
  </w:style>
  <w:style w:type="paragraph" w:styleId="969">
    <w:name w:val="Heading 4"/>
    <w:basedOn w:val="965"/>
    <w:next w:val="965"/>
    <w:uiPriority w:val="9"/>
    <w:unhideWhenUsed/>
    <w:qFormat/>
    <w:pPr>
      <w:numPr>
        <w:ilvl w:val="3"/>
        <w:numId w:val="1"/>
      </w:numPr>
      <w:ind w:left="0" w:firstLine="422"/>
      <w:spacing w:line="360" w:lineRule="auto"/>
      <w:tabs>
        <w:tab w:val="left" w:pos="312" w:leader="none"/>
      </w:tabs>
      <w:outlineLvl w:val="3"/>
    </w:pPr>
    <w:rPr>
      <w:rFonts w:eastAsia="宋体"/>
      <w:b/>
      <w:sz w:val="21"/>
      <w:szCs w:val="28"/>
    </w:rPr>
  </w:style>
  <w:style w:type="paragraph" w:styleId="970">
    <w:name w:val="Heading 5"/>
    <w:basedOn w:val="965"/>
    <w:next w:val="965"/>
    <w:uiPriority w:val="9"/>
    <w:unhideWhenUsed/>
    <w:qFormat/>
    <w:pPr>
      <w:numPr>
        <w:ilvl w:val="4"/>
        <w:numId w:val="1"/>
      </w:numPr>
      <w:ind w:left="0" w:firstLine="422"/>
      <w:spacing w:line="360" w:lineRule="auto"/>
      <w:outlineLvl w:val="4"/>
    </w:pPr>
    <w:rPr>
      <w:rFonts w:ascii="宋体" w:hAnsi="宋体" w:eastAsia="宋体" w:cs="宋体"/>
      <w:b/>
      <w:bCs/>
      <w:sz w:val="21"/>
      <w:szCs w:val="21"/>
    </w:rPr>
  </w:style>
  <w:style w:type="paragraph" w:styleId="971">
    <w:name w:val="Heading 6"/>
    <w:basedOn w:val="965"/>
    <w:next w:val="965"/>
    <w:uiPriority w:val="0"/>
    <w:unhideWhenUsed/>
    <w:qFormat/>
    <w:pPr>
      <w:numPr>
        <w:ilvl w:val="5"/>
        <w:numId w:val="1"/>
      </w:numPr>
      <w:ind w:left="0" w:firstLine="422"/>
      <w:spacing w:line="360" w:lineRule="auto"/>
      <w:outlineLvl w:val="5"/>
    </w:pPr>
    <w:rPr>
      <w:rFonts w:ascii="宋体" w:hAnsi="宋体" w:eastAsia="宋体" w:cs="宋体"/>
      <w:b/>
      <w:bCs/>
      <w:color w:val="333333"/>
      <w:sz w:val="21"/>
      <w:szCs w:val="21"/>
    </w:rPr>
  </w:style>
  <w:style w:type="paragraph" w:styleId="972">
    <w:name w:val="Heading 7"/>
    <w:next w:val="965"/>
    <w:uiPriority w:val="0"/>
    <w:unhideWhenUsed/>
    <w:qFormat/>
    <w:pPr>
      <w:numPr>
        <w:ilvl w:val="6"/>
        <w:numId w:val="1"/>
      </w:numPr>
      <w:spacing w:before="50" w:line="264" w:lineRule="auto"/>
      <w:outlineLvl w:val="6"/>
    </w:pPr>
    <w:rPr>
      <w:rFonts w:ascii="MiSans" w:hAnsi="MiSans" w:eastAsia="MiSans" w:cstheme="minorBidi"/>
      <w:b/>
      <w:bCs/>
      <w:color w:val="333333"/>
      <w:sz w:val="22"/>
      <w:szCs w:val="22"/>
      <w:lang w:val="en-US" w:eastAsia="zh-CN" w:bidi="ar-SA"/>
    </w:rPr>
  </w:style>
  <w:style w:type="paragraph" w:styleId="973">
    <w:name w:val="Heading 8"/>
    <w:next w:val="965"/>
    <w:uiPriority w:val="0"/>
    <w:unhideWhenUsed/>
    <w:qFormat/>
    <w:pPr>
      <w:numPr>
        <w:ilvl w:val="7"/>
        <w:numId w:val="1"/>
      </w:numPr>
      <w:spacing w:before="50" w:line="264" w:lineRule="auto"/>
      <w:outlineLvl w:val="7"/>
    </w:pPr>
    <w:rPr>
      <w:rFonts w:ascii="MiSans" w:hAnsi="MiSans" w:eastAsia="MiSans" w:cstheme="majorBidi"/>
      <w:b/>
      <w:bCs/>
      <w:color w:val="333333"/>
      <w:sz w:val="22"/>
      <w:szCs w:val="22"/>
      <w:lang w:val="en-US" w:eastAsia="zh-CN" w:bidi="ar-SA"/>
    </w:rPr>
  </w:style>
  <w:style w:type="paragraph" w:styleId="974">
    <w:name w:val="Heading 9"/>
    <w:next w:val="965"/>
    <w:uiPriority w:val="0"/>
    <w:unhideWhenUsed/>
    <w:qFormat/>
    <w:pPr>
      <w:numPr>
        <w:ilvl w:val="8"/>
        <w:numId w:val="1"/>
      </w:numPr>
      <w:spacing w:before="50" w:line="264" w:lineRule="auto"/>
      <w:outlineLvl w:val="8"/>
    </w:pPr>
    <w:rPr>
      <w:rFonts w:ascii="MiSans" w:hAnsi="MiSans" w:eastAsia="MiSans" w:cstheme="majorBidi"/>
      <w:b/>
      <w:bCs/>
      <w:color w:val="333333"/>
      <w:sz w:val="22"/>
      <w:szCs w:val="22"/>
      <w:lang w:val="en-US" w:eastAsia="zh-CN" w:bidi="ar-SA"/>
    </w:rPr>
  </w:style>
  <w:style w:type="character" w:styleId="975" w:default="1">
    <w:name w:val="Default Paragraph Font"/>
    <w:uiPriority w:val="1"/>
    <w:semiHidden/>
    <w:unhideWhenUsed/>
    <w:qFormat/>
  </w:style>
  <w:style w:type="table" w:styleId="976" w:default="1">
    <w:name w:val="Normal Table"/>
    <w:uiPriority w:val="99"/>
    <w:semiHidden/>
    <w:unhideWhenUsed/>
    <w:qFormat/>
    <w:tblPr>
      <w:tblCellMar>
        <w:left w:w="108" w:type="dxa"/>
        <w:top w:w="0" w:type="dxa"/>
        <w:right w:w="108" w:type="dxa"/>
        <w:bottom w:w="0" w:type="dxa"/>
      </w:tblCellMar>
    </w:tblPr>
  </w:style>
  <w:style w:type="paragraph" w:styleId="977">
    <w:name w:val="Body Text"/>
    <w:basedOn w:val="965"/>
    <w:next w:val="965"/>
    <w:link w:val="1103"/>
    <w:uiPriority w:val="0"/>
    <w:qFormat/>
    <w:pPr>
      <w:spacing w:before="50" w:after="50"/>
    </w:pPr>
  </w:style>
  <w:style w:type="paragraph" w:styleId="978">
    <w:name w:val="macro"/>
    <w:link w:val="1088"/>
    <w:uiPriority w:val="0"/>
    <w:qFormat/>
    <w:pPr>
      <w:ind w:firstLine="440"/>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979">
    <w:name w:val="List 3"/>
    <w:basedOn w:val="965"/>
    <w:uiPriority w:val="0"/>
    <w:qFormat/>
    <w:pPr>
      <w:contextualSpacing/>
      <w:ind w:left="100" w:hanging="200"/>
    </w:pPr>
  </w:style>
  <w:style w:type="paragraph" w:styleId="980">
    <w:name w:val="toc 7"/>
    <w:basedOn w:val="965"/>
    <w:next w:val="965"/>
    <w:uiPriority w:val="0"/>
    <w:qFormat/>
    <w:pPr>
      <w:ind w:left="2520"/>
    </w:pPr>
  </w:style>
  <w:style w:type="paragraph" w:styleId="981">
    <w:name w:val="List Number 2"/>
    <w:basedOn w:val="965"/>
    <w:uiPriority w:val="0"/>
    <w:qFormat/>
    <w:pPr>
      <w:numPr>
        <w:ilvl w:val="0"/>
        <w:numId w:val="2"/>
      </w:numPr>
      <w:ind w:left="437" w:hanging="437"/>
      <w:spacing w:before="50" w:after="50"/>
      <w:tabs>
        <w:tab w:val="left" w:pos="-420" w:leader="none"/>
        <w:tab w:val="left" w:pos="419" w:leader="none"/>
      </w:tabs>
    </w:pPr>
    <w:rPr>
      <w:color w:val="292929"/>
    </w:rPr>
  </w:style>
  <w:style w:type="paragraph" w:styleId="982">
    <w:name w:val="table of authorities"/>
    <w:basedOn w:val="965"/>
    <w:next w:val="965"/>
    <w:uiPriority w:val="0"/>
    <w:qFormat/>
    <w:pPr>
      <w:ind w:left="420" w:firstLine="0"/>
    </w:pPr>
  </w:style>
  <w:style w:type="paragraph" w:styleId="983">
    <w:name w:val="Note Heading"/>
    <w:basedOn w:val="965"/>
    <w:next w:val="965"/>
    <w:link w:val="1109"/>
    <w:uiPriority w:val="0"/>
    <w:qFormat/>
    <w:pPr>
      <w:jc w:val="center"/>
    </w:pPr>
  </w:style>
  <w:style w:type="paragraph" w:styleId="984">
    <w:name w:val="List Bullet 4"/>
    <w:basedOn w:val="965"/>
    <w:uiPriority w:val="0"/>
    <w:qFormat/>
    <w:pPr>
      <w:numPr>
        <w:ilvl w:val="0"/>
        <w:numId w:val="3"/>
      </w:numPr>
      <w:ind w:left="1701" w:hanging="340"/>
      <w:spacing w:before="50" w:after="50"/>
    </w:pPr>
  </w:style>
  <w:style w:type="paragraph" w:styleId="985">
    <w:name w:val="index 8"/>
    <w:basedOn w:val="965"/>
    <w:next w:val="965"/>
    <w:uiPriority w:val="0"/>
    <w:qFormat/>
    <w:pPr>
      <w:ind w:left="1400" w:firstLine="0"/>
    </w:pPr>
  </w:style>
  <w:style w:type="paragraph" w:styleId="986">
    <w:name w:val="E-mail Signature"/>
    <w:basedOn w:val="965"/>
    <w:link w:val="1087"/>
    <w:uiPriority w:val="0"/>
    <w:qFormat/>
  </w:style>
  <w:style w:type="paragraph" w:styleId="987">
    <w:name w:val="List Number"/>
    <w:basedOn w:val="965"/>
    <w:uiPriority w:val="0"/>
    <w:qFormat/>
    <w:pPr>
      <w:numPr>
        <w:ilvl w:val="0"/>
        <w:numId w:val="4"/>
      </w:numPr>
      <w:ind w:left="340" w:hanging="340"/>
    </w:pPr>
  </w:style>
  <w:style w:type="paragraph" w:styleId="988">
    <w:name w:val="Normal Indent"/>
    <w:basedOn w:val="965"/>
    <w:uiPriority w:val="0"/>
    <w:qFormat/>
    <w:pPr>
      <w:ind w:firstLine="420"/>
    </w:pPr>
  </w:style>
  <w:style w:type="paragraph" w:styleId="989">
    <w:name w:val="Caption"/>
    <w:basedOn w:val="965"/>
    <w:next w:val="965"/>
    <w:uiPriority w:val="0"/>
    <w:unhideWhenUsed/>
    <w:qFormat/>
    <w:pPr>
      <w:ind w:firstLine="0"/>
      <w:spacing w:before="50" w:after="50"/>
    </w:pPr>
    <w:rPr>
      <w:sz w:val="20"/>
      <w:szCs w:val="20"/>
    </w:rPr>
  </w:style>
  <w:style w:type="paragraph" w:styleId="990">
    <w:name w:val="index 5"/>
    <w:basedOn w:val="965"/>
    <w:next w:val="965"/>
    <w:uiPriority w:val="0"/>
    <w:qFormat/>
    <w:pPr>
      <w:ind w:left="800" w:firstLine="0"/>
    </w:pPr>
  </w:style>
  <w:style w:type="paragraph" w:styleId="991">
    <w:name w:val="List Bullet"/>
    <w:basedOn w:val="965"/>
    <w:uiPriority w:val="0"/>
    <w:qFormat/>
    <w:pPr>
      <w:numPr>
        <w:ilvl w:val="0"/>
        <w:numId w:val="5"/>
      </w:numPr>
      <w:ind w:left="454" w:hanging="454"/>
      <w:spacing w:before="50" w:after="50"/>
    </w:pPr>
  </w:style>
  <w:style w:type="paragraph" w:styleId="992">
    <w:name w:val="envelope address"/>
    <w:basedOn w:val="965"/>
    <w:uiPriority w:val="0"/>
    <w:qFormat/>
    <w:pPr>
      <w:ind w:left="100"/>
      <w:framePr w:w="7920" w:h="1980" w:hSpace="180" w:wrap="auto" w:vAnchor="margin" w:hAnchor="page" w:xAlign="center" w:yAlign="bottom" w:hRule="exact"/>
    </w:pPr>
    <w:rPr>
      <w:rFonts w:asciiTheme="majorHAnsi" w:hAnsiTheme="majorHAnsi" w:eastAsiaTheme="majorEastAsia" w:cstheme="majorBidi"/>
      <w:sz w:val="24"/>
      <w:szCs w:val="24"/>
    </w:rPr>
  </w:style>
  <w:style w:type="paragraph" w:styleId="993">
    <w:name w:val="Document Map"/>
    <w:basedOn w:val="965"/>
    <w:next w:val="977"/>
    <w:link w:val="1096"/>
    <w:uiPriority w:val="0"/>
    <w:qFormat/>
    <w:rPr>
      <w:rFonts w:ascii="Microsoft YaHei UI" w:eastAsia="Microsoft YaHei UI"/>
      <w:sz w:val="18"/>
      <w:szCs w:val="18"/>
    </w:rPr>
  </w:style>
  <w:style w:type="paragraph" w:styleId="994">
    <w:name w:val="toa heading"/>
    <w:basedOn w:val="965"/>
    <w:next w:val="965"/>
    <w:uiPriority w:val="0"/>
    <w:qFormat/>
    <w:pPr>
      <w:spacing w:before="120"/>
    </w:pPr>
    <w:rPr>
      <w:rFonts w:asciiTheme="majorHAnsi" w:hAnsiTheme="majorHAnsi" w:eastAsiaTheme="majorEastAsia" w:cstheme="majorBidi"/>
      <w:sz w:val="24"/>
      <w:szCs w:val="24"/>
    </w:rPr>
  </w:style>
  <w:style w:type="paragraph" w:styleId="995">
    <w:name w:val="annotation text"/>
    <w:basedOn w:val="965"/>
    <w:uiPriority w:val="0"/>
    <w:qFormat/>
    <w:pPr>
      <w:ind w:firstLine="0"/>
      <w:jc w:val="left"/>
      <w:spacing w:before="50" w:after="50"/>
    </w:pPr>
  </w:style>
  <w:style w:type="paragraph" w:styleId="996">
    <w:name w:val="index 6"/>
    <w:basedOn w:val="965"/>
    <w:next w:val="965"/>
    <w:uiPriority w:val="0"/>
    <w:qFormat/>
    <w:pPr>
      <w:ind w:left="1000" w:firstLine="0"/>
    </w:pPr>
  </w:style>
  <w:style w:type="paragraph" w:styleId="997">
    <w:name w:val="Salutation"/>
    <w:basedOn w:val="965"/>
    <w:next w:val="965"/>
    <w:link w:val="1085"/>
    <w:uiPriority w:val="0"/>
    <w:qFormat/>
  </w:style>
  <w:style w:type="paragraph" w:styleId="998">
    <w:name w:val="Body Text 3"/>
    <w:basedOn w:val="965"/>
    <w:link w:val="1102"/>
    <w:uiPriority w:val="0"/>
    <w:qFormat/>
    <w:pPr>
      <w:spacing w:after="120"/>
    </w:pPr>
    <w:rPr>
      <w:sz w:val="16"/>
      <w:szCs w:val="16"/>
    </w:rPr>
  </w:style>
  <w:style w:type="paragraph" w:styleId="999">
    <w:name w:val="Closing"/>
    <w:basedOn w:val="965"/>
    <w:link w:val="1089"/>
    <w:uiPriority w:val="0"/>
    <w:qFormat/>
    <w:pPr>
      <w:ind w:left="100"/>
    </w:pPr>
  </w:style>
  <w:style w:type="paragraph" w:styleId="1000">
    <w:name w:val="List Bullet 3"/>
    <w:basedOn w:val="965"/>
    <w:uiPriority w:val="0"/>
    <w:qFormat/>
    <w:pPr>
      <w:numPr>
        <w:ilvl w:val="0"/>
        <w:numId w:val="6"/>
      </w:numPr>
      <w:ind w:left="1304" w:hanging="340"/>
      <w:spacing w:before="50" w:after="50"/>
    </w:pPr>
  </w:style>
  <w:style w:type="paragraph" w:styleId="1001">
    <w:name w:val="Body Text Indent"/>
    <w:basedOn w:val="965"/>
    <w:next w:val="965"/>
    <w:link w:val="1105"/>
    <w:uiPriority w:val="0"/>
    <w:qFormat/>
    <w:pPr>
      <w:ind w:left="420"/>
      <w:spacing w:after="120"/>
    </w:pPr>
  </w:style>
  <w:style w:type="paragraph" w:styleId="1002">
    <w:name w:val="List Number 3"/>
    <w:basedOn w:val="965"/>
    <w:uiPriority w:val="0"/>
    <w:qFormat/>
    <w:pPr>
      <w:numPr>
        <w:ilvl w:val="0"/>
        <w:numId w:val="7"/>
      </w:numPr>
      <w:ind w:left="380" w:hanging="266"/>
      <w:spacing w:before="50" w:after="50"/>
      <w:tabs>
        <w:tab w:val="left" w:pos="-420" w:leader="none"/>
        <w:tab w:val="clear" w:pos="0" w:leader="none"/>
      </w:tabs>
    </w:pPr>
    <w:rPr>
      <w:color w:val="292929"/>
    </w:rPr>
  </w:style>
  <w:style w:type="paragraph" w:styleId="1003">
    <w:name w:val="List 2"/>
    <w:basedOn w:val="965"/>
    <w:uiPriority w:val="0"/>
    <w:qFormat/>
    <w:pPr>
      <w:contextualSpacing/>
      <w:ind w:left="100" w:hanging="200"/>
    </w:pPr>
  </w:style>
  <w:style w:type="paragraph" w:styleId="1004">
    <w:name w:val="List Continue"/>
    <w:basedOn w:val="965"/>
    <w:uiPriority w:val="0"/>
    <w:qFormat/>
    <w:pPr>
      <w:contextualSpacing/>
      <w:ind w:left="420"/>
      <w:spacing w:after="120"/>
    </w:pPr>
  </w:style>
  <w:style w:type="paragraph" w:styleId="1005">
    <w:name w:val="Block Text"/>
    <w:basedOn w:val="965"/>
    <w:uiPriority w:val="0"/>
    <w:qFormat/>
    <w:pPr>
      <w:ind w:left="1440" w:right="1440"/>
      <w:spacing w:after="120"/>
    </w:pPr>
  </w:style>
  <w:style w:type="paragraph" w:styleId="1006">
    <w:name w:val="List Bullet 2"/>
    <w:basedOn w:val="965"/>
    <w:uiPriority w:val="0"/>
    <w:qFormat/>
    <w:pPr>
      <w:numPr>
        <w:ilvl w:val="0"/>
        <w:numId w:val="8"/>
      </w:numPr>
      <w:ind w:left="454" w:firstLine="0"/>
      <w:spacing w:before="50" w:after="50"/>
    </w:pPr>
  </w:style>
  <w:style w:type="paragraph" w:styleId="1007">
    <w:name w:val="HTML Address"/>
    <w:basedOn w:val="965"/>
    <w:link w:val="1082"/>
    <w:uiPriority w:val="0"/>
    <w:qFormat/>
    <w:rPr>
      <w:i/>
      <w:iCs/>
    </w:rPr>
  </w:style>
  <w:style w:type="paragraph" w:styleId="1008">
    <w:name w:val="index 4"/>
    <w:basedOn w:val="965"/>
    <w:next w:val="965"/>
    <w:uiPriority w:val="0"/>
    <w:qFormat/>
    <w:pPr>
      <w:ind w:left="600" w:firstLine="0"/>
    </w:pPr>
  </w:style>
  <w:style w:type="paragraph" w:styleId="1009">
    <w:name w:val="toc 5"/>
    <w:basedOn w:val="965"/>
    <w:next w:val="965"/>
    <w:uiPriority w:val="0"/>
    <w:qFormat/>
    <w:pPr>
      <w:ind w:firstLine="0"/>
      <w:spacing w:before="50" w:after="50"/>
    </w:pPr>
  </w:style>
  <w:style w:type="paragraph" w:styleId="1010">
    <w:name w:val="toc 3"/>
    <w:basedOn w:val="965"/>
    <w:next w:val="965"/>
    <w:uiPriority w:val="0"/>
    <w:qFormat/>
    <w:pPr>
      <w:ind w:firstLine="0"/>
      <w:spacing w:before="50" w:after="50"/>
    </w:pPr>
  </w:style>
  <w:style w:type="paragraph" w:styleId="1011">
    <w:name w:val="Plain Text"/>
    <w:basedOn w:val="965"/>
    <w:link w:val="1086"/>
    <w:uiPriority w:val="0"/>
    <w:qFormat/>
    <w:rPr>
      <w:rFonts w:hAnsi="Courier New" w:cs="Courier New" w:asciiTheme="minorEastAsia" w:eastAsiaTheme="minorEastAsia"/>
    </w:rPr>
  </w:style>
  <w:style w:type="paragraph" w:styleId="1012">
    <w:name w:val="List Bullet 5"/>
    <w:basedOn w:val="965"/>
    <w:uiPriority w:val="0"/>
    <w:qFormat/>
    <w:pPr>
      <w:numPr>
        <w:ilvl w:val="0"/>
        <w:numId w:val="9"/>
      </w:numPr>
      <w:ind w:left="2098" w:hanging="340"/>
      <w:spacing w:before="50" w:after="50"/>
    </w:pPr>
  </w:style>
  <w:style w:type="paragraph" w:styleId="1013">
    <w:name w:val="List Number 4"/>
    <w:basedOn w:val="965"/>
    <w:uiPriority w:val="0"/>
    <w:qFormat/>
    <w:pPr>
      <w:numPr>
        <w:ilvl w:val="0"/>
        <w:numId w:val="10"/>
      </w:numPr>
      <w:ind w:firstLine="0"/>
      <w:spacing w:before="50" w:after="50"/>
    </w:pPr>
    <w:rPr>
      <w:color w:val="292929"/>
    </w:rPr>
  </w:style>
  <w:style w:type="paragraph" w:styleId="1014">
    <w:name w:val="toc 8"/>
    <w:basedOn w:val="965"/>
    <w:next w:val="965"/>
    <w:uiPriority w:val="0"/>
    <w:qFormat/>
    <w:pPr>
      <w:ind w:left="2940"/>
    </w:pPr>
  </w:style>
  <w:style w:type="paragraph" w:styleId="1015">
    <w:name w:val="index 3"/>
    <w:basedOn w:val="965"/>
    <w:next w:val="965"/>
    <w:uiPriority w:val="0"/>
    <w:qFormat/>
    <w:pPr>
      <w:ind w:left="400" w:firstLine="0"/>
    </w:pPr>
  </w:style>
  <w:style w:type="paragraph" w:styleId="1016">
    <w:name w:val="Date"/>
    <w:basedOn w:val="965"/>
    <w:next w:val="965"/>
    <w:link w:val="1094"/>
    <w:uiPriority w:val="0"/>
    <w:qFormat/>
    <w:pPr>
      <w:ind w:left="100"/>
    </w:pPr>
  </w:style>
  <w:style w:type="paragraph" w:styleId="1017">
    <w:name w:val="Body Text Indent 2"/>
    <w:basedOn w:val="965"/>
    <w:link w:val="1107"/>
    <w:uiPriority w:val="0"/>
    <w:qFormat/>
    <w:pPr>
      <w:ind w:left="420"/>
      <w:spacing w:after="120" w:line="480" w:lineRule="auto"/>
    </w:pPr>
  </w:style>
  <w:style w:type="paragraph" w:styleId="1018">
    <w:name w:val="endnote text"/>
    <w:basedOn w:val="965"/>
    <w:uiPriority w:val="0"/>
    <w:qFormat/>
    <w:pPr>
      <w:ind w:firstLine="0"/>
      <w:jc w:val="left"/>
      <w:spacing w:before="50" w:after="50"/>
    </w:pPr>
  </w:style>
  <w:style w:type="paragraph" w:styleId="1019">
    <w:name w:val="List Continue 5"/>
    <w:basedOn w:val="965"/>
    <w:uiPriority w:val="0"/>
    <w:qFormat/>
    <w:pPr>
      <w:contextualSpacing/>
      <w:ind w:left="2100"/>
      <w:spacing w:after="120"/>
    </w:pPr>
  </w:style>
  <w:style w:type="paragraph" w:styleId="1020">
    <w:name w:val="Balloon Text"/>
    <w:basedOn w:val="965"/>
    <w:uiPriority w:val="0"/>
    <w:qFormat/>
    <w:pPr>
      <w:ind w:firstLine="0"/>
      <w:spacing w:before="50" w:after="50"/>
    </w:pPr>
    <w:rPr>
      <w:sz w:val="18"/>
      <w:szCs w:val="18"/>
    </w:rPr>
  </w:style>
  <w:style w:type="paragraph" w:styleId="1021">
    <w:name w:val="Footer"/>
    <w:basedOn w:val="965"/>
    <w:uiPriority w:val="99"/>
    <w:qFormat/>
    <w:pPr>
      <w:ind w:firstLine="0"/>
      <w:jc w:val="center"/>
      <w:spacing w:before="50" w:after="50"/>
      <w:tabs>
        <w:tab w:val="center" w:pos="4153" w:leader="none"/>
        <w:tab w:val="right" w:pos="8306" w:leader="none"/>
      </w:tabs>
    </w:pPr>
    <w:rPr>
      <w:sz w:val="18"/>
      <w:szCs w:val="18"/>
    </w:rPr>
  </w:style>
  <w:style w:type="paragraph" w:styleId="1022">
    <w:name w:val="envelope return"/>
    <w:basedOn w:val="965"/>
    <w:uiPriority w:val="0"/>
    <w:qFormat/>
    <w:rPr>
      <w:rFonts w:asciiTheme="majorHAnsi" w:hAnsiTheme="majorHAnsi" w:eastAsiaTheme="majorEastAsia" w:cstheme="majorBidi"/>
    </w:rPr>
  </w:style>
  <w:style w:type="paragraph" w:styleId="1023">
    <w:name w:val="Header"/>
    <w:basedOn w:val="965"/>
    <w:uiPriority w:val="0"/>
    <w:qFormat/>
    <w:pPr>
      <w:ind w:firstLine="0"/>
      <w:jc w:val="center"/>
      <w:spacing w:before="50" w:after="50"/>
      <w:tabs>
        <w:tab w:val="center" w:pos="4153" w:leader="none"/>
        <w:tab w:val="right" w:pos="8306" w:leader="none"/>
      </w:tabs>
      <w:pBdr>
        <w:top w:val="none" w:color="auto" w:sz="0" w:space="1"/>
        <w:left w:val="none" w:color="auto" w:sz="0" w:space="4"/>
        <w:bottom w:val="none" w:color="auto" w:sz="0" w:space="1"/>
        <w:right w:val="none" w:color="auto" w:sz="0" w:space="4"/>
      </w:pBdr>
    </w:pPr>
    <w:rPr>
      <w:sz w:val="18"/>
      <w:szCs w:val="18"/>
    </w:rPr>
  </w:style>
  <w:style w:type="paragraph" w:styleId="1024">
    <w:name w:val="Signature"/>
    <w:basedOn w:val="965"/>
    <w:link w:val="1093"/>
    <w:uiPriority w:val="0"/>
    <w:qFormat/>
    <w:pPr>
      <w:ind w:left="100"/>
    </w:pPr>
  </w:style>
  <w:style w:type="paragraph" w:styleId="1025">
    <w:name w:val="toc 1"/>
    <w:basedOn w:val="965"/>
    <w:next w:val="965"/>
    <w:uiPriority w:val="0"/>
    <w:qFormat/>
    <w:pPr>
      <w:ind w:firstLine="0"/>
      <w:spacing w:before="50" w:after="50"/>
    </w:pPr>
  </w:style>
  <w:style w:type="paragraph" w:styleId="1026">
    <w:name w:val="List Continue 4"/>
    <w:basedOn w:val="965"/>
    <w:uiPriority w:val="0"/>
    <w:qFormat/>
    <w:pPr>
      <w:contextualSpacing/>
      <w:ind w:left="1680"/>
      <w:spacing w:after="120"/>
    </w:pPr>
  </w:style>
  <w:style w:type="paragraph" w:styleId="1027">
    <w:name w:val="toc 4"/>
    <w:basedOn w:val="965"/>
    <w:next w:val="965"/>
    <w:uiPriority w:val="0"/>
    <w:qFormat/>
    <w:pPr>
      <w:ind w:firstLine="0"/>
      <w:spacing w:before="50" w:after="50"/>
    </w:pPr>
  </w:style>
  <w:style w:type="paragraph" w:styleId="1028">
    <w:name w:val="index heading"/>
    <w:basedOn w:val="965"/>
    <w:next w:val="1029"/>
    <w:uiPriority w:val="0"/>
    <w:qFormat/>
    <w:rPr>
      <w:rFonts w:asciiTheme="majorHAnsi" w:hAnsiTheme="majorHAnsi" w:eastAsiaTheme="majorEastAsia" w:cstheme="majorBidi"/>
      <w:b/>
      <w:bCs/>
    </w:rPr>
  </w:style>
  <w:style w:type="paragraph" w:styleId="1029">
    <w:name w:val="index 1"/>
    <w:basedOn w:val="965"/>
    <w:next w:val="965"/>
    <w:uiPriority w:val="0"/>
    <w:qFormat/>
    <w:pPr>
      <w:ind w:firstLine="0"/>
    </w:pPr>
  </w:style>
  <w:style w:type="paragraph" w:styleId="1030">
    <w:name w:val="Subtitle"/>
    <w:uiPriority w:val="0"/>
    <w:qFormat/>
    <w:pPr>
      <w:jc w:val="center"/>
      <w:spacing w:before="50"/>
      <w:outlineLvl w:val="1"/>
    </w:pPr>
    <w:rPr>
      <w:rFonts w:ascii="MiSans" w:hAnsi="MiSans" w:eastAsia="MiSans" w:cstheme="minorBidi"/>
      <w:b/>
      <w:bCs/>
      <w:sz w:val="48"/>
      <w:szCs w:val="48"/>
      <w:lang w:val="en-US" w:eastAsia="zh-CN" w:bidi="ar-SA"/>
    </w:rPr>
  </w:style>
  <w:style w:type="paragraph" w:styleId="1031">
    <w:name w:val="List Number 5"/>
    <w:basedOn w:val="965"/>
    <w:uiPriority w:val="0"/>
    <w:qFormat/>
    <w:pPr>
      <w:numPr>
        <w:ilvl w:val="0"/>
        <w:numId w:val="11"/>
      </w:numPr>
      <w:ind w:left="442" w:hanging="442"/>
      <w:spacing w:before="50" w:after="50"/>
    </w:pPr>
    <w:rPr>
      <w:color w:val="292929"/>
    </w:rPr>
  </w:style>
  <w:style w:type="paragraph" w:styleId="1032">
    <w:name w:val="List"/>
    <w:basedOn w:val="965"/>
    <w:uiPriority w:val="0"/>
    <w:qFormat/>
    <w:pPr>
      <w:contextualSpacing/>
      <w:ind w:left="200" w:hanging="200"/>
    </w:pPr>
  </w:style>
  <w:style w:type="paragraph" w:styleId="1033">
    <w:name w:val="footnote text"/>
    <w:basedOn w:val="965"/>
    <w:uiPriority w:val="0"/>
    <w:qFormat/>
    <w:pPr>
      <w:ind w:firstLine="0"/>
      <w:jc w:val="left"/>
      <w:spacing w:before="50" w:after="50"/>
    </w:pPr>
    <w:rPr>
      <w:sz w:val="18"/>
      <w:szCs w:val="18"/>
    </w:rPr>
  </w:style>
  <w:style w:type="paragraph" w:styleId="1034">
    <w:name w:val="toc 6"/>
    <w:basedOn w:val="965"/>
    <w:next w:val="965"/>
    <w:uiPriority w:val="0"/>
    <w:qFormat/>
    <w:pPr>
      <w:ind w:left="2100"/>
    </w:pPr>
  </w:style>
  <w:style w:type="paragraph" w:styleId="1035">
    <w:name w:val="List 5"/>
    <w:basedOn w:val="965"/>
    <w:uiPriority w:val="0"/>
    <w:qFormat/>
    <w:pPr>
      <w:contextualSpacing/>
      <w:ind w:left="100" w:hanging="200"/>
    </w:pPr>
  </w:style>
  <w:style w:type="paragraph" w:styleId="1036">
    <w:name w:val="Body Text Indent 3"/>
    <w:basedOn w:val="965"/>
    <w:link w:val="1108"/>
    <w:uiPriority w:val="0"/>
    <w:qFormat/>
    <w:pPr>
      <w:ind w:left="420"/>
      <w:spacing w:after="120"/>
    </w:pPr>
    <w:rPr>
      <w:sz w:val="16"/>
      <w:szCs w:val="16"/>
    </w:rPr>
  </w:style>
  <w:style w:type="paragraph" w:styleId="1037">
    <w:name w:val="index 7"/>
    <w:basedOn w:val="965"/>
    <w:next w:val="965"/>
    <w:uiPriority w:val="0"/>
    <w:qFormat/>
    <w:pPr>
      <w:ind w:left="1200" w:firstLine="0"/>
    </w:pPr>
  </w:style>
  <w:style w:type="paragraph" w:styleId="1038">
    <w:name w:val="index 9"/>
    <w:basedOn w:val="965"/>
    <w:next w:val="965"/>
    <w:uiPriority w:val="0"/>
    <w:qFormat/>
    <w:pPr>
      <w:ind w:left="1600" w:firstLine="0"/>
    </w:pPr>
  </w:style>
  <w:style w:type="paragraph" w:styleId="1039">
    <w:name w:val="table of figures"/>
    <w:basedOn w:val="965"/>
    <w:next w:val="965"/>
    <w:uiPriority w:val="0"/>
    <w:qFormat/>
    <w:pPr>
      <w:ind w:left="200" w:hanging="200"/>
    </w:pPr>
  </w:style>
  <w:style w:type="paragraph" w:styleId="1040">
    <w:name w:val="toc 2"/>
    <w:basedOn w:val="965"/>
    <w:next w:val="965"/>
    <w:uiPriority w:val="0"/>
    <w:qFormat/>
    <w:pPr>
      <w:ind w:firstLine="0"/>
      <w:spacing w:before="50" w:after="50"/>
    </w:pPr>
  </w:style>
  <w:style w:type="paragraph" w:styleId="1041">
    <w:name w:val="toc 9"/>
    <w:basedOn w:val="965"/>
    <w:next w:val="965"/>
    <w:uiPriority w:val="0"/>
    <w:qFormat/>
    <w:pPr>
      <w:ind w:left="3360"/>
    </w:pPr>
  </w:style>
  <w:style w:type="paragraph" w:styleId="1042">
    <w:name w:val="Body Text 2"/>
    <w:basedOn w:val="965"/>
    <w:link w:val="1101"/>
    <w:uiPriority w:val="0"/>
    <w:qFormat/>
    <w:pPr>
      <w:spacing w:after="120" w:line="480" w:lineRule="auto"/>
    </w:pPr>
  </w:style>
  <w:style w:type="paragraph" w:styleId="1043">
    <w:name w:val="List 4"/>
    <w:basedOn w:val="965"/>
    <w:uiPriority w:val="0"/>
    <w:qFormat/>
    <w:pPr>
      <w:contextualSpacing/>
      <w:ind w:left="100" w:hanging="200"/>
    </w:pPr>
  </w:style>
  <w:style w:type="paragraph" w:styleId="1044">
    <w:name w:val="List Continue 2"/>
    <w:basedOn w:val="965"/>
    <w:uiPriority w:val="0"/>
    <w:qFormat/>
    <w:pPr>
      <w:contextualSpacing/>
      <w:ind w:left="840"/>
      <w:spacing w:after="120"/>
    </w:pPr>
  </w:style>
  <w:style w:type="paragraph" w:styleId="1045">
    <w:name w:val="Message Header"/>
    <w:basedOn w:val="965"/>
    <w:link w:val="1098"/>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Theme="majorHAnsi" w:hAnsiTheme="majorHAnsi" w:eastAsiaTheme="majorEastAsia" w:cstheme="majorBidi"/>
      <w:sz w:val="24"/>
      <w:szCs w:val="24"/>
    </w:rPr>
  </w:style>
  <w:style w:type="paragraph" w:styleId="1046">
    <w:name w:val="HTML Preformatted"/>
    <w:basedOn w:val="965"/>
    <w:link w:val="1083"/>
    <w:uiPriority w:val="0"/>
    <w:qFormat/>
    <w:rPr>
      <w:rFonts w:ascii="Courier New" w:hAnsi="Courier New" w:cs="Courier New"/>
      <w:sz w:val="20"/>
      <w:szCs w:val="20"/>
    </w:rPr>
  </w:style>
  <w:style w:type="paragraph" w:styleId="1047">
    <w:name w:val="Normal (Web)"/>
    <w:basedOn w:val="965"/>
    <w:uiPriority w:val="0"/>
    <w:qFormat/>
    <w:rPr>
      <w:rFonts w:ascii="Times New Roman" w:hAnsi="Times New Roman" w:cs="Times New Roman"/>
      <w:sz w:val="24"/>
      <w:szCs w:val="24"/>
    </w:rPr>
  </w:style>
  <w:style w:type="paragraph" w:styleId="1048">
    <w:name w:val="List Continue 3"/>
    <w:basedOn w:val="965"/>
    <w:uiPriority w:val="0"/>
    <w:qFormat/>
    <w:pPr>
      <w:contextualSpacing/>
      <w:ind w:left="1260"/>
      <w:spacing w:after="120"/>
    </w:pPr>
  </w:style>
  <w:style w:type="paragraph" w:styleId="1049">
    <w:name w:val="index 2"/>
    <w:basedOn w:val="965"/>
    <w:next w:val="965"/>
    <w:uiPriority w:val="0"/>
    <w:qFormat/>
    <w:pPr>
      <w:ind w:left="200" w:firstLine="0"/>
    </w:pPr>
  </w:style>
  <w:style w:type="paragraph" w:styleId="1050">
    <w:name w:val="Title"/>
    <w:uiPriority w:val="10"/>
    <w:qFormat/>
    <w:pPr>
      <w:jc w:val="center"/>
      <w:pBdr>
        <w:top w:val="none" w:color="auto" w:sz="0" w:space="1"/>
        <w:left w:val="none" w:color="auto" w:sz="0" w:space="4"/>
        <w:bottom w:val="none" w:color="B92D07" w:sz="0" w:space="1"/>
        <w:right w:val="none" w:color="auto" w:sz="0" w:space="4"/>
      </w:pBdr>
      <w:outlineLvl w:val="0"/>
    </w:pPr>
    <w:rPr>
      <w:rFonts w:ascii="MiSans" w:hAnsi="MiSans" w:eastAsia="MiSans" w:cs="MiSans Bold"/>
      <w:b/>
      <w:sz w:val="72"/>
      <w:szCs w:val="72"/>
      <w:lang w:val="en-US" w:eastAsia="zh-CN" w:bidi="ar-SA"/>
    </w:rPr>
  </w:style>
  <w:style w:type="paragraph" w:styleId="1051">
    <w:name w:val="annotation subject"/>
    <w:basedOn w:val="995"/>
    <w:next w:val="995"/>
    <w:uiPriority w:val="0"/>
    <w:qFormat/>
    <w:rPr>
      <w:b/>
      <w:bCs/>
    </w:rPr>
  </w:style>
  <w:style w:type="paragraph" w:styleId="1052">
    <w:name w:val="Body Text First Indent"/>
    <w:basedOn w:val="977"/>
    <w:link w:val="1104"/>
    <w:uiPriority w:val="0"/>
    <w:qFormat/>
    <w:pPr>
      <w:ind w:firstLine="420"/>
      <w:spacing w:before="0" w:after="120"/>
    </w:pPr>
  </w:style>
  <w:style w:type="paragraph" w:styleId="1053">
    <w:name w:val="Body Text First Indent 2"/>
    <w:basedOn w:val="1001"/>
    <w:link w:val="1106"/>
    <w:uiPriority w:val="0"/>
    <w:qFormat/>
    <w:pPr>
      <w:ind w:firstLine="420"/>
    </w:pPr>
  </w:style>
  <w:style w:type="table" w:styleId="1054">
    <w:name w:val="Table Grid"/>
    <w:basedOn w:val="976"/>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55">
    <w:name w:val="Strong"/>
    <w:basedOn w:val="975"/>
    <w:uiPriority w:val="22"/>
    <w:qFormat/>
    <w:rPr>
      <w:rFonts w:ascii="MiSans" w:hAnsi="MiSans" w:eastAsia="MiSans"/>
      <w:b/>
      <w:bCs/>
      <w:color w:val="auto"/>
      <w:u w:val="none"/>
    </w:rPr>
  </w:style>
  <w:style w:type="character" w:styleId="1056">
    <w:name w:val="endnote reference"/>
    <w:basedOn w:val="975"/>
    <w:uiPriority w:val="0"/>
    <w:qFormat/>
    <w:rPr>
      <w:rFonts w:ascii="MiSans" w:hAnsi="MiSans" w:eastAsia="MiSans"/>
      <w:vertAlign w:val="superscript"/>
    </w:rPr>
  </w:style>
  <w:style w:type="character" w:styleId="1057">
    <w:name w:val="page number"/>
    <w:basedOn w:val="975"/>
    <w:uiPriority w:val="0"/>
    <w:qFormat/>
    <w:rPr>
      <w:rFonts w:ascii="MiSans" w:hAnsi="MiSans" w:eastAsia="MiSans"/>
      <w:color w:val="7f7f7f" w:themeColor="background1" w:themeShade="80"/>
    </w:rPr>
  </w:style>
  <w:style w:type="character" w:styleId="1058">
    <w:name w:val="FollowedHyperlink"/>
    <w:basedOn w:val="975"/>
    <w:uiPriority w:val="0"/>
    <w:qFormat/>
    <w:rPr>
      <w:rFonts w:ascii="MiSans" w:hAnsi="MiSans" w:eastAsia="MiSans" w:cstheme="minorBidi"/>
      <w:color w:val="800080"/>
      <w:sz w:val="22"/>
      <w:szCs w:val="22"/>
      <w:u w:val="single"/>
      <w:lang w:val="en-US" w:eastAsia="zh-CN" w:bidi="ar-SA"/>
    </w:rPr>
  </w:style>
  <w:style w:type="character" w:styleId="1059">
    <w:name w:val="Emphasis"/>
    <w:basedOn w:val="975"/>
    <w:uiPriority w:val="20"/>
    <w:qFormat/>
    <w:rPr>
      <w:rFonts w:ascii="MiSans" w:hAnsi="MiSans" w:eastAsia="MiSans"/>
      <w:b/>
      <w:bCs/>
      <w:color w:val="c00000"/>
      <w:sz w:val="24"/>
      <w:szCs w:val="24"/>
    </w:rPr>
  </w:style>
  <w:style w:type="character" w:styleId="1060">
    <w:name w:val="Hyperlink"/>
    <w:basedOn w:val="975"/>
    <w:uiPriority w:val="0"/>
    <w:qFormat/>
    <w:rPr>
      <w:rFonts w:ascii="MiSans" w:hAnsi="MiSans" w:eastAsia="MiSans" w:cstheme="minorBidi"/>
      <w:color w:val="0000ff"/>
      <w:sz w:val="22"/>
      <w:szCs w:val="22"/>
      <w:u w:val="single"/>
      <w:lang w:val="en-US" w:eastAsia="zh-CN" w:bidi="ar-SA"/>
    </w:rPr>
  </w:style>
  <w:style w:type="character" w:styleId="1061">
    <w:name w:val="annotation reference"/>
    <w:basedOn w:val="975"/>
    <w:uiPriority w:val="0"/>
    <w:qFormat/>
    <w:rPr>
      <w:rFonts w:ascii="MiSans" w:hAnsi="MiSans" w:eastAsia="MiSans"/>
      <w:sz w:val="21"/>
      <w:szCs w:val="21"/>
    </w:rPr>
  </w:style>
  <w:style w:type="character" w:styleId="1062">
    <w:name w:val="footnote reference"/>
    <w:basedOn w:val="975"/>
    <w:uiPriority w:val="0"/>
    <w:qFormat/>
    <w:rPr>
      <w:rFonts w:ascii="MiSans" w:hAnsi="MiSans" w:eastAsia="MiSans"/>
      <w:vertAlign w:val="superscript"/>
    </w:rPr>
  </w:style>
  <w:style w:type="paragraph" w:styleId="106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64" w:customStyle="1">
    <w:name w:val="我的正文"/>
    <w:basedOn w:val="965"/>
    <w:uiPriority w:val="0"/>
    <w:qFormat/>
    <w:pPr>
      <w:numPr>
        <w:ilvl w:val="0"/>
        <w:numId w:val="12"/>
      </w:numPr>
    </w:pPr>
    <w:rPr>
      <w:rFonts w:hint="eastAsia" w:ascii="Times New Roman" w:hAnsi="Times New Roman" w:eastAsia="宋体" w:cs="Times New Roman"/>
      <w:sz w:val="28"/>
    </w:rPr>
  </w:style>
  <w:style w:type="paragraph" w:styleId="1065" w:customStyle="1">
    <w:name w:val="我的标题3级"/>
    <w:next w:val="1064"/>
    <w:uiPriority w:val="0"/>
    <w:qFormat/>
    <w:pPr>
      <w:numPr>
        <w:ilvl w:val="2"/>
        <w:numId w:val="13"/>
      </w:numPr>
      <w:ind w:firstLine="803"/>
      <w:spacing w:line="360" w:lineRule="auto"/>
      <w:outlineLvl w:val="2"/>
    </w:pPr>
    <w:rPr>
      <w:rFonts w:hint="eastAsia" w:ascii="Times New Roman" w:hAnsi="Times New Roman" w:eastAsia="宋体" w:cs="Times New Roman"/>
      <w:b/>
      <w:sz w:val="28"/>
      <w:lang w:val="en-US" w:eastAsia="zh-CN" w:bidi="ar-SA"/>
    </w:rPr>
  </w:style>
  <w:style w:type="paragraph" w:styleId="1066" w:customStyle="1">
    <w:name w:val="段"/>
    <w:next w:val="965"/>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067" w:customStyle="1">
    <w:name w:val="样式-L1"/>
    <w:basedOn w:val="965"/>
    <w:next w:val="965"/>
    <w:uiPriority w:val="0"/>
    <w:qFormat/>
    <w:pPr>
      <w:numPr>
        <w:ilvl w:val="0"/>
        <w:numId w:val="14"/>
      </w:numPr>
      <w:jc w:val="left"/>
      <w:outlineLvl w:val="0"/>
    </w:pPr>
    <w:rPr>
      <w:rFonts w:hint="eastAsia" w:ascii="宋体" w:hAnsi="宋体" w:eastAsia="宋体" w:cs="宋体"/>
      <w:b/>
      <w:bCs/>
      <w:sz w:val="21"/>
    </w:rPr>
  </w:style>
  <w:style w:type="paragraph" w:styleId="1068" w:customStyle="1">
    <w:name w:val="样式-L2"/>
    <w:basedOn w:val="1067"/>
    <w:next w:val="1069"/>
    <w:uiPriority w:val="0"/>
    <w:qFormat/>
    <w:pPr>
      <w:numPr>
        <w:ilvl w:val="1"/>
        <w:numId w:val="15"/>
      </w:numPr>
      <w:ind w:left="0"/>
      <w:spacing w:before="120" w:after="120"/>
    </w:pPr>
    <w:rPr>
      <w:rFonts w:ascii="Times New Roman" w:hAnsi="Times New Roman"/>
    </w:rPr>
  </w:style>
  <w:style w:type="paragraph" w:styleId="1069" w:customStyle="1">
    <w:name w:val="样式-L3"/>
    <w:basedOn w:val="1067"/>
    <w:next w:val="1068"/>
    <w:uiPriority w:val="0"/>
    <w:qFormat/>
    <w:pPr>
      <w:numPr>
        <w:ilvl w:val="2"/>
        <w:numId w:val="16"/>
      </w:numPr>
      <w:ind w:firstLine="422"/>
    </w:pPr>
  </w:style>
  <w:style w:type="paragraph" w:styleId="1070" w:customStyle="1">
    <w:name w:val="样式-L4"/>
    <w:basedOn w:val="1069"/>
    <w:uiPriority w:val="0"/>
    <w:qFormat/>
    <w:pPr>
      <w:numPr>
        <w:ilvl w:val="3"/>
        <w:numId w:val="14"/>
      </w:numPr>
    </w:pPr>
  </w:style>
  <w:style w:type="paragraph" w:styleId="1071" w:customStyle="1">
    <w:name w:val="目录标题"/>
    <w:link w:val="1072"/>
    <w:uiPriority w:val="0"/>
    <w:qFormat/>
    <w:pPr>
      <w:jc w:val="center"/>
    </w:pPr>
    <w:rPr>
      <w:rFonts w:ascii="MiSans" w:hAnsi="MiSans" w:eastAsia="MiSans" w:cstheme="minorBidi"/>
      <w:b/>
      <w:bCs/>
      <w:sz w:val="32"/>
      <w:szCs w:val="32"/>
      <w:lang w:val="en-US" w:eastAsia="zh-CN" w:bidi="ar-SA"/>
    </w:rPr>
  </w:style>
  <w:style w:type="character" w:styleId="1072" w:customStyle="1">
    <w:name w:val="目录标题 Char"/>
    <w:link w:val="1071"/>
    <w:uiPriority w:val="0"/>
    <w:qFormat/>
    <w:rPr>
      <w:rFonts w:ascii="MiSans" w:hAnsi="MiSans" w:eastAsia="MiSans" w:cstheme="minorBidi"/>
      <w:b/>
      <w:bCs/>
      <w:sz w:val="32"/>
      <w:szCs w:val="32"/>
      <w:lang w:val="en-US" w:eastAsia="zh-CN" w:bidi="ar-SA"/>
    </w:rPr>
  </w:style>
  <w:style w:type="paragraph" w:styleId="1073" w:customStyle="1">
    <w:name w:val="题注1"/>
    <w:basedOn w:val="965"/>
    <w:uiPriority w:val="0"/>
    <w:qFormat/>
    <w:pPr>
      <w:ind w:firstLine="0"/>
      <w:spacing w:before="50" w:after="50"/>
    </w:pPr>
    <w:rPr>
      <w:rFonts w:hint="eastAsia"/>
      <w:sz w:val="20"/>
      <w:szCs w:val="20"/>
    </w:rPr>
  </w:style>
  <w:style w:type="paragraph" w:styleId="1074" w:customStyle="1">
    <w:name w:val="文档说明标题"/>
    <w:next w:val="965"/>
    <w:uiPriority w:val="0"/>
    <w:qFormat/>
    <w:pPr>
      <w:jc w:val="center"/>
      <w:keepLines/>
      <w:keepNext/>
      <w:spacing w:before="50"/>
      <w:tabs>
        <w:tab w:val="left" w:pos="0" w:leader="none"/>
      </w:tabs>
      <w:outlineLvl w:val="0"/>
    </w:pPr>
    <w:rPr>
      <w:rFonts w:ascii="MiSans" w:hAnsi="MiSans" w:eastAsia="MiSans" w:cstheme="minorBidi"/>
      <w:b/>
      <w:bCs/>
      <w:sz w:val="48"/>
      <w:szCs w:val="48"/>
      <w:lang w:val="en-US" w:eastAsia="zh-CN" w:bidi="ar-SA"/>
    </w:rPr>
  </w:style>
  <w:style w:type="paragraph" w:styleId="1075" w:customStyle="1">
    <w:name w:val="章标题"/>
    <w:next w:val="965"/>
    <w:uiPriority w:val="0"/>
    <w:qFormat/>
    <w:pPr>
      <w:jc w:val="center"/>
      <w:keepLines/>
      <w:keepNext/>
      <w:spacing w:before="50"/>
      <w:tabs>
        <w:tab w:val="left" w:pos="0" w:leader="none"/>
      </w:tabs>
      <w:outlineLvl w:val="0"/>
    </w:pPr>
    <w:rPr>
      <w:rFonts w:ascii="MiSans" w:hAnsi="MiSans" w:eastAsia="MiSans" w:cstheme="minorBidi"/>
      <w:b/>
      <w:bCs/>
      <w:sz w:val="36"/>
      <w:szCs w:val="36"/>
      <w:lang w:val="en-US" w:eastAsia="zh-CN" w:bidi="ar-SA"/>
    </w:rPr>
  </w:style>
  <w:style w:type="paragraph" w:styleId="1076" w:customStyle="1">
    <w:name w:val="节标题"/>
    <w:next w:val="965"/>
    <w:uiPriority w:val="0"/>
    <w:qFormat/>
    <w:pPr>
      <w:jc w:val="center"/>
      <w:spacing w:before="50"/>
      <w:tabs>
        <w:tab w:val="left" w:pos="0" w:leader="none"/>
      </w:tabs>
    </w:pPr>
    <w:rPr>
      <w:rFonts w:ascii="MiSans" w:hAnsi="MiSans" w:eastAsia="MiSans" w:cstheme="minorBidi"/>
      <w:b/>
      <w:bCs/>
      <w:sz w:val="32"/>
      <w:szCs w:val="32"/>
      <w:lang w:val="en-US" w:eastAsia="zh-CN" w:bidi="ar-SA"/>
    </w:rPr>
  </w:style>
  <w:style w:type="paragraph" w:styleId="1077" w:customStyle="1">
    <w:name w:val="附录标题"/>
    <w:next w:val="965"/>
    <w:uiPriority w:val="0"/>
    <w:qFormat/>
    <w:pPr>
      <w:jc w:val="center"/>
      <w:keepLines/>
      <w:keepNext/>
      <w:spacing w:before="50"/>
      <w:tabs>
        <w:tab w:val="left" w:pos="0" w:leader="none"/>
      </w:tabs>
      <w:outlineLvl w:val="0"/>
    </w:pPr>
    <w:rPr>
      <w:rFonts w:ascii="MiSans" w:hAnsi="MiSans" w:eastAsia="MiSans" w:cstheme="minorBidi"/>
      <w:b/>
      <w:bCs/>
      <w:sz w:val="36"/>
      <w:szCs w:val="36"/>
      <w:lang w:val="en-US" w:eastAsia="zh-CN" w:bidi="ar-SA"/>
    </w:rPr>
  </w:style>
  <w:style w:type="character" w:styleId="1078" w:customStyle="1">
    <w:name w:val="摘要"/>
    <w:basedOn w:val="975"/>
    <w:uiPriority w:val="0"/>
    <w:qFormat/>
    <w:rPr>
      <w:rFonts w:ascii="MiSans" w:hAnsi="MiSans" w:eastAsia="MiSans" w:cs="Times New Roman"/>
      <w:b/>
      <w:bCs/>
      <w:lang w:val="en-US" w:eastAsia="zh-CN"/>
    </w:rPr>
  </w:style>
  <w:style w:type="character" w:styleId="1079" w:customStyle="1">
    <w:name w:val="参考文献条目"/>
    <w:basedOn w:val="975"/>
    <w:uiPriority w:val="0"/>
    <w:qFormat/>
    <w:rPr>
      <w:rFonts w:ascii="MiSans" w:hAnsi="MiSans" w:eastAsia="MiSans" w:cs="Times New Roman"/>
      <w:sz w:val="18"/>
      <w:szCs w:val="18"/>
      <w:lang w:val="en-US" w:eastAsia="zh-CN"/>
    </w:rPr>
  </w:style>
  <w:style w:type="character" w:styleId="1080" w:customStyle="1">
    <w:name w:val="关键词"/>
    <w:basedOn w:val="975"/>
    <w:uiPriority w:val="0"/>
    <w:qFormat/>
    <w:rPr>
      <w:rFonts w:ascii="MiSans" w:hAnsi="MiSans" w:eastAsia="MiSans" w:cs="Times New Roman"/>
      <w:b/>
      <w:bCs/>
      <w:lang w:val="en-US" w:eastAsia="zh-CN"/>
    </w:rPr>
  </w:style>
  <w:style w:type="character" w:styleId="1081" w:customStyle="1">
    <w:name w:val="着重标题"/>
    <w:basedOn w:val="975"/>
    <w:uiPriority w:val="0"/>
    <w:qFormat/>
    <w:rPr>
      <w:rFonts w:ascii="MiSans" w:hAnsi="MiSans" w:eastAsia="MiSans" w:cs="Times New Roman"/>
      <w:lang w:val="en-US" w:eastAsia="zh-CN"/>
    </w:rPr>
  </w:style>
  <w:style w:type="character" w:styleId="1082" w:customStyle="1">
    <w:name w:val="HTML 地址 Char"/>
    <w:basedOn w:val="975"/>
    <w:link w:val="1007"/>
    <w:uiPriority w:val="0"/>
    <w:qFormat/>
    <w:rPr>
      <w:i/>
      <w:iCs/>
    </w:rPr>
  </w:style>
  <w:style w:type="character" w:styleId="1083" w:customStyle="1">
    <w:name w:val="HTML 预设格式 Char"/>
    <w:basedOn w:val="975"/>
    <w:link w:val="1046"/>
    <w:uiPriority w:val="0"/>
    <w:qFormat/>
    <w:rPr>
      <w:rFonts w:ascii="Courier New" w:hAnsi="Courier New" w:cs="Courier New"/>
      <w:sz w:val="20"/>
      <w:szCs w:val="20"/>
    </w:rPr>
  </w:style>
  <w:style w:type="paragraph" w:styleId="1084" w:customStyle="1">
    <w:name w:val="TOC 标题1"/>
    <w:basedOn w:val="966"/>
    <w:next w:val="965"/>
    <w:uiPriority w:val="39"/>
    <w:semiHidden/>
    <w:unhideWhenUsed/>
    <w:qFormat/>
    <w:pPr>
      <w:numPr>
        <w:numId w:val="0"/>
      </w:numPr>
      <w:ind w:firstLine="440"/>
      <w:jc w:val="both"/>
      <w:spacing w:before="340" w:after="330" w:line="578" w:lineRule="auto"/>
      <w:tabs>
        <w:tab w:val="clear" w:pos="0" w:leader="none"/>
      </w:tabs>
      <w:outlineLvl w:val="9"/>
    </w:pPr>
    <w:rPr>
      <w:sz w:val="44"/>
      <w:szCs w:val="44"/>
    </w:rPr>
  </w:style>
  <w:style w:type="character" w:styleId="1085" w:customStyle="1">
    <w:name w:val="称呼 Char"/>
    <w:basedOn w:val="975"/>
    <w:link w:val="997"/>
    <w:uiPriority w:val="0"/>
    <w:qFormat/>
  </w:style>
  <w:style w:type="character" w:styleId="1086" w:customStyle="1">
    <w:name w:val="纯文本 Char"/>
    <w:basedOn w:val="975"/>
    <w:link w:val="1011"/>
    <w:uiPriority w:val="0"/>
    <w:qFormat/>
    <w:rPr>
      <w:rFonts w:hAnsi="Courier New" w:cs="Courier New" w:asciiTheme="minorEastAsia" w:eastAsiaTheme="minorEastAsia"/>
    </w:rPr>
  </w:style>
  <w:style w:type="character" w:styleId="1087" w:customStyle="1">
    <w:name w:val="电子邮件签名 Char"/>
    <w:basedOn w:val="975"/>
    <w:link w:val="986"/>
    <w:uiPriority w:val="0"/>
    <w:qFormat/>
  </w:style>
  <w:style w:type="character" w:styleId="1088" w:customStyle="1">
    <w:name w:val="宏文本 Char"/>
    <w:basedOn w:val="975"/>
    <w:link w:val="978"/>
    <w:uiPriority w:val="0"/>
    <w:qFormat/>
    <w:rPr>
      <w:rFonts w:ascii="Courier New" w:hAnsi="Courier New" w:eastAsia="宋体" w:cs="Courier New"/>
      <w:sz w:val="24"/>
      <w:szCs w:val="24"/>
      <w:lang w:val="en-US" w:eastAsia="zh-CN" w:bidi="ar-SA"/>
    </w:rPr>
  </w:style>
  <w:style w:type="character" w:styleId="1089" w:customStyle="1">
    <w:name w:val="结束语 Char"/>
    <w:basedOn w:val="975"/>
    <w:link w:val="999"/>
    <w:uiPriority w:val="0"/>
    <w:qFormat/>
  </w:style>
  <w:style w:type="paragraph" w:styleId="1090">
    <w:name w:val="List Paragraph"/>
    <w:basedOn w:val="965"/>
    <w:uiPriority w:val="99"/>
    <w:qFormat/>
    <w:pPr>
      <w:ind w:firstLine="420"/>
    </w:pPr>
  </w:style>
  <w:style w:type="paragraph" w:styleId="1091">
    <w:name w:val="Intense Quote"/>
    <w:basedOn w:val="965"/>
    <w:next w:val="965"/>
    <w:link w:val="1092"/>
    <w:uiPriority w:val="99"/>
    <w:qFormat/>
    <w:pPr>
      <w:ind w:left="864" w:right="864"/>
      <w:jc w:val="center"/>
      <w:spacing w:before="360" w:after="360"/>
      <w:pBdr>
        <w:top w:val="single" w:color="4874CB" w:themeColor="accent1" w:sz="4" w:space="10"/>
        <w:bottom w:val="single" w:color="4874CB" w:themeColor="accent1" w:sz="4" w:space="10"/>
      </w:pBdr>
    </w:pPr>
    <w:rPr>
      <w:i/>
      <w:iCs/>
      <w:color w:val="4874cb" w:themeColor="accent1"/>
      <w14:textFill>
        <w14:solidFill>
          <w14:schemeClr w14:val="accent1"/>
        </w14:solidFill>
      </w14:textFill>
    </w:rPr>
  </w:style>
  <w:style w:type="character" w:styleId="1092" w:customStyle="1">
    <w:name w:val="明显引用 Char"/>
    <w:basedOn w:val="975"/>
    <w:link w:val="1091"/>
    <w:uiPriority w:val="99"/>
    <w:qFormat/>
    <w:rPr>
      <w:i/>
      <w:iCs/>
      <w:color w:val="4874cb" w:themeColor="accent1"/>
      <w14:textFill>
        <w14:solidFill>
          <w14:schemeClr w14:val="accent1"/>
        </w14:solidFill>
      </w14:textFill>
    </w:rPr>
  </w:style>
  <w:style w:type="character" w:styleId="1093" w:customStyle="1">
    <w:name w:val="签名 Char"/>
    <w:basedOn w:val="975"/>
    <w:link w:val="1024"/>
    <w:uiPriority w:val="0"/>
    <w:qFormat/>
  </w:style>
  <w:style w:type="character" w:styleId="1094" w:customStyle="1">
    <w:name w:val="日期 Char"/>
    <w:basedOn w:val="975"/>
    <w:link w:val="1016"/>
    <w:uiPriority w:val="0"/>
    <w:qFormat/>
  </w:style>
  <w:style w:type="paragraph" w:styleId="1095" w:customStyle="1">
    <w:name w:val="书目1"/>
    <w:basedOn w:val="965"/>
    <w:next w:val="965"/>
    <w:uiPriority w:val="37"/>
    <w:semiHidden/>
    <w:unhideWhenUsed/>
    <w:qFormat/>
  </w:style>
  <w:style w:type="character" w:styleId="1096" w:customStyle="1">
    <w:name w:val="文档结构图 Char"/>
    <w:basedOn w:val="975"/>
    <w:link w:val="993"/>
    <w:uiPriority w:val="0"/>
    <w:qFormat/>
    <w:rPr>
      <w:rFonts w:ascii="Microsoft YaHei UI" w:eastAsia="Microsoft YaHei UI"/>
      <w:sz w:val="18"/>
      <w:szCs w:val="18"/>
    </w:rPr>
  </w:style>
  <w:style w:type="paragraph" w:styleId="1097">
    <w:name w:val="No Spacing"/>
    <w:uiPriority w:val="99"/>
    <w:qFormat/>
    <w:pPr>
      <w:ind w:firstLine="440"/>
      <w:jc w:val="both"/>
      <w:widowControl w:val="off"/>
    </w:pPr>
    <w:rPr>
      <w:rFonts w:ascii="MiSans" w:hAnsi="MiSans" w:eastAsia="MiSans" w:cstheme="minorBidi"/>
      <w:sz w:val="22"/>
      <w:szCs w:val="22"/>
      <w:lang w:val="en-US" w:eastAsia="zh-CN" w:bidi="ar-SA"/>
    </w:rPr>
  </w:style>
  <w:style w:type="character" w:styleId="1098" w:customStyle="1">
    <w:name w:val="信息标题 Char"/>
    <w:basedOn w:val="975"/>
    <w:link w:val="1045"/>
    <w:uiPriority w:val="0"/>
    <w:qFormat/>
    <w:rPr>
      <w:rFonts w:asciiTheme="majorHAnsi" w:hAnsiTheme="majorHAnsi" w:eastAsiaTheme="majorEastAsia" w:cstheme="majorBidi"/>
      <w:sz w:val="24"/>
      <w:szCs w:val="24"/>
    </w:rPr>
  </w:style>
  <w:style w:type="paragraph" w:styleId="1099">
    <w:name w:val="Quote"/>
    <w:basedOn w:val="965"/>
    <w:next w:val="965"/>
    <w:link w:val="1100"/>
    <w:uiPriority w:val="99"/>
    <w:qFormat/>
    <w:pPr>
      <w:ind w:left="864" w:right="864"/>
      <w:jc w:val="center"/>
      <w:spacing w:before="200" w:after="160"/>
    </w:pPr>
    <w:rPr>
      <w:i/>
      <w:iCs/>
      <w:color w:val="404040" w:themeColor="text1" w:themeTint="BF"/>
      <w14:textFill>
        <w14:solidFill>
          <w14:schemeClr w14:val="tx1">
            <w14:lumMod w14:val="75000"/>
            <w14:lumOff w14:val="25000"/>
          </w14:schemeClr>
        </w14:solidFill>
      </w14:textFill>
    </w:rPr>
  </w:style>
  <w:style w:type="character" w:styleId="1100" w:customStyle="1">
    <w:name w:val="引用 Char"/>
    <w:basedOn w:val="975"/>
    <w:link w:val="1099"/>
    <w:uiPriority w:val="99"/>
    <w:qFormat/>
    <w:rPr>
      <w:i/>
      <w:iCs/>
      <w:color w:val="404040" w:themeColor="text1" w:themeTint="BF"/>
      <w14:textFill>
        <w14:solidFill>
          <w14:schemeClr w14:val="tx1">
            <w14:lumMod w14:val="75000"/>
            <w14:lumOff w14:val="25000"/>
          </w14:schemeClr>
        </w14:solidFill>
      </w14:textFill>
    </w:rPr>
  </w:style>
  <w:style w:type="character" w:styleId="1101" w:customStyle="1">
    <w:name w:val="正文文本 2 Char"/>
    <w:basedOn w:val="975"/>
    <w:link w:val="1042"/>
    <w:uiPriority w:val="0"/>
    <w:qFormat/>
  </w:style>
  <w:style w:type="character" w:styleId="1102" w:customStyle="1">
    <w:name w:val="正文文本 3 Char"/>
    <w:basedOn w:val="975"/>
    <w:link w:val="998"/>
    <w:uiPriority w:val="0"/>
    <w:qFormat/>
    <w:rPr>
      <w:sz w:val="16"/>
      <w:szCs w:val="16"/>
    </w:rPr>
  </w:style>
  <w:style w:type="character" w:styleId="1103" w:customStyle="1">
    <w:name w:val="正文文本 Char"/>
    <w:basedOn w:val="975"/>
    <w:link w:val="977"/>
    <w:uiPriority w:val="0"/>
    <w:qFormat/>
  </w:style>
  <w:style w:type="character" w:styleId="1104" w:customStyle="1">
    <w:name w:val="正文首行缩进 Char"/>
    <w:basedOn w:val="1103"/>
    <w:link w:val="1052"/>
    <w:uiPriority w:val="0"/>
    <w:qFormat/>
  </w:style>
  <w:style w:type="character" w:styleId="1105" w:customStyle="1">
    <w:name w:val="正文文本缩进 Char"/>
    <w:basedOn w:val="975"/>
    <w:link w:val="1001"/>
    <w:uiPriority w:val="0"/>
    <w:qFormat/>
  </w:style>
  <w:style w:type="character" w:styleId="1106" w:customStyle="1">
    <w:name w:val="正文首行缩进 2 Char"/>
    <w:basedOn w:val="1105"/>
    <w:link w:val="1053"/>
    <w:uiPriority w:val="0"/>
    <w:qFormat/>
  </w:style>
  <w:style w:type="character" w:styleId="1107" w:customStyle="1">
    <w:name w:val="正文文本缩进 2 Char"/>
    <w:basedOn w:val="975"/>
    <w:link w:val="1017"/>
    <w:uiPriority w:val="0"/>
    <w:qFormat/>
  </w:style>
  <w:style w:type="character" w:styleId="1108" w:customStyle="1">
    <w:name w:val="正文文本缩进 3 Char"/>
    <w:basedOn w:val="975"/>
    <w:link w:val="1036"/>
    <w:uiPriority w:val="0"/>
    <w:qFormat/>
    <w:rPr>
      <w:sz w:val="16"/>
      <w:szCs w:val="16"/>
    </w:rPr>
  </w:style>
  <w:style w:type="character" w:styleId="1109" w:customStyle="1">
    <w:name w:val="注释标题 Char"/>
    <w:basedOn w:val="975"/>
    <w:link w:val="983"/>
    <w:uiPriority w:val="0"/>
    <w:qFormat/>
  </w:style>
  <w:style w:type="paragraph" w:styleId="1110" w:customStyle="1">
    <w:name w:val="*正文"/>
    <w:basedOn w:val="965"/>
    <w:uiPriority w:val="0"/>
    <w:qFormat/>
    <w:pPr>
      <w:ind w:firstLine="200"/>
      <w:spacing w:line="360" w:lineRule="auto"/>
    </w:pPr>
    <w:rPr>
      <w:rFonts w:cs="仿宋_GB2312"/>
      <w:szCs w:val="24"/>
    </w:rPr>
  </w:style>
  <w:style w:type="paragraph" w:styleId="1111" w:customStyle="1">
    <w:name w:val="_Style 1"/>
    <w:basedOn w:val="965"/>
    <w:uiPriority w:val="34"/>
    <w:qFormat/>
    <w:pPr>
      <w:ind w:firstLine="420"/>
    </w:pPr>
  </w:style>
  <w:style w:type="paragraph" w:styleId="1112" w:customStyle="1">
    <w:name w:val="[正]宋体小四"/>
    <w:basedOn w:val="1017"/>
    <w:uiPriority w:val="0"/>
    <w:qFormat/>
    <w:pPr>
      <w:contextualSpacing/>
      <w:ind w:left="0" w:firstLine="480"/>
      <w:spacing w:after="0" w:line="360" w:lineRule="auto"/>
    </w:pPr>
    <w:rPr>
      <w:rFonts w:ascii="宋体" w:hAnsi="宋体" w:cs="宋体"/>
      <w:szCs w:val="24"/>
    </w:rPr>
  </w:style>
  <w:style w:type="paragraph" w:styleId="1113" w:customStyle="1">
    <w:name w:val="首行缩进"/>
    <w:basedOn w:val="965"/>
    <w:uiPriority w:val="0"/>
    <w:qFormat/>
    <w:pPr>
      <w:ind w:firstLine="480"/>
    </w:pPr>
    <w:rPr>
      <w:szCs w:val="20"/>
      <w:lang w:val="zh-CN"/>
    </w:rPr>
  </w:style>
  <w:style w:type="paragraph" w:styleId="1114" w:customStyle="1">
    <w:name w:val="样式 目录 1 + 首行缩进:  2 字符"/>
    <w:basedOn w:val="1025"/>
    <w:uiPriority w:val="0"/>
    <w:qFormat/>
    <w:pPr>
      <w:spacing w:before="0" w:after="0"/>
      <w:tabs>
        <w:tab w:val="left" w:pos="567" w:leader="none"/>
        <w:tab w:val="left" w:pos="840" w:leader="none"/>
        <w:tab w:val="right" w:pos="9072" w:leader="dot"/>
      </w:tabs>
    </w:pPr>
    <w:rPr>
      <w:rFonts w:cs="宋体"/>
      <w:sz w:val="24"/>
    </w:rPr>
  </w:style>
  <w:style w:type="paragraph" w:styleId="1115" w:customStyle="1">
    <w:name w:val="Andy_正文"/>
    <w:basedOn w:val="965"/>
    <w:uiPriority w:val="0"/>
    <w:qFormat/>
    <w:pPr>
      <w:ind w:firstLine="480"/>
      <w:spacing w:line="360" w:lineRule="auto"/>
    </w:pPr>
    <w:rPr>
      <w:rFonts w:ascii="Calibri" w:hAnsi="Calibri" w:cs="Calibri"/>
    </w:rPr>
  </w:style>
  <w:style w:type="paragraph" w:styleId="1116" w:customStyle="1">
    <w:name w:val="方案正文"/>
    <w:basedOn w:val="965"/>
    <w:uiPriority w:val="0"/>
    <w:qFormat/>
    <w:pPr>
      <w:ind w:right="105" w:firstLine="488"/>
      <w:jc w:val="left"/>
      <w:spacing w:line="360" w:lineRule="auto"/>
      <w:tabs>
        <w:tab w:val="left" w:pos="0" w:leader="none"/>
      </w:tabs>
    </w:pPr>
    <w:rPr>
      <w:rFonts w:ascii="宋体" w:hAnsi="宋体"/>
      <w:spacing w:val="2"/>
      <w:sz w:val="24"/>
    </w:rPr>
  </w:style>
  <w:style w:type="character" w:styleId="1117" w:customStyle="1">
    <w:name w:val="页脚 Char"/>
    <w:uiPriority w:val="99"/>
    <w:qFormat/>
    <w:rPr>
      <w:sz w:val="18"/>
      <w:szCs w:val="18"/>
    </w:rPr>
  </w:style>
  <w:style w:type="paragraph" w:styleId="1118" w:customStyle="1">
    <w:name w:val="样式 (西文) 宋体 首行缩进:  2 字符"/>
    <w:basedOn w:val="965"/>
    <w:uiPriority w:val="0"/>
    <w:qFormat/>
    <w:pPr>
      <w:ind w:firstLine="420"/>
    </w:pPr>
    <w:rPr>
      <w:rFonts w:cs="宋体"/>
      <w:szCs w:val="20"/>
    </w:rPr>
  </w:style>
  <w:style w:type="paragraph" w:styleId="1119" w:customStyle="1">
    <w:name w:val="方案"/>
    <w:basedOn w:val="965"/>
    <w:uiPriority w:val="0"/>
    <w:qFormat/>
    <w:pPr>
      <w:ind w:firstLine="200"/>
      <w:spacing w:line="360" w:lineRule="auto"/>
    </w:pPr>
    <w:rPr>
      <w:rFonts w:ascii="宋体" w:hAnsi="宋体" w:eastAsia="宋体" w:cs="Times New Roman"/>
      <w:sz w:val="24"/>
      <w:szCs w:val="24"/>
    </w:rPr>
  </w:style>
  <w:style w:type="character" w:styleId="1120" w:customStyle="1">
    <w:name w:val="font131"/>
    <w:basedOn w:val="975"/>
    <w:uiPriority w:val="0"/>
    <w:qFormat/>
    <w:rPr>
      <w:rFonts w:hint="eastAsia" w:ascii="宋体" w:hAnsi="宋体" w:eastAsia="宋体" w:cs="宋体"/>
      <w:color w:val="000000"/>
      <w:sz w:val="20"/>
      <w:szCs w:val="20"/>
      <w:u w:val="none"/>
    </w:rPr>
  </w:style>
  <w:style w:type="character" w:styleId="1121" w:customStyle="1">
    <w:name w:val="font11"/>
    <w:basedOn w:val="975"/>
    <w:uiPriority w:val="0"/>
    <w:qFormat/>
    <w:rPr>
      <w:rFonts w:hint="eastAsia" w:ascii="宋体" w:hAnsi="宋体" w:eastAsia="宋体" w:cs="宋体"/>
      <w:color w:val="000000"/>
      <w:sz w:val="20"/>
      <w:szCs w:val="20"/>
      <w:u w:val="none"/>
    </w:rPr>
  </w:style>
  <w:style w:type="character" w:styleId="1122" w:customStyle="1">
    <w:name w:val="font31"/>
    <w:basedOn w:val="975"/>
    <w:uiPriority w:val="0"/>
    <w:qFormat/>
    <w:rPr>
      <w:rFonts w:hint="eastAsia" w:ascii="微软雅黑" w:hAnsi="微软雅黑" w:eastAsia="微软雅黑" w:cs="微软雅黑"/>
      <w:color w:val="000000"/>
      <w:sz w:val="20"/>
      <w:szCs w:val="20"/>
      <w:u w:val="none"/>
    </w:rPr>
  </w:style>
  <w:style w:type="character" w:styleId="1123" w:customStyle="1">
    <w:name w:val="font41"/>
    <w:basedOn w:val="975"/>
    <w:uiPriority w:val="0"/>
    <w:qFormat/>
    <w:rPr>
      <w:rFonts w:hint="eastAsia" w:ascii="微软雅黑" w:hAnsi="微软雅黑" w:eastAsia="微软雅黑" w:cs="微软雅黑"/>
      <w:color w:val="000000"/>
      <w:sz w:val="20"/>
      <w:szCs w:val="20"/>
      <w:u w:val="none"/>
    </w:rPr>
  </w:style>
  <w:style w:type="character" w:styleId="1124" w:customStyle="1">
    <w:name w:val="font91"/>
    <w:basedOn w:val="975"/>
    <w:uiPriority w:val="0"/>
    <w:qFormat/>
    <w:rPr>
      <w:rFonts w:hint="eastAsia" w:ascii="微软雅黑" w:hAnsi="微软雅黑" w:eastAsia="微软雅黑" w:cs="微软雅黑"/>
      <w:color w:val="000000"/>
      <w:sz w:val="20"/>
      <w:szCs w:val="20"/>
      <w:u w:val="none"/>
    </w:rPr>
  </w:style>
  <w:style w:type="paragraph" w:styleId="1125" w:customStyle="1">
    <w:name w:val="纯文本3"/>
    <w:basedOn w:val="965"/>
    <w:uiPriority w:val="0"/>
    <w:qFormat/>
    <w:pPr>
      <w:ind w:firstLine="0"/>
      <w:spacing w:line="240" w:lineRule="auto"/>
    </w:pPr>
    <w:rPr>
      <w:rFonts w:ascii="宋体" w:hAnsi="Courier New" w:eastAsia="宋体" w:cs="Times New Roman"/>
      <w:sz w:val="21"/>
      <w:szCs w:val="20"/>
    </w:rPr>
  </w:style>
  <w:style w:type="paragraph" w:styleId="1126" w:customStyle="1">
    <w:name w:val="01 章标"/>
    <w:basedOn w:val="965"/>
    <w:uiPriority w:val="0"/>
    <w:qFormat/>
    <w:pPr>
      <w:ind w:firstLine="883"/>
      <w:jc w:val="center"/>
      <w:spacing w:line="240" w:lineRule="auto"/>
      <w:outlineLvl w:val="0"/>
    </w:pPr>
    <w:rPr>
      <w:rFonts w:ascii="Calibri" w:hAnsi="Calibri" w:eastAsia="宋体" w:cs="Times New Roman"/>
      <w:b/>
      <w:sz w:val="32"/>
      <w:szCs w:val="44"/>
    </w:rPr>
  </w:style>
  <w:style w:type="paragraph" w:styleId="1127" w:customStyle="1">
    <w:name w:val="Normal_0_0"/>
    <w:uiPriority w:val="0"/>
    <w:qFormat/>
    <w:rPr>
      <w:rFonts w:ascii="Times New Roman" w:hAnsi="Times New Roman" w:eastAsia="Times New Roman" w:cs="Times New Roman"/>
      <w:sz w:val="24"/>
      <w:szCs w:val="24"/>
      <w:lang w:val="en-US" w:eastAsia="zh-CN" w:bidi="ar-SA"/>
    </w:rPr>
  </w:style>
  <w:style w:type="paragraph" w:styleId="1128" w:customStyle="1">
    <w:name w:val="纯文本1"/>
    <w:basedOn w:val="965"/>
    <w:uiPriority w:val="0"/>
    <w:qFormat/>
    <w:pPr>
      <w:ind w:firstLine="0"/>
      <w:jc w:val="left"/>
      <w:spacing w:after="200" w:line="276" w:lineRule="auto"/>
      <w:widowControl/>
    </w:pPr>
    <w:rPr>
      <w:rFonts w:ascii="宋体" w:hAnsi="Courier New" w:eastAsia="楷体_GB2312" w:cs="Arial"/>
      <w:sz w:val="26"/>
      <w:lang w:eastAsia="en-US"/>
    </w:rPr>
  </w:style>
  <w:style w:type="character" w:styleId="1129" w:customStyle="1">
    <w:name w:val="标题 1 Char"/>
    <w:basedOn w:val="975"/>
    <w:link w:val="966"/>
    <w:uiPriority w:val="9"/>
    <w:qFormat/>
    <w:rPr>
      <w:rFonts w:ascii="MiSans" w:hAnsi="MiSans" w:cstheme="minorBidi"/>
      <w:b/>
      <w:bCs/>
      <w:sz w:val="21"/>
      <w:szCs w:val="36"/>
    </w:rPr>
  </w:style>
  <w:style w:type="paragraph" w:styleId="1130" w:customStyle="1">
    <w:name w:val="纯文本2"/>
    <w:basedOn w:val="965"/>
    <w:uiPriority w:val="0"/>
    <w:qFormat/>
    <w:pPr>
      <w:jc w:val="both"/>
      <w:spacing w:after="0" w:line="240" w:lineRule="auto"/>
      <w:widowControl w:val="off"/>
    </w:pPr>
    <w:rPr>
      <w:rFonts w:ascii="宋体" w:hAnsi="Courier New" w:eastAsia="楷体_GB2312" w:cs="Times New Roman"/>
      <w:sz w:val="26"/>
      <w:szCs w:val="20"/>
      <w:lang w:eastAsia="zh-CN"/>
    </w:rPr>
  </w:style>
  <w:style w:type="paragraph" w:styleId="1131" w:customStyle="1">
    <w:name w:val="列出段落1"/>
    <w:basedOn w:val="965"/>
    <w:uiPriority w:val="34"/>
    <w:qFormat/>
    <w:pPr>
      <w:ind w:firstLine="420"/>
    </w:pPr>
    <w:rPr>
      <w:szCs w:val="24"/>
    </w:rPr>
  </w:style>
  <w:style w:type="numbering" w:styleId="11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tc</dc:creator>
  <cp:lastModifiedBy>冯晔</cp:lastModifiedBy>
  <cp:revision>9</cp:revision>
  <dcterms:created xsi:type="dcterms:W3CDTF">2024-10-28T02:30:00Z</dcterms:created>
  <dcterms:modified xsi:type="dcterms:W3CDTF">2024-10-28T07:44:35Z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031BEF97B53F4AFA888733DF18B88C3A_13</vt:lpwstr>
  </property>
  <property fmtid="{D5CDD505-2E9C-101B-9397-08002B2CF9AE}" pid="4" name="_readonly">
    <vt:lpwstr/>
  </property>
  <property fmtid="{D5CDD505-2E9C-101B-9397-08002B2CF9AE}" pid="5" name="_change">
    <vt:lpwstr/>
  </property>
  <property fmtid="{D5CDD505-2E9C-101B-9397-08002B2CF9AE}" pid="6" name="_full-control">
    <vt:lpwstr/>
  </property>
  <property fmtid="{D5CDD505-2E9C-101B-9397-08002B2CF9AE}" pid="7" name="sflag">
    <vt:lpwstr>1729957022</vt:lpwstr>
  </property>
</Properties>
</file>