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lang w:eastAsia="zh-CN"/>
        </w:rPr>
      </w:pPr>
      <w:r>
        <w:rPr>
          <w:rFonts w:hint="eastAsia" w:ascii="宋体" w:hAnsi="宋体" w:eastAsia="宋体" w:cs="宋体"/>
          <w:b/>
          <w:color w:val="auto"/>
          <w:sz w:val="84"/>
          <w:szCs w:val="84"/>
          <w:highlight w:val="none"/>
        </w:rPr>
        <w:t xml:space="preserve">招标文件</w:t>
      </w:r>
      <w:r>
        <w:rPr>
          <w:rFonts w:hint="eastAsia" w:ascii="宋体" w:hAnsi="宋体" w:eastAsia="宋体" w:cs="宋体"/>
          <w:b/>
          <w:color w:val="auto"/>
          <w:sz w:val="84"/>
          <w:szCs w:val="84"/>
          <w:highlight w:val="none"/>
          <w:lang w:eastAsia="zh-CN"/>
        </w:rPr>
        <w:t xml:space="preserve">（</w:t>
      </w:r>
      <w:r>
        <w:rPr>
          <w:rFonts w:hint="eastAsia" w:ascii="宋体" w:hAnsi="宋体" w:eastAsia="宋体" w:cs="宋体"/>
          <w:b/>
          <w:color w:val="auto"/>
          <w:sz w:val="84"/>
          <w:szCs w:val="84"/>
          <w:highlight w:val="none"/>
          <w:lang w:val="en-US" w:eastAsia="zh-CN"/>
        </w:rPr>
        <w:t xml:space="preserve">二次</w:t>
      </w:r>
      <w:r>
        <w:rPr>
          <w:rFonts w:hint="eastAsia" w:ascii="宋体" w:hAnsi="宋体" w:eastAsia="宋体" w:cs="宋体"/>
          <w:b/>
          <w:color w:val="auto"/>
          <w:sz w:val="84"/>
          <w:szCs w:val="84"/>
          <w:highlight w:val="none"/>
          <w:lang w:eastAsia="zh-CN"/>
        </w:rPr>
        <w:t xml:space="preserve">）</w:t>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盐城市大丰区公安局“智慧侦查中心”设备采购项目</w:t>
      </w:r>
      <w:r/>
    </w:p>
    <w:p>
      <w:pPr>
        <w:pStyle w:val="648"/>
        <w:ind w:left="0" w:right="0" w:firstLine="1928"/>
        <w:jc w:val="both"/>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项目编号：JSZC-320904-JZCG-G2024-0044</w:t>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w:t>
      </w:r>
      <w:r>
        <w:rPr>
          <w:rFonts w:hint="eastAsia" w:ascii="宋体" w:hAnsi="宋体" w:eastAsia="宋体" w:cs="宋体"/>
          <w:b/>
          <w:color w:val="auto"/>
          <w:sz w:val="32"/>
          <w:szCs w:val="32"/>
          <w:highlight w:val="none"/>
          <w:lang w:eastAsia="zh-CN"/>
        </w:rPr>
        <w:t xml:space="preserve">：盐城市大丰区公安局</w:t>
      </w:r>
      <w:r/>
    </w:p>
    <w:p>
      <w:pPr>
        <w:pStyle w:val="648"/>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2024</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8</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28</w:t>
      </w:r>
      <w:r>
        <w:rPr>
          <w:rFonts w:hint="eastAsia" w:ascii="宋体" w:hAnsi="宋体" w:eastAsia="宋体" w:cs="宋体"/>
          <w:b/>
          <w:color w:val="auto"/>
          <w:sz w:val="32"/>
          <w:szCs w:val="32"/>
          <w:highlight w:val="none"/>
        </w:rPr>
        <w:t xml:space="preserve">日</w:t>
      </w:r>
      <w:r/>
    </w:p>
    <w:p>
      <w:pPr>
        <w:pStyle w:val="648"/>
        <w:ind w:left="0" w:right="0" w:firstLine="0"/>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480" w:lineRule="auto"/>
        <w:shd w:val="clear" w:color="auto"/>
        <w:rPr>
          <w:rFonts w:hint="eastAsia" w:ascii="宋体" w:hAnsi="宋体" w:eastAsia="宋体" w:cs="宋体"/>
          <w:color w:val="auto"/>
          <w:highlight w:val="none"/>
        </w:rPr>
      </w:pPr>
      <w:r/>
      <w:bookmarkStart w:id="0" w:name="_Toc523127445"/>
      <w:r/>
      <w:bookmarkStart w:id="1" w:name="_Toc20823272"/>
      <w:r/>
      <w:bookmarkStart w:id="2" w:name="_Toc513029200"/>
      <w:r/>
      <w:bookmarkStart w:id="3" w:name="_Toc479757206"/>
      <w:r/>
      <w:bookmarkStart w:id="4" w:name="_Toc120614210"/>
      <w:r/>
      <w:bookmarkStart w:id="5" w:name="_Toc16938516"/>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48"/>
        <w:ind w:left="0" w:right="0" w:firstLine="0"/>
        <w:jc w:val="both"/>
        <w:pageBreakBefore w:val="0"/>
        <w:spacing w:beforeAutospacing="0" w:afterAutospacing="0" w:line="48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480" w:lineRule="auto"/>
        <w:shd w:val="clear" w:color="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03</w:t>
      </w:r>
      <w:r>
        <w:rPr>
          <w:rFonts w:hint="eastAsia" w:ascii="宋体" w:hAnsi="宋体" w:eastAsia="宋体" w:cs="宋体"/>
          <w:color w:val="auto"/>
          <w:sz w:val="36"/>
          <w:szCs w:val="36"/>
          <w:highlight w:val="none"/>
        </w:rPr>
        <w:t xml:space="preserve"> </w:t>
      </w:r>
      <w:r/>
    </w:p>
    <w:p>
      <w:pPr>
        <w:pStyle w:val="648"/>
        <w:ind w:left="0" w:right="0" w:firstLine="0"/>
        <w:jc w:val="both"/>
        <w:pageBreakBefore w:val="0"/>
        <w:spacing w:beforeAutospacing="0" w:afterAutospacing="0" w:line="480" w:lineRule="auto"/>
        <w:shd w:val="clear" w:color="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06</w:t>
      </w:r>
      <w:r>
        <w:rPr>
          <w:rFonts w:hint="eastAsia" w:ascii="宋体" w:hAnsi="宋体" w:eastAsia="宋体" w:cs="宋体"/>
          <w:color w:val="auto"/>
          <w:sz w:val="36"/>
          <w:szCs w:val="36"/>
          <w:highlight w:val="none"/>
        </w:rPr>
        <w:t xml:space="preserve">  </w:t>
      </w:r>
      <w:r/>
    </w:p>
    <w:p>
      <w:pPr>
        <w:pStyle w:val="648"/>
        <w:ind w:left="0" w:right="0" w:firstLine="0"/>
        <w:jc w:val="both"/>
        <w:pageBreakBefore w:val="0"/>
        <w:spacing w:beforeAutospacing="0" w:afterAutospacing="0" w:line="480" w:lineRule="auto"/>
        <w:shd w:val="clear" w:color="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合同文本……………………………………………………</w:t>
      </w:r>
      <w:r>
        <w:rPr>
          <w:rFonts w:hint="eastAsia" w:ascii="宋体" w:hAnsi="宋体" w:eastAsia="宋体" w:cs="宋体"/>
          <w:color w:val="auto"/>
          <w:sz w:val="36"/>
          <w:szCs w:val="36"/>
          <w:highlight w:val="none"/>
          <w:lang w:val="en-US" w:eastAsia="zh-CN"/>
        </w:rPr>
        <w:t xml:space="preserve">15</w:t>
      </w:r>
      <w:r/>
    </w:p>
    <w:p>
      <w:pPr>
        <w:pStyle w:val="648"/>
        <w:ind w:left="0" w:right="0" w:firstLine="0"/>
        <w:jc w:val="both"/>
        <w:pageBreakBefore w:val="0"/>
        <w:spacing w:beforeAutospacing="0" w:afterAutospacing="0" w:line="480" w:lineRule="auto"/>
        <w:shd w:val="clear" w:color="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19</w:t>
      </w:r>
      <w:r/>
    </w:p>
    <w:p>
      <w:pPr>
        <w:pStyle w:val="648"/>
        <w:ind w:left="0" w:right="0" w:firstLine="0"/>
        <w:jc w:val="both"/>
        <w:pageBreakBefore w:val="0"/>
        <w:spacing w:beforeAutospacing="0" w:afterAutospacing="0" w:line="480" w:lineRule="auto"/>
        <w:shd w:val="clear" w:color="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77</w:t>
      </w:r>
      <w:r/>
    </w:p>
    <w:p>
      <w:pPr>
        <w:pStyle w:val="648"/>
        <w:ind w:left="0" w:right="0" w:firstLine="0"/>
        <w:jc w:val="both"/>
        <w:pageBreakBefore w:val="0"/>
        <w:spacing w:beforeAutospacing="0" w:afterAutospacing="0" w:line="480" w:lineRule="auto"/>
        <w:shd w:val="clear" w:color="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80</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keepLines w:val="0"/>
        <w:keepNext/>
        <w:pageBreakBefore w:val="0"/>
        <w:spacing w:beforeAutospacing="0" w:afterAutospacing="0" w:line="600" w:lineRule="exact"/>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r/>
    </w:p>
    <w:p>
      <w:pPr>
        <w:pStyle w:val="648"/>
        <w:ind w:left="0" w:right="0" w:firstLine="422"/>
        <w:jc w:val="both"/>
        <w:pageBreakBefore w:val="0"/>
        <w:spacing w:beforeAutospacing="0" w:afterAutospacing="0" w:line="440" w:lineRule="exact"/>
        <w:shd w:val="clear" w:color="auto"/>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auto"/>
          <w:sz w:val="21"/>
          <w:szCs w:val="21"/>
          <w:highlight w:val="none"/>
        </w:rPr>
        <w:t xml:space="preserve">项目概况</w:t>
      </w:r>
      <w:r/>
    </w:p>
    <w:p>
      <w:pPr>
        <w:pStyle w:val="648"/>
        <w:ind w:left="0" w:right="0" w:firstLine="420"/>
        <w:jc w:val="both"/>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u w:val="single"/>
          <w:lang w:eastAsia="zh-CN"/>
        </w:rPr>
        <w:t xml:space="preserve">盐城市大丰区公安局“智慧侦查中心”设备采购项目</w:t>
      </w:r>
      <w:r>
        <w:rPr>
          <w:rFonts w:hint="eastAsia" w:ascii="宋体" w:hAnsi="宋体" w:eastAsia="宋体" w:cs="宋体"/>
          <w:color w:val="auto"/>
          <w:sz w:val="21"/>
          <w:szCs w:val="21"/>
          <w:highlight w:val="none"/>
        </w:rPr>
        <w:t xml:space="preserve">招标项目的潜在投标人可在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bidi="ar-SA"/>
        </w:rPr>
        <w:t xml:space="preserve">中国政府采购网</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“江苏政府采购网、盐城市政府采购网”</w:t>
      </w:r>
      <w:r>
        <w:rPr>
          <w:rFonts w:hint="eastAsia" w:ascii="宋体" w:hAnsi="宋体" w:eastAsia="宋体" w:cs="宋体"/>
          <w:color w:val="auto"/>
          <w:sz w:val="21"/>
          <w:szCs w:val="21"/>
          <w:highlight w:val="none"/>
          <w:lang w:val="en-US" w:eastAsia="zh-CN"/>
        </w:rPr>
        <w:t xml:space="preserve">获取</w:t>
      </w:r>
      <w:r>
        <w:rPr>
          <w:rFonts w:hint="eastAsia" w:ascii="宋体" w:hAnsi="宋体" w:eastAsia="宋体" w:cs="宋体"/>
          <w:color w:val="auto"/>
          <w:sz w:val="21"/>
          <w:szCs w:val="21"/>
          <w:highlight w:val="none"/>
        </w:rPr>
        <w:t xml:space="preserve">招标文件，并于</w:t>
      </w:r>
      <w:r>
        <w:rPr>
          <w:rFonts w:hint="eastAsia" w:ascii="宋体" w:hAnsi="宋体" w:eastAsia="宋体" w:cs="宋体"/>
          <w:color w:val="auto"/>
          <w:sz w:val="21"/>
          <w:szCs w:val="21"/>
          <w:highlight w:val="none"/>
          <w:u w:val="single"/>
          <w:lang w:val="en-US" w:eastAsia="zh-CN" w:bidi="ar-SA"/>
        </w:rPr>
        <w:t xml:space="preserve">2024年9月23</w:t>
      </w:r>
      <w:r>
        <w:rPr>
          <w:rFonts w:hint="eastAsia" w:ascii="宋体" w:hAnsi="宋体" w:eastAsia="宋体" w:cs="宋体"/>
          <w:color w:val="auto"/>
          <w:sz w:val="21"/>
          <w:szCs w:val="21"/>
          <w:highlight w:val="none"/>
          <w:u w:val="single"/>
          <w:lang w:val="en-US" w:eastAsia="zh-CN"/>
        </w:rPr>
        <w:t xml:space="preserve">日10点00分</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rPr>
        <w:t xml:space="preserve">北京时间）前递交投标文件。</w:t>
      </w:r>
      <w:r/>
    </w:p>
    <w:p>
      <w:pPr>
        <w:pStyle w:val="648"/>
        <w:ind w:left="0" w:right="0" w:firstLine="422"/>
        <w:jc w:val="both"/>
        <w:keepLines/>
        <w:keepNext/>
        <w:pageBreakBefore w:val="0"/>
        <w:spacing w:beforeAutospacing="0" w:afterAutospacing="0" w:line="440" w:lineRule="exact"/>
        <w:shd w:val="clear" w:color="auto"/>
        <w:rPr>
          <w:rFonts w:hint="eastAsia" w:ascii="宋体" w:hAnsi="宋体" w:eastAsia="宋体" w:cs="宋体"/>
          <w:color w:val="auto"/>
          <w:sz w:val="21"/>
          <w:szCs w:val="21"/>
          <w:highlight w:val="none"/>
        </w:rPr>
      </w:pPr>
      <w:r/>
      <w:bookmarkStart w:id="6" w:name="_Toc28359079"/>
      <w:r/>
      <w:bookmarkStart w:id="7" w:name="_Hlk24379207"/>
      <w:r/>
      <w:bookmarkStart w:id="8" w:name="_Toc28359002"/>
      <w:r/>
      <w:bookmarkStart w:id="9" w:name="_Toc38985263"/>
      <w:r/>
      <w:bookmarkStart w:id="10" w:name="_Toc35393621"/>
      <w:r/>
      <w:bookmarkStart w:id="11" w:name="_Toc35393790"/>
      <w:r>
        <w:rPr>
          <w:rFonts w:hint="eastAsia" w:ascii="宋体" w:hAnsi="宋体" w:eastAsia="宋体" w:cs="宋体"/>
          <w:b/>
          <w:color w:val="auto"/>
          <w:sz w:val="21"/>
          <w:szCs w:val="21"/>
          <w:highlight w:val="none"/>
        </w:rPr>
        <w:t xml:space="preserve">一、项目基本情况</w:t>
      </w:r>
      <w:bookmarkEnd w:id="6"/>
      <w:r/>
      <w:bookmarkEnd w:id="7"/>
      <w:r/>
      <w:bookmarkEnd w:id="8"/>
      <w:r/>
      <w:bookmarkEnd w:id="9"/>
      <w:r/>
      <w:bookmarkEnd w:id="10"/>
      <w:r/>
      <w:bookmarkEnd w:id="11"/>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u w:val="none"/>
        </w:rPr>
        <w:t xml:space="preserve">JSZC-320904-JZCG-G2024-0044</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盐城市大丰区公安局“智慧侦查中心”设备采购项目</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采购方式：</w:t>
      </w:r>
      <w:r>
        <w:rPr>
          <w:rFonts w:hint="eastAsia" w:ascii="宋体" w:hAnsi="宋体" w:eastAsia="宋体" w:cs="宋体"/>
          <w:color w:val="auto"/>
          <w:sz w:val="21"/>
          <w:szCs w:val="21"/>
          <w:highlight w:val="none"/>
          <w:lang w:val="en-US" w:eastAsia="zh-CN"/>
        </w:rPr>
        <w:t xml:space="preserve">公开招标</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5500000.00元</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5398858.25元</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盐城市大丰区公安局“智慧侦查中心”设备采购（含货物、包装、运输及其保险）、安装、调试、检测、技术培训、免费提供备品备件和专用工具等伴随服务，</w:t>
      </w:r>
      <w:r>
        <w:rPr>
          <w:rFonts w:hint="eastAsia" w:ascii="宋体" w:hAnsi="宋体" w:eastAsia="宋体" w:cs="宋体"/>
          <w:color w:val="auto"/>
          <w:sz w:val="21"/>
          <w:szCs w:val="21"/>
          <w:highlight w:val="none"/>
          <w:lang w:val="en-US" w:eastAsia="zh-CN"/>
        </w:rPr>
        <w:t xml:space="preserve">详见本项目招标文件第四章采购需求</w:t>
      </w:r>
      <w:r>
        <w:rPr>
          <w:rFonts w:hint="eastAsia" w:ascii="宋体" w:hAnsi="宋体" w:eastAsia="宋体" w:cs="宋体"/>
          <w:color w:val="auto"/>
          <w:sz w:val="21"/>
          <w:szCs w:val="21"/>
          <w:highlight w:val="none"/>
          <w:lang w:eastAsia="zh-CN"/>
        </w:rPr>
        <w:t xml:space="preserve">。</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30日历天</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接受联合体参与</w:t>
      </w:r>
      <w:r>
        <w:rPr>
          <w:rFonts w:hint="eastAsia" w:ascii="宋体" w:hAnsi="宋体" w:eastAsia="宋体" w:cs="宋体"/>
          <w:color w:val="auto"/>
          <w:sz w:val="21"/>
          <w:szCs w:val="21"/>
          <w:highlight w:val="none"/>
          <w:lang w:val="en-US" w:eastAsia="zh-CN"/>
        </w:rPr>
        <w:t xml:space="preserve">招标。</w:t>
      </w:r>
      <w:r/>
    </w:p>
    <w:p>
      <w:pPr>
        <w:pStyle w:val="648"/>
        <w:ind w:left="0" w:right="0" w:firstLine="422"/>
        <w:jc w:val="both"/>
        <w:keepLines/>
        <w:keepNext/>
        <w:pageBreakBefore w:val="0"/>
        <w:spacing w:beforeAutospacing="0" w:afterAutospacing="0" w:line="440" w:lineRule="exact"/>
        <w:shd w:val="clear" w:color="auto"/>
        <w:rPr>
          <w:rFonts w:hint="eastAsia" w:ascii="宋体" w:hAnsi="宋体" w:eastAsia="宋体" w:cs="宋体"/>
          <w:color w:val="auto"/>
          <w:sz w:val="21"/>
          <w:szCs w:val="21"/>
          <w:highlight w:val="none"/>
        </w:rPr>
      </w:pPr>
      <w:r/>
      <w:bookmarkStart w:id="12" w:name="_Toc38985264"/>
      <w:r/>
      <w:bookmarkStart w:id="13" w:name="_Toc28359080"/>
      <w:r/>
      <w:bookmarkStart w:id="14" w:name="_Toc35393791"/>
      <w:r/>
      <w:bookmarkStart w:id="15" w:name="_Toc28359003"/>
      <w:r/>
      <w:bookmarkStart w:id="16" w:name="_Toc35393622"/>
      <w:r>
        <w:rPr>
          <w:rFonts w:hint="eastAsia" w:ascii="宋体" w:hAnsi="宋体" w:eastAsia="宋体" w:cs="宋体"/>
          <w:b/>
          <w:color w:val="auto"/>
          <w:sz w:val="21"/>
          <w:szCs w:val="21"/>
          <w:highlight w:val="none"/>
        </w:rPr>
        <w:t xml:space="preserve">二、申请人的资格要求：</w:t>
      </w:r>
      <w:bookmarkEnd w:id="12"/>
      <w:r/>
      <w:bookmarkEnd w:id="13"/>
      <w:r/>
      <w:bookmarkEnd w:id="14"/>
      <w:r/>
      <w:bookmarkEnd w:id="15"/>
      <w:r/>
      <w:bookmarkEnd w:id="16"/>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1.1法人或者其他组织的营业执照等证明文件，自然人的身份证明</w:t>
      </w:r>
      <w:r>
        <w:rPr>
          <w:rFonts w:hint="eastAsia" w:ascii="宋体" w:hAnsi="宋体" w:eastAsia="宋体" w:cs="宋体"/>
          <w:color w:val="auto"/>
          <w:sz w:val="21"/>
          <w:szCs w:val="21"/>
          <w:highlight w:val="none"/>
          <w:lang w:eastAsia="zh-CN"/>
        </w:rPr>
        <w:t xml:space="preserve">。</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1.2上一年度的财务状况报表（成立不满一年无需提供）</w:t>
      </w:r>
      <w:r>
        <w:rPr>
          <w:rFonts w:hint="eastAsia" w:ascii="宋体" w:hAnsi="宋体" w:eastAsia="宋体" w:cs="宋体"/>
          <w:color w:val="auto"/>
          <w:sz w:val="21"/>
          <w:szCs w:val="21"/>
          <w:highlight w:val="none"/>
          <w:lang w:eastAsia="zh-CN"/>
        </w:rPr>
        <w:t xml:space="preserve">。</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具备履行合同所必需的设备和专业技术能力的书面声明</w:t>
      </w:r>
      <w:r>
        <w:rPr>
          <w:rFonts w:hint="eastAsia" w:ascii="宋体" w:hAnsi="宋体" w:eastAsia="宋体" w:cs="宋体"/>
          <w:color w:val="auto"/>
          <w:sz w:val="21"/>
          <w:szCs w:val="21"/>
          <w:highlight w:val="none"/>
          <w:lang w:eastAsia="zh-CN"/>
        </w:rPr>
        <w:t xml:space="preserve">。</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依法缴纳税收和社会保障资金的相关材料（提供提交</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1"/>
          <w:szCs w:val="21"/>
          <w:highlight w:val="none"/>
          <w:lang w:eastAsia="zh-CN"/>
        </w:rPr>
        <w:t xml:space="preserve">。</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.5参加政府采购活动前3年内在经营活动中没有重大违法记录的书面声明。</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1.6法律、行政法规规定的其他条件。</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中无需提供证明材料）</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单位负责人为同一人或者存在直接控股、管理关系的不同供应商，不得参加同一合同项下的政府采购活动。</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落实政府采购政策需满足的资格要求：无</w:t>
      </w:r>
      <w:r>
        <w:rPr>
          <w:rFonts w:hint="eastAsia" w:ascii="宋体" w:hAnsi="宋体" w:eastAsia="宋体" w:cs="宋体"/>
          <w:color w:val="auto"/>
          <w:sz w:val="21"/>
          <w:szCs w:val="21"/>
          <w:highlight w:val="none"/>
          <w:lang w:eastAsia="zh-CN"/>
        </w:rPr>
        <w:t xml:space="preserve">。</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无。</w:t>
      </w:r>
      <w:r/>
    </w:p>
    <w:p>
      <w:pPr>
        <w:pStyle w:val="648"/>
        <w:ind w:left="0" w:right="0" w:firstLine="422"/>
        <w:jc w:val="both"/>
        <w:keepLines/>
        <w:keepNext/>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三、获取招标文件</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17" w:name="_Toc28359005"/>
      <w:r/>
      <w:bookmarkStart w:id="18" w:name="_Toc28359082"/>
      <w:r/>
      <w:bookmarkStart w:id="19" w:name="_Toc35393624"/>
      <w:r/>
      <w:bookmarkStart w:id="20" w:name="_Toc38985266"/>
      <w:r/>
      <w:bookmarkStart w:id="21" w:name="_Toc35393793"/>
      <w:r>
        <w:rPr>
          <w:rFonts w:hint="eastAsia" w:ascii="宋体" w:hAnsi="宋体" w:eastAsia="宋体" w:cs="宋体"/>
          <w:color w:val="auto"/>
          <w:sz w:val="21"/>
          <w:szCs w:val="21"/>
          <w:highlight w:val="none"/>
        </w:rPr>
        <w:t xml:space="preserve">1.时间：</w:t>
      </w:r>
      <w:bookmarkEnd w:id="17"/>
      <w:r/>
      <w:bookmarkEnd w:id="18"/>
      <w:r/>
      <w:bookmarkEnd w:id="19"/>
      <w:r/>
      <w:bookmarkEnd w:id="20"/>
      <w:r/>
      <w:bookmarkEnd w:id="21"/>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2024</w:t>
      </w:r>
      <w:r>
        <w:rPr>
          <w:rFonts w:hint="eastAsia" w:ascii="宋体" w:hAnsi="宋体" w:eastAsia="宋体" w:cs="宋体"/>
          <w:i w:val="0"/>
          <w:iCs w:val="0"/>
          <w:caps w:val="0"/>
          <w:color w:val="auto"/>
          <w:spacing w:val="0"/>
          <w:sz w:val="21"/>
          <w:szCs w:val="21"/>
          <w:highlight w:val="none"/>
          <w:u w:val="none"/>
          <w:shd w:val="clear" w:color="auto" w:fill="ffffff"/>
        </w:rPr>
        <w:t xml:space="preserve">年</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8</w:t>
      </w:r>
      <w:r>
        <w:rPr>
          <w:rFonts w:hint="eastAsia" w:ascii="宋体" w:hAnsi="宋体" w:eastAsia="宋体" w:cs="宋体"/>
          <w:i w:val="0"/>
          <w:iCs w:val="0"/>
          <w:caps w:val="0"/>
          <w:color w:val="auto"/>
          <w:spacing w:val="0"/>
          <w:sz w:val="21"/>
          <w:szCs w:val="21"/>
          <w:highlight w:val="none"/>
          <w:u w:val="none"/>
          <w:shd w:val="clear" w:color="auto" w:fill="ffffff"/>
        </w:rPr>
        <w:t xml:space="preserve">月</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30</w:t>
      </w:r>
      <w:r>
        <w:rPr>
          <w:rFonts w:hint="eastAsia" w:ascii="宋体" w:hAnsi="宋体" w:eastAsia="宋体" w:cs="宋体"/>
          <w:i w:val="0"/>
          <w:iCs w:val="0"/>
          <w:caps w:val="0"/>
          <w:color w:val="auto"/>
          <w:spacing w:val="0"/>
          <w:sz w:val="21"/>
          <w:szCs w:val="21"/>
          <w:highlight w:val="none"/>
          <w:u w:val="none"/>
          <w:shd w:val="clear" w:color="auto" w:fill="ffffff"/>
        </w:rPr>
        <w:t xml:space="preserve">日</w:t>
      </w:r>
      <w:r>
        <w:rPr>
          <w:rFonts w:hint="eastAsia" w:ascii="宋体" w:hAnsi="宋体" w:eastAsia="宋体" w:cs="宋体"/>
          <w:i w:val="0"/>
          <w:iCs w:val="0"/>
          <w:caps w:val="0"/>
          <w:color w:val="auto"/>
          <w:spacing w:val="0"/>
          <w:sz w:val="21"/>
          <w:szCs w:val="21"/>
          <w:highlight w:val="none"/>
          <w:shd w:val="clear" w:color="auto" w:fill="ffffff"/>
        </w:rPr>
        <w:t xml:space="preserve">至</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2024</w:t>
      </w:r>
      <w:r>
        <w:rPr>
          <w:rFonts w:hint="eastAsia" w:ascii="宋体" w:hAnsi="宋体" w:eastAsia="宋体" w:cs="宋体"/>
          <w:i w:val="0"/>
          <w:iCs w:val="0"/>
          <w:caps w:val="0"/>
          <w:color w:val="auto"/>
          <w:spacing w:val="0"/>
          <w:sz w:val="21"/>
          <w:szCs w:val="21"/>
          <w:highlight w:val="none"/>
          <w:u w:val="none"/>
          <w:shd w:val="clear" w:color="auto" w:fill="ffffff"/>
        </w:rPr>
        <w:t xml:space="preserve">年</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9</w:t>
      </w:r>
      <w:r>
        <w:rPr>
          <w:rFonts w:hint="eastAsia" w:ascii="宋体" w:hAnsi="宋体" w:eastAsia="宋体" w:cs="宋体"/>
          <w:i w:val="0"/>
          <w:iCs w:val="0"/>
          <w:caps w:val="0"/>
          <w:color w:val="auto"/>
          <w:spacing w:val="0"/>
          <w:sz w:val="21"/>
          <w:szCs w:val="21"/>
          <w:highlight w:val="none"/>
          <w:u w:val="none"/>
          <w:shd w:val="clear" w:color="auto" w:fill="ffffff"/>
        </w:rPr>
        <w:t xml:space="preserve">月</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6</w:t>
      </w:r>
      <w:r>
        <w:rPr>
          <w:rFonts w:hint="eastAsia" w:ascii="宋体" w:hAnsi="宋体" w:eastAsia="宋体" w:cs="宋体"/>
          <w:i w:val="0"/>
          <w:iCs w:val="0"/>
          <w:caps w:val="0"/>
          <w:color w:val="auto"/>
          <w:spacing w:val="0"/>
          <w:sz w:val="21"/>
          <w:szCs w:val="21"/>
          <w:highlight w:val="none"/>
          <w:u w:val="none"/>
          <w:shd w:val="clear" w:color="auto" w:fill="ffffff"/>
        </w:rPr>
        <w:t xml:space="preserve">日</w:t>
      </w:r>
      <w:r>
        <w:rPr>
          <w:rFonts w:hint="eastAsia" w:ascii="宋体" w:hAnsi="宋体" w:eastAsia="宋体" w:cs="宋体"/>
          <w:i w:val="0"/>
          <w:iCs w:val="0"/>
          <w:caps w:val="0"/>
          <w:color w:val="auto"/>
          <w:spacing w:val="0"/>
          <w:sz w:val="21"/>
          <w:szCs w:val="21"/>
          <w:highlight w:val="none"/>
          <w:shd w:val="clear" w:color="auto" w:fill="ffffff"/>
        </w:rPr>
        <w:t xml:space="preserve">，每天上午</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8:00时</w:t>
      </w:r>
      <w:r>
        <w:rPr>
          <w:rFonts w:hint="eastAsia" w:ascii="宋体" w:hAnsi="宋体" w:eastAsia="宋体" w:cs="宋体"/>
          <w:i w:val="0"/>
          <w:iCs w:val="0"/>
          <w:caps w:val="0"/>
          <w:color w:val="auto"/>
          <w:spacing w:val="0"/>
          <w:sz w:val="21"/>
          <w:szCs w:val="21"/>
          <w:highlight w:val="none"/>
          <w:shd w:val="clear" w:color="auto" w:fill="ffffff"/>
        </w:rPr>
        <w:t xml:space="preserve">至</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12:00时</w:t>
      </w:r>
      <w:r>
        <w:rPr>
          <w:rFonts w:hint="eastAsia" w:ascii="宋体" w:hAnsi="宋体" w:eastAsia="宋体" w:cs="宋体"/>
          <w:i w:val="0"/>
          <w:iCs w:val="0"/>
          <w:caps w:val="0"/>
          <w:color w:val="auto"/>
          <w:spacing w:val="0"/>
          <w:sz w:val="21"/>
          <w:szCs w:val="21"/>
          <w:highlight w:val="none"/>
          <w:shd w:val="clear" w:color="auto" w:fill="ffffff"/>
        </w:rPr>
        <w:t xml:space="preserve">，下午</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12:00时</w:t>
      </w:r>
      <w:r>
        <w:rPr>
          <w:rFonts w:hint="eastAsia" w:ascii="宋体" w:hAnsi="宋体" w:eastAsia="宋体" w:cs="宋体"/>
          <w:i w:val="0"/>
          <w:iCs w:val="0"/>
          <w:caps w:val="0"/>
          <w:color w:val="auto"/>
          <w:spacing w:val="0"/>
          <w:sz w:val="21"/>
          <w:szCs w:val="21"/>
          <w:highlight w:val="none"/>
          <w:shd w:val="clear" w:color="auto" w:fill="ffffff"/>
        </w:rPr>
        <w:t xml:space="preserve">至</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18:00时</w:t>
      </w:r>
      <w:r>
        <w:rPr>
          <w:rFonts w:hint="eastAsia" w:ascii="宋体" w:hAnsi="宋体" w:eastAsia="宋体" w:cs="宋体"/>
          <w:i w:val="0"/>
          <w:iCs w:val="0"/>
          <w:caps w:val="0"/>
          <w:color w:val="auto"/>
          <w:spacing w:val="0"/>
          <w:sz w:val="21"/>
          <w:szCs w:val="21"/>
          <w:highlight w:val="none"/>
          <w:shd w:val="clear" w:color="auto" w:fill="ffffff"/>
        </w:rPr>
        <w:t xml:space="preserve">（北京时间，法定节假日除外 ）</w:t>
      </w:r>
      <w:r>
        <w:rPr>
          <w:rFonts w:hint="eastAsia" w:ascii="宋体" w:hAnsi="宋体" w:eastAsia="宋体" w:cs="宋体"/>
          <w:color w:val="auto"/>
          <w:sz w:val="21"/>
          <w:szCs w:val="21"/>
          <w:highlight w:val="none"/>
        </w:rPr>
        <w:t xml:space="preserve">。</w:t>
      </w:r>
      <w:r/>
    </w:p>
    <w:p>
      <w:pPr>
        <w:ind w:left="0" w:right="0" w:firstLine="420"/>
        <w:jc w:val="left"/>
        <w:pageBreakBefore w:val="0"/>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2.地点：</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color w:val="auto"/>
          <w:sz w:val="21"/>
          <w:szCs w:val="21"/>
          <w:highlight w:val="none"/>
          <w:lang w:val="en-US" w:eastAsia="zh-CN"/>
        </w:rPr>
        <w:t xml:space="preserve">江苏政府采购网、盐城市政府采购网</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.方式：在“</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“江苏政府采购网”、“盐城市政府采购网”自行免费下载</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w:t>
      </w:r>
      <w:r/>
    </w:p>
    <w:p>
      <w:pPr>
        <w:ind w:left="0" w:right="0" w:firstLine="420"/>
        <w:jc w:val="left"/>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4.售价：0元</w:t>
      </w:r>
      <w:r/>
    </w:p>
    <w:p>
      <w:pPr>
        <w:pStyle w:val="648"/>
        <w:ind w:left="0" w:right="0" w:firstLine="422"/>
        <w:jc w:val="both"/>
        <w:keepLines/>
        <w:keepNext/>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四、提交投标文件截止时间、开标时间和地点</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1.时间：</w:t>
      </w:r>
      <w:r>
        <w:rPr>
          <w:rFonts w:hint="eastAsia" w:ascii="宋体" w:hAnsi="宋体" w:eastAsia="宋体" w:cs="宋体"/>
          <w:b w:val="0"/>
          <w:bCs w:val="0"/>
          <w:color w:val="auto"/>
          <w:sz w:val="21"/>
          <w:szCs w:val="21"/>
          <w:highlight w:val="none"/>
          <w:u w:val="single"/>
          <w:lang w:val="en-US" w:eastAsia="zh-CN"/>
        </w:rPr>
        <w:t xml:space="preserve">2024</w:t>
      </w:r>
      <w:r>
        <w:rPr>
          <w:rFonts w:hint="eastAsia" w:ascii="宋体" w:hAnsi="宋体" w:eastAsia="宋体" w:cs="宋体"/>
          <w:b w:val="0"/>
          <w:bCs w:val="0"/>
          <w:color w:val="auto"/>
          <w:sz w:val="21"/>
          <w:szCs w:val="21"/>
          <w:highlight w:val="none"/>
          <w:u w:val="none"/>
          <w:lang w:val="en-US" w:eastAsia="zh-CN"/>
        </w:rPr>
        <w:t xml:space="preserve">年</w:t>
      </w:r>
      <w:r>
        <w:rPr>
          <w:rFonts w:hint="eastAsia" w:ascii="宋体" w:hAnsi="宋体" w:eastAsia="宋体" w:cs="宋体"/>
          <w:b w:val="0"/>
          <w:bCs w:val="0"/>
          <w:color w:val="auto"/>
          <w:sz w:val="21"/>
          <w:szCs w:val="21"/>
          <w:highlight w:val="none"/>
          <w:u w:val="single"/>
          <w:lang w:val="en-US" w:eastAsia="zh-CN"/>
        </w:rPr>
        <w:t xml:space="preserve">9</w:t>
      </w:r>
      <w:r>
        <w:rPr>
          <w:rFonts w:hint="eastAsia" w:ascii="宋体" w:hAnsi="宋体" w:eastAsia="宋体" w:cs="宋体"/>
          <w:b w:val="0"/>
          <w:bCs w:val="0"/>
          <w:color w:val="auto"/>
          <w:sz w:val="21"/>
          <w:szCs w:val="21"/>
          <w:highlight w:val="none"/>
          <w:u w:val="none"/>
          <w:lang w:val="en-US" w:eastAsia="zh-CN"/>
        </w:rPr>
        <w:t xml:space="preserve">月</w:t>
      </w:r>
      <w:r>
        <w:rPr>
          <w:rFonts w:hint="eastAsia" w:ascii="宋体" w:hAnsi="宋体" w:eastAsia="宋体" w:cs="宋体"/>
          <w:b w:val="0"/>
          <w:bCs w:val="0"/>
          <w:color w:val="auto"/>
          <w:sz w:val="21"/>
          <w:szCs w:val="21"/>
          <w:highlight w:val="none"/>
          <w:u w:val="single"/>
          <w:lang w:val="en-US" w:eastAsia="zh-CN"/>
        </w:rPr>
        <w:t xml:space="preserve">23</w:t>
      </w:r>
      <w:r>
        <w:rPr>
          <w:rFonts w:hint="eastAsia" w:ascii="宋体" w:hAnsi="宋体" w:eastAsia="宋体" w:cs="宋体"/>
          <w:b w:val="0"/>
          <w:bCs w:val="0"/>
          <w:color w:val="auto"/>
          <w:sz w:val="21"/>
          <w:szCs w:val="21"/>
          <w:highlight w:val="none"/>
          <w:u w:val="none"/>
          <w:lang w:val="en-US" w:eastAsia="zh-CN"/>
        </w:rPr>
        <w:t xml:space="preserve">日</w:t>
      </w:r>
      <w:r>
        <w:rPr>
          <w:rFonts w:hint="eastAsia" w:ascii="宋体" w:hAnsi="宋体" w:eastAsia="宋体" w:cs="宋体"/>
          <w:b w:val="0"/>
          <w:bCs w:val="0"/>
          <w:color w:val="auto"/>
          <w:sz w:val="21"/>
          <w:szCs w:val="21"/>
          <w:highlight w:val="none"/>
          <w:u w:val="single"/>
          <w:lang w:val="en-US" w:eastAsia="zh-CN"/>
        </w:rPr>
        <w:t xml:space="preserve">10</w:t>
      </w:r>
      <w:bookmarkStart w:id="204" w:name="_GoBack"/>
      <w:r/>
      <w:bookmarkEnd w:id="204"/>
      <w:r>
        <w:rPr>
          <w:rFonts w:hint="eastAsia" w:ascii="宋体" w:hAnsi="宋体" w:eastAsia="宋体" w:cs="宋体"/>
          <w:b w:val="0"/>
          <w:bCs w:val="0"/>
          <w:color w:val="auto"/>
          <w:sz w:val="21"/>
          <w:szCs w:val="21"/>
          <w:highlight w:val="none"/>
          <w:u w:val="none"/>
          <w:lang w:val="en-US" w:eastAsia="zh-CN"/>
        </w:rPr>
        <w:t xml:space="preserve">点</w:t>
      </w:r>
      <w:r>
        <w:rPr>
          <w:rFonts w:hint="eastAsia" w:ascii="宋体" w:hAnsi="宋体" w:eastAsia="宋体" w:cs="宋体"/>
          <w:b w:val="0"/>
          <w:bCs w:val="0"/>
          <w:color w:val="auto"/>
          <w:sz w:val="21"/>
          <w:szCs w:val="21"/>
          <w:highlight w:val="none"/>
          <w:u w:val="single"/>
          <w:lang w:val="en-US" w:eastAsia="zh-CN"/>
        </w:rPr>
        <w:t xml:space="preserve">00</w:t>
      </w:r>
      <w:r>
        <w:rPr>
          <w:rFonts w:hint="eastAsia" w:ascii="宋体" w:hAnsi="宋体" w:eastAsia="宋体" w:cs="宋体"/>
          <w:b w:val="0"/>
          <w:bCs w:val="0"/>
          <w:color w:val="auto"/>
          <w:sz w:val="21"/>
          <w:szCs w:val="21"/>
          <w:highlight w:val="none"/>
          <w:u w:val="none"/>
          <w:lang w:val="en-US" w:eastAsia="zh-CN"/>
        </w:rPr>
        <w:t xml:space="preserve">分</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rPr>
        <w:t xml:space="preserve">北京时间）</w:t>
      </w:r>
      <w:r/>
    </w:p>
    <w:p>
      <w:pPr>
        <w:pStyle w:val="648"/>
        <w:ind w:left="0" w:right="0" w:firstLine="420"/>
        <w:jc w:val="both"/>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2.地点：“苏采云”政府采购交易系统网上开标大厅。</w:t>
      </w:r>
      <w:r/>
    </w:p>
    <w:p>
      <w:pPr>
        <w:pStyle w:val="648"/>
        <w:ind w:left="0" w:right="0" w:firstLine="422"/>
        <w:jc w:val="both"/>
        <w:keepLines/>
        <w:keepNext/>
        <w:pageBreakBefore w:val="0"/>
        <w:spacing w:beforeAutospacing="0" w:afterAutospacing="0" w:line="440" w:lineRule="exact"/>
        <w:shd w:val="clear" w:color="auto"/>
        <w:rPr>
          <w:rFonts w:hint="eastAsia" w:ascii="宋体" w:hAnsi="宋体" w:eastAsia="宋体" w:cs="宋体"/>
          <w:color w:val="auto"/>
          <w:sz w:val="21"/>
          <w:szCs w:val="21"/>
          <w:highlight w:val="none"/>
        </w:rPr>
      </w:pPr>
      <w:r/>
      <w:bookmarkStart w:id="22" w:name="_Toc38985267"/>
      <w:r/>
      <w:bookmarkStart w:id="23" w:name="_Toc35393625"/>
      <w:r/>
      <w:bookmarkStart w:id="24" w:name="_Toc28359007"/>
      <w:r/>
      <w:bookmarkStart w:id="25" w:name="_Toc35393794"/>
      <w:r/>
      <w:bookmarkStart w:id="26" w:name="_Toc28359084"/>
      <w:r>
        <w:rPr>
          <w:rFonts w:hint="eastAsia" w:ascii="宋体" w:hAnsi="宋体" w:eastAsia="宋体" w:cs="宋体"/>
          <w:b/>
          <w:color w:val="auto"/>
          <w:sz w:val="21"/>
          <w:szCs w:val="21"/>
          <w:highlight w:val="none"/>
        </w:rPr>
        <w:t xml:space="preserve">五、公告期限</w:t>
      </w:r>
      <w:bookmarkEnd w:id="22"/>
      <w:r/>
      <w:bookmarkEnd w:id="23"/>
      <w:r/>
      <w:bookmarkEnd w:id="24"/>
      <w:r/>
      <w:bookmarkEnd w:id="25"/>
      <w:r/>
      <w:bookmarkEnd w:id="26"/>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自本公告发布之日起5个工作日。</w:t>
      </w:r>
      <w:bookmarkEnd w:id="27"/>
      <w:r/>
      <w:bookmarkEnd w:id="28"/>
      <w:r/>
      <w:bookmarkEnd w:id="29"/>
      <w:r/>
      <w:r/>
    </w:p>
    <w:p>
      <w:pPr>
        <w:pStyle w:val="648"/>
        <w:ind w:left="0" w:right="0" w:firstLine="422"/>
        <w:jc w:val="both"/>
        <w:keepLines/>
        <w:keepNext/>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1.根据省财政厅《关</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2.有关本次招标的事项若存在变动或修改，敬请及时关注盐城市政府采购人在“中国政府采购网”、“江苏政府采购网”、“盐城市政府采购网”发布的更正公告。</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3.本次招标不收取投标保证金，不收取质量保证金。</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4.评审结束后，中标人需提供纸质投标文件一正四副用于归档，未中标单位不需要提供。</w:t>
      </w:r>
      <w:r/>
    </w:p>
    <w:p>
      <w:pPr>
        <w:pStyle w:val="648"/>
        <w:ind w:left="0" w:right="0" w:firstLine="422"/>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七、对本次招标提出询问，请按以下方式联系。</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1.采购人信息</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名    称：盐城市大丰区公安局  </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    址：盐城市大丰区健康西路21号  </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 系 人：季军             </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联系方式：13851018160            </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2.项目联系方式</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项目联系人：蒋华林</w:t>
      </w:r>
      <w:r/>
    </w:p>
    <w:p>
      <w:pPr>
        <w:pStyle w:val="648"/>
        <w:ind w:left="0" w:right="0" w:firstLine="42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电　　  话：15189285981</w:t>
      </w:r>
      <w:bookmarkEnd w:id="30"/>
      <w:r/>
      <w:bookmarkStart w:id="31" w:name="_Toc28359009"/>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　　　　　　　　　　　　</w:t>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48"/>
        <w:ind w:left="0" w:right="0" w:firstLine="0"/>
        <w:jc w:val="center"/>
        <w:keepLines/>
        <w:keepNext/>
        <w:pageBreakBefore w:val="0"/>
        <w:spacing w:beforeAutospacing="0" w:afterAutospacing="0" w:line="415" w:lineRule="auto"/>
        <w:shd w:val="clear" w:color="auto"/>
        <w:rPr>
          <w:rFonts w:hint="eastAsia" w:ascii="宋体" w:hAnsi="宋体" w:eastAsia="宋体" w:cs="宋体"/>
          <w:color w:val="auto"/>
          <w:highlight w:val="none"/>
        </w:rPr>
      </w:pPr>
      <w:r/>
      <w:bookmarkStart w:id="32" w:name="_Toc120614211"/>
      <w:r>
        <w:rPr>
          <w:rFonts w:hint="eastAsia" w:ascii="宋体" w:hAnsi="宋体" w:eastAsia="宋体" w:cs="宋体"/>
          <w:b/>
          <w:color w:val="auto"/>
          <w:sz w:val="44"/>
          <w:szCs w:val="44"/>
          <w:highlight w:val="none"/>
        </w:rPr>
        <w:t xml:space="preserve">第二章  </w:t>
      </w:r>
      <w:bookmarkEnd w:id="32"/>
      <w:r/>
      <w:bookmarkStart w:id="33" w:name="_Toc513029202"/>
      <w:r/>
      <w:bookmarkStart w:id="34" w:name="_Toc120614213"/>
      <w:r/>
      <w:bookmarkStart w:id="35" w:name="_Toc16938518"/>
      <w:r/>
      <w:bookmarkStart w:id="36" w:name="_Toc20823274"/>
      <w:r>
        <w:rPr>
          <w:rFonts w:hint="eastAsia" w:ascii="宋体" w:hAnsi="宋体" w:eastAsia="宋体" w:cs="宋体"/>
          <w:b/>
          <w:color w:val="auto"/>
          <w:sz w:val="44"/>
          <w:szCs w:val="44"/>
          <w:highlight w:val="none"/>
        </w:rPr>
        <w:t xml:space="preserve">投标人须知</w:t>
      </w:r>
      <w:bookmarkEnd w:id="33"/>
      <w:r/>
      <w:bookmarkEnd w:id="34"/>
      <w:r/>
      <w:bookmarkEnd w:id="35"/>
      <w:r/>
      <w:bookmarkEnd w:id="36"/>
      <w:r/>
      <w:r/>
    </w:p>
    <w:p>
      <w:pPr>
        <w:pStyle w:val="648"/>
        <w:ind w:left="0" w:right="0" w:firstLine="422"/>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37" w:name="_Toc120614214"/>
      <w:r/>
      <w:bookmarkStart w:id="38" w:name="_Toc513029203"/>
      <w:r/>
      <w:bookmarkStart w:id="39" w:name="_Toc16938519"/>
      <w:r/>
      <w:bookmarkStart w:id="40" w:name="_Toc20823275"/>
      <w:r>
        <w:rPr>
          <w:rFonts w:hint="eastAsia" w:ascii="宋体" w:hAnsi="宋体" w:eastAsia="宋体" w:cs="宋体"/>
          <w:b/>
          <w:color w:val="auto"/>
          <w:sz w:val="21"/>
          <w:szCs w:val="21"/>
          <w:highlight w:val="none"/>
        </w:rPr>
        <w:t xml:space="preserve">一、总则</w:t>
      </w:r>
      <w:bookmarkEnd w:id="37"/>
      <w:r/>
      <w:bookmarkEnd w:id="38"/>
      <w:r/>
      <w:bookmarkEnd w:id="39"/>
      <w:r/>
      <w:bookmarkEnd w:id="40"/>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41" w:name="_Toc16938520"/>
      <w:r/>
      <w:bookmarkStart w:id="42" w:name="_Toc458694821"/>
      <w:r/>
      <w:bookmarkStart w:id="43" w:name="_Toc513029204"/>
      <w:r/>
      <w:bookmarkStart w:id="44" w:name="_Toc20823276"/>
      <w:r/>
      <w:bookmarkStart w:id="45" w:name="_Hlt16619475"/>
      <w:r>
        <w:rPr>
          <w:rFonts w:hint="eastAsia" w:ascii="宋体" w:hAnsi="宋体" w:eastAsia="宋体" w:cs="宋体"/>
          <w:color w:val="auto"/>
          <w:sz w:val="21"/>
          <w:szCs w:val="21"/>
          <w:highlight w:val="none"/>
        </w:rPr>
        <w:t xml:space="preserve">1</w:t>
      </w:r>
      <w:bookmarkEnd w:id="41"/>
      <w:r>
        <w:rPr>
          <w:rFonts w:hint="eastAsia" w:ascii="宋体" w:hAnsi="宋体" w:eastAsia="宋体" w:cs="宋体"/>
          <w:color w:val="auto"/>
          <w:sz w:val="21"/>
          <w:szCs w:val="21"/>
          <w:highlight w:val="none"/>
        </w:rPr>
        <w:t xml:space="preserve">、招标方式</w:t>
      </w:r>
      <w:bookmarkEnd w:id="42"/>
      <w:r/>
      <w:bookmarkEnd w:id="43"/>
      <w:r/>
      <w:bookmarkEnd w:id="44"/>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46" w:name="_Toc513029205"/>
      <w:r/>
      <w:bookmarkStart w:id="47" w:name="_Toc20823277"/>
      <w:r/>
      <w:bookmarkStart w:id="48" w:name="_Toc16938521"/>
      <w:r>
        <w:rPr>
          <w:rFonts w:hint="eastAsia" w:ascii="宋体" w:hAnsi="宋体" w:eastAsia="宋体" w:cs="宋体"/>
          <w:color w:val="auto"/>
          <w:sz w:val="21"/>
          <w:szCs w:val="21"/>
          <w:highlight w:val="none"/>
        </w:rPr>
        <w:t xml:space="preserve">2、合格的投标人</w:t>
      </w:r>
      <w:bookmarkEnd w:id="46"/>
      <w:r/>
      <w:bookmarkEnd w:id="47"/>
      <w:r/>
      <w:bookmarkEnd w:id="48"/>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49" w:name="_Toc16938522"/>
      <w:r/>
      <w:bookmarkStart w:id="50" w:name="_Toc20823278"/>
      <w:r/>
      <w:bookmarkStart w:id="51" w:name="_Toc513029206"/>
      <w:r>
        <w:rPr>
          <w:rFonts w:hint="eastAsia" w:ascii="宋体" w:hAnsi="宋体" w:eastAsia="宋体" w:cs="宋体"/>
          <w:color w:val="auto"/>
          <w:sz w:val="21"/>
          <w:szCs w:val="21"/>
          <w:highlight w:val="none"/>
        </w:rPr>
        <w:t xml:space="preserve">3、适用法律</w:t>
      </w:r>
      <w:bookmarkEnd w:id="49"/>
      <w:r/>
      <w:bookmarkEnd w:id="50"/>
      <w:r/>
      <w:bookmarkEnd w:id="51"/>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52" w:name="_Toc16938523"/>
      <w:r/>
      <w:bookmarkStart w:id="53" w:name="_Toc20823279"/>
      <w:r/>
      <w:bookmarkStart w:id="54" w:name="_Toc462564067"/>
      <w:r/>
      <w:bookmarkStart w:id="55" w:name="_Toc513029207"/>
      <w:r>
        <w:rPr>
          <w:rFonts w:hint="eastAsia" w:ascii="宋体" w:hAnsi="宋体" w:eastAsia="宋体" w:cs="宋体"/>
          <w:color w:val="auto"/>
          <w:sz w:val="21"/>
          <w:szCs w:val="21"/>
          <w:highlight w:val="none"/>
        </w:rPr>
        <w:t xml:space="preserve">4、投标费用</w:t>
      </w:r>
      <w:bookmarkEnd w:id="52"/>
      <w:r/>
      <w:bookmarkEnd w:id="53"/>
      <w:r/>
      <w:bookmarkEnd w:id="54"/>
      <w:r/>
      <w:bookmarkEnd w:id="55"/>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（以下简称</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）在任何情况下均无义务和责任承担这些费用。</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5、</w:t>
      </w:r>
      <w:r>
        <w:rPr>
          <w:rFonts w:hint="eastAsia" w:ascii="宋体" w:hAnsi="宋体" w:eastAsia="宋体" w:cs="宋体"/>
          <w:color w:val="auto"/>
          <w:sz w:val="21"/>
          <w:szCs w:val="21"/>
          <w:highlight w:val="none"/>
        </w:rPr>
        <w:t xml:space="preserve">招标文件的约束力</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648"/>
        <w:ind w:left="0" w:right="0" w:firstLine="422"/>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56" w:name="_Toc120614215"/>
      <w:r/>
      <w:bookmarkStart w:id="57" w:name="_Toc16938525"/>
      <w:r/>
      <w:bookmarkStart w:id="58" w:name="_Toc513029209"/>
      <w:r/>
      <w:bookmarkStart w:id="59" w:name="_Toc20823281"/>
      <w:r>
        <w:rPr>
          <w:rFonts w:hint="eastAsia" w:ascii="宋体" w:hAnsi="宋体" w:eastAsia="宋体" w:cs="宋体"/>
          <w:b/>
          <w:color w:val="auto"/>
          <w:sz w:val="21"/>
          <w:szCs w:val="21"/>
          <w:highlight w:val="none"/>
        </w:rPr>
        <w:t xml:space="preserve">二、招标文件</w:t>
      </w:r>
      <w:bookmarkEnd w:id="56"/>
      <w:r/>
      <w:bookmarkEnd w:id="57"/>
      <w:r/>
      <w:bookmarkEnd w:id="58"/>
      <w:r/>
      <w:bookmarkEnd w:id="59"/>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60" w:name="_Toc20823282"/>
      <w:r/>
      <w:bookmarkStart w:id="61" w:name="_Toc513029210"/>
      <w:r/>
      <w:bookmarkStart w:id="62" w:name="_Toc16938526"/>
      <w:r>
        <w:rPr>
          <w:rFonts w:hint="eastAsia" w:ascii="宋体" w:hAnsi="宋体" w:eastAsia="宋体" w:cs="宋体"/>
          <w:color w:val="auto"/>
          <w:sz w:val="21"/>
          <w:szCs w:val="21"/>
          <w:highlight w:val="none"/>
        </w:rPr>
        <w:t xml:space="preserve">6、招标文件构成</w:t>
      </w:r>
      <w:bookmarkEnd w:id="60"/>
      <w:r/>
      <w:bookmarkEnd w:id="61"/>
      <w:r/>
      <w:bookmarkEnd w:id="62"/>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联系解决。</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63" w:name="_Toc20823283"/>
      <w:r/>
      <w:bookmarkStart w:id="64" w:name="_Toc462564070"/>
      <w:r/>
      <w:bookmarkStart w:id="65" w:name="_Toc513029211"/>
      <w:r/>
      <w:bookmarkStart w:id="66" w:name="_Toc16938527"/>
      <w:r>
        <w:rPr>
          <w:rFonts w:hint="eastAsia" w:ascii="宋体" w:hAnsi="宋体" w:eastAsia="宋体" w:cs="宋体"/>
          <w:color w:val="auto"/>
          <w:sz w:val="21"/>
          <w:szCs w:val="21"/>
          <w:highlight w:val="none"/>
        </w:rPr>
        <w:t xml:space="preserve">7、招标文件的澄清</w:t>
      </w:r>
      <w:bookmarkEnd w:id="63"/>
      <w:r/>
      <w:bookmarkEnd w:id="64"/>
      <w:r/>
      <w:bookmarkEnd w:id="65"/>
      <w:r/>
      <w:bookmarkEnd w:id="66"/>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67" w:name="_Toc462564071"/>
      <w:r/>
      <w:bookmarkStart w:id="68" w:name="_Toc16938528"/>
      <w:r/>
      <w:bookmarkStart w:id="69" w:name="_Toc20823284"/>
      <w:r/>
      <w:bookmarkStart w:id="70" w:name="_Toc513029212"/>
      <w:r>
        <w:rPr>
          <w:rFonts w:hint="eastAsia" w:ascii="宋体" w:hAnsi="宋体" w:eastAsia="宋体" w:cs="宋体"/>
          <w:color w:val="auto"/>
          <w:sz w:val="21"/>
          <w:szCs w:val="21"/>
          <w:highlight w:val="none"/>
        </w:rPr>
        <w:t xml:space="preserve">8、招标文件的修改</w:t>
      </w:r>
      <w:bookmarkEnd w:id="67"/>
      <w:r/>
      <w:bookmarkEnd w:id="68"/>
      <w:r/>
      <w:bookmarkEnd w:id="69"/>
      <w:r/>
      <w:bookmarkEnd w:id="70"/>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可以对招标文件进行修改。</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有权按照法定的要求推迟投标截止日期和开标日期。</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pStyle w:val="648"/>
        <w:ind w:left="0" w:right="0" w:firstLine="422"/>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71" w:name="_Toc120614216"/>
      <w:r/>
      <w:bookmarkStart w:id="72" w:name="_Toc462564072"/>
      <w:r/>
      <w:bookmarkStart w:id="73" w:name="_Toc16938529"/>
      <w:r/>
      <w:bookmarkStart w:id="74" w:name="_Toc20823285"/>
      <w:r/>
      <w:bookmarkStart w:id="75" w:name="_Toc513029213"/>
      <w:r>
        <w:rPr>
          <w:rFonts w:hint="eastAsia" w:ascii="宋体" w:hAnsi="宋体" w:eastAsia="宋体" w:cs="宋体"/>
          <w:b/>
          <w:color w:val="auto"/>
          <w:sz w:val="21"/>
          <w:szCs w:val="21"/>
          <w:highlight w:val="none"/>
        </w:rPr>
        <w:t xml:space="preserve">三、投标文件的编制</w:t>
      </w:r>
      <w:bookmarkEnd w:id="71"/>
      <w:r/>
      <w:bookmarkEnd w:id="72"/>
      <w:r/>
      <w:bookmarkEnd w:id="73"/>
      <w:r/>
      <w:bookmarkEnd w:id="74"/>
      <w:r/>
      <w:bookmarkEnd w:id="75"/>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76" w:name="_Toc513029214"/>
      <w:r/>
      <w:bookmarkStart w:id="77" w:name="_Toc20823286"/>
      <w:r/>
      <w:bookmarkStart w:id="78" w:name="_Toc16938530"/>
      <w:r/>
      <w:bookmarkStart w:id="79" w:name="_Toc462564073"/>
      <w:r>
        <w:rPr>
          <w:rFonts w:hint="eastAsia" w:ascii="宋体" w:hAnsi="宋体" w:eastAsia="宋体" w:cs="宋体"/>
          <w:color w:val="auto"/>
          <w:sz w:val="21"/>
          <w:szCs w:val="21"/>
          <w:highlight w:val="none"/>
        </w:rPr>
        <w:t xml:space="preserve">9、投标文件的语言及度量衡单位</w:t>
      </w:r>
      <w:bookmarkEnd w:id="76"/>
      <w:r/>
      <w:bookmarkEnd w:id="77"/>
      <w:r/>
      <w:bookmarkEnd w:id="78"/>
      <w:r/>
      <w:bookmarkEnd w:id="79"/>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80" w:name="_Toc20823287"/>
      <w:r/>
      <w:bookmarkStart w:id="81" w:name="_Toc513029215"/>
      <w:r/>
      <w:bookmarkStart w:id="82" w:name="_Toc16938531"/>
      <w:r/>
      <w:bookmarkStart w:id="83" w:name="_Toc462564074"/>
      <w:r>
        <w:rPr>
          <w:rFonts w:hint="eastAsia" w:ascii="宋体" w:hAnsi="宋体" w:eastAsia="宋体" w:cs="宋体"/>
          <w:color w:val="auto"/>
          <w:sz w:val="21"/>
          <w:szCs w:val="21"/>
          <w:highlight w:val="none"/>
        </w:rPr>
        <w:t xml:space="preserve">10、投标文件构成</w:t>
      </w:r>
      <w:bookmarkEnd w:id="80"/>
      <w:r/>
      <w:bookmarkEnd w:id="81"/>
      <w:r/>
      <w:bookmarkEnd w:id="82"/>
      <w:r/>
      <w:bookmarkEnd w:id="83"/>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“江苏政府采购网”、“盐城市政府采购网”发布的招标文件为准。</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84" w:name="_Toc513029219"/>
      <w:r/>
      <w:bookmarkStart w:id="85" w:name="_Toc49090509"/>
      <w:r/>
      <w:bookmarkStart w:id="86" w:name="_Toc14577357"/>
      <w:r/>
      <w:bookmarkStart w:id="87" w:name="_Toc513029216"/>
      <w:r/>
      <w:bookmarkStart w:id="88" w:name="_Toc49090507"/>
      <w:r/>
      <w:bookmarkStart w:id="89" w:name="_Toc14577354"/>
      <w:r/>
      <w:bookmarkStart w:id="90" w:name="_Hlt26668975"/>
      <w:r/>
      <w:bookmarkStart w:id="91" w:name="_Hlt26670360"/>
      <w:r/>
      <w:bookmarkStart w:id="92" w:name="_Hlt26954838"/>
      <w:r>
        <w:rPr>
          <w:rFonts w:hint="eastAsia" w:ascii="宋体" w:hAnsi="宋体" w:eastAsia="宋体" w:cs="宋体"/>
          <w:color w:val="auto"/>
          <w:sz w:val="21"/>
          <w:szCs w:val="21"/>
          <w:highlight w:val="none"/>
        </w:rPr>
        <w:t xml:space="preserve">11、证明投标人及投标标的符合招标文件规定的文件</w:t>
      </w:r>
      <w:bookmarkEnd w:id="84"/>
      <w:r/>
      <w:bookmarkEnd w:id="85"/>
      <w:r/>
      <w:bookmarkEnd w:id="86"/>
      <w:r/>
      <w:bookmarkEnd w:id="87"/>
      <w:r/>
      <w:bookmarkEnd w:id="88"/>
      <w:r/>
      <w:bookmarkEnd w:id="89"/>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93" w:name="_Toc49090508"/>
      <w:r/>
      <w:bookmarkStart w:id="94" w:name="_Toc14577355"/>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bookmarkEnd w:id="93"/>
      <w:r/>
      <w:bookmarkEnd w:id="94"/>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12、投标分项报价</w:t>
      </w:r>
      <w:bookmarkStart w:id="95" w:name="_Hlt26670373"/>
      <w:r>
        <w:rPr>
          <w:rFonts w:hint="eastAsia" w:ascii="宋体" w:hAnsi="宋体" w:eastAsia="宋体" w:cs="宋体"/>
          <w:color w:val="auto"/>
          <w:sz w:val="21"/>
          <w:szCs w:val="21"/>
          <w:highlight w:val="none"/>
        </w:rPr>
        <w:t xml:space="preserve">表</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w:t>
      </w:r>
      <w:bookmarkStart w:id="96" w:name="_Hlt26954840"/>
      <w:r>
        <w:rPr>
          <w:rFonts w:hint="eastAsia" w:ascii="宋体" w:hAnsi="宋体" w:eastAsia="宋体" w:cs="宋体"/>
          <w:color w:val="auto"/>
          <w:sz w:val="21"/>
          <w:szCs w:val="21"/>
          <w:highlight w:val="none"/>
        </w:rPr>
        <w:t xml:space="preserve">标人应按照招标文件规定格式填报投标分项报价表</w:t>
      </w:r>
      <w:bookmarkStart w:id="97" w:name="_Hlt26670399"/>
      <w:r>
        <w:rPr>
          <w:rFonts w:hint="eastAsia" w:ascii="宋体" w:hAnsi="宋体" w:eastAsia="宋体" w:cs="宋体"/>
          <w:color w:val="auto"/>
          <w:sz w:val="21"/>
          <w:szCs w:val="21"/>
          <w:highlight w:val="none"/>
        </w:rPr>
        <w:t xml:space="preserve">。</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98" w:name="_Hlt26670403"/>
      <w:r/>
      <w:bookmarkStart w:id="99" w:name="_Hlt26670482"/>
      <w:r/>
      <w:bookmarkStart w:id="100" w:name="_Hlt26670425"/>
      <w:r/>
      <w:bookmarkStart w:id="101" w:name="_Hlt26954846"/>
      <w:r/>
      <w:bookmarkStart w:id="102" w:name="_Hlt26954844"/>
      <w:r/>
      <w:bookmarkStart w:id="103" w:name="_Hlt26668983"/>
      <w:r/>
      <w:bookmarkStart w:id="104" w:name="_Hlt26954842"/>
      <w:r/>
      <w:bookmarkStart w:id="105" w:name="_Hlt26954848"/>
      <w:r/>
      <w:bookmarkStart w:id="106" w:name="_Hlt26954731"/>
      <w:r/>
      <w:bookmarkStart w:id="107" w:name="_Hlt26670486"/>
      <w:r>
        <w:rPr>
          <w:rFonts w:hint="eastAsia" w:ascii="宋体" w:hAnsi="宋体" w:eastAsia="宋体" w:cs="宋体"/>
          <w:color w:val="auto"/>
          <w:sz w:val="21"/>
          <w:szCs w:val="21"/>
          <w:highlight w:val="none"/>
        </w:rPr>
        <w:t xml:space="preserve">13、技术要求响应及偏离表、商务要求响应及偏离表</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pStyle w:val="648"/>
        <w:ind w:left="0" w:right="0" w:firstLine="420"/>
        <w:jc w:val="both"/>
        <w:pageBreakBefore w:val="0"/>
        <w:spacing w:beforeAutospacing="0" w:afterAutospacing="0" w:line="440" w:lineRule="exact"/>
        <w:shd w:val="clear" w:color="auto"/>
        <w:widowControl w:val="off"/>
        <w:tabs>
          <w:tab w:val="left" w:pos="103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08" w:name="_Toc49090510"/>
      <w:r/>
      <w:bookmarkStart w:id="109" w:name="_Toc14577359"/>
      <w:r>
        <w:rPr>
          <w:rFonts w:hint="eastAsia" w:ascii="宋体" w:hAnsi="宋体" w:eastAsia="宋体" w:cs="宋体"/>
          <w:color w:val="auto"/>
          <w:sz w:val="21"/>
          <w:szCs w:val="21"/>
          <w:highlight w:val="none"/>
        </w:rPr>
        <w:t xml:space="preserve">14、投标函和开标一览表</w:t>
      </w:r>
      <w:bookmarkEnd w:id="108"/>
      <w:r/>
      <w:bookmarkEnd w:id="109"/>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highlight w:val="none"/>
        </w:rPr>
        <w:t xml:space="preserve">。</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10" w:name="_Toc14577360"/>
      <w:r/>
      <w:bookmarkStart w:id="111" w:name="_Toc49090511"/>
      <w:r/>
      <w:bookmarkStart w:id="112" w:name="_Hlt26954850"/>
      <w:r/>
      <w:bookmarkStart w:id="113" w:name="_Hlt26954734"/>
      <w:r/>
      <w:bookmarkStart w:id="114" w:name="_Hlt26670489"/>
      <w:r>
        <w:rPr>
          <w:rFonts w:hint="eastAsia" w:ascii="宋体" w:hAnsi="宋体" w:eastAsia="宋体" w:cs="宋体"/>
          <w:color w:val="auto"/>
          <w:sz w:val="21"/>
          <w:szCs w:val="21"/>
          <w:highlight w:val="none"/>
        </w:rPr>
        <w:t xml:space="preserve">15、投标有效期</w:t>
      </w:r>
      <w:bookmarkEnd w:id="110"/>
      <w:r/>
      <w:bookmarkEnd w:id="111"/>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color w:val="auto"/>
          <w:sz w:val="21"/>
          <w:szCs w:val="21"/>
          <w:highlight w:val="none"/>
          <w:u w:val="single"/>
        </w:rPr>
        <w:t xml:space="preserve">六十（60）天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16、投标有效期的延长</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648"/>
        <w:ind w:left="0" w:right="0" w:firstLine="422"/>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15" w:name="_Toc120614217"/>
      <w:r/>
      <w:bookmarkStart w:id="116" w:name="_Toc16938540"/>
      <w:r/>
      <w:bookmarkStart w:id="117" w:name="_Toc513029224"/>
      <w:r/>
      <w:bookmarkStart w:id="118" w:name="_Toc20823296"/>
      <w:r/>
      <w:bookmarkStart w:id="119" w:name="_Hlt26954852"/>
      <w:r/>
      <w:bookmarkStart w:id="120" w:name="_Hlt26954739"/>
      <w:r>
        <w:rPr>
          <w:rFonts w:hint="eastAsia" w:ascii="宋体" w:hAnsi="宋体" w:eastAsia="宋体" w:cs="宋体"/>
          <w:b/>
          <w:color w:val="auto"/>
          <w:sz w:val="21"/>
          <w:szCs w:val="21"/>
          <w:highlight w:val="none"/>
        </w:rPr>
        <w:t xml:space="preserve">四、投标文件的递交</w:t>
      </w:r>
      <w:bookmarkEnd w:id="115"/>
      <w:r/>
      <w:bookmarkEnd w:id="116"/>
      <w:r/>
      <w:bookmarkEnd w:id="117"/>
      <w:r/>
      <w:bookmarkEnd w:id="118"/>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21" w:name="_Toc513029225"/>
      <w:r/>
      <w:bookmarkStart w:id="122" w:name="_Toc462564084"/>
      <w:r/>
      <w:bookmarkStart w:id="123" w:name="_Toc16938541"/>
      <w:r/>
      <w:bookmarkStart w:id="124" w:name="_Toc20823297"/>
      <w:r>
        <w:rPr>
          <w:rFonts w:hint="eastAsia" w:ascii="宋体" w:hAnsi="宋体" w:eastAsia="宋体" w:cs="宋体"/>
          <w:color w:val="auto"/>
          <w:sz w:val="21"/>
          <w:szCs w:val="21"/>
          <w:highlight w:val="none"/>
        </w:rPr>
        <w:t xml:space="preserve">17、投标文件</w:t>
      </w:r>
      <w:bookmarkEnd w:id="121"/>
      <w:r/>
      <w:bookmarkEnd w:id="122"/>
      <w:r/>
      <w:bookmarkEnd w:id="123"/>
      <w:r/>
      <w:bookmarkEnd w:id="124"/>
      <w:r>
        <w:rPr>
          <w:rFonts w:hint="eastAsia" w:ascii="宋体" w:hAnsi="宋体" w:eastAsia="宋体" w:cs="宋体"/>
          <w:color w:val="auto"/>
          <w:sz w:val="21"/>
          <w:szCs w:val="21"/>
          <w:highlight w:val="none"/>
        </w:rPr>
        <w:t xml:space="preserve">的递交</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电子投标文件的递交</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18、投标截止时间</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18.1投标人上传电子投标文件的时间不得迟于招标公告中规定的投标截止时间。</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28" w:name="_Toc513029227"/>
      <w:r/>
      <w:bookmarkStart w:id="129" w:name="_Toc16938543"/>
      <w:r/>
      <w:bookmarkStart w:id="130" w:name="_Toc20823299"/>
      <w:r>
        <w:rPr>
          <w:rFonts w:hint="eastAsia" w:ascii="宋体" w:hAnsi="宋体" w:eastAsia="宋体" w:cs="宋体"/>
          <w:color w:val="auto"/>
          <w:sz w:val="21"/>
          <w:szCs w:val="21"/>
          <w:highlight w:val="none"/>
        </w:rPr>
        <w:t xml:space="preserve">19、投标文件</w:t>
      </w:r>
      <w:bookmarkEnd w:id="128"/>
      <w:r/>
      <w:bookmarkEnd w:id="129"/>
      <w:r/>
      <w:bookmarkEnd w:id="130"/>
      <w:r>
        <w:rPr>
          <w:rFonts w:hint="eastAsia" w:ascii="宋体" w:hAnsi="宋体" w:eastAsia="宋体" w:cs="宋体"/>
          <w:color w:val="auto"/>
          <w:sz w:val="21"/>
          <w:szCs w:val="21"/>
          <w:highlight w:val="none"/>
        </w:rPr>
        <w:t xml:space="preserve">的拒收</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拒绝接收在其规定的投标截止时间后上传的任何投标文件。</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31" w:name="_Toc16938544"/>
      <w:r/>
      <w:bookmarkStart w:id="132" w:name="_Toc513029228"/>
      <w:r/>
      <w:bookmarkStart w:id="133" w:name="_Toc20823300"/>
      <w:r>
        <w:rPr>
          <w:rFonts w:hint="eastAsia" w:ascii="宋体" w:hAnsi="宋体" w:eastAsia="宋体" w:cs="宋体"/>
          <w:color w:val="auto"/>
          <w:sz w:val="21"/>
          <w:szCs w:val="21"/>
          <w:highlight w:val="none"/>
        </w:rPr>
        <w:t xml:space="preserve">20、投标文件的撤回和修改</w:t>
      </w:r>
      <w:bookmarkEnd w:id="131"/>
      <w:r/>
      <w:bookmarkEnd w:id="132"/>
      <w:r/>
      <w:bookmarkEnd w:id="133"/>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21.1.1电子投标文件的撤回</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21.1.2投标人撤回电子投标文件，则认为其不再参与本项目投标活动。</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投标文件的修改</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20.2.2在投标截止时间之后，投标人不得对其电子投标文件作任何修改。</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pStyle w:val="648"/>
        <w:ind w:left="0" w:right="0" w:firstLine="422"/>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34" w:name="_Toc16938545"/>
      <w:r/>
      <w:bookmarkStart w:id="135" w:name="_Toc120614218"/>
      <w:r/>
      <w:bookmarkStart w:id="136" w:name="_Toc20823301"/>
      <w:r/>
      <w:bookmarkStart w:id="137" w:name="_Toc513029229"/>
      <w:r>
        <w:rPr>
          <w:rFonts w:hint="eastAsia" w:ascii="宋体" w:hAnsi="宋体" w:eastAsia="宋体" w:cs="宋体"/>
          <w:b/>
          <w:color w:val="auto"/>
          <w:sz w:val="21"/>
          <w:szCs w:val="21"/>
          <w:highlight w:val="none"/>
        </w:rPr>
        <w:t xml:space="preserve">五、开标与评标</w:t>
      </w:r>
      <w:bookmarkEnd w:id="134"/>
      <w:r/>
      <w:bookmarkEnd w:id="135"/>
      <w:r/>
      <w:bookmarkEnd w:id="136"/>
      <w:r/>
      <w:bookmarkEnd w:id="137"/>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38" w:name="_Toc20823302"/>
      <w:r/>
      <w:bookmarkStart w:id="139" w:name="_Toc513029230"/>
      <w:r/>
      <w:bookmarkStart w:id="140" w:name="_Toc16938546"/>
      <w:r>
        <w:rPr>
          <w:rFonts w:hint="eastAsia" w:ascii="宋体" w:hAnsi="宋体" w:eastAsia="宋体" w:cs="宋体"/>
          <w:color w:val="auto"/>
          <w:sz w:val="21"/>
          <w:szCs w:val="21"/>
          <w:highlight w:val="none"/>
        </w:rPr>
        <w:t xml:space="preserve">21、开标</w:t>
      </w:r>
      <w:bookmarkEnd w:id="138"/>
      <w:r/>
      <w:bookmarkEnd w:id="139"/>
      <w:r/>
      <w:bookmarkEnd w:id="140"/>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41" w:name="_Toc16938547"/>
      <w:r/>
      <w:bookmarkStart w:id="142" w:name="_Toc20823303"/>
      <w:r/>
      <w:bookmarkStart w:id="143" w:name="_Toc513029231"/>
      <w:r>
        <w:rPr>
          <w:rFonts w:hint="eastAsia" w:ascii="宋体" w:hAnsi="宋体" w:eastAsia="宋体" w:cs="宋体"/>
          <w:color w:val="auto"/>
          <w:sz w:val="21"/>
          <w:szCs w:val="21"/>
          <w:highlight w:val="none"/>
        </w:rPr>
        <w:t xml:space="preserve">22、评标委员会</w:t>
      </w:r>
      <w:bookmarkEnd w:id="141"/>
      <w:r/>
      <w:bookmarkEnd w:id="142"/>
      <w:r/>
      <w:bookmarkEnd w:id="143"/>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将立即组织评标委员会（以下简称评委会）进行评标。</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22.3评委会独立工作，负责评审所有投标文件并确定中标侯选人。</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均不得向投标人或与评标无关的其他人员透露。</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44" w:name="_Toc20823304"/>
      <w:r/>
      <w:bookmarkStart w:id="145" w:name="_Toc513029232"/>
      <w:r/>
      <w:bookmarkStart w:id="146" w:name="_Toc16938548"/>
      <w:r>
        <w:rPr>
          <w:rFonts w:hint="eastAsia" w:ascii="宋体" w:hAnsi="宋体" w:eastAsia="宋体" w:cs="宋体"/>
          <w:color w:val="auto"/>
          <w:sz w:val="21"/>
          <w:szCs w:val="21"/>
          <w:highlight w:val="none"/>
        </w:rPr>
        <w:t xml:space="preserve">24、投标文件的澄清</w:t>
      </w:r>
      <w:bookmarkEnd w:id="144"/>
      <w:r/>
      <w:bookmarkEnd w:id="145"/>
      <w:r/>
      <w:bookmarkEnd w:id="146"/>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24.3接到评委会澄清、说明和补正要求的投标人如未按规定做出澄清、说明和补正，其风险由投标人自行承担。</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47" w:name="_Toc513029233"/>
      <w:r/>
      <w:bookmarkStart w:id="148" w:name="_Toc20823305"/>
      <w:r/>
      <w:bookmarkStart w:id="149" w:name="_Toc16938549"/>
      <w:r>
        <w:rPr>
          <w:rFonts w:hint="eastAsia" w:ascii="宋体" w:hAnsi="宋体" w:eastAsia="宋体" w:cs="宋体"/>
          <w:color w:val="auto"/>
          <w:sz w:val="21"/>
          <w:szCs w:val="21"/>
          <w:highlight w:val="none"/>
        </w:rPr>
        <w:t xml:space="preserve">25、对投标文件的初审</w:t>
      </w:r>
      <w:bookmarkEnd w:id="147"/>
      <w:r/>
      <w:bookmarkEnd w:id="148"/>
      <w:r/>
      <w:bookmarkEnd w:id="149"/>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25.1投标文件初审分为资格审查和符合性审查。</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将在苏采云系统中告知未通过资格审查或符合性审查的原因，评标结束后，</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将不再告知未通过资格审查和符合性审查的原因。</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50" w:name="_Toc513029234"/>
      <w:r/>
      <w:bookmarkStart w:id="151" w:name="_Toc20823306"/>
      <w:r/>
      <w:bookmarkStart w:id="152" w:name="_Toc16938550"/>
      <w:r>
        <w:rPr>
          <w:rFonts w:hint="eastAsia" w:ascii="宋体" w:hAnsi="宋体" w:eastAsia="宋体" w:cs="宋体"/>
          <w:color w:val="auto"/>
          <w:sz w:val="21"/>
          <w:szCs w:val="21"/>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及评标委员会联系。</w:t>
      </w:r>
      <w:bookmarkEnd w:id="150"/>
      <w:r/>
      <w:bookmarkEnd w:id="151"/>
      <w:r/>
      <w:bookmarkEnd w:id="152"/>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26、无效投标条款和废标条款</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53" w:name="_Toc20823307"/>
      <w:r/>
      <w:bookmarkStart w:id="154" w:name="_Toc513029235"/>
      <w:r/>
      <w:bookmarkStart w:id="155" w:name="_Toc16938551"/>
      <w:r>
        <w:rPr>
          <w:rFonts w:hint="eastAsia" w:ascii="宋体" w:hAnsi="宋体" w:eastAsia="宋体" w:cs="宋体"/>
          <w:color w:val="auto"/>
          <w:sz w:val="21"/>
          <w:szCs w:val="21"/>
          <w:highlight w:val="none"/>
        </w:rPr>
        <w:t xml:space="preserve">26.1无效投标条款</w:t>
      </w:r>
      <w:bookmarkEnd w:id="153"/>
      <w:r/>
      <w:bookmarkEnd w:id="154"/>
      <w:r/>
      <w:bookmarkEnd w:id="155"/>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26.1.1投标人在苏采云系统规定的时间内未成功解密电子投标文件的。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26.1.2投标人未按照招标文件要求上传电子投标文件的。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26.1.4投标人不具备招标文件中规定资格要求的。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26.1.5投标人的报价超过了采购预算或最高限价的。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u w:val="none"/>
        </w:rPr>
        <w:t xml:space="preserve">26.1.7不符合招标文件中规定的实质性要求和条件的</w:t>
      </w:r>
      <w:r>
        <w:rPr>
          <w:rFonts w:hint="eastAsia" w:ascii="宋体" w:hAnsi="宋体" w:eastAsia="宋体" w:cs="宋体"/>
          <w:b w:val="0"/>
          <w:bCs w:val="0"/>
          <w:i/>
          <w:color w:val="auto"/>
          <w:sz w:val="21"/>
          <w:szCs w:val="21"/>
          <w:highlight w:val="none"/>
          <w:u w:val="none"/>
        </w:rPr>
        <w:t xml:space="preserve">。</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26.1.9投标文件含有采购人不能接受的附加条件的。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26.1.11投标文件未按照招标文件要求加盖CA电子公章的。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26.1.12其他法律、法规及本招标文件规定的属无效投标的情形。</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26.2.5因苏采云系统系统故障原因造成开标不成功的。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648"/>
        <w:ind w:left="0" w:right="0" w:firstLine="422"/>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56" w:name="_Toc120614219"/>
      <w:r>
        <w:rPr>
          <w:rFonts w:hint="eastAsia" w:ascii="宋体" w:hAnsi="宋体" w:eastAsia="宋体" w:cs="宋体"/>
          <w:b/>
          <w:color w:val="auto"/>
          <w:sz w:val="21"/>
          <w:szCs w:val="21"/>
          <w:highlight w:val="none"/>
        </w:rPr>
        <w:t xml:space="preserve">六、定标</w:t>
      </w:r>
      <w:bookmarkEnd w:id="156"/>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57" w:name="_Toc20823310"/>
      <w:r/>
      <w:bookmarkStart w:id="158" w:name="_Toc16938554"/>
      <w:r/>
      <w:bookmarkStart w:id="159" w:name="_Toc513029238"/>
      <w:r>
        <w:rPr>
          <w:rFonts w:hint="eastAsia" w:ascii="宋体" w:hAnsi="宋体" w:eastAsia="宋体" w:cs="宋体"/>
          <w:color w:val="auto"/>
          <w:sz w:val="21"/>
          <w:szCs w:val="21"/>
          <w:highlight w:val="none"/>
        </w:rPr>
        <w:t xml:space="preserve">27、</w:t>
      </w:r>
      <w:bookmarkEnd w:id="157"/>
      <w:r>
        <w:rPr>
          <w:rFonts w:hint="eastAsia" w:ascii="宋体" w:hAnsi="宋体" w:eastAsia="宋体" w:cs="宋体"/>
          <w:color w:val="auto"/>
          <w:sz w:val="21"/>
          <w:szCs w:val="21"/>
          <w:highlight w:val="none"/>
        </w:rPr>
        <w:t xml:space="preserve">确定</w:t>
      </w:r>
      <w:bookmarkEnd w:id="158"/>
      <w:r/>
      <w:bookmarkEnd w:id="159"/>
      <w:r>
        <w:rPr>
          <w:rFonts w:hint="eastAsia" w:ascii="宋体" w:hAnsi="宋体" w:eastAsia="宋体" w:cs="宋体"/>
          <w:color w:val="auto"/>
          <w:sz w:val="21"/>
          <w:szCs w:val="21"/>
          <w:highlight w:val="none"/>
        </w:rPr>
        <w:t xml:space="preserve">中标单位</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“江苏政府采购网”、“盐城市政府采购网”发布中标公告，公告期限为1个工作日。</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行贿或者提供其他不正当利益的。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60" w:name="_Toc200451960"/>
      <w:r>
        <w:rPr>
          <w:rFonts w:hint="eastAsia" w:ascii="宋体" w:hAnsi="宋体" w:eastAsia="宋体" w:cs="宋体"/>
          <w:color w:val="auto"/>
          <w:sz w:val="21"/>
          <w:szCs w:val="21"/>
          <w:highlight w:val="none"/>
        </w:rPr>
        <w:t xml:space="preserve">27.5 有下列情形之一的，视为投标人串通投标，投标无效：</w:t>
      </w:r>
      <w:bookmarkEnd w:id="160"/>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28、质疑处理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或采购人提出质疑。上述应知其权益受到损害之日，是指：</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、采购人将只对供应商第一次质疑作出答复。</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提出，由</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负责答复。</w:t>
      </w:r>
      <w:r/>
    </w:p>
    <w:p>
      <w:pPr>
        <w:ind w:left="0" w:right="0" w:firstLine="420"/>
        <w:jc w:val="left"/>
        <w:pageBreakBefore w:val="0"/>
        <w:spacing w:line="440" w:lineRule="exact"/>
        <w:shd w:val="clear" w:color="auto"/>
        <w:widowControl w:val="off"/>
        <w:tabs>
          <w:tab w:val="left" w:pos="133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采购人只接收以纸质原件形式送达的质疑,采购人不接受未填写快递运单的快件。</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 以下情形的质疑不予受理</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29、中标通知书</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29.l中标结果确定后，</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48"/>
        <w:ind w:left="0" w:right="0" w:firstLine="422"/>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61" w:name="_Toc513029236"/>
      <w:r/>
      <w:bookmarkStart w:id="162" w:name="_Toc120614220"/>
      <w:r/>
      <w:bookmarkStart w:id="163" w:name="_Toc16938552"/>
      <w:r/>
      <w:bookmarkStart w:id="164" w:name="_Toc20823308"/>
      <w:r>
        <w:rPr>
          <w:rFonts w:hint="eastAsia" w:ascii="宋体" w:hAnsi="宋体" w:eastAsia="宋体" w:cs="宋体"/>
          <w:b/>
          <w:color w:val="auto"/>
          <w:sz w:val="21"/>
          <w:szCs w:val="21"/>
          <w:highlight w:val="none"/>
        </w:rPr>
        <w:t xml:space="preserve">七、授予合同</w:t>
      </w:r>
      <w:bookmarkEnd w:id="161"/>
      <w:r/>
      <w:bookmarkEnd w:id="162"/>
      <w:r/>
      <w:bookmarkEnd w:id="163"/>
      <w:r/>
      <w:bookmarkEnd w:id="164"/>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65" w:name="_Toc20823309"/>
      <w:r/>
      <w:bookmarkStart w:id="166" w:name="_Toc513029237"/>
      <w:r/>
      <w:bookmarkStart w:id="167" w:name="_Toc16938553"/>
      <w:r>
        <w:rPr>
          <w:rFonts w:hint="eastAsia" w:ascii="宋体" w:hAnsi="宋体" w:eastAsia="宋体" w:cs="宋体"/>
          <w:color w:val="auto"/>
          <w:sz w:val="21"/>
          <w:szCs w:val="21"/>
          <w:highlight w:val="none"/>
        </w:rPr>
        <w:t xml:space="preserve">30.签订合同</w:t>
      </w:r>
      <w:bookmarkEnd w:id="165"/>
      <w:r/>
      <w:bookmarkEnd w:id="166"/>
      <w:r/>
      <w:bookmarkEnd w:id="167"/>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val="0"/>
          <w:iCs/>
          <w:color w:val="auto"/>
          <w:sz w:val="21"/>
          <w:szCs w:val="21"/>
          <w:highlight w:val="none"/>
          <w:u w:val="non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31、服务（包含与服务相关的货物）的追加</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8"/>
        <w:ind w:left="0" w:right="0" w:firstLine="420"/>
        <w:jc w:val="both"/>
        <w:keepLines/>
        <w:keepNext/>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bookmarkStart w:id="168" w:name="_Toc479757207"/>
      <w:r/>
      <w:bookmarkStart w:id="169" w:name="_Toc20823314"/>
      <w:r/>
      <w:bookmarkStart w:id="170" w:name="_Toc120614221"/>
      <w:r/>
      <w:bookmarkStart w:id="171" w:name="_Toc16938558"/>
      <w:r/>
      <w:bookmarkStart w:id="172" w:name="_Toc513029242"/>
      <w:r>
        <w:rPr>
          <w:rFonts w:hint="eastAsia" w:ascii="宋体" w:hAnsi="宋体" w:eastAsia="宋体" w:cs="宋体"/>
          <w:color w:val="auto"/>
          <w:sz w:val="21"/>
          <w:szCs w:val="21"/>
          <w:highlight w:val="none"/>
        </w:rPr>
        <w:t xml:space="preserve">32、政府采购履约资金扶持政策</w:t>
      </w:r>
      <w:bookmarkEnd w:id="168"/>
      <w:r/>
      <w:bookmarkEnd w:id="169"/>
      <w:r/>
      <w:bookmarkEnd w:id="170"/>
      <w:r/>
      <w:bookmarkEnd w:id="171"/>
      <w:r/>
      <w:bookmarkEnd w:id="172"/>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33、其他</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33.1供应商对于投标产品的商品包装、快递包装应按照《关于印发《商品包装政府采购需求标准（试行）》、《快递包装政府采购需求标准（试行）》的通知》（财办库〔2020〕123号）执行。</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33.2本文件中若涉及到数据中心采购，应按照《&lt;绿色数据中心政府采购需求标准（试行）&gt;的通知》（财库〔2023〕7号）执行。</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 本项目落实预付款制度，预付款比例为30%。在签订合同时，中标、成交供应商明确书面表示无需预付款或者主动要求降低预付款比例的，采购人可就预付款比例作相应调整。</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 确需收取履约保证金的，履约保证金的缴纳形式：</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如以履约保函（保险）形式缴纳履约保证金，供应商可通过政府采购电子履约保函（保险）平台（www.jsdzbh.com）在线申请履约保函（保险）。</w:t>
      </w:r>
      <w:r/>
    </w:p>
    <w:p>
      <w:pPr>
        <w:pStyle w:val="648"/>
        <w:ind w:left="0" w:right="0" w:firstLine="420"/>
        <w:jc w:val="both"/>
        <w:pageBreakBefore w:val="0"/>
        <w:spacing w:beforeAutospacing="0" w:afterAutospacing="0"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648"/>
        <w:ind w:left="0" w:right="0" w:firstLine="480"/>
        <w:jc w:val="both"/>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keepNext/>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第三章  合同文本</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lang w:eastAsia="zh-CN"/>
        </w:rPr>
      </w:pPr>
      <w:r/>
      <w:bookmarkStart w:id="173" w:name="_Toc479757211"/>
      <w:r/>
      <w:bookmarkStart w:id="174" w:name="_Toc120614244"/>
      <w:r/>
      <w:bookmarkStart w:id="175" w:name="_Toc462564139"/>
      <w:r/>
      <w:bookmarkStart w:id="176" w:name="_Toc16938590"/>
      <w:r/>
      <w:bookmarkStart w:id="177" w:name="_Hlt16619350"/>
      <w:r/>
      <w:bookmarkStart w:id="178" w:name="_Toc20823346"/>
      <w:r/>
      <w:bookmarkStart w:id="179" w:name="_Hlt16619369"/>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eastAsia="zh-CN"/>
        </w:rPr>
        <w:t xml:space="preserve">盐城市大丰区公安局“智慧侦查中心”设备采购项目</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编</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lang w:val="en-US" w:eastAsia="zh-CN"/>
        </w:rPr>
        <w:t xml:space="preserve">                                </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甲</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方（采购人/买方）：</w:t>
      </w:r>
      <w:r>
        <w:rPr>
          <w:rFonts w:hint="eastAsia" w:ascii="宋体" w:hAnsi="宋体" w:eastAsia="宋体" w:cs="宋体"/>
          <w:color w:val="auto"/>
          <w:sz w:val="21"/>
          <w:szCs w:val="21"/>
          <w:highlight w:val="none"/>
          <w:u w:val="single"/>
          <w:lang w:val="en-US" w:eastAsia="zh-CN"/>
        </w:rPr>
        <w:t xml:space="preserve">盐城市大丰区公安局</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乙</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方（供应商/卖方）：</w:t>
      </w:r>
      <w:r>
        <w:rPr>
          <w:rFonts w:hint="eastAsia" w:ascii="宋体" w:hAnsi="宋体" w:eastAsia="宋体" w:cs="宋体"/>
          <w:color w:val="auto"/>
          <w:sz w:val="21"/>
          <w:szCs w:val="21"/>
          <w:highlight w:val="none"/>
          <w:u w:val="single"/>
          <w:lang w:val="en-US" w:eastAsia="zh-CN"/>
        </w:rPr>
        <w:t xml:space="preserve">                  </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根据《中华人民共和国政府采购法》、《中华人民共和国政府采购实施条例》、《政府采购货物和服务招标投标管理办法》、《中华人民共和国民法典》等法律法规的规定，甲乙双方按照</w:t>
      </w:r>
      <w:r>
        <w:rPr>
          <w:rFonts w:hint="eastAsia" w:ascii="宋体" w:hAnsi="宋体" w:eastAsia="宋体" w:cs="宋体"/>
          <w:color w:val="auto"/>
          <w:sz w:val="21"/>
          <w:szCs w:val="21"/>
          <w:highlight w:val="none"/>
          <w:u w:val="single"/>
          <w:lang w:eastAsia="zh-CN"/>
        </w:rPr>
        <w:t xml:space="preserve">盐城市大丰区公安局“智慧侦查中心”设备采购项目</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招标结果签订本合同。</w:t>
      </w:r>
      <w:r/>
    </w:p>
    <w:p>
      <w:pPr>
        <w:pStyle w:val="645"/>
        <w:ind w:left="0" w:firstLine="422"/>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val="en-US" w:eastAsia="zh-CN"/>
        </w:rPr>
        <w:t xml:space="preserve">合同</w:t>
      </w:r>
      <w:r>
        <w:rPr>
          <w:rFonts w:hint="eastAsia" w:ascii="宋体" w:hAnsi="宋体" w:eastAsia="宋体" w:cs="宋体"/>
          <w:b/>
          <w:bCs/>
          <w:color w:val="auto"/>
          <w:sz w:val="21"/>
          <w:szCs w:val="21"/>
          <w:highlight w:val="none"/>
        </w:rPr>
        <w:t xml:space="preserve">内容</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1.1标的名称：</w:t>
      </w:r>
      <w:r>
        <w:rPr>
          <w:rFonts w:hint="eastAsia" w:ascii="宋体" w:hAnsi="宋体" w:eastAsia="宋体" w:cs="宋体"/>
          <w:color w:val="auto"/>
          <w:sz w:val="21"/>
          <w:szCs w:val="21"/>
          <w:highlight w:val="none"/>
          <w:u w:val="single"/>
          <w:lang w:val="en-US" w:eastAsia="zh-CN"/>
        </w:rPr>
        <w:t xml:space="preserve">                            </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1.2标的质量：</w:t>
      </w:r>
      <w:r>
        <w:rPr>
          <w:rFonts w:hint="eastAsia" w:ascii="宋体" w:hAnsi="宋体" w:eastAsia="宋体" w:cs="宋体"/>
          <w:color w:val="auto"/>
          <w:sz w:val="21"/>
          <w:szCs w:val="21"/>
          <w:highlight w:val="none"/>
          <w:u w:val="single"/>
          <w:lang w:val="en-US" w:eastAsia="zh-CN"/>
        </w:rPr>
        <w:t xml:space="preserve">                            </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1.3标的数量（规模）：</w:t>
      </w:r>
      <w:r>
        <w:rPr>
          <w:rFonts w:hint="eastAsia" w:ascii="宋体" w:hAnsi="宋体" w:eastAsia="宋体" w:cs="宋体"/>
          <w:color w:val="auto"/>
          <w:sz w:val="21"/>
          <w:szCs w:val="21"/>
          <w:highlight w:val="none"/>
          <w:u w:val="single"/>
          <w:lang w:val="en-US" w:eastAsia="zh-CN"/>
        </w:rPr>
        <w:t xml:space="preserve">                    </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1.4履行时间（期限）：</w:t>
      </w:r>
      <w:r>
        <w:rPr>
          <w:rFonts w:hint="eastAsia" w:ascii="宋体" w:hAnsi="宋体" w:eastAsia="宋体" w:cs="宋体"/>
          <w:color w:val="auto"/>
          <w:sz w:val="21"/>
          <w:szCs w:val="21"/>
          <w:highlight w:val="none"/>
          <w:u w:val="single"/>
          <w:lang w:val="en-US" w:eastAsia="zh-CN"/>
        </w:rPr>
        <w:t xml:space="preserve">                    </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1.5履行地点：</w:t>
      </w:r>
      <w:r>
        <w:rPr>
          <w:rFonts w:hint="eastAsia" w:ascii="宋体" w:hAnsi="宋体" w:eastAsia="宋体" w:cs="宋体"/>
          <w:color w:val="auto"/>
          <w:sz w:val="21"/>
          <w:szCs w:val="21"/>
          <w:highlight w:val="none"/>
          <w:u w:val="single"/>
          <w:lang w:val="en-US" w:eastAsia="zh-CN"/>
        </w:rPr>
        <w:t xml:space="preserve">                            </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1.6履行方式：</w:t>
      </w:r>
      <w:r>
        <w:rPr>
          <w:rFonts w:hint="eastAsia" w:ascii="宋体" w:hAnsi="宋体" w:eastAsia="宋体" w:cs="宋体"/>
          <w:color w:val="auto"/>
          <w:sz w:val="21"/>
          <w:szCs w:val="21"/>
          <w:highlight w:val="none"/>
          <w:u w:val="single"/>
          <w:lang w:val="en-US" w:eastAsia="zh-CN"/>
        </w:rPr>
        <w:t xml:space="preserve">                            </w:t>
      </w:r>
      <w:r/>
    </w:p>
    <w:p>
      <w:pPr>
        <w:pStyle w:val="645"/>
        <w:ind w:left="0" w:firstLine="422"/>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2.1本合同金额为（大写）：__________________（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p>
    <w:p>
      <w:pPr>
        <w:pStyle w:val="645"/>
        <w:ind w:left="0" w:firstLine="422"/>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5"/>
        <w:ind w:left="0" w:firstLine="422"/>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45"/>
        <w:ind w:left="0" w:firstLine="422"/>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5.1乙方保证所交付的服务或产品的所有权完全属于乙方且无任何抵押、查封等产权瑕疵。</w:t>
      </w:r>
      <w:r/>
    </w:p>
    <w:p>
      <w:pPr>
        <w:pStyle w:val="645"/>
        <w:ind w:left="0" w:firstLine="422"/>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 乙方交纳人民币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元作为本合同的履约保证金。(备注:年度合同金额的 10%，采购人应当对AA评级及以上政府采购供应商(需提供信用管理部门备案的第三方信用报告)免收履约保证金或降低约保证金缴纳比例。)</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 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mw.jsdzbh.com)在线申请履约保函(保险)。</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6.3履约保证金的退还：</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6.3.1方式：无息退还至</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缴纳履约保证金的账户。如为保函，在到期时自行失效。</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6.3.2时间：验收合格且</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收到发票后30日内。</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6.3.3条件：</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经</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验收合格，且</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收到</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出具的发票。</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6.3.4不予退还情形：</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除不可抗力情况外，</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出现下列情形之一的，其履约保证金，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将视情节决定不予退还或部分不予退还。</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无正当理由拒绝签订合同的，或者在签订合同时向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提出附加条件或者更改合同实质性内容要求的；</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不履行与</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订立的合同的；</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所供货物或服务不符合招标文件规定要求的；</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采取欺骗、弄虚作假方式投标的或与其它投标人串通投标的；</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将合同内容转包、违法分包的；</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故意捏造事实或伪造证明材料，进行虚假恶意投诉或反映的。</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6.3.5逾期退还的违约责任：</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逾期无故未退还履约保证金的，按中国人民银行同期贷款基准利率上浮20%后的利率支付超期资金占用费，但因</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自身原因导致无法及时退还的除外。</w:t>
      </w:r>
      <w:r/>
    </w:p>
    <w:p>
      <w:pPr>
        <w:pStyle w:val="645"/>
        <w:ind w:left="0" w:firstLine="422"/>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七、合同转包或分包</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7.1乙方不得将合同标的转包给他人履行。</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7.2乙方不得将合同标的</w:t>
      </w:r>
      <w:r>
        <w:rPr>
          <w:rFonts w:hint="eastAsia" w:ascii="宋体" w:hAnsi="宋体" w:eastAsia="宋体" w:cs="宋体"/>
          <w:color w:val="auto"/>
          <w:sz w:val="21"/>
          <w:szCs w:val="21"/>
          <w:highlight w:val="none"/>
          <w:lang w:val="en-US" w:eastAsia="zh-CN"/>
        </w:rPr>
        <w:t xml:space="preserve">违法</w:t>
      </w:r>
      <w:r>
        <w:rPr>
          <w:rFonts w:hint="eastAsia" w:ascii="宋体" w:hAnsi="宋体" w:eastAsia="宋体" w:cs="宋体"/>
          <w:color w:val="auto"/>
          <w:sz w:val="21"/>
          <w:szCs w:val="21"/>
          <w:highlight w:val="none"/>
        </w:rPr>
        <w:t xml:space="preserve">分包给他人履行。</w:t>
      </w:r>
      <w:r/>
    </w:p>
    <w:p>
      <w:pPr>
        <w:pStyle w:val="645"/>
        <w:ind w:left="0" w:firstLine="420"/>
        <w:keepLines w:val="0"/>
        <w:keepNext w:val="0"/>
        <w:pageBreakBefore w:val="0"/>
        <w:spacing w:line="47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7.3乙方如有转包或未经甲方同意的</w:t>
      </w:r>
      <w:r>
        <w:rPr>
          <w:rFonts w:hint="eastAsia" w:ascii="宋体" w:hAnsi="宋体" w:eastAsia="宋体" w:cs="宋体"/>
          <w:color w:val="auto"/>
          <w:sz w:val="21"/>
          <w:szCs w:val="21"/>
          <w:highlight w:val="none"/>
          <w:lang w:val="en-US" w:eastAsia="zh-CN"/>
        </w:rPr>
        <w:t xml:space="preserve">违法</w:t>
      </w:r>
      <w:r>
        <w:rPr>
          <w:rFonts w:hint="eastAsia" w:ascii="宋体" w:hAnsi="宋体" w:eastAsia="宋体" w:cs="宋体"/>
          <w:color w:val="auto"/>
          <w:sz w:val="21"/>
          <w:szCs w:val="21"/>
          <w:highlight w:val="none"/>
        </w:rPr>
        <w:t xml:space="preserve">分包行为，甲方有权解除合同。</w:t>
      </w:r>
      <w:r/>
    </w:p>
    <w:p>
      <w:pPr>
        <w:pStyle w:val="645"/>
        <w:ind w:left="0" w:firstLine="422"/>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八、合同款项支付</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8.1合同款项的支付方式及进度安排</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8.1.1 预付款支付时间：合同签订后，预付款支付比例：合同金额的</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8.1.2 尾款支付时间：</w:t>
      </w:r>
      <w:r>
        <w:rPr>
          <w:rFonts w:hint="eastAsia" w:ascii="宋体" w:hAnsi="宋体" w:eastAsia="宋体" w:cs="宋体"/>
          <w:b w:val="0"/>
          <w:bCs w:val="0"/>
          <w:color w:val="auto"/>
          <w:sz w:val="21"/>
          <w:szCs w:val="21"/>
          <w:highlight w:val="none"/>
          <w:lang w:val="en-US" w:eastAsia="zh-CN"/>
        </w:rPr>
        <w:t xml:space="preserve">项目验收合格后付至合同价的70%，验收合格满一年付至结算审核价的90%，余款待项目质保期满按结算审核价款结清。</w:t>
      </w:r>
      <w:r/>
    </w:p>
    <w:p>
      <w:pPr>
        <w:pStyle w:val="645"/>
        <w:ind w:left="0" w:firstLine="422"/>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九、税费</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9.1本合同执行中相关的一切税费均由乙方负担。</w:t>
      </w:r>
      <w:r/>
    </w:p>
    <w:p>
      <w:pPr>
        <w:pStyle w:val="645"/>
        <w:ind w:left="0" w:firstLine="422"/>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十、项目验收</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10.1甲方依法组织履约验收工作。</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10.3对于实际使用人和甲方分离的项目，甲方邀请实际使用人参与验收。</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10.4如有必要，甲方邀请参加本项目的其他供应商或第三方专业机构及专家参与验收，相关意见将作为验收书的参考资料。</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45"/>
        <w:ind w:left="0" w:firstLine="422"/>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十一、违约责任</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的违约金。</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11.2甲方无故逾期验收和办理合同款项支付手续的,甲方应按逾期付款总额</w:t>
      </w:r>
      <w:r>
        <w:rPr>
          <w:rFonts w:hint="eastAsia" w:ascii="宋体" w:hAnsi="宋体" w:eastAsia="宋体" w:cs="宋体"/>
          <w:b w:val="0"/>
          <w:bCs w:val="0"/>
          <w:color w:val="auto"/>
          <w:sz w:val="21"/>
          <w:szCs w:val="21"/>
          <w:highlight w:val="none"/>
          <w:lang w:val="en-US" w:eastAsia="zh-CN"/>
        </w:rPr>
        <w:t xml:space="preserve">万分之一</w:t>
      </w:r>
      <w:r>
        <w:rPr>
          <w:rFonts w:hint="eastAsia" w:ascii="宋体" w:hAnsi="宋体" w:eastAsia="宋体" w:cs="宋体"/>
          <w:b w:val="0"/>
          <w:bCs w:val="0"/>
          <w:color w:val="auto"/>
          <w:sz w:val="21"/>
          <w:szCs w:val="21"/>
          <w:highlight w:val="none"/>
        </w:rPr>
        <w:t xml:space="preserve">每日向乙方支付违约金。</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的违约金，如造成甲方损失超过违约金的，超出部分由乙方继续承担赔偿责任。 </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11.4乙方所提供服务的标准不符合合同规定及招标文件规定标准的，甲方有权拒绝接受服务，并可单方面解除合同。</w:t>
      </w:r>
      <w:r/>
    </w:p>
    <w:p>
      <w:pPr>
        <w:pStyle w:val="645"/>
        <w:ind w:left="0" w:firstLine="422"/>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十二、不可抗力事件处理</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12.1在合同有效期内，任何一方因不可抗力事件导致不能履行合同，则合同履行期可延长，其延长期与不可抗力影响期相同。</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12.2不可抗力事件发生后，应立即通知对方，并寄送有关权威机构出具的证明。</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12.3不可抗力事件延续120天以上，双方应通过友好协商，确定是否继续履行合同。</w:t>
      </w:r>
      <w:r/>
    </w:p>
    <w:p>
      <w:pPr>
        <w:pStyle w:val="645"/>
        <w:ind w:left="0" w:firstLine="422"/>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十三、解决争议的方法</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13.1双方在签订、履行合同中所发生的一切争议，应通过友好协商解决。如协商不成，由甲方住所地人民法院管辖。</w:t>
      </w:r>
      <w:r/>
    </w:p>
    <w:p>
      <w:pPr>
        <w:pStyle w:val="645"/>
        <w:ind w:left="0" w:firstLine="422"/>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十四、合同生效及其它</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14.1 本项目质保期为二年，质保期自项目验收合格之日起计算，质保期内由于乙方提供的服务（包含与服务相关的货物）质量问题产生的相关费用均由乙方承担。</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14.2 </w:t>
      </w:r>
      <w:r>
        <w:rPr>
          <w:rFonts w:hint="eastAsia" w:ascii="宋体" w:hAnsi="宋体" w:eastAsia="宋体" w:cs="宋体"/>
          <w:b w:val="0"/>
          <w:bCs w:val="0"/>
          <w:color w:val="auto"/>
          <w:sz w:val="21"/>
          <w:szCs w:val="21"/>
          <w:highlight w:val="none"/>
        </w:rPr>
        <w:t xml:space="preserve">在合同履行过程中若有一方违反本合同约定，违约方除承担违约责任赔偿外，还需承担守约方维权产生的费用包括但不限于诉讼费、保全费、保全保险费、律师费等一切费用。</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w:t>
      </w:r>
      <w:r>
        <w:rPr>
          <w:rFonts w:hint="eastAsia" w:ascii="宋体" w:hAnsi="宋体" w:eastAsia="宋体" w:cs="宋体"/>
          <w:b w:val="0"/>
          <w:bCs w:val="0"/>
          <w:color w:val="auto"/>
          <w:sz w:val="21"/>
          <w:szCs w:val="21"/>
          <w:highlight w:val="none"/>
          <w:lang w:val="en-US" w:eastAsia="zh-CN"/>
        </w:rPr>
        <w:t xml:space="preserve">3 </w:t>
      </w:r>
      <w:r>
        <w:rPr>
          <w:rFonts w:hint="eastAsia" w:ascii="宋体" w:hAnsi="宋体" w:eastAsia="宋体" w:cs="宋体"/>
          <w:b w:val="0"/>
          <w:bCs w:val="0"/>
          <w:color w:val="auto"/>
          <w:sz w:val="21"/>
          <w:szCs w:val="21"/>
          <w:highlight w:val="none"/>
        </w:rPr>
        <w:t xml:space="preserve">合同经双方法定代表人或授权委托代表人签字并加盖单位公章后生效。</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w:t>
      </w:r>
      <w:r>
        <w:rPr>
          <w:rFonts w:hint="eastAsia" w:ascii="宋体" w:hAnsi="宋体" w:eastAsia="宋体" w:cs="宋体"/>
          <w:b w:val="0"/>
          <w:bCs w:val="0"/>
          <w:color w:val="auto"/>
          <w:sz w:val="21"/>
          <w:szCs w:val="21"/>
          <w:highlight w:val="none"/>
          <w:lang w:val="en-US" w:eastAsia="zh-CN"/>
        </w:rPr>
        <w:t xml:space="preserve">4 </w:t>
      </w:r>
      <w:r>
        <w:rPr>
          <w:rFonts w:hint="eastAsia" w:ascii="宋体" w:hAnsi="宋体" w:eastAsia="宋体" w:cs="宋体"/>
          <w:b w:val="0"/>
          <w:bCs w:val="0"/>
          <w:color w:val="auto"/>
          <w:sz w:val="21"/>
          <w:szCs w:val="21"/>
          <w:highlight w:val="none"/>
        </w:rPr>
        <w:t xml:space="preserve">本合同未尽事宜，遵照《民法典》、《政府采购法》有关条文执行。</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 本合同正本一式</w:t>
      </w:r>
      <w:r>
        <w:rPr>
          <w:rFonts w:hint="eastAsia" w:ascii="宋体" w:hAnsi="宋体" w:eastAsia="宋体" w:cs="宋体"/>
          <w:b w:val="0"/>
          <w:bCs w:val="0"/>
          <w:color w:val="auto"/>
          <w:sz w:val="21"/>
          <w:szCs w:val="21"/>
          <w:highlight w:val="none"/>
          <w:lang w:val="en-US" w:eastAsia="zh-CN"/>
        </w:rPr>
        <w:t xml:space="preserve">肆</w:t>
      </w:r>
      <w:r>
        <w:rPr>
          <w:rFonts w:hint="eastAsia" w:ascii="宋体" w:hAnsi="宋体" w:eastAsia="宋体" w:cs="宋体"/>
          <w:b w:val="0"/>
          <w:bCs w:val="0"/>
          <w:color w:val="auto"/>
          <w:sz w:val="21"/>
          <w:szCs w:val="21"/>
          <w:highlight w:val="none"/>
        </w:rPr>
        <w:t xml:space="preserve">份，具有同等法律效力，甲方、乙方各执</w:t>
      </w:r>
      <w:r>
        <w:rPr>
          <w:rFonts w:hint="eastAsia" w:ascii="宋体" w:hAnsi="宋体" w:eastAsia="宋体" w:cs="宋体"/>
          <w:b w:val="0"/>
          <w:bCs w:val="0"/>
          <w:color w:val="auto"/>
          <w:sz w:val="21"/>
          <w:szCs w:val="21"/>
          <w:highlight w:val="none"/>
          <w:lang w:val="en-US" w:eastAsia="zh-CN"/>
        </w:rPr>
        <w:t xml:space="preserve">贰</w:t>
      </w:r>
      <w:r>
        <w:rPr>
          <w:rFonts w:hint="eastAsia" w:ascii="宋体" w:hAnsi="宋体" w:eastAsia="宋体" w:cs="宋体"/>
          <w:b w:val="0"/>
          <w:bCs w:val="0"/>
          <w:color w:val="auto"/>
          <w:sz w:val="21"/>
          <w:szCs w:val="21"/>
          <w:highlight w:val="none"/>
        </w:rPr>
        <w:t xml:space="preserve">份。</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盖章</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乙方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盖章</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pStyle w:val="645"/>
        <w:ind w:left="0" w:firstLine="420"/>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法定代表人或授权代表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签字</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法定代表人或授权代表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签字</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pStyle w:val="645"/>
        <w:ind w:left="0" w:firstLine="420"/>
        <w:jc w:val="left"/>
        <w:keepLines w:val="0"/>
        <w:keepNext w:val="0"/>
        <w:pageBreakBefore w:val="0"/>
        <w:spacing w:line="47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645"/>
        <w:ind w:left="0" w:firstLine="420"/>
        <w:jc w:val="left"/>
        <w:keepLines w:val="0"/>
        <w:keepNext w:val="0"/>
        <w:pageBreakBefore w:val="0"/>
        <w:spacing w:line="47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1"/>
          <w:szCs w:val="21"/>
          <w:highlight w:val="none"/>
        </w:rPr>
        <w:t xml:space="preserve">签订日期：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年  月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日</w:t>
      </w:r>
      <w:r/>
    </w:p>
    <w:p>
      <w:pPr>
        <w:pStyle w:val="649"/>
        <w:ind w:left="0" w:firstLine="0"/>
        <w:keepLines w:val="0"/>
        <w:keepNext w:val="0"/>
        <w:pageBreakBefore w:val="0"/>
        <w:spacing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p>
    <w:p>
      <w:pPr>
        <w:ind w:left="0" w:right="0" w:firstLine="0"/>
        <w:jc w:val="center"/>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p>
    <w:p>
      <w:pPr>
        <w:ind w:left="0" w:right="0" w:firstLine="0"/>
        <w:jc w:val="center"/>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政府采购合同履约验收书（参考格式）</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SimSun" w:hAnsi="SimSun" w:eastAsia="SimSun" w:cs="SimSun"/>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8"/>
        <w:gridCol w:w="3093"/>
        <w:gridCol w:w="1781"/>
        <w:gridCol w:w="2697"/>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8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年    月    日</w:t>
            </w:r>
            <w:r/>
          </w:p>
        </w:tc>
      </w:tr>
    </w:tbl>
    <w:p>
      <w:pPr>
        <w:pStyle w:val="648"/>
        <w:ind w:left="0" w:right="0" w:firstLine="0"/>
        <w:jc w:val="center"/>
        <w:keepLines w:val="0"/>
        <w:keepNext w:val="0"/>
        <w:pageBreakBefore w:val="0"/>
        <w:spacing w:beforeAutospacing="0" w:afterAutospacing="0" w:line="500" w:lineRule="exact"/>
        <w:shd w:val="clear" w:color="auto"/>
        <w:widowControl w:val="off"/>
        <w:rPr>
          <w:rFonts w:hint="eastAsia" w:ascii="宋体" w:hAnsi="宋体" w:eastAsia="宋体" w:cs="宋体"/>
          <w:b/>
          <w:bCs/>
          <w:color w:val="auto"/>
          <w:sz w:val="44"/>
          <w:szCs w:val="44"/>
          <w:highlight w:val="none"/>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
          <w:bCs/>
          <w:color w:val="auto"/>
          <w:sz w:val="44"/>
          <w:szCs w:val="44"/>
          <w:highlight w:val="none"/>
        </w:rPr>
      </w:r>
      <w:r/>
    </w:p>
    <w:p>
      <w:pPr>
        <w:pStyle w:val="648"/>
        <w:ind w:left="0" w:right="0" w:firstLine="0"/>
        <w:jc w:val="center"/>
        <w:keepLines w:val="0"/>
        <w:keepNext w:val="0"/>
        <w:pageBreakBefore w:val="0"/>
        <w:spacing w:beforeAutospacing="0" w:afterAutospacing="0" w:line="500" w:lineRule="exact"/>
        <w:shd w:val="clear" w:color="auto"/>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w:t>
      </w:r>
      <w:bookmarkEnd w:id="173"/>
      <w:r>
        <w:rPr>
          <w:rFonts w:hint="eastAsia" w:ascii="宋体" w:hAnsi="宋体" w:eastAsia="宋体" w:cs="宋体"/>
          <w:b/>
          <w:bCs/>
          <w:color w:val="auto"/>
          <w:sz w:val="44"/>
          <w:szCs w:val="44"/>
          <w:highlight w:val="none"/>
        </w:rPr>
        <w:t xml:space="preserve">四章 采购需求</w:t>
      </w:r>
      <w:bookmarkEnd w:id="174"/>
      <w:r/>
      <w:bookmarkEnd w:id="175"/>
      <w:r/>
      <w:bookmarkEnd w:id="176"/>
      <w:r/>
      <w:bookmarkEnd w:id="177"/>
      <w:r/>
      <w:bookmarkEnd w:id="178"/>
      <w:r/>
      <w:r/>
    </w:p>
    <w:p>
      <w:pPr>
        <w:pStyle w:val="648"/>
        <w:ind w:left="0" w:right="0" w:firstLine="562"/>
        <w:jc w:val="left"/>
        <w:keepLines w:val="0"/>
        <w:keepNext w:val="0"/>
        <w:pageBreakBefore w:val="0"/>
        <w:spacing w:beforeAutospacing="0" w:afterAutospacing="0" w:line="500" w:lineRule="exact"/>
        <w:shd w:val="clear" w:color="auto"/>
        <w:widowControl w:val="off"/>
        <w:rPr>
          <w:rFonts w:hint="default"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一、技术要求</w:t>
      </w:r>
      <w:r/>
    </w:p>
    <w:tbl>
      <w:tblPr>
        <w:tblStyle w:val="64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9"/>
        <w:gridCol w:w="1829"/>
        <w:gridCol w:w="9658"/>
        <w:gridCol w:w="866"/>
        <w:gridCol w:w="912"/>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bookmarkStart w:id="180" w:name="_Toc120614281"/>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r>
      <w:tr>
        <w:trPr>
          <w:trHeight w:val="27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万兆供电交换机（外网）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7"/>
                <w:rFonts w:hint="eastAsia" w:ascii="宋体" w:hAnsi="宋体" w:eastAsia="宋体" w:cs="宋体"/>
                <w:b w:val="0"/>
                <w:bCs w:val="0"/>
                <w:color w:val="auto"/>
                <w:sz w:val="21"/>
                <w:szCs w:val="21"/>
                <w:highlight w:val="none"/>
                <w:lang w:val="en-US" w:eastAsia="zh-CN" w:bidi="ar"/>
              </w:rPr>
              <w:suppressLineNumbers w:val="0"/>
            </w:pPr>
            <w:r>
              <w:rPr>
                <w:rStyle w:val="656"/>
                <w:rFonts w:hint="eastAsia" w:ascii="宋体" w:hAnsi="宋体" w:eastAsia="宋体" w:cs="宋体"/>
                <w:color w:val="auto"/>
                <w:sz w:val="21"/>
                <w:szCs w:val="21"/>
                <w:highlight w:val="none"/>
                <w:lang w:val="en-US" w:eastAsia="zh-CN" w:bidi="ar"/>
              </w:rPr>
              <w:t xml:space="preserve">1、交换容量≥396Gbps，包转发率≥126Mpps</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2、端口类型≥24个10/100/1000Base-T电口，≥4个1G/10G SFP+光口。</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3、支持POE+，整机PoE最大输出功率≥375W，单端口最大输出功率≥35W</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b w:val="0"/>
                <w:bCs w:val="0"/>
                <w:color w:val="auto"/>
                <w:sz w:val="21"/>
                <w:szCs w:val="21"/>
                <w:highlight w:val="none"/>
                <w:lang w:val="en-US" w:eastAsia="zh-CN" w:bidi="ar"/>
              </w:rPr>
              <w:t xml:space="preserve">4、支持组播VLAN ，可实现同一组数据在不同用户VLAN间的复制和转发。</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6"/>
                <w:rFonts w:hint="eastAsia" w:ascii="宋体" w:hAnsi="宋体" w:eastAsia="宋体" w:cs="宋体"/>
                <w:color w:val="auto"/>
                <w:sz w:val="21"/>
                <w:szCs w:val="21"/>
                <w:highlight w:val="none"/>
                <w:lang w:val="en-US" w:eastAsia="zh-CN" w:bidi="ar"/>
              </w:rPr>
              <w:t xml:space="preserve">5、支持IEEE 802.3ad，支持动态链路聚合LACP</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6、支持Jumbo Frame数据传输。</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7、支持端口限速以及流限速功能，防止恶意侵占网络带宽，提供多种精细化管理手段，支持ARP Detection功能，支持ARP限速</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8、支持SNMPV1/2/3、TELNET、SSH等多种管理方式，支持管理平台、WEB网管，支持云管和自主网功能</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框式PON交换机（外网）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1、整机交换容量≥168Tbps，包转发率≥36000Mpps</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2、机箱式多插槽交换机，整机业务槽位数量≥3个</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3、支持冗余电源、冗余主控，主控板主备切换无丢包，主控交换卡、电源、接口模块、风扇等关键部件可热插拔</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4、▲支持融合AC功能，无需额外配置单独硬件，并且能在交换机上对所有上线的AP 进行管理与配置。（提供CNAS或CMA认可的检测报告原件扫描件和官网截图证明并加盖公章）</w:t>
            </w:r>
            <w:r>
              <w:rPr>
                <w:rStyle w:val="659"/>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5、▲支持4框虚拟化技术。（提供CNAS或CMA认可的检测报告原件扫描件并加盖公章）</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6、▲支持MACsec硬件加密技术，实现MAC层安全加密，保证重要数据在传输过程中的保密性。（提供CNAS或CMA认可的检测报告原件扫描件并加盖公章）</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7、支持RRPP、ERPS和RPR等环网技术，收敛时间≤50ms</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8、支持sFlow、Netstream等流量统计和分析功能，并支持对VxLAN报文的Netstream流量统计和分析功能</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9、支持智能图形化管理功能，能够实现通过图形化界面设备配置及命令一键下发和版本智能升级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10、支持BFD功能，支持与OSPF、VRRP联动，收敛时间≤50ms</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11、▲支持有线/无线终端用户的端点准入防御功能，能够做到终端安全防范无漏洞（提供官网截图证明并加盖公章）</w:t>
            </w:r>
            <w:r>
              <w:rPr>
                <w:rStyle w:val="659"/>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12、▲支持以太网无源光网络（提供官网截图证明并加盖公章）</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13、为了保障整体网络兼容性和统一售后，要求核心层与接入层设备统一品牌</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14、本次投标产品单台实配：双交流电源，千兆光口≥24个，万兆光口≥4个</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无线接入点（外网）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1、支持802.11ax协议标准，整机双频五流，整机最大接入速率2.975Gbps</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2、固定接口≥1个2.5Gbps 自协商以太网口上行口（PoE受电），无线终端最大接入数≥256</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3、支持无线VLAN绑定</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4、支持无线漫游灵敏度调优、弱信号终端优化、智能优化</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5、支持基于AP侧的无线终端限速</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6、支持一键认证、短信认证、账号认证、访客认证、微信公众号认证、哑终端认证、会员认证、钉钉认证、认证逃生、自定义认证服务器地址</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7、支持通过移动终端平台统一管理与运维，可以查看AP在线情况、AP关键指标、AP信道使用情况</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r>
      <w:tr>
        <w:trPr>
          <w:trHeight w:val="338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万兆防火墙（外网）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7"/>
                <w:rFonts w:hint="default" w:ascii="宋体" w:hAnsi="宋体" w:eastAsia="宋体" w:cs="宋体"/>
                <w:color w:val="auto"/>
                <w:sz w:val="21"/>
                <w:szCs w:val="21"/>
                <w:highlight w:val="none"/>
                <w:lang w:val="en-US" w:eastAsia="zh-CN" w:bidi="ar"/>
              </w:rPr>
              <w:suppressLineNumbers w:val="0"/>
            </w:pPr>
            <w:r>
              <w:rPr>
                <w:rStyle w:val="656"/>
                <w:rFonts w:hint="eastAsia" w:ascii="宋体" w:hAnsi="宋体" w:eastAsia="宋体" w:cs="宋体"/>
                <w:color w:val="auto"/>
                <w:sz w:val="21"/>
                <w:szCs w:val="21"/>
                <w:highlight w:val="none"/>
                <w:lang w:val="en-US" w:eastAsia="zh-CN" w:bidi="ar"/>
              </w:rPr>
              <w:t xml:space="preserve">1、采用非X86多核架构，具备可插拔冗余电源模块</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2、支持1个 1T HDD\480G SSD硬盘槽硬盘插槽，需实配1个1T HDD硬盘</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3、至少配置16个千兆电口，4个Combo口，6个千兆光口，2个万兆光口，1个管理口，1个Console口，2个USB接口。</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4、▲要求具备≥2个接口扩展卡插槽</w:t>
            </w:r>
            <w:r>
              <w:rPr>
                <w:rStyle w:val="659"/>
                <w:rFonts w:hint="eastAsia" w:ascii="宋体" w:hAnsi="宋体" w:eastAsia="宋体" w:cs="宋体"/>
                <w:color w:val="auto"/>
                <w:sz w:val="21"/>
                <w:szCs w:val="21"/>
                <w:highlight w:val="none"/>
                <w:lang w:val="en-US" w:eastAsia="zh-CN" w:bidi="ar"/>
              </w:rPr>
              <w:t xml:space="preserve">（提供官网截图证明并加盖公章）</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5、全威胁吞吐量≥1G</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6、应用层吞吐量≥2.6Gbps，网络吞吐量≥7G，并发连接数≥260万，新建连接数≥5.5万</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7、整机同时具备防火墙、链路负载均衡、入侵防御、防病毒、带宽控制、应用识别和web应用防护等功能。</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8、配置waf功能授权</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9、支持IPsec VPN隧道自动建立，无需流量触发；支持IPsec VPN智能选路，根据隧道质量调度流量。</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10、可针对HTTP/HTTPS的安全策略来专门为Web应用提供保护。对来自Web应用程序客户端的各类请求进行内容检测和验证，确保其安全性与合法性，对非法的请求予以实时阻断，从而对各类网站进行有效防护。</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11、▲支持sql注入、跨站脚本、远程代码执行、字符编码等攻击的防护，支持对网络设备、网页服务器、数据库等设备的专属特征分类，支持CC攻击防护，可基于检测请求报文头的X-forward-for字段，以获取真正的源IP地址（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12、WAF规则支持用户自定义，同时支持导入和导出功能</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13、支持至少4700种的Web特征的攻击检测和防御</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14、</w:t>
            </w:r>
            <w:r>
              <w:rPr>
                <w:rStyle w:val="659"/>
                <w:rFonts w:hint="eastAsia" w:ascii="宋体" w:hAnsi="宋体" w:eastAsia="宋体" w:cs="宋体"/>
                <w:color w:val="auto"/>
                <w:sz w:val="21"/>
                <w:szCs w:val="21"/>
                <w:highlight w:val="none"/>
                <w:lang w:val="en-US" w:eastAsia="zh-CN" w:bidi="ar"/>
              </w:rPr>
              <w:t xml:space="preserve">▲</w:t>
            </w:r>
            <w:r>
              <w:rPr>
                <w:rStyle w:val="657"/>
                <w:rFonts w:hint="eastAsia" w:ascii="宋体" w:hAnsi="宋体" w:eastAsia="宋体" w:cs="宋体"/>
                <w:color w:val="auto"/>
                <w:sz w:val="21"/>
                <w:szCs w:val="21"/>
                <w:highlight w:val="none"/>
                <w:lang w:val="en-US" w:eastAsia="zh-CN" w:bidi="ar"/>
              </w:rPr>
              <w:t xml:space="preserve">支持至少9400条以上的应用识别，且提示风险类型及风险级别，便于用户根据实际情况进行上网行为管理。（提供功能截图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15、支持云端防病毒，为保证检测时效性，特征缓存数至少保证20万条且缓存保留时间不应少于700分钟；</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16、支持数据防泄露，对传输的文件和内容进行识别过滤，对内容与身份证号、信用卡号、银行卡号、手机号等类型进行匹配。</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17、支持流量自学习功能，可设置自学习时间，并自动生成DDoS防范策略。</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18、支持基于接口及IP的报文捕获，并将捕获到的报文生成Wireshark（一种网络封包分析软件）可识别的.cap后缀文件，保存到本地或外部服务器，供用户分析诊断出入设备的流量。</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19、支持报文示踪功能，支持真实流量、导入报文、构造报文等方式，用于分析和追踪设备中各个安全业务模块（如：攻击防范、uRPF、会话管理和连接数限制等）对报文的处理过程，通过查看报文示踪记录的详细信息，有利于管理员对网络故障的快速排查和定位。</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20、支持基于Http Accept-Encoding、HTTP Accept-Language、Http Host、Http Request-Method、Http URL-File、Http User-Agent等协议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21、能够防范DOS/DDOS攻击：Land、Smurf、Fraggle、Ping of Death、Tear Drop、IP Spoofing、IP分片报文、ARP欺骗、ARP主动反向查询、TCP报文标志位不合法、超大ICMP报文、地址扫描、端口扫描等攻击防范，还包括针对SYN Flood、UPD Flood、ICMP Flood、DNS Flood、http Flood、https Flood、sip Flood等常见DDoS攻击的检测防御。</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22、▲支持国密SM1/2/3/4算法。（提供功能截图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23、</w:t>
            </w:r>
            <w:r>
              <w:rPr>
                <w:rStyle w:val="659"/>
                <w:rFonts w:hint="eastAsia" w:ascii="宋体" w:hAnsi="宋体" w:eastAsia="宋体" w:cs="宋体"/>
                <w:color w:val="auto"/>
                <w:sz w:val="21"/>
                <w:szCs w:val="21"/>
                <w:highlight w:val="none"/>
                <w:lang w:val="en-US" w:eastAsia="zh-CN" w:bidi="ar"/>
              </w:rPr>
              <w:t xml:space="preserve">▲</w:t>
            </w:r>
            <w:r>
              <w:rPr>
                <w:rStyle w:val="657"/>
                <w:rFonts w:hint="eastAsia" w:ascii="宋体" w:hAnsi="宋体" w:eastAsia="宋体" w:cs="宋体"/>
                <w:color w:val="auto"/>
                <w:sz w:val="21"/>
                <w:szCs w:val="21"/>
                <w:highlight w:val="none"/>
                <w:lang w:val="en-US" w:eastAsia="zh-CN" w:bidi="ar"/>
              </w:rPr>
              <w:t xml:space="preserve">所投设备须支持虚拟防火墙功能：支持虚拟防火墙的创建、启动、关闭、删除功能；可独立分配CPU、接口、吞吐量、内存、磁盘空间等资源，支持2台设备堆叠成一台设备使用，实现统一管理，统一配置，所投设备支持高可靠性（包含主备/主主模式）部署。（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24、提供开放API接口（RESTful，NetConf），可编程管理防火墙，不再仅依赖网管软件。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防火墙软件使用权（外网）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AV防病毒安全特征库、IPS特征库升级及应用识别特征库使用权</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49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7"/>
                <w:rFonts w:hint="eastAsia" w:ascii="宋体" w:hAnsi="宋体" w:eastAsia="宋体" w:cs="宋体"/>
                <w:b w:val="0"/>
                <w:bCs w:val="0"/>
                <w:color w:val="auto"/>
                <w:sz w:val="21"/>
                <w:szCs w:val="21"/>
                <w:highlight w:val="none"/>
                <w:lang w:val="en-US" w:eastAsia="zh-CN" w:bidi="ar"/>
              </w:rPr>
              <w:suppressLineNumbers w:val="0"/>
            </w:pPr>
            <w:r>
              <w:rPr>
                <w:rStyle w:val="657"/>
                <w:rFonts w:hint="eastAsia" w:ascii="宋体" w:hAnsi="宋体" w:eastAsia="宋体" w:cs="宋体"/>
                <w:b w:val="0"/>
                <w:bCs w:val="0"/>
                <w:color w:val="auto"/>
                <w:sz w:val="21"/>
                <w:szCs w:val="21"/>
                <w:highlight w:val="none"/>
                <w:lang w:val="en-US" w:eastAsia="zh-CN" w:bidi="ar"/>
              </w:rPr>
              <w:t xml:space="preserve">1、1U标准机架设备，多核多线程CPU，8G内存，2T存储，标配6个千兆电口，1个扩展槽，可扩展4GE+4SFP插卡、8GE插卡、8SFP插卡，4SFP+插卡</w:t>
            </w:r>
            <w:r/>
          </w:p>
          <w:p>
            <w:pPr>
              <w:jc w:val="left"/>
              <w:keepLines w:val="0"/>
              <w:keepNext w:val="0"/>
              <w:pageBreakBefore w:val="0"/>
              <w:spacing w:line="240" w:lineRule="auto"/>
              <w:shd w:val="clear" w:color="auto"/>
              <w:widowControl/>
              <w:rPr>
                <w:rFonts w:hint="default" w:ascii="宋体" w:hAnsi="宋体" w:eastAsia="宋体" w:cs="宋体"/>
                <w:b/>
                <w:bCs/>
                <w:i w:val="0"/>
                <w:iCs w:val="0"/>
                <w:color w:val="auto"/>
                <w:sz w:val="21"/>
                <w:szCs w:val="21"/>
                <w:highlight w:val="none"/>
                <w:u w:val="none"/>
                <w:lang w:val="en-US"/>
              </w:rPr>
              <w:suppressLineNumbers w:val="0"/>
            </w:pPr>
            <w:r>
              <w:rPr>
                <w:rStyle w:val="656"/>
                <w:rFonts w:hint="eastAsia" w:ascii="宋体" w:hAnsi="宋体" w:eastAsia="宋体" w:cs="宋体"/>
                <w:color w:val="auto"/>
                <w:sz w:val="21"/>
                <w:szCs w:val="21"/>
                <w:highlight w:val="none"/>
                <w:lang w:val="en-US" w:eastAsia="zh-CN" w:bidi="ar"/>
              </w:rPr>
              <w:t xml:space="preserve">2、事件入库性能≥1500EPS；默认16个日志源；扩展步长8个日志源，最大可至128个日志源。</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支持市面主流安全设备、网络设备、中间件、服务器、数据库、操作系统等设备对象的日志数据采集；支持主动、被动相结合的数据采集方式；支持日志转发；支持Syslog、SNMP、JDBC、WMI、FTP、文件等进行数据采集；支持通过Agent采集日志数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4、采集内容支持日志监控、文件监控（文件监控无需开启ftp、sftp协议）、网络包监控；</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5、支持控制采集时间、采集级别、采集范围、采集路径、采集名称、采集文件、多文件采集、采集编码格式、采集正则表达式、自定义采集等；</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6、支持采集网络流量，解析协议不少于ICMP、AMQP、Cassandra、DNS、HTTP、Memcache、MySQL、PgSQL、TNS、Redis、Thrift、MongoDB、NFS、TDS、Sybase、Drda、Dameng、POP、SMTP、达梦等；</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7、对元数据进行重加工或扩展加工，通过正则匹配、OID映射等配置文件编写，上传至现有日志审计平台，直接实现数据的扩展兼容；</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8、提供TOP10资产事件趋势，支持实时告警数、资产总数、日志事件总数、系统健康状况的图表显示。并支持资产总数、日志事件总数、系统健康状况四项的下钻查看详情；提供首页“进入/退出全屏”显示按键；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9、支持基于策略的多资产海量日志关联分析，发现安全事件进行关联通知；系统内置不少于50种常见安全事件关联分析规则；</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10、提供可视化关联分析规则编辑视图，可根据实际业务编辑关联分析规则，关联内容支持不少于资产、源地址、源端口、目的地址、目的端口、事件级别、原始日志、关键词等信息；</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11、支持所有日志事件按照通用模板进行多维日志类型、多设备类型日志进行因果性关联分析，支持三个因果关联，实现日志的多维异常分析；</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12、支持自动生成主机访问关系图谱。关系图谱支持无限级延伸，支持点击业务主机节点自动绘制访问关系；</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13、</w:t>
            </w:r>
            <w:r>
              <w:rPr>
                <w:rStyle w:val="659"/>
                <w:rFonts w:hint="eastAsia" w:ascii="宋体" w:hAnsi="宋体" w:eastAsia="宋体" w:cs="宋体"/>
                <w:color w:val="auto"/>
                <w:sz w:val="21"/>
                <w:szCs w:val="21"/>
                <w:highlight w:val="none"/>
                <w:lang w:val="en-US" w:eastAsia="zh-CN" w:bidi="ar"/>
              </w:rPr>
              <w:t xml:space="preserve">▲</w:t>
            </w:r>
            <w:r>
              <w:rPr>
                <w:rStyle w:val="657"/>
                <w:rFonts w:hint="eastAsia" w:ascii="宋体" w:hAnsi="宋体" w:eastAsia="宋体" w:cs="宋体"/>
                <w:color w:val="auto"/>
                <w:sz w:val="21"/>
                <w:szCs w:val="21"/>
                <w:highlight w:val="none"/>
                <w:lang w:val="en-US" w:eastAsia="zh-CN" w:bidi="ar"/>
              </w:rPr>
              <w:t xml:space="preserve">支持关系图谱搜索、过滤，支持自定义关系节点图标、支持基于节点下钻查看日志信息、查看和拓展该点关系图等（提供功能截图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14、对单位内的设备类型、应用类型、协议类型等信息为基础，梳理出设备、应用、协议等之间的访问关系，实时树立访问关系，结合不同类型梳理出正常使用访问操作，非正常授权使用操作；</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15、支持根据内置事件类型，按照用户环境需求，定义无限级深度事件模型，绘制全网事件关联关系模型，提供基于模型而非特征的问题发现能力，辅助发现未知威胁；</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16、▲支持对单位服务器开放端口关系、服务器端口连接关系、服务代理关系、P2P模型等关系的查看。（提供功能截图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7"/>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17、对单位网络中DNS服务器的访问关系，可以通过该关系图直接发现异常DNS服务器地址，发现DNS欺骗问题；</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18、结合单位认证授权设备，如堡垒机，进行登录行为的可视化关系，可以通过该图直接发现过度授权和未授权访问问题；</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19、满足单位根据等级保护中关于网络安全、主机安全、风险管理等相关事件统计要求；</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20、 满足单位萨班斯法案（SOX）中关于认证管理、账号管理、权限管理、操作管理、攻击管理、风险管理等相关要求事件统计；</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21、满足单位信息安全管理要ISO27001中关于资产管理、人力资源安全管理、通信和操作管理、访问控制管理、信息系统获取/开发和维护管理、信息安全事故、业务连续性等相关要求事件统计；</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22、满足单位第三方支付行业（支付卡行业PCI DSS）数据安全标准PCI DSS中关于网络安全管理、访问控制管理、网络监测管理、安全策略管理等相关要求事件统计；</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23、提供按照全网概况、操作系统分析、安全设备分析、网络设备分析、数据库分析、Web应用分析、连接关系、事件关系、网络流量等进行分类的分析图组；</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24、支持根据用户需求进行图表自定义无需二次开发，实时查询总体、时间段、时间节点等相关内容以多样式的图表进行丰富综合展示；</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25、HTTP响应时间、响应状态码、访问来源IP、请求内容等信息监控，实现发现如状态码为404或响应时间超长情况监控、下钻、跟踪，提供及时进行Web性能优化的业务辅助；</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26、▲数据库响应时间、请求方式、请求内容等信息监控，实现发现如响应时间超长情况监控、下钻、跟踪，提供及时进行数据库性能优化的业务辅助（提供功能截图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27、支持实时日志查看，可选择任意时间节点进行查看全部日志或符合时间节点重要事件，无需进行二次查询；</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28、支持在查询结果页面按照时间切片，以柱状图显示每个时间间隔内的日志数量，可直接下钻查询，支持每一秒为一个时间隔。</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29、支持过滤条件不少于以下条件类型：设备IP、来源IP、目的MAC、来源端口、目的端口、目的地址IPV6、源MAC、源地址IPV6、操作用户、目的IP、事件名称、域名、事件级别、应用名称、请求信息、服务名称、错误信息、响应信息、资源类型、错误码、接收字节、数据库表名、状态码、协议、发送字节、请求方式等。</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30、支持在告警信息页面，点击统计图，以环形图形式对告警类型进行统计；</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31、 支持根据时间范围、级别、规则类型、告警全文关键字等方式快速检索安全事件告警，检索结果支持Excel等格式导出。支持邮件、声音、syslog等多种告警方式。</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32、采用基于时间索引方式的日志存储和非关系型数据库的配置的存储架构，支持数据本地集中存储、本地离线备份存储、FTP离线存储、网络存储；</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33、支持日志的数据的冷热模式切换，即基于时间索引的及时关闭和开启索引；</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34、支持在资产列表页面，以环形图、饼状图形式对资产分组和类型进行统计；支持为一个IP分配多种业务类型，同时收取收集不同类型日志，并进行正确解析；</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35、支持设备可用性状态监测，当设备出现异常超出设定阀值时及时发出告警信息；</w:t>
            </w:r>
            <w:r>
              <w:rPr>
                <w:rStyle w:val="657"/>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36、▲日志存储时间应大于等于180天，支持多条件查询（提供官网截图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9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接入交换机（外网）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1、交换容量≥336Gbps，包转发率≥56Mpps。</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2、端口类型≥8个10/100/1000Base-T电口，≥2个1000Base-X SFP光口。</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3、支持堆叠，持集群或堆叠多虚一技术，实现单一界面管理多台设备，堆叠台数≥9台。</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4、支持MAC地址学习数目限制，MAC地址深度最≥8K</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5、支持组播VLAN ，可实现同一组数据在不同用户VLAN间的复制和转发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6、支持端口自环检测，可防止数据环路引起广播风暴。</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7、支持端口限速以及流限速功能，防止恶意侵占网络带宽，提供多种精细化管理手段</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8、支持SNMPV1/2/3、TELNET、SSH等多种管理方式</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9、支持802.1X和MAC认证，支持客户端软件版本检测、Guest VLAN等功能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10、可console管理，支持命令行调试</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11、支持sflow流量统计分析功能。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12、支持STP/RSTP/MSTP多种生成树协议，提高容错能力，提升网络稳定性。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13、所投交换机支持同一品牌的智能管理平台统一运维管理。</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14、支持丰富的IPV6业务特性及多种IPv6管理手段。</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trHeight w:val="17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万兆核心交换机（公安内网）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1、交换容量≥5.98Tbps，包转发率≥237Mpps，整机功耗≤60W。</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2、端口类型≥24个100/1000BASE-X SFP光口，≥8个10/100/1000BASE-T电口，≥4个1/10G Base-X SFP+光口，≥1个Console口。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3、支持环境工作温度-5~45℃，工作相对湿度5～95%RH，无冷凝。</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4、支持802.3x流量控制(全双工)，支持未知单播/多播/广播抑制。</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5、支持端口镜像、流镜像、远程镜像，支持 SPAN/RSPAN 镜像和多个镜像观察端口，支持Loopback-detection端口环回检测。</w:t>
            </w:r>
            <w:r>
              <w:rPr>
                <w:rStyle w:val="659"/>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6、支持智能弹性架构的堆叠，持集群或堆叠多虚一技术，实现单一界面管理多台设备，堆叠台数≥9台。</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7、支持MAC地址学习数目限制，MAC地址深度最深≥32K</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8、支持组播VLAN，可实现同一组数据在不同用户VLAN间的复制和转发。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9、支持多种VLAN功能，支持802.1Q/Guest /Voice VLAN，。</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10、支持LACP/STP/RSTP/MSTP/PVST/Smart Link/RRPP快速环网保护机制等保护协议，提高容错能力，提升网络稳定性。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11、支持二层环网协议，支持SmartLink 树型拓朴和SmartLink多实例，提供主备链路的毫秒级保护，支持RRPP环型拓扑和RRPP多实例。</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12、支持防私接DHCP Snooping，避免上网终端从非法DHCP服务器分配IP地址。</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13、支持丰富的IPv4和IPv6三层路由协议、组播技术以及策略路由机制，支持IPv4/IPv6静态路由，支持双栈。</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14、支持集中式MAC地址认证、802.1x认证、PORTAL认证、RADIUS 认证、TACACS认证，支持用户帐号、IP、MAC、VLAN、端口等用户标识元素的动态或静态绑定，同时实现用户策略（VLAN、QoS、ACL）的动态下发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15、支持DLDP单向链路检测协议，支持LLDP，支持NTP，支持VCT电缆检测功能，支持电源的告警功能，风扇、温度告警</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16、支持TCP/IP、ARP、ICMP 协议；支持OSPFv2 路由协议；支持 IGMPv2 协议。</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Style w:val="659"/>
                <w:rFonts w:hint="eastAsia" w:ascii="宋体" w:hAnsi="宋体" w:eastAsia="宋体" w:cs="宋体"/>
                <w:b w:val="0"/>
                <w:bCs w:val="0"/>
                <w:color w:val="auto"/>
                <w:sz w:val="21"/>
                <w:szCs w:val="21"/>
                <w:highlight w:val="none"/>
                <w:lang w:val="en-US" w:eastAsia="zh-CN" w:bidi="ar"/>
              </w:rPr>
              <w:t xml:space="preserve">1、交换容量≥337Gbps，包转发率≥108Mpps，整机功耗≤22W</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2、端口类型≥24个10/100/1000Base-T电口，≥2个1000Base-X SFP光口，≥2个1000Base-X SFP+光口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3、支持组播VLAN ，可实现同一组数据在不同用户VLAN间的复制和转发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4、支持端口自环检测，可防止数据环路引起广播风暴</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5、支持IEEE 802.3ad，支持动态链路聚合LAC</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6、支持Jumbo Frame数据传输，在实现高密千兆接入同时，实现万兆上行的能力</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1、交换容量≥336Gbps，包转发率≥56Mpps。</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2、端口类型≥8个10/100/1000Base-T电口，≥2个1000Base-X SFP光口。</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3、支持堆叠，持集群或堆叠多虚一技术，实现单一界面管理多台设备，堆叠台数≥9台。</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4、支持sflow流量统计分析功能。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5、支持STP/RSTP/MSTP多种生成树协议，提高容错能力，提升网络稳定性。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6、所投交换机支持同一品牌的智能管理平台统一运维管理。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7、支持丰富的IPV6业务特性及多种IPv6管理手段。</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1、24个10/100/1000Base-T电口(包含两个uplink口，可作为上行口)，2个10G Base-X SFP+ 光口(uplink口)；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2、支持PoE+，整机最大输出：225W，单端口最大供电功率 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3、交换容量：88Gbps，包转发：65.7Mpps；MAC地址表：8K，包缓存≥4Mbit；模式切换：标准交换、端口隔离、汇聚上联、网络克隆。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万兆接线模块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LC-LC 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千兆接线模块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LC-LC 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模块化电源</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AC(70W)电源模块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1、名称：机柜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2、技术参数：高宽深(2000*600*600)mm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3、内置2个8位10A PDU</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1、产品符合ISO/IEC 11801；ANSI-TIA-568.2-D标准；；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2、PIN 针 采用磷青铜镀镍，再镀“50μ”金工艺；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3、标准19英寸机架式安装，采用高密度SPCC冷轧板，保证产品机械强度；</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(铁质)水平理线架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 芯 LC 双工机架固定式配线箱</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信息模块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1、产品符合ISO/IEC 11801；ANSI-TIA-568.2-D标准； PIN 针采用磷青铜镀镍，再镀”50μ”金工艺；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2、满足AWG23线规（6类 0.57）接入要求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3、塑料采用进口防火PC，符合UL94V-0标准；PCB采用FR-4双层板，IDC打线柱采用磷青铜材质；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4、特别优化金针和线路板补偿设计，有效降低串扰，提升产品性能；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5、内置隔离片设计，有效隔离线对之间的串扰；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6、免工具压线方式，施工便捷，降低施工手法对性能的影响，提升施工效率，降低施工成本；</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信息面板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 型双孔面板</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跳线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1、蓝色-3米 6类非屏蔽跳线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2、水晶头采用优质PC材料；PIN 针采用磷青铜，“50μ”镀金工艺；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1、工作波长1310nm, 1550nm, 850nm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2、插损（典型值） ≤0.2dB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3、回损 PC≥45dB,UPC≥50dB,APC≥60dB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4、振动 ≤0.2dB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5、互换性 ≤0.3dB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6、长度≥2米</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一体化冷通道柜</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top"/>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1、机柜尺寸：600*1200*2000mm（WDH，不含脚轮、调节地脚、柜顶线缆管理组件），封闭冷通道；需满足后期机柜数量扩容需求；机柜具有安装脚轮及调节地脚功能。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机柜单元采用冷通道封闭的结构设计。机柜单元前门采用单开钢化玻璃门，在机柜单元前部空间形成密闭冷通道，机柜单元后部空间形成自然散热通道，借助室内房间空调或室温实现精确制冷,最大程度降低空调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3、机柜单元配备弹门装置。当柜内温度异常时，前门可自动弹开应急散热通风；弹门装置的启动与微模块内部温度设定阈值联动。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4、机柜单元具备智能照明功能。每个机柜单元的前后通道内均配置LED灯。当机柜单元的门开启或关闭时，对应的LED灯自动亮起或熄灭，当打开前门时亮白光用于运维照明。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5、机柜单元应兼容上下进线，顶部盖板过线孔数量不少于2个，底部挡板过线孔数量不少于2个。过线孔均应用橡胶圈或毛刷覆盖以防止漏风；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6、机柜单元配备竖直安装型PDU。PDU额定输入电流32A，输出12口10A国标三扁插座，带电源指示和接线盒，不含工业插头，分左右安装（可根据实际需要选用其他类型PDU）。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7、机柜单元应有很强的兼容性，所有符合EIA-310-D标准的设备都可以安装在机柜单元中；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8、机柜单元应满足欧盟RoHS环保指令，所有部件需可靠接地，确保操作安全，满足IEC60950-1-2005安规标准。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4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一体化不间断电源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strike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一体化不间断电源需是国产优质产品；</w:t>
            </w:r>
            <w:r>
              <w:rPr>
                <w:rStyle w:val="659"/>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2、3KVA，220V输入，220V输出；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3、输出功因0.9，比普通机型带载提高13%；</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4、变频功能，支持50Hz输入/60Hz输出或60Hz输入/50Hz输出；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5、直流冷启动，可利用电池开机；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1、蓄电池应和主机为同一厂家；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2、蓄电池应通过抗震检测，其抗震等级应不低于9级。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3、蓄电池正常使用时保持气密和液密状态，当内部气压超过预定值时，安全阀自动开启，释放气体，当内部气压降低后，安全阀自动闭合使其密封，防止外部空气进入电池内部。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b/>
                <w:bCs/>
                <w:color w:val="auto"/>
                <w:sz w:val="21"/>
                <w:szCs w:val="21"/>
                <w:highlight w:val="none"/>
                <w:lang w:val="en-US" w:eastAsia="zh-CN" w:bidi="ar"/>
              </w:rPr>
              <w:t xml:space="preserve">4</w:t>
            </w:r>
            <w:r>
              <w:rPr>
                <w:rStyle w:val="659"/>
                <w:rFonts w:hint="eastAsia" w:ascii="宋体" w:hAnsi="宋体" w:eastAsia="宋体" w:cs="宋体"/>
                <w:b/>
                <w:bCs/>
                <w:color w:val="auto"/>
                <w:sz w:val="21"/>
                <w:szCs w:val="21"/>
                <w:highlight w:val="none"/>
                <w:lang w:val="en-US" w:eastAsia="zh-CN" w:bidi="ar"/>
              </w:rPr>
              <w:t xml:space="preserve">、</w:t>
            </w:r>
            <w:r>
              <w:rPr>
                <w:rStyle w:val="659"/>
                <w:rFonts w:hint="eastAsia" w:ascii="宋体" w:hAnsi="宋体" w:eastAsia="宋体" w:cs="宋体"/>
                <w:color w:val="auto"/>
                <w:sz w:val="21"/>
                <w:szCs w:val="21"/>
                <w:highlight w:val="none"/>
                <w:lang w:val="en-US" w:eastAsia="zh-CN" w:bidi="ar"/>
              </w:rPr>
              <w:t xml:space="preserve">▲电池间连接电压降应不大于10mV。（提供CNAS或CMA认可的检测报告原件扫描件并加盖公章））</w:t>
            </w:r>
            <w:r/>
          </w:p>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5、 蓄电池在25℃满容量状态下，静置28天后其蓄电池容量保存率应在96%以上 。</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6、蓄电池在大电流放电后，极柱不应熔断，其外观不出现异常。</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7、▲蓄电池密封反应效率不低于95%。（提供CNAS或CMA认可的检测报告原件扫描件并加盖公章）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8、蓄电池连接初电流为I10的电阻连续过放30d后，马上充电后容量应能保持在原容量的99%以上。</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w:t>
            </w:r>
            <w:r>
              <w:rPr>
                <w:rStyle w:val="656"/>
                <w:rFonts w:hint="eastAsia" w:ascii="宋体" w:hAnsi="宋体" w:eastAsia="宋体" w:cs="宋体"/>
                <w:color w:val="auto"/>
                <w:sz w:val="21"/>
                <w:szCs w:val="21"/>
                <w:highlight w:val="none"/>
                <w:lang w:val="en-US" w:eastAsia="zh-CN" w:bidi="ar"/>
              </w:rPr>
              <w:t xml:space="preserve">、满足机房设备30分钟以上蓄电需求</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10、容量：12V/7AH</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2607"/>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58"/>
                <w:rFonts w:hint="eastAsia" w:ascii="宋体" w:hAnsi="宋体" w:eastAsia="宋体" w:cs="宋体"/>
                <w:color w:val="auto"/>
                <w:sz w:val="21"/>
                <w:szCs w:val="21"/>
                <w:highlight w:val="none"/>
                <w:lang w:val="en-US" w:eastAsia="zh-CN" w:bidi="ar"/>
              </w:rPr>
              <w:t xml:space="preserve">机架式</w:t>
            </w:r>
            <w:r>
              <w:rPr>
                <w:rFonts w:hint="eastAsia" w:ascii="宋体" w:hAnsi="宋体" w:eastAsia="宋体" w:cs="宋体"/>
                <w:i w:val="0"/>
                <w:iCs w:val="0"/>
                <w:color w:val="auto"/>
                <w:sz w:val="21"/>
                <w:szCs w:val="21"/>
                <w:highlight w:val="none"/>
                <w:u w:val="none"/>
                <w:lang w:val="en-US" w:eastAsia="zh-CN" w:bidi="ar"/>
              </w:rPr>
              <w:t xml:space="preserve">通风冷却设备</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
              </w:numPr>
              <w:jc w:val="left"/>
              <w:keepLines w:val="0"/>
              <w:keepNext w:val="0"/>
              <w:pageBreakBefore w:val="0"/>
              <w:spacing w:line="240" w:lineRule="auto"/>
              <w:shd w:val="clear" w:color="auto"/>
              <w:widowControl/>
              <w:rPr>
                <w:rStyle w:val="659"/>
                <w:rFonts w:hint="eastAsia" w:ascii="宋体" w:hAnsi="宋体" w:eastAsia="宋体" w:cs="宋体"/>
                <w:b w:val="0"/>
                <w:bCs w:val="0"/>
                <w:color w:val="auto"/>
                <w:sz w:val="21"/>
                <w:szCs w:val="21"/>
                <w:highlight w:val="none"/>
                <w:lang w:val="en-US" w:eastAsia="zh-CN" w:bidi="ar"/>
              </w:rPr>
              <w:suppressLineNumbers w:val="0"/>
            </w:pPr>
            <w:r>
              <w:rPr>
                <w:rStyle w:val="659"/>
                <w:rFonts w:hint="eastAsia" w:ascii="宋体" w:hAnsi="宋体" w:eastAsia="宋体" w:cs="宋体"/>
                <w:b w:val="0"/>
                <w:bCs w:val="0"/>
                <w:color w:val="auto"/>
                <w:sz w:val="21"/>
                <w:szCs w:val="21"/>
                <w:highlight w:val="none"/>
                <w:lang w:val="en-US" w:eastAsia="zh-CN" w:bidi="ar"/>
              </w:rPr>
              <w:t xml:space="preserve">风量≥600m3/h，无室外机一体化设计，机架式安装，不大于7U</w:t>
            </w:r>
            <w:r/>
          </w:p>
          <w:p>
            <w:pPr>
              <w:numPr>
                <w:ilvl w:val="0"/>
                <w:numId w:val="0"/>
              </w:numPr>
              <w:jc w:val="left"/>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2、要求</w:t>
            </w:r>
            <w:r>
              <w:rPr>
                <w:rFonts w:hint="eastAsia" w:ascii="宋体" w:hAnsi="宋体" w:eastAsia="宋体" w:cs="宋体"/>
                <w:i w:val="0"/>
                <w:iCs w:val="0"/>
                <w:color w:val="auto"/>
                <w:sz w:val="21"/>
                <w:szCs w:val="21"/>
                <w:highlight w:val="none"/>
                <w:u w:val="none"/>
                <w:lang w:val="en-US" w:eastAsia="zh-CN" w:bidi="ar"/>
              </w:rPr>
              <w:t xml:space="preserve">通风冷却</w:t>
            </w:r>
            <w:r>
              <w:rPr>
                <w:rStyle w:val="658"/>
                <w:rFonts w:hint="eastAsia" w:ascii="宋体" w:hAnsi="宋体" w:eastAsia="宋体" w:cs="宋体"/>
                <w:color w:val="auto"/>
                <w:sz w:val="21"/>
                <w:szCs w:val="21"/>
                <w:highlight w:val="none"/>
                <w:lang w:val="en-US" w:eastAsia="zh-CN" w:bidi="ar"/>
              </w:rPr>
              <w:t xml:space="preserve">单元采用变频设备，可根据机柜内部的实际热负荷在一定范围内动态调节冷量输出，以减少</w:t>
            </w:r>
            <w:r>
              <w:rPr>
                <w:rFonts w:hint="eastAsia" w:ascii="宋体" w:hAnsi="宋体" w:eastAsia="宋体" w:cs="宋体"/>
                <w:i w:val="0"/>
                <w:iCs w:val="0"/>
                <w:color w:val="auto"/>
                <w:sz w:val="21"/>
                <w:szCs w:val="21"/>
                <w:highlight w:val="none"/>
                <w:u w:val="none"/>
                <w:lang w:val="en-US" w:eastAsia="zh-CN" w:bidi="ar"/>
              </w:rPr>
              <w:t xml:space="preserve">冷却设备</w:t>
            </w:r>
            <w:r>
              <w:rPr>
                <w:rStyle w:val="658"/>
                <w:rFonts w:hint="eastAsia" w:ascii="宋体" w:hAnsi="宋体" w:eastAsia="宋体" w:cs="宋体"/>
                <w:color w:val="auto"/>
                <w:sz w:val="21"/>
                <w:szCs w:val="21"/>
                <w:highlight w:val="none"/>
                <w:lang w:val="en-US" w:eastAsia="zh-CN" w:bidi="ar"/>
              </w:rPr>
              <w:t xml:space="preserve">启停次数，延长冷却设备寿命，并实现更精确的微模块内部温度控制。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3、设备应在-15℃～45℃的室外环境温度范围内保证正常制冷。</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4、要求整机连续运行设计寿命不小于 10 年。</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5、机架式</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的送回风方式为上前送风，上后回风。</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6、每台机架式</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内置室内回风温度传感器，监控机柜内回风温度。</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7、机架式</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通过回风温度控智能制设备运行。</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8、输入电压制式 220V~/50Hz，允许电压波动范围：220V±10%，频率：50HZ±2HZ。</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9、整机模块化设计，电路可全正面维护。</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采用高效可靠的转子变频设备，因为知名品牌。噪声等级达到行业标准的要求，同时压缩机可以在现场安装维修。</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11、室内机风机应采用高效离心风机，风机电机轴承的使用寿命大于4万小时。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12、一体化设计，无需室外机，无需管道连接。</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控接口配置：配置有RS485监控接口，可提供本地和远端两种控制模式，自动进行启停切换和数据保存，具有工作状态、报警信号远端传送和控制功能。具有设备运行参数的设置及智能判断功能，对于超常规的参数设置（错误命令）能自动拒绝。且具有良好的电气隔离（信号端子对地承受直流电压500V、1分钟不击穿或闪烁）。                                                                          </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14、具有故障智能检测、诊断功能；</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预留火灾、烟感等报警以及与其它安全器件联锁接口。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15、相对湿度控制精度：</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在正常使用条件下，室内相对湿度控制 范围 40%～70%，控制精度应可达到设定点±5%。</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16、具备冷却系统高压告警、电源故障告警、过流保护等功能。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17、需和UPS为同一厂家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18、输入:AC 220V</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19、内循环风量:600m3/h</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20、噪音:58dB(A)</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22、安装:机架式7U，深度800mm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机房动环系统</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b w:val="0"/>
                <w:bCs w:val="0"/>
                <w:i w:val="0"/>
                <w:iCs w:val="0"/>
                <w:color w:val="auto"/>
                <w:sz w:val="21"/>
                <w:szCs w:val="21"/>
                <w:highlight w:val="none"/>
                <w:u w:val="none"/>
                <w:lang w:val="en-US"/>
              </w:rPr>
              <w:suppressLineNumbers w:val="0"/>
            </w:pPr>
            <w:r>
              <w:rPr>
                <w:rStyle w:val="658"/>
                <w:rFonts w:hint="eastAsia" w:ascii="宋体" w:hAnsi="宋体" w:eastAsia="宋体" w:cs="宋体"/>
                <w:color w:val="auto"/>
                <w:sz w:val="21"/>
                <w:szCs w:val="21"/>
                <w:highlight w:val="none"/>
                <w:lang w:val="en-US" w:eastAsia="zh-CN" w:bidi="ar"/>
              </w:rPr>
              <w:t xml:space="preserve">1、本地15寸显示屏，Linux操作系统，4核处理器，系统稳定流畅；</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2、实时监控系统的UPS、温湿度、水浸、门磁、烟感等，提供有效的应急告警保护方案，</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3、确保设备运行在一个可靠的基础设施环境；</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4、远程Web界面登录IP地址即可访问模块整机动环系统，实现远程运维，实现多个模块集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中监控，统一云平台管理；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5、可监控IT设备和任何IP终端，做到机房统一网管；</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6、微信小程序、短信、电话远程移动运维，无论何时何地都可实时监控，实现无人值守；</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7、支持声光告警（放置于柜内冷通道前端）；</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8、冷通道进风温湿度</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9、需和UPS精密空调为同一品牌</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应急快冷系统</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可实现温度控制功能，实现应急状态快速冷却系统，下出风</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配电单元</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1、配电单元采用19英寸机架式安装设计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2、高度为3U，机架式安装。总输入63A/1P,UPS输入/输出32A/1P(带维修旁路)，市电3路馈出（1路空调+2路IT），UPS 2路馈出（2路IT）,带分路智能检测，含配电数据采集-485通讯。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配电模块能监控：主路输入电压电流、无功功率、开关状态、防雷器开关状态、防雷器状态、UPS开关状态等，馈出支路电压、电流、无功功率、有功功率、开关状态等。</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PDU单元</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12位标准10A供电插排，支持防浪涌，满足大功率设备接入需求</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1、具有2个HDMI接口、2个VGA接口、1个CVBS接口、2个RJ45 千兆网络接口；2个USB2.0接口、2个USB3.0接口、1个RS232接口、1个RS485接口（可接入RS485键盘）、1个eSata接口；具有1路音频输入接口、2路音频输出接口、16路报警输入接口、9路报警输出接口（其中第9路支持受控直流12V输出）、具有1路直流12V输出接口（12V 1A）、可内置9块SATA接口硬盘；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2、可接入6T、8T、10T、12TB、14TB、16TB、18TB、20TB 容量的 SATA接口硬盘；可接入 AI 硬盘、加密硬盘；支持不同品牌、不同转速的监控级和企业级硬盘混合接入。支持SATA硬盘，SAS硬盘和SSD硬盘混合接入；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3、支持4通道输出，包括HDMI1、HDMI2、VGA1、VGA2，各输出口均支持显示系统主菜单，且每路均可分别进行预览、回放、配置等操作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4、支持4路视频流人脸识别，支持16路图片流人脸识别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5、人脸正对相机、人脸无遮挡等干扰情况，人脸识别准确率≥99%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6、采用单人戴口罩正脸依次循环通行进行试验，试验人员数量不小于5人，通过速度不小于1m/s，人员通过间隔时间不大于1s，戴口罩人脸检出率不低于99%</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6TB 7200PRM 256M缓存</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24英寸 1080P HDMI</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9"/>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视频防泄密安全网关</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top"/>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56"/>
                <w:rFonts w:hint="eastAsia" w:ascii="宋体" w:hAnsi="宋体" w:eastAsia="宋体" w:cs="宋体"/>
                <w:color w:val="auto"/>
                <w:sz w:val="21"/>
                <w:szCs w:val="21"/>
                <w:highlight w:val="none"/>
                <w:lang w:val="en-US" w:eastAsia="zh-CN" w:bidi="ar"/>
              </w:rPr>
              <w:t xml:space="preserve">设备规格：标准机架式设备，默认支持6个千兆电口，支持以太网电口的线速转发，最大支持管理50个视频防泄密客户端以及端视频流调阅管控并发处理，配置单电源；</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1、支持权限管理操作席终端用户对视频监控系统的访问进行准入控制，禁止非法用户接入视频监控系统。</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2、支持操作席终端机视频防泄密客户端软件下载/导出的视频数据和抓图自动加密保护。</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3、支持在操作席终端禁止通过截屏/录屏软件对监控画面进行截屏和录屏操作。</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4、支持二维码及透明水印技术对操作席终端显示的视频图像拍屏操作进行防护，具有事前震慑、事后追溯。</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5、支持外发视频文件的视频数据加密处理并设置权限和使用期限，过期自动删除。</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6、支持外发视频文件的接收方无需预先安装任何软硬件即可在权限内使用外发视频加密数据。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7、支持视频管控流程审批功能，对需要解密、外发视频监控数据的申请进行审批，批复通过后才有权限获取相关数据。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8、支持黑名单和白名单流量过滤控制，支持IP地址、端口等多种防护方式；</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9、支持安全概览、日志管理、资产管理、策略配置、系统管理等功能。</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10、支持业务日志、资产日志、终端日志、系统日志、告警信息，支持风险聚合和风险处理功能。</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11、▲访问控制功能，依据安全策略，控制视频监控文件访问的授权环境及视频监控文件的访问，保护监控文件的能力应不小于5G字节；具有防控用户终端截取内存和显存数据截屏的能力。</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57"/>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12、▲视频监控文件的外发应用，支持通过授权，在用户终端将视频监控文件制作成外发数据，并应具有设置密码、时效、编辑、自删除等修改、调整功能；外发数据在时效和权限许可范围内，无需安装专用软件即可使用；5G大小的外发文件在标准配置的计算机上，打开时间比原始视频文件增加不应超过10秒钟。</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783"/>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视频防泄密客户端安全软件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top"/>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配套核心安全网关使用：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1、录像/抓图导出防泄密：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录像/抓图数据导出时自动加密保护；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只有在授权的操作席终端上才可以正常使用，一旦带离授权环境则完全无法使用；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2、拍摄屏幕防泄密：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支持显性水印，包含用户信息和设备信息，可威慑拍屏者并用于事后追溯；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支持隐性水印，包含用户信息，用于事后追溯；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3、截屏/录屏防泄密：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禁止在操作席终端上对监控画面进行截屏和录屏；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可防各种截屏/录屏软件；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4、视频数据外发防泄密：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获得授权后操作席终端用户方可将视频数据制作成外发文件；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可对外发文件设置访问权限、时限和次数，并具备自动删除功能；</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视频显示安全网关</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top"/>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设备规格：标准机架式设备，支持12组HDMI接口解析，支持12路视频显示通道视频流上墙处理，默认支持1个以太网电口管理端口，配置冗余双电源；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1、水印功能：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支持显性水印，包含用户信息、时间信息和警示信息，可威慑拍屏者并用于事后追溯；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支持隐性水印，包含用户信息和时间信息，用于事后追溯；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2、分屏/全屏显示：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支持拼接屏幕防拍屏，支持分屏水印；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支持全屏幕防拍屏，支持整屏水印；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3、安全便捷的管理：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支持GUI人机交互界面控制，操作更便捷；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支持统一网管；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4、水印设置：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支持水印开关设置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支持水印位置设置，支持透明度设置，支持文本颜色设置；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支持水印字体样式、字体大小设置；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具有断电信息保存功能</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分布式坐席输入终端</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1、支持纯分布式架构，无需配置服务器即可构建去中心化的分布式音视频及控制系统；</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2、▲可同时输出无损视频流、浅压缩视频流、深压缩视频流</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3、支持坐席管理功能和大屏拼接功能在同一硬件框架下配置和使用；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4、支持坐席管理功能和大屏拼接功能在同一软件界面下配置和使用；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5、支持1G、10G速率SFP模块；</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权限管理功能检验：支持精细权限管理功能，具备高一级权限时可直接断开他方控制权直接控制；同级权限可向对方发起断开请求，并倒计时，5秒内无操作即可断开并实现独占接管，信号源可分为完全控制和查看2个等级并可进行分别管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7、支持≥1个万兆光纤接口、≥1个千兆以太网口；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8、支持≥1个HDMI1.4/2.0的输入接口、≥1个HDMI1.4/2.0的输出接口；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9、支持≥1路模拟音频输入、≥1路模拟音频输出；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10、支持≥1个继电器接口；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11、支持≥1路的RS232接口，支持远程开关机，支持红外输入输出；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支持EDID管理；</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12、▲支持3840*2160@60帧/1080P60帧4:4:4采样，信号源从输入节点至输出节点投屏显示图像延时≤1ms</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13、支持USB2.0接口，支持物理层USB透传控制，支持U盘、UKey、USBcamera、USB多点触摸屏、USB打印机，能够正常工作；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14、支持HDR，支持HDMI2.0视频格式输入/输出，支持HDCP2.2协议；</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15、工作温度-40℃~+85℃</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16、电源DC12V2.5A</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17、跨屏操作支持主屏、扩展屏，支持 Windows7、Windows10、WindowsXP、Windows11、Windows8.1、Ubuntu、凝思磐石4.2及以上版本、Redhat、MAC、红旗、中标麒麟、银河麒麟、统信 U0S、Debian、Cent0S、Linux、Solaris、Unix等操作系统；</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18、环通输出：支持HDMI2.0信号的环通输出，输入节点支持本地环出，环出信号与输入信号一致，在设备故障的情况下可以环出信号不受影响</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19、▲支持 USB数据三重隔离，即支持USB2.0的数据透传功能且组网灵活，支持节点USB数据透传和独立式 USB 数据透传混合使用，可通过硬件和软件2种方式控制 USB数据网络打开或关闭，还可通过软件方式控制 USB数据透传功能的打开或关闭。</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20、坐席对讲：支持坐席语音对讲，支持32人以上语音对讲功能；</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21、具备单台显示器同时查看并跨屏操控不少于9个不同业务系统的画面功能，鼠标滑动到任意一个分割区域都可对相应的主机进行控制，可设定监视屏以便同时监视多个信号，当需要操作时双击即可全屏显示；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22、支持同时显示多个坐席终端接入状态，并可通过双击进行全屏显示或浏览</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r>
      <w:tr>
        <w:trPr>
          <w:trHeight w:val="1863"/>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分布式坐席输出终端</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1、支持纯分布式架构，无需配置服务器即可构建去中心化的分布式音视频及控制系统；</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2、可同时输出无损视频流、浅压缩视频流、深压缩视频流；</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3、支持坐席管理功能和大屏拼接功能在同一硬件框架下配置和使用；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4、支持坐席管理功能和大屏拼接功能在同一软件界面下配置和使用；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5、支持1G、10G速率SFP模块；</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6、▲权限管理功能检验：支持精细权限管理功能，具备高一级权限时可直接断开他方控制权直接控制；同级权限可向对方发起断开请求，并倒计时，5秒内无操作即可断开并实现独占接管，信号源可分为完全控制和查看2个等级并可进行分别管理</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7、支持≥1个万兆光纤接口、≥1个千兆以太网口；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8、支持≥1个HDMI1.4/2.0的输入接口、≥1个HDMI1.4/2.0的输出接口；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9、支持≥1路模拟音频输入、≥1路模拟音频输出；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10、支持≥1个继电器接口；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11、支持≥1路的RS232接口，支持远程开关机，支持红外输入输出；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支持EDID管理；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12、支持3840*2160@60帧/1080P60帧4:4:4采样，信号源从输入节点至输出节点投屏显示图像延时≤1ms；</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13、支持USB2.0接口，支持物理层USB透传控制，支持U盘、UKey、USBcamera、USB多点触摸屏、USB打印机，能够正常工作；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14、支持HDR，支持HDMI2.0视频格式输入/输出，支持HDCP2.2协议；</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15、工作温度-40℃~+85℃</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16、电源DC12V2.5A</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17、</w:t>
            </w:r>
            <w:r>
              <w:rPr>
                <w:rStyle w:val="659"/>
                <w:rFonts w:hint="eastAsia" w:ascii="宋体" w:hAnsi="宋体" w:eastAsia="宋体" w:cs="宋体"/>
                <w:color w:val="auto"/>
                <w:sz w:val="21"/>
                <w:szCs w:val="21"/>
                <w:highlight w:val="none"/>
                <w:lang w:val="en-US" w:eastAsia="zh-CN" w:bidi="ar"/>
              </w:rPr>
              <w:t xml:space="preserve">▲</w:t>
            </w:r>
            <w:r>
              <w:rPr>
                <w:rStyle w:val="661"/>
                <w:rFonts w:hint="eastAsia" w:ascii="宋体" w:hAnsi="宋体" w:eastAsia="宋体" w:cs="宋体"/>
                <w:color w:val="auto"/>
                <w:sz w:val="21"/>
                <w:szCs w:val="21"/>
                <w:highlight w:val="none"/>
                <w:lang w:val="en-US" w:eastAsia="zh-CN" w:bidi="ar"/>
              </w:rPr>
              <w:t xml:space="preserve">跨屏操作支持主屏、扩展屏，支持</w:t>
            </w:r>
            <w:r>
              <w:rPr>
                <w:rStyle w:val="661"/>
                <w:rFonts w:hint="eastAsia" w:ascii="宋体" w:hAnsi="宋体" w:eastAsia="宋体" w:cs="宋体"/>
                <w:strike w:val="0"/>
                <w:color w:val="auto"/>
                <w:sz w:val="21"/>
                <w:szCs w:val="21"/>
                <w:highlight w:val="none"/>
                <w:lang w:val="en-US" w:eastAsia="zh-CN" w:bidi="ar"/>
              </w:rPr>
              <w:t xml:space="preserve">Windows7、Windows10、WindowsXP、Windows11、Windows8.1、Ubuntu、凝思磐石4.2及以上版本、Redhat、MAC、</w:t>
            </w:r>
            <w:r>
              <w:rPr>
                <w:rStyle w:val="661"/>
                <w:rFonts w:hint="eastAsia" w:ascii="宋体" w:hAnsi="宋体" w:eastAsia="宋体" w:cs="宋体"/>
                <w:color w:val="auto"/>
                <w:sz w:val="21"/>
                <w:szCs w:val="21"/>
                <w:highlight w:val="none"/>
                <w:lang w:val="en-US" w:eastAsia="zh-CN" w:bidi="ar"/>
              </w:rPr>
              <w:t xml:space="preserve">红旗、中标麒麟、银河麒麟、统信 U0S、Debian、Cent0S、Linux、Solaris、Unix等操作系统</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18、环通输出：支持HDMI2.0信号的环通输出，输入节点支持本地环出，环出信号与输入信号一致，在设备故障的情况下可以环出信号不受影响</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19、支持 USB数据三重隔离，即支持USB2.0的数据透传功能且组网灵活，支持节点USB数据透传和独立式 USB 数据透传混合使用，可通过硬件和软件2种方式控制 USB数据网络打开或关闭，还可通过软件方式控制 USB数据透传功能的打开或关闭；</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20、坐席对讲：支持坐席语音对讲，支持32人以上语音对讲功能；</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21、▲具备单台显示器同时查看并跨屏操控不少于9个不同业务系统的画面功能，鼠标滑动到任意一个分割区域都可对相应的主机进行控制，可设定监视屏以便同时监视多个信号，当需要操作时双击即可全屏显示</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22、支持同时显示多个坐席终端接入状态，并可通过双击进行全屏显示或浏览</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智能中控节点</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1、8个串口，2个千兆网口，1个HDMI输出，2个USB键盘鼠标，1个电源指示灯，1个开机按键，1个12v电源。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2、嵌入式Linux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3、支持控制室周边产品的集中控制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可视化中控软件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9"/>
                <w:rFonts w:hint="default"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1、支持Android操作系统的平台设备对分布式系统的管控；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2、支持可编程控制平台，交互式的控制结构，可进行多设备间智能联动；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3、支持自定义添加受控设备，支持多种控件选择，可编辑中控；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4、支持RS-232、RS-422、RS-485、IR、I/O、TCP/IP等控制方式；</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5、可控制无纸化升降、音量大小的调节、电源开关、摄像机的控制、画面切换；</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可视化运维节点</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1、1路千兆网口，1路HDMI输出，2个USB键盘鼠标，1个开机按键，1路IR，1路IO。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2、支持SNMP网络配置管理，可在通过运维管理服务对网络内的输入/输出节点检测发现，及时反馈设备IP地址、MAC地址、网关地址等状态信息，并可对设备进行批量升级。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3、支持用户日志，设备日志信息的查询。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4、支持设备的可视化拓扑图的自动生成。</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控制平板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不小于10.8英寸 8+128GB</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5G双频双千兆企业路由器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1、48x10GE SFP+；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2、6x40/100GE QSFP28；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3、交换容量4.8Tbps/76.8Tbps，包转发2000Mpps。</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万兆单模10KM光模块；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光转电模块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千兆光转电模块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融合侦研区主扩音柱（200W）</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1、采用6只意大利进口的3寸全频喇叭单元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2、额定功率≥200W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3、峰值功率≥800W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4、最大声压级（额定/峰值）:118dB/124dB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5、标称阻抗：6Ω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6、频率响应：80Hz-20KHz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7、灵敏度≥95dB(1M/1W)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8、喇叭单元：3＂全频×6</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融合侦研区辅扩音柱（150W）</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1、采用拼接排列扬声器设计，6只3寸进口全频单元；箱体采用12mm夹板制作。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2、阻抗：8Ω、频响：80Hz-20kHz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3、额定功率≥150W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4、灵敏度≥95dB/W/M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融合侦研区音柱壁挂支架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1、固定面板孔位尺寸（长*宽）：≥ 140mm*65mm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2、箱体固定面板孔位尺寸（长*宽）： ≥128mm*70mm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3、设备面板尺寸：≥160mm*90mm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融合侦研区主音箱功放</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6、输出功率：立体声@8Ω：≥500W×2；立体声@4Ω：≥850W×2；桥接@8Ω：≥1700W。</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融合侦研区辅助音箱功放</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6、输出功率：立体声@8Ω：≥500W×2；立体声@4Ω：≥850W×2；桥接@8Ω：≥1700W。</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1、具有≥10.1英寸1280x800真彩电阻触摸屏、数字编码器以及按键构成的操作面板。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2、具有≥17个电动推子，电动推子可操控：≥1个LR主声道推子、≥16个通道推子。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3、支持中英文界面切换，且无需重启。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4、内置USB录音、放音功能。能够识别USB电子盘内的中英文歌曲名，具备快进、下一曲、快速暂停等功能；且支持播放APE、FLAC、MP3、WAV音频格式。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5、内置≥16个通道独立的反馈抑制器，内置≥16路自动混音（增益共享型）。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6、具有≥2个内置效果器，自带有经典混响、大房间混响等效果模块；FX音效可使用专用的返回通道返回到混音且不占用单声道和立体声输入通道。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7、支持iPad触摸屏全功能控制，实时数据同步；支持≥8个终端同时控制。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8、可通过网络或者USB升级ARM固件、DSP固件。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9、每个输入通道具有≥4段参数均衡、噪声门、高低通、压缩、反相。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10、每个输出通道具有≥8段参数均衡、高低通、压缩、反相、延时器。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11、模拟输入≥24CH ( MIC/Line)；输出通道支持L/R、10BUS、HeadPhone(L/R)，10BUS混音总线可选择推子前、推子后（PRE/POST）。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12、支持≥100组场景预设功能，可导出、导入USB存储器，便于数据备份；支持32个PEQ模式存储。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13、内置信号发生器：正弦波、粉红噪声、白噪声。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14、支持通道参数拷贝功能，相同的通道快速复制数据，通道名称可自定义。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15、接线方式：平衡式输入、输出卡侬。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16、支持≥8个推子编组、≥8个用户自定义按键、≥4个快速静音组按键。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17、具有面板锁定按键，防止误操作。</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1、数字音频处理器支持≥16路平衡式话筒/线路输入通道，采用裸线接口VN.K972250529端子，平衡接法；支持≥16路平衡式线路输出，采用裸线接口端子，平衡接法。</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2、▲输入通道支持前级放大、信号发生器、扩展器、压缩器、≥12段参量均衡，≥31段图示均衡、闪避器、AGC自动增益、AM自动混音功能（门限式、增益共享式）、AFC自适应反馈消除、AEC回声消除、ANC噪声消除、音频矩阵。（提供设备界面截图并加盖公章）</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3、输出通道支持≥12段参量均衡，≥31段图示均衡、延时器、分频器、高低通滤波器、限幅器。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4、高性能专业DSP处理器，支持≥32bit/48kHz的声音，支持输入通道48V幻象供电。</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5、具有≥2英寸IPS真彩显示屏，支持显示设备网络信息、实时电平、通道静音状态。</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6、▲支持通过APP软件进行操作控制，面板具备USB接口，支持多媒体存储，可进行播放或存储录播。（提供CNAS或CMA认可的检测报告原件扫描件并加盖公章）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7、配置双向RS-232接口，可用于控制外部设备；配置RS-485接口，可实现自动摄像跟踪功能。配置≥8通道可编程GPIO控制接口（可自定义输入输出）。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8、支持断电自动保护记忆功能。支持通道拷贝、粘贴、联控功能。管理控制软件可工作在XP/Windows7、8、10等系统环境下。</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9、≥8个场景预设，支持场景信息导入、场景信息导出。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70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融合侦研区抑制器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1、高性能DSP处理，≥40-bit DPS处理器（400兆主频），提供≥32-bit/48kHz的声音。</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2、▲采用“陷波”+“移频”双方式进行反馈抑制。陷波器提供12固定点+12动态点。高精度移频，范围等同或优于-10Hz到10Hz。（提供CNAS或CMA认可的检测报告原件扫描件并加盖公章）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3、均衡器支持≥31段图示均衡器和8段参量均衡器。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4、支持巴特沃斯，贝塞尔，林克威治-瑞利三种类型及多种倍频程。</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5、具有自动增益功能，声音达到一定峰值自动衰减变小，声音较小则自动增益放大。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6、具有一个IPS真彩显示屏。支持中英文切换显示。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7、具有≥48个陷波器状态LED指示灯实时显示，每通道≥12个静态+≥12个动态陷波器。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8、具有≥双通道直通，一键重置陷波点配置功能。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9、支持≥4个场景切换。</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10、支持设备定位功能、断电自动保护记忆功能。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11、输入通道及插座≥2路XLR与TRS多功能座模拟输入；输出通道及插座≥2路XLR公座+≥2路TRS公座模拟输出。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12、支持通过后台管理软件对多台设备进行批量升级。</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58"/>
                <w:rFonts w:hint="eastAsia" w:ascii="宋体" w:hAnsi="宋体" w:eastAsia="宋体" w:cs="宋体"/>
                <w:color w:val="auto"/>
                <w:sz w:val="21"/>
                <w:szCs w:val="21"/>
                <w:highlight w:val="none"/>
                <w:lang w:val="en-US" w:eastAsia="zh-CN" w:bidi="ar"/>
              </w:rPr>
              <w:t xml:space="preserve">1、频率指标：优于530-580MHz，640-690MHz，调制方式：宽带FM，频道数目：≥200个频道。</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2、配套有≥1台接收主机和≥2个无线手持话筒。</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3、采用UHF超高频段双真分集接收，并采用PLL锁相环多信道频率合成技术。</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4、接收机指标：采用自动选讯接收方式，灵敏度:≥12dB μV（80dBS/N)，频率响应:优于50Hz-16.5kHz。</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5、发射机指标：音头采用动圈式麦克风；手持麦克风内置螺旋天线。</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融合侦研区放大器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1、频率范围等同或优于500MHZ-1GHZ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2、端子：TNC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3、噪声≤3dB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4、增益≥15db</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融合侦研区分线盒</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1、通过内部补偿电路可以减少接线线损。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2、在放大器系统中，通过此分线盒方便转接和安装。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3、分线盒与强波器串连在线路中，方便连接。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4、分线盒在线路中有隔离杂讯的功能，防止自激。</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1、提供≥2进≥8出的天线信号分配器设备。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2、简化天线装配工程，提升接收距离及效能。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3、两路天线信号接收到分配器的天线输入端。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4、两路信号输出到下一台分配器的天线输入端进行级联。</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1、射频频率范围等同或优于450-950MHz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2、驻波比：≤2.0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3、输入阻抗：≤50Ω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4、放大器底噪：＜3.6dB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5、增益：≥18db(典型)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6、极化方式：垂直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7、前后比：≥25dB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桌插</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1、插座采用全铝结构，信息模块接口采用标准模块。</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2、弹起式桌面插座，支持45°仰角。</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3、具有≥1个功能按键，支持自定义按键的功能，搭配中控矩阵使用可实现视频切换、搭配中控系统支持扩展场景调用功能、搭配中控会议系统实现会议系统电源开启关闭功能等。</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4、配置接口：≥1个多功能电源接口、≥2个RJ45网络、≥1个3.5音频、≥1个HDMI高清视频接口、≥1个功能按键</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vMerge w:val="restart"/>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1、设备具有音频时钟同步传输技术，端到端音频传输＜5ms。</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2、内置DSP处理器，具有≥16路音频矩阵、啸叫抑制、≥10段EQ调节、音量dB值调节、延时器调节功能。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3、设备接口：通讯接口：≥2路RS232接口、≥1路RS-485接口、≥4路RJ45；音频输出接口≥1路RCA、≥1路卡侬头、≥16路凤凰端子；音频输入接口≥1路RCA、≥1路卡侬头、≥2路凤凰端子。</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4、支持≥16通道音频输出功能，可灵活配置为有线角色分离输出模式、无线角色分离输出模式、同传输出模式、相控输出模式。每个输出通道都可以调节≥10段EQ、音量dB值调节、延时器参数调节。</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16通道有线、无线角色分离输出模式，可使有线或无线话筒根据ID号独立输出，最大支持≥128路有线话筒或无线话筒独立音频输出，并支持通过录音软件实现每个话筒独立录音、或语音转写设备对接实现角色分离。</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6、具有≥16通道同传输出模式，可使同传音频根据通道号独立输出，可供录音或监听设备使用。且输出通道数量，可通过外部设备扩展。</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7、具有≥16通道相控输出模式，内置≥nx16音频矩阵处理器，实现≥16通道分组输出功能。可使任意输入源（包括所有输入源和在线话筒），按任意音量比例，输出到任意通道。</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8、会议主机采用TCP/IP网络协议，具有客户端、WEB端控制方式，可供PC软件或浏览器控制。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9、设备具有安卓手机、平板APP软件，通过软件可控制话筒开关、开启签到、投票、表决、接收会议服务信息、一键关闭无线话筒等功能，免PC操作。</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10、设备具有客户端、WEB端控制方式，通过客户端或WEB端可调节音频矩阵参数（包括EQ、音量、延时器、话筒灵敏度等）、≥16通道输出模式切换、开关话筒同步、中英俄法四种语言切换、控制角色分离主机。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12、支持环形手拉手功能，确保在其中的一条网线断开或者话筒出现故障时，会议能继续正常进行。</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13、具有支持中、英、俄、法文多种语言任意切换显示。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14、PC软件可查看在线无线话筒的电池电量、WiFi信号等信息状态；支持一键关闭所有无线话筒、单独关闭某个无线话筒。</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15、设备具有会议发言录音功能；搭配会议话筒可以录制单个话筒发言音频或录制所有话筒混音输出音频；支持通过主机U盘录音或PC软件录音。</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16、支持搭配同声传译系统，最大可同时传输≥63+1的有线同声传译。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17、系统与语音转写系统深度适配，系统之间通过网线交互数据，实现角色分离语音转写功能。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18、具有消防报警联动触发接口，支持对接烟雾报警器实时检测，触发后报警信息会同步至话筒界面和主机界面。</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19、具有≥1路RS-485接口，支持一台摄像机实现摄像跟踪，支持PELCO-D、VISCA控制协议。配合摄像跟踪主机达到多路视频自动跟踪功能。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20、≥四种话筒管理模式:FIFO（先进先出）、NORMAL（普通模式）、VOICE（声控模式）、APPLY（申请模式）。</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21、系统具有发起会议签到、表决、选举、评级、满意度、自定义VN.K972250529功能。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22、具有≥4.3英寸全彩触摸屏，可实现对参数设置或查看，进行任意触摸操作。</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23、强大的编ID功能，可对有线单元、无线单元、译员机、角色分离主机进行编ID。</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24、支持≥10段 EQ调节功能，≥16路多功能输出通道与≥2路LINEOUT输出通道都具有≥10段 EQ调节功能。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25、支持AP信道扫描，监测现场的无线信道使用情况，支持信道自动或手动配置最佳信道，支持AP名称在线显示列表。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26、会议主机具备注册天数显示功能，可以随时了解注册后使用的剩余天数；支持触摸设备屏幕输入注册码进行主机注册。</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27、具备主机双机热备功能，可设置主机或从机功能，当主机出现故障时，可自动切换至从机运行，实现双备份功能。</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28、▲具有运维管理平台，可通过web端远程固件升级；具有日志管理功能，可以自动收集和存储系统日志；比如实时监测设备运行状态、设备故障信息，包括内存不足、火警提示、id重复等。（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vMerge w:val="restart"/>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57"/>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vMerge w:val="continue"/>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vMerge w:val="continue"/>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1、具有自动混音功能，包括增益共享型自动混音以及门限型自动混音。具有自动增益功能，能够有效将话筒音量保持在一定动态范围。</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2、具有AFC反馈抑制功能，采用陷波+移频双方式，能够自动抓取啸叫点并设置陷波器陷波，陷波器支持≥12个固定点≥+12个动态点，可有效消除啸叫功能。</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3、▲具有话筒语音激励功能，可设置跟踪阈值，当话筒发言达阈值时可实现联动摄像跟踪功能。具有EQ调节功能，输出具有≥31段图示均衡器调节。（提供CNAS或CMA认可的检测报告原件扫描件并加盖公章）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4、具有≥2路网口，用于连接无线AP和与会议主机通信；通过网络协议对接数字会议主机，实现音频数据传输。具有≥1路EXTENSION接口，用于连接会议主机扩展口。具有≥1路卡侬平衡输出，≥1路莲花非平衡输出。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6、支持话筒同时开麦数量≥16个有线单元+≥8个无线单元。</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1、一款双通道音频隔离器。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2、低底噪、无50Hz交流“嗡”声、无高频“嗞啦”干扰。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3、点对点平衡传输音频，可以选择前面板2个接口中的任意一个COMBO接口输入，从后面板对应COMBO接口输出。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4、即插即用，支持热插拨。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5、隔离滤波音频传输最远传输信号等同或优于450－600米。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6、内置瞬态、浪涌抑制、抗静电保护电路。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融合侦研区无线会议主席话筒</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1、话筒采用≥48kHz采样率。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2、采用芯片架构及算法，话筒开机连接时间≤5秒。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3、具有智能检测故障功能，提示用户AP故障、主机通信故障、信号强度过低等情况。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4、支持通过Type-C口充电，支持18W快充，具有智能指标状态。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5、可通过UI设置SSID。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6、具有中英文切换显示功能，通过PC软件统一设置。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7、具有发言计时和定时发言功能。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8、具有声控功能。通过软件调节声控灵敏度及设置关闭时间。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9、支持签到功能，通过PC软件设置并发起。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10、支持会议投票功能、支持五键选举、三键表决功能。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11、采用≥128位AES加密技术，支持 WPA/WPA2 无线安全技术。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12、主席具备优先权功能，可关闭正在发言的所有代表话筒。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13、采用≥4.3英寸全彩触屏，咪杆长度≤240mm。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14、具备3.5mm耳机孔，可连接外置麦克风。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15、内置锂电池，电池容量支持≥14小时持续发言。</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452"/>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融合侦研区无线会议代表话筒</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1、话筒采用≥48kHz采样率。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2、采用芯片架构及算法，话筒开机连接时间≤5秒。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3、具有智能检测故障功能，提示用户AP故障、主机通信故障、信号强度过低等情况。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4、支持通过Type-C口充电，支持18W快充，具有智能指标状态。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5、可通过UI设置SSID。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6、具有中英文切换显示功能，通过PC软件统一设置。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7、具有发言计时和定时发言功能。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8、具有声控功能。通过软件调节声控灵敏度及设置关闭时间。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9、支持签到功能，通过PC软件设置并发起。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10、支持会议投票功能、支持五键选举、三键表决功能。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11、采用≥128位AES加密技术，支持 WPA/WPA2 无线安全技术。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12、代表机具有申请发言功能，通过主席机批准申请人发言。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13、采用≥4.3英寸全彩触屏，咪杆长度≤240mm。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14、具备3.5mm耳机孔，可连接外置麦克风。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15、内置锂电池，电池容量支持≥14小时持续发言。</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1、固定端口：5个10/100/1000Base-T电口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2、模式切换：标准交换 端口隔离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3、交换容量10Gbps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4、转发能力 7.4Mpps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5、PoE 4个下行端口，单端口最大供电功率 30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融合侦研区发射器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1、遵从Wi-Fi 6协议标准（IEEE 802.11ax），向下兼容802.11a/b/g/n/ac/Wave2，支持MU-MIMO，允许AP同时接收多个终端发送数据，整机最大传输速率可达1.601Gbps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2、支持OFDMA空间复用技术和1024QAM调制解调算法。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3、支持中文SSID，可指定最长包含≥31个字符的SSID，也可以使用中英文混合的SSID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4、支持WPA3安全协议。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5、支持等同或优于80/160MHz的高带宽频段。</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融合侦研区充电箱</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1、充电箱具有≥10个USB接口，支持使用USB线充电，提供5V/9V供电。一端连接充电器一端连接会议单元,支持18W快充。支持同时插满所有USB接口。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2、根据设备的耐受电流大小充电器会自动匹配合适的电流大小给设备充电，同时有过流保护功能。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3、智能自动电路保护，所有USB插口均具有短路保护功能和自恢复功能。</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反诈侦防区天花喇叭</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1、采用1只6.5寸中低音喇叭单元和1只1.5"球顶高音单元的同轴设计方案；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2、采用吸顶安装方式，采用铁质网罩内贴防尘网棉。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3、分频器优化功率响应及人声部分的中频表现力。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4、额定功率≥100W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6、灵敏度(1W/1M)≥92dB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7、频率响应(-10dB)：60Hz-20KHz</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反诈侦防区专业功放</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2、配套有≥1台接收主机和≥2个无线手持话筒。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1、射频频率范围等同或优于450-950MHz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2、驻波比：≤2.0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3、输入阻抗：≤50Ω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4、放大器底噪：＜3.6dB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5、增益：≥18db(典型)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6、极化方式：垂直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7、前后比：≥25dB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大数据赋能区天花喇叭</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1、采用1只6.5寸中低音喇叭单元和1只1.5"球顶高音单元的同轴设计方案；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2、采用吸顶安装方式，采用铁质网罩内贴防尘网棉。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3、分频器优化功率响应及人声部分的中频表现力。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4、额定功率≥100W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6、灵敏度(1W/1M)≥92dB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7、频率响应(-10dB)：60Hz-20KHz</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大数据赋能区专业功放</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2、配套有≥1台接收主机和≥2个无线手持话筒。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1、射频频率范围等同或优于450-950MHz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2、驻波比：≤2.0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3、输入阻抗：≤50Ω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4、放大器底噪：＜3.6dB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5、增益：≥18db(典型)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6、极化方式：垂直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7、前后比：≥25dB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实战指挥室音柱（100W）</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1、额定功率≥100W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2、标称阻抗：8Ω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3、频率响应：150Hz-14KHz@-6dB  / 80Hz-20KHz@-10dB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4、灵敏度≥95dB(1M/1W)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5、垂直覆盖角≥20°，水平覆盖角≥120°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6、喇叭单元：3＂全频×4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实战指挥室专业功放</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实战指挥室调音台</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2、具有≥2组立体主输出、≥4路编组输出、≥4路辅助输出、≥1组立体声监听输出、≥1个耳机监听输出、≥1个效果输出、≥1组主混音断点插入、≥6个断点插入。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3、内置≥24位DSP效果器，提供≥100种预设效果。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4、具备≥13个60mm行程的高精密碳膜推子。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81"/>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1、数字音频处理器支持≥4路平衡式话筒/线路输入通道，采用裸线接口端子，平衡接法；支持≥4路平衡式线路VN.K972250529输出，采用裸线接口端子，平衡接法。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2、输入通道支持前级放大、信号发生器、扩展器、压缩器、≥5段参量均衡、AM自动混音功能、AFC自适应反馈消除、AEC回声消除、ANC噪声消除。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3、输出通道支持≥31段图示均衡器、延时器、分频器、高低通滤波器、限幅器。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4、支持≥24bit/48kHz的声音，支持输入通道48V幻象供电。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5、具有液晶显示屏，支持显示设备网络信息、实时电平、通道静音状态、矩阵混音状态。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6、支持通过ipad或iPhone或安卓手机APP软件进行操作控制，面板具备USB接口，支持多媒体存储，可进行播放或存储录播。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7、配置双向RS-232接口，可用于控制外部设备；配置RS-485接口，可实现自动摄像跟踪功能。配置≥8通道可编程GPIO控制接口（可自定义输入输出）。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8、支持断电自动保护记忆功能。支持通道拷贝、粘贴、联控功能。支持通过浏览器访问设备，下载自带管理控制软件；可工作在XP/Windows7、8、10等系统环境下。</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实战指挥室抑制器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1、高性能DSP处理，≥40-bit DPS处理器（400兆主频），提供≥32-bit/48kHz的声音。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2、采用“陷波”+“移频”双方式进行反馈抑制。陷波器提供12固定点+12动态点。高精度移频，范围等同或优于-10Hz到10Hz。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3、均衡器支持≥31段图示均衡器和8段参量均衡器。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4、支持巴特沃斯，贝塞尔，林克威治-瑞利三种类型及多种倍频程。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5、具有自动增益功能，声音达到一定峰值自动衰减变小，声音较小则自动增益放大。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6、具有一个IPS真彩显示屏。支持中英文切换显示。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7、具有≥48个陷波器状态LED指示灯实时显示，每通道≥12个静态+≥12个动态陷波器。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8、具有≥双通道直通，一键重置陷波点配置功能。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9、支持≥4个场景切换。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10、支持设备定位功能、断电自动保护记忆功能。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11、输入通道及插座≥2路XLR与TRS多功能座模拟输入；输出通道及插座≥2路XLR公座+≥2路TRS公座模拟输出。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12、支持通过后台管理软件对多台设备进行批量升级。</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实战指挥室无线话筒</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2、配套有≥1台接收主机和≥2个无线手持话筒。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实战指挥室话筒天线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1、射频频率范围等同或优于450-950MHz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2、驻波比：≤2.0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3、输入阻抗：≤50Ω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4、放大器底噪：＜3.6dB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5、增益：≥18db(典型)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6、极化方式：垂直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7、前后比：≥25dB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桌插</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1、插座采用全铝结构，信息模块接口采用标准模块。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2、弹起式桌面插座，支持45°仰角。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3、具有≥1个功能按键，支持自定义按键的功能，搭配中控矩阵使用可实现视频切换、搭配中控系统支持扩展场景调用功能、搭配中控会议系统实现会议系统电源开启关闭功能等。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4、配置接口：≥1个多功能电源接口、≥2个RJ45网络、≥1个3.5音频、≥1个HDMI高清视频接口、≥1个功能按键</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68"/>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1、设备具有音频时钟同步传输技术，端到端音频传输＜5ms。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2、内置DSP处理器，具有≥16路音频矩阵、啸叫抑制、≥10段EQ调节、音量dB值调节、延时器调节功能。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3、设备接口：通讯接口：≥2路RS232接口、≥1路RS-485接口、≥4路RJ45；音频输出接口≥1路RCA、≥1路卡侬头、≥16路凤凰端子；音频输入接口≥1路RCA、≥1路卡侬头、≥2路凤凰端子。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4、支持≥16通道音频输出功能，可灵活配置为有线角色分离输出模式、无线角色分离输出模式、同传输出模式、相控输出模式。每个输出通道都可以调节≥10段EQ、音量dB值调节、延时器参数调节。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16通道有线、无线角色分离输出模式，可使有线或无线话筒根据ID号独立输出，最大支持≥128路有线话筒或无线话筒独立音频输出，并支持通过录音软件实现每个话筒独立录音、或语音转写设备对接实现角色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6、具有≥16通道同传输出模式，可使同传音频根据通道号独立输出，可供录音或监听设备使用。且输出通道数量，可通过外部设备扩展。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7、具有≥16通道相控输出模式，内置≥nx16音频矩阵处理器，实现≥16通道分组输出功能。可使任意输入源（包括所有输入源和在线话筒），按任意音量比例，输出到任意通道。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8、会议主机采用TCP/IP网络协议，具有客户端、WEB端控制方式，可供PC软件或浏览器控制。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9、设备具有安卓手机、平板APP软件，通过软件可控制话筒开关、开启签到、投票、表决、接收会议服务信息、一键关闭无线话筒等功能，免PC操作。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10、设备具有客户端、WEB端控制方式，通过客户端或WEB端可调节音频矩阵参数（包括EQ、音量、延时器、话筒灵敏度等）、≥16通道输出模式切换、开关话筒同步、中英俄法四种语言切换、控制角色分离主机。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12、支持环形手拉手功能，确保在其中的一条网线断开或者话筒出现故障时，会议能继续正常进行。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13、具有支持中、英、俄、法文多种语言任意切换显示。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14、PC软件可查看在线无线话筒的电池电量、WiFi信号等信息状态；支持一键关闭所有无线话筒、单独关闭某个无线话筒。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15、设备具有会议发言录音功能；搭配会议话筒可以录制单个话筒发言音频或录制所有话筒混音输出音频；支持通过主机U盘录音或PC软件录音。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16、支持搭配同声传译系统，最大可同时传输≥63+1的有线同声传译。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17、系统与语音转写系统深度适配，系统之间通过网线交互数据，实现角色分离语音转写功能。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18、具有消防报警联动触发接口，支持对接烟雾报警器实时检测，触发后报警信息会同步至话筒界面和主机界面。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19、具有≥1路RS-485接口，支持一台摄像机实现摄像跟踪，支持PELCO-D、VISCA控制协议。配合摄像跟踪主机达到多路视频自动跟踪功能。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20、≥四种话筒管理模式:FIFO（先进先出）、NORMAL（普通模式）、VOICE（声控模式）、APPLY（申请模式）。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21、系统具有发起会议签到、表决、选举、评级、满意度、自定义VN.K972250529功能。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22、具有≥4.3英寸全彩触摸屏，可实现对参数设置或查看，进行任意触摸操作。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23、强大的编ID功能，可对有线单元、无线单元、译员机、角色分离主机进行编ID。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24、支持≥10段 EQ调节功能，≥16路多功能输出通道与≥2路LINEOUT输出通道都具有≥10段 EQ调节功能。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25、支持AP信道扫描，监测现场的无线信道使用情况，支持信道自动或手动配置最佳信道，支持AP名称在线显示列表。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26、会议主机具备注册天数显示功能，可以随时了解注册后使用的剩余天数；支持触摸设备屏幕输入注册码进行主机注册。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27、具备主机双机热备功能，可设置主机或从机功能，当主机出现故障时，可自动切换至从机运行，实现双备份功能。</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932"/>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1、具有自动混音功能，包括增益共享型自动混音以及门限型自动混音。具有自动增益功能，能够有效将话筒音量保持在一定动态范围。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2、具有AFC反馈抑制功能，采用陷波+移频双方式，能够自动抓取啸叫点并设置陷波器陷波，陷波器支持≥12个固定点≥+12个动态点，可有效消除啸叫功能。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3、具有话筒语音激励功能，可设置跟踪阈值，当话筒发言达阈值时可实现联动摄像跟踪功能。具有EQ调节功能，输出具有≥31段图示均衡器调节。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4、具有≥2路网口，用于连接无线AP和与会议主机通信；通过网络协议对接数字会议主机，实现音频数据传输。具有≥1路EXTENSION接口，用于连接会议主机扩展口。具有≥1路卡侬平衡输出，≥1路莲花非平衡输出。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6、支持话筒同时开麦数量≥16个有线单元+≥8个无线单元。</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1、一款双通道音频隔离器。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2、低底噪、无50Hz交流“嗡”声、无高频“嗞啦”干扰。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3、点对点平衡传输音频，可以选择前面板2个接口中的任意一个COMBO接口输入，从后面板对应COMBO接口输出。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4、即插即用，支持热插拨。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5、隔离滤波音频传输最远传输信号等同或优于450－600米。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6、内置瞬态、浪涌抑制、抗静电保护电路。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连接线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≥30米延长线（一公一母）</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608"/>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实战指挥室无纸化主机（包含智能无纸化会议管理服务器软件）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58"/>
                <w:rFonts w:hint="eastAsia" w:ascii="宋体" w:hAnsi="宋体" w:eastAsia="宋体" w:cs="宋体"/>
                <w:color w:val="auto"/>
                <w:sz w:val="21"/>
                <w:szCs w:val="21"/>
                <w:highlight w:val="none"/>
                <w:lang w:val="en-US" w:eastAsia="zh-CN" w:bidi="ar"/>
              </w:rPr>
              <w:t xml:space="preserve">硬件部分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无纸化服务主机搭配管理软件，负责处理会议功能模块、会议主题、参会人员信息、会议议题、投票内容等会前信息预设，具有会议各类文件资料的上传分发、人员的权限管理设置、会议信息的实时记录等应用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2、采用CPU配置等同或优于四核（参考的配置等同或优于I7）</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3、采用内存配置≥8G</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4、采用硬盘容量≥1TB</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5、具有千兆网络接口（RJ45）</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6、具有视频输出接口：≥1×HDMI；具备音频接口：≥1×3.5mm音频输入接口、≥1×3.5mm音频输出接口；具备其他接口：≥1×RS232、≥4×USB接口。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软件部分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1、支持多会议室管理，会议室支持可视化布局配置管理。支持会议室坐席可视化控制。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2、支持本地联合会议和异地互联会议（需搭建专网专线）。</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3、支持会议室坐席模拟排位功能，支持人员筛选，支持根据人员权重自动排位和手动排位。</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4、支持多个会议议题进行管理操作，每个议题可以独立上传多份附件；支持议题内加入VN.K972250529文件夹，三级目录文件展示；支持快速创建议题关联的投票。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5、支持统一管理多个投票，实时查看投票过程与结果，控制投票结果实时投屏展示。支持投票导入导出功能。支持投票身份认证。</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6、▲支持统一管理多个评分，实时查看评分过程与结果，控制评分投屏。支持评分导入导出功能。支持评分身份认证。支持配置平均分规则为默认或截尾平均数。支持评分备注功能。（提供功能界面截图并加盖公章）</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7、支持批注白板，可同时管理各参会人员的电子白板存档、手写批注、文档批注，支持后台预览及一键导出功能。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8、支持三员管理功能。开启该功能后系统将分为系统管理员、会务管理员、审计员三种角色。</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9、支持个人中心H5网页展示，可会前、会中上传资料，查看资料，支持会后下载参加过的会议的资料及批注文件，保密会议会前会后不能查看会议资料。</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10、支持双机热备，主从设备数据同步，当主设备出现故障时从机接管。</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11、支持服务器监控，可查看服务器cpu使用率、内存使用率、磁盘空间、网络传输速率，可设置阈值警告。</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实战指挥室无纸化升降器（包含无纸化升降器内嵌软件）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strike w:val="0"/>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硬件部分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1、触控超薄高清显示屏与升降器一体化设计，无外露连接线、无连接背板、无外露螺丝，保证升降显示触控屏整体美观大方。</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2、设备采用全铝结构，优质铝材加上CNC精雕加工，显示屏框架、机箱都为铝合金带麦克风一体升降，设备的表面处理为阳极氧化处理。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3、话筒升降具有自动扶直功能，当麦杆弯曲时，机器关闭可自动扶直麦杆，不会损坏麦杆。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4、具备≥1组232/485，≥2路USB接口。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传动结构做特殊处理，噪音降到最低。产品传动方式以高品质耐拉皮带与高精密度的滑块导轨和直线轴承配合，交流减速电机做驱动动力；中控协议兼容性较强，兼容所有控制主机，控制设备在上升后，屏幕自动供电，下降后，屏幕自行断电，节约环保。</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6、15.6英寸超薄液晶触屏显示器，分辨率达1920*1080P，显示效果清晰亮丽，可调节背光设计</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7、支持≥1路HDMI和≥1路VGA信号输入，当只有一路信号输入时，屏幕会自动识别信号，当两路信号同时输入时，可通过面板按键手动切换，当无信号输入时，屏幕自动进入省电模式。</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8、设备可通过中控软件进行集中控制，可通过主机进行控制，一键可让室内所有的设备都上升或下降。</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9、显示屏仰角符合人体工程学原理，不遮挡视线和人脸，要求显示屏仰角角度可调0-30°。</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strike w:val="0"/>
                <w:color w:val="auto"/>
                <w:sz w:val="21"/>
                <w:szCs w:val="21"/>
                <w:highlight w:val="none"/>
                <w:lang w:val="en-US" w:eastAsia="zh-CN" w:bidi="ar"/>
              </w:rPr>
              <w:t xml:space="preserve">10、要求升降器具备≥1路环通输出电源插座，给终端供电减少终端电源插座布线。</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11、桌面面板具备≥1路USB接口，支持连接U盘可进行浏览文件或上传文件等操作。</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软件部分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1.软件内嵌于终端设备，显示端可对多种文件格式文档进行阅览。</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2.支持多种分辨率适配，可适应各种终端界面。</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2786"/>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实战指挥室无纸化会议终端（包含无纸化会议终端软件）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60"/>
                <w:rFonts w:hint="eastAsia" w:ascii="宋体" w:hAnsi="宋体" w:eastAsia="宋体" w:cs="宋体"/>
                <w:color w:val="auto"/>
                <w:sz w:val="21"/>
                <w:szCs w:val="21"/>
                <w:highlight w:val="none"/>
                <w:lang w:val="en-US" w:eastAsia="zh-CN" w:bidi="ar"/>
              </w:rPr>
              <w:t xml:space="preserve">硬件部分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多媒体会议终端主机搭配终端内嵌软件负责处理会议过程的文件推送、文件分发、浏览阅读、文件批注、智能签到、投票表决、电子白板、电子铭牌、会议交流、会议服务、视频信号互联互通、会议管控、同屏广播等应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2、支持无纸化会议模式和Windows模式，可任意切换。</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3、可对多种文件格式进行阅览，包括常见格式doc/ docx /xls/ xlsx /ppt /pptx/ pdf /txt/jpg/png等，参会人只可看到有权限的文件。</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4、会议过程中可以随时进行会议笔记记录，支持下载到本地。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5、个人中心模块支持会前、会中上传资料，查看资料（保密会议会前不能查看）；支持会后下载参加过的会议的资料。</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6、结束会议终端自动清除本地会议文件。</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7、具有≥4×USB、≥1×HDMI、≥1×VGA、≥1×LAN、≥1×MIC-IN端口、≥1×LINE-OUT端口、≥1×DC端口、≥1×COM口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8、采用CPU配置不低于I5处理器（四核）</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9、采用内存配置不低于4G</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10、采用硬盘容量不低于128GB 固态硬盘</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11、具有千兆网络接口（RJ45）</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软件部分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1、支持会议信息展示。支持查看参会名单和会议人员座位图。</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2、支持文档阅览，可对多种文件格式进行阅览，支持权限设置功能，参会人仅能看到自己有权限查看的文件。同时支持文档批注功能，可以对文档图片进行批注、保存，并支持多人交互批注。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3、支持U盘上传会议资料，进行文件阅览或共享其他参会人员，同时上传文件可保存在服务器和本地终端中。</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4、支持截屏批注，可单人批注或多人批注。批注结果可保存至服务器，会后自动归档处理。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5、内置浏览器，支持浏览以太网网络，可后台统一设置，点击直接打开配置好的网页。</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6、支持屏幕同屏广播，支持跨平台（windows/Android）广播；屏幕广播/文档主讲支持申请模式。同屏广播具备计时功能，可选择倒计时或顺计时，以及具备选择是否同步到大屏功能。</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7、支持异步浏览，参会人员可以通过异步浏览自由使用终端其他功能，也支持浮窗的方式进行异浏览。</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8、支持个人中心（个人空间）功能，可查看自己参与过的会议的会议信息。</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9、支持多媒体分享功能，多种媒体以广播的方式分享到其它终端，并可以交互操作。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10、支持集中控制操作，控制终端显示内容，控制终端开关机，支持对服务器的关机控制，支持无纸化升降器及话筒的统一升降。</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11、会议主持可控制评分功能启用、结束，查看统计结果功能，评分过程结果实时投屏；支持评分签名确认。</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12、会议主持可通过信号管理将任意参会人本地画面屏幕广播至任意或全部参会人，也可以结束任意参会人的共享画面；分组同屏广播最大可支持8个分组，同时投送到大屏显示最大支持4路。</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13、会议主持可管理会议纪要，管理纪要文件查看权限；并可发起会签，现场生成会签文档和最终纪要文件。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1273"/>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实战指挥室无纸化流媒体主机（包含无纸化流媒体服务器嵌入软件）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硬件部分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1、内嵌高清、标清视频信号处理模块，同步、异步处理视频信号输入、输出。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2、支持HDMI信号输入，外部信号通过此接口实时广播画面到所有会议终端并同步显示。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3、支持HDMI信号输出，任何会议终端画面通过此接口输出至大屏幕或其他信号显示设备。</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4、配置≥1路3.5mm音频输入接口和≥1路3.5mm音频输出接口，实现音视频同步输入输出。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5、支持全高清1080P、高清720P等多种高清分辨率输出。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6、要求服务器的CPU配置等同或优于四核（参考配置等同或优于I5），内存配置≥4G，硬盘为固态硬盘且容量≥128GB。</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7、具备视频输入接口：≥1×HDMI；具备视频输出接口：≥1×HDMI；具备音频接口：≥1×3.5mm音频输入接口、≥1×3.5mm音频输出接口；具备≥2×RS-232、≥4×USB接口。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软件部分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1、支持签到投屏功能，将签到过程、签到结果展示在大屏上。</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2、支持将电子白板、会议标语、文档主讲、外部信号等信息广播到大屏展示。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3、支持多媒体(桌面同屏、电子白板、文档资料等)分组投屏功能， 最大可支持≥4分屏画面同时投屏输出显示。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4、支持大屏点播功能，直接播放服务器原生视频文件；支持大屏广播功能，将大屏的画面广播同步到各个终端并显示。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5、支持大屏视频矩阵功能，同时支持多路多媒体源进行播放功能。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6、支持投票投屏功能，将投票过程、投票结果以文字、柱状图、饼状图方式展示在大屏上。</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7、支持评分投屏功能，评分过程中查看评分人数、未提交人数。支持评分结束后以柱状图（≥10项）或表格（≥10项）的形式投屏显示评分结果。</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实战指挥室网络主机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1、具有≥24个网络端口，≥4个千兆SFP+光纤口，≥1个控制口。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2、支持网口和光纤线热插拨，支持双备份链路。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3、支持胖瘦一体化，具有智能交换机和普通交换机两种工作模式。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4、通过网络管理平台可实现一键快速替换故障设备。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 IEEE 802.3az 标准的 EEE 节能技术：当 EEE 使能时，可大幅度的减小端口在该阶段的功耗，达到了节能的目的。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6、提供友好的Web管理界面，1:1还原交换机端口和面板状态，可方便、快捷查看交换机端口工作状态、流量趋势等。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7、采用“零部署”上线方式，交换机接上网线后自动展示在待激活列表，无需配置，一键即可激活。同时控制器还能对故障交换机进行一键重启和替换，最大程度节省运维时间。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8、具有自动化拓扑生成功能，设备接线后，管理平台自动生成网络拓扑，并且能够直接在拓扑上进行设备配置。</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实战指挥室无纸化主席移动控制软件</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通过移动端扫描二维码方式与无纸化终端进行连接。支持通过移动端（手机或平板）通过无线方式控制无纸化终端显示界面，触摸移动端即可操作无纸化终端；支持通过移动端打开无纸化终端的会议资料文档。支持放大镜放大局部功能，可对无纸化终端的PPT中文字等较小或看不清的部分进行放大操作。</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双频 2.5G网口 wifi穿墙/可变端口/AC管理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1、具有≥8路自动、手动电源控制器，内置≥8个20A继电器，负载能力≥4400W/单路；配合中控主机使用，用于控制灯光、电动投影幕、电动窗帘等会议室周边设备。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2、每路继电器都有三连接点的接线柱,具有常开与常闭的功能。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3、具有复位按键，支持恢复到出厂的默认设置。具有1路网络接口，支持通过网络实现远程控制。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4、具有设备运行状态指示灯及≥8个继电器的开关状态指示灯。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5、具有键盘锁（LOCK）功能。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6、机器具备ID识别，通过中控主机网络控制多台时，可通过ID识别。</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音量控制器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1、4路独立音频通道音量调节模块。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2、支持平衡线路级音频输入/出。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3、面板具备小键盘,支持手动操作控制,具有LED指示功能。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4、控制方法: 通过R232协议控制,搭配可编程中控主机使用,也全面支持第三方设备。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5、输入端口：5.8欧式端子，支持平衡线路级音频输入 、输出端口：5.8欧式端子，支持平衡线路级音频输出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1.8米音频连接线：卡侬头（母）-卡侬头（公）</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1.8米音频连接线：3.5（耳机插头）-双6.35话筒插头</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1、屏幕尺寸≥98寸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2、接口：HDMI，USB，网线</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1、屏幕尺寸：5.76米*2.4米=13.824㎡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2、点间距：1.25mm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3、模组尺寸：320*160mm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4、对比度：≥5000：1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13.824</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1、单卡超大带载256*256；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1、单台带载能力1040万像素、最宽16384像素、最高8192像素，集视频处理、视频控制以及 LED 屏体配置等功能于一体，具备多种类的视频信号接收能力、超高清全 4K×2K@60Hz 的图像处理能力和发送能力。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2、拥有完备的视频输入接口： 1 路 HDMI 2.0，4 路 DVI，1 路 3G-SDI。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3、多输出，大带载：支持 16 路网口和 4 路光纤输出，带载高达 1040 万像素。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 HDR 输出：能够极大地增强显示屏的画质，使画面色彩更加 真实生动，细节更加清晰。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5、支持个性化的画质缩放：支持三种画面缩放模式，包括点对点模式、全屏 缩放、自定义缩放。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6、多窗口显示：支持 5 窗口任意布局。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7、支持预监输出画面：将预监内容通过 HDMI 发送到显示器显示。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8、支持智能控制软件进行操作控制。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9、支持场景预设：最多可创建 10 个用户场景作为模板保存，可直接调用，方便使用。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 EDID 管理：支持用户自定义 EDID 和预设 EDID。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11、支持视频格式：RGB4:4:4、YCbCr4:4:4、YCbCr4:2:2、3840×2160@60Hz向下兼容</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65寸广告机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1、同时可播放多个节目，可循环播放，无缝切换，图片视频混播；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3、U 播播放，即插即用，插入 U 盘就可自动识别 U 盘内容进行播放，支持多种视频、图片、音乐格式；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4、USB、TF、音频输出、HDMI 输入、LAN 网口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5、支持图片,视频，文本，fiash，网页天气预报，ppt，word，excel、pdf</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1、屏幕尺寸：3.84米*1.6米=6.144㎡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2、点间距：1.25mm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3、模组尺寸：320*160mm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4、对比度：≥5000：1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6.144</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1，单卡超大带载256*256；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640mm*640mm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1638"/>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1、输入接口包括 2 ×HDMI 1.4、 1 × DVI、 1 × 3G-SDI（IN+LOOP），选配 1 × 3.5mm 音频输入接口；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2、输出接口包括 10 路千兆网口，最大带载 650 万像素，单台设备输出最大宽度 10240，高度 8192， 1 路 HDMI 1.3 输出接口，可用作输出预监或视频输出；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3、音频输入输出： 支持 HDMI 伴随音频输入， 支持 3.5mm 独立音频输入， 支持 3.5mm 独立音频输出， 支持通过多功能卡进行音频输出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4、低至 1 帧延迟输出：在低延迟开关开启、输入源同步开启，输入源到接收卡之间的延时可减少至 1 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 个图层：图层大小和位置可单独调节，支持图层按照 Z 序优先级调整；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6、强大视频处理能力：搭载 SuperView III 画质处理技术，支持输出画面无极缩放，支持一键全屏缩放，支持输入源任意截取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7、画质调整：支持输入画质管理，包括亮度、对比度、饱和度和色度调整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8、多场景保存和调用：支持 10 个自定义场景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9、热备份：支持输入源热备功能，支持网口间备份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10、同步输出：支持使用内部输入源作为同步源，保证输入输出画面同步。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11、支持逐点亮色度校正：配合调试软件和校正平台，对每个灯点的亮度和色度进行校正，有效消除色差，使整屏的亮度和色度达到高度均匀一致，提高显示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二楼会议室全彩LED显示屏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1、屏幕尺寸：3.2米*1.6米=5.12㎡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2、点间距：1.25mm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3、模组尺寸：320*160mm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4、对比度：≥5000：1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1，单卡超大带载256*256；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640mm*640mm</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958"/>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1、输入接口包括 2 ×HDMI 1.4、 1 × DVI、 1 × 3G-SDI（IN+LOOP），选配 1 × 3.5mm 音频输入接口；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2、输出接口包括 10 路千兆网口，最大带载 650 万像素，单台设备输出最大宽度 10240，高度 8192， 1 路 HDMI 1.3 输出接口，可用作输出预监或视频输出；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3、音频输入输出： 支持 HDMI 伴随音频输入， 支持 3.5mm 独立音频输入， 支持 3.5mm 独立音频输出， 支持通过多功能卡进行音频输出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4、低至 1 帧延迟输出：在低延迟开关开启、输入源同步开启，输入源到接收卡之间的延时可减少至 1 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 个图层：图层大小和位置可单独调节，支持图层按照 Z 序优先级调整；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6、强大视频处理能力：搭载 SuperView III 画质处理技术，支持输出画面无极缩放，支持一键全屏缩放，支持输入源任意截取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7、画质调整：支持输入画质管理，包括亮度、对比度、饱和度和色度调整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8、多场景保存和调用：支持 10 个自定义场景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9、热备份：支持输入源热备功能，支持网口间备份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10、同步输出：支持使用内部输入源作为同步源，保证输入输出画面同步。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11、支持逐点亮色度校正：配合调试软件和校正平台，对每个灯点的亮度和色度进行校正，有效消除色差，使整屏的亮度和色度达到高度均匀一致，提高显示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电脑显示器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27寸 1080P HDMI，支持安装电脑支臂</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升降机</w:t>
            </w:r>
            <w:r/>
          </w:p>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（点调设备用）</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净水机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1、工作原理：反渗透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2、滤芯：RO膜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3、水效等级：1级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4、功效：直饮</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直饮机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国产优质，设备支持多种水模式选择（热水，泡茶，冲奶，常温等）</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2、工作方式：微波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3、底盘形式：平板</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立式打印机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功能：复印、打印、扫描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双面打印：支持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网络功能：支持有线网络、支持无线网络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接口：USB接口、网络接口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输出纸张尺寸：A3-A5、B6、A6、长纸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最大原稿尺寸：A3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复印功能原稿类型：纸张、书本、三维物体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连续复印：支持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打印语言：PCL 5e/c、PCL6、PS3仿真、XPS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打印其他性能字体：PCL：80种字体、PS：137种字体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操作系统：Windows、mac、linux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是否有液晶屏：有</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彩色扫描打印机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1、接口：USB，WIFI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2、双面打印：支持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3、打印方式：喷墨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A4高速双面彩色扫描仪</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座机电话</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具备录音功能。具体类似视甲方最终需求采购</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尺寸：长830mm，宽645mm，高1775mm，双开门，容积406L</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床上四件套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国产优质（样式根据甲方需求采购）</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55寸电视机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定制杯具（茶壶，瓷杯，纸杯）</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定制数量茶壶≥6个，瓷杯≥50个，纸杯≥5000个</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中心警员工作背心</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定制，按个中心名称进行定制，工作背心数量≥100件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室内人脸门禁一体主机</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1、设备应采用嵌入式 linux 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2、前面板防破坏能力应满足 ≥IK07 的要求；结构后壳防破坏能力应满足 ≥IK10 的要求；防水等级应满足≥IP66防护等级；应支持选择嵌入式、壁挂、桌面、立式、人员通道安装；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3、屏幕应为 ≥7 英寸触摸屏；应采用水滴屏全贴合工艺；玻璃屏占比≥90%。屏幕流明度≥600cd/m2；屏幕分辨率应为 800×1280；屏显下端应具有圆形指示灯，指示灯应支持固定频率的亮起和熄灭（呼吸状态）及识别状态提示，采用 200W 像素双目摄像头，帧率应≥25 帧/s；应支持接入 NVR 设备，实现视频监控录像；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4、应支持双码流技术，主码流和子码流均为 1280×720@25fps 输出；在 IE 浏览器下，视频编码格式具有 H.265、H.264、MPEG-4. MJPEG 设置选项；可将 H.265、H.264 格式设置为Baseline/Mai n/High Profile；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5、设备离线应支持 10000个用户（用户权限应能配置为管理员）、 10000 张人脸库、 50000 张卡片容量、150000 笔记录存储 、 10000 个密码；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6、应支持通过文字转换为提示语音的 TTS 功能；应支持本地广告信息播放；应支持广告节目编排播放，播放时间可自定义；应支持图片、文字、视频广告节目播放；应支持在设备端查看人员信息、设备状态、显示模式（认证模式、广告模式和简洁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应支持佩戴口罩情况下的人脸识别功能，提示模式应分为提醒模式或强制模式；提醒模式下，未佩戴口罩时，应能做身份验证及考勤签到，身份验证通过后提醒佩戴口罩；强制模式下未佩戴口罩时，应无法做身份验证，并提醒佩戴口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8、人脸比对平均时间应＜120ms （1:1对比方式）；最大人脸识别距离：＞4m；最小人脸识别距离：＜0.2m，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1、输入电压：100-240VAC；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2、输出电压：12VDC；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3、输出电流：4.17A；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4、输出功率：50W；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6、工作温度：-10℃-+70℃；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7、工作湿度：＜95%；</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出门按钮</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1.、结构：塑料面板；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2、性能：最大耐电流1.25A，电压250V；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3、输出：常开；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4、类型：适合埋入式电器盒使用；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玻璃门单开智能门锁</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玻璃门双开智能门锁</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智能人脸门锁</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1、无线连接：蓝牙5.0、Wi-Fi IEEE 802.11 b/g/n 2.4GHz、NFC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2、产品安全级别：B级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3、锁芯安全级别：C级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4、工作湿度：0~93% RH，无冷凝</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含网线、光缆、音频线等线缆、辅材及配套安装调试等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6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融合侦研区鱼骨型6人操作员席位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1、操作台尺寸：长</w:t>
            </w:r>
            <w:r>
              <w:rPr>
                <w:rStyle w:val="662"/>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t xml:space="preserve">4600mm，宽≦2700mm，高≦740mm，深度≦800mm</w:t>
            </w:r>
            <w:r/>
          </w:p>
          <w:p>
            <w:pPr>
              <w:jc w:val="left"/>
              <w:keepLines w:val="0"/>
              <w:keepNext w:val="0"/>
              <w:pageBreakBefore w:val="0"/>
              <w:spacing w:line="240" w:lineRule="auto"/>
              <w:shd w:val="clear" w:color="auto"/>
              <w:widowControl/>
              <w:rPr>
                <w:rStyle w:val="660"/>
                <w:rFonts w:hint="eastAsia" w:ascii="宋体" w:hAnsi="宋体" w:eastAsia="宋体" w:cs="宋体"/>
                <w:b/>
                <w:bCs/>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b/>
                <w:bCs/>
                <w:color w:val="auto"/>
                <w:sz w:val="21"/>
                <w:szCs w:val="21"/>
                <w:highlight w:val="none"/>
                <w:lang w:val="en-US" w:eastAsia="zh-CN" w:bidi="ar"/>
              </w:rPr>
              <w:t xml:space="preserve">4、</w:t>
            </w:r>
            <w:r>
              <w:rPr>
                <w:rStyle w:val="659"/>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b/>
                <w:bCs/>
                <w:color w:val="auto"/>
                <w:sz w:val="21"/>
                <w:szCs w:val="21"/>
                <w:highlight w:val="none"/>
                <w:lang w:val="en-US" w:eastAsia="zh-CN" w:bidi="ar"/>
              </w:rPr>
              <w:t xml:space="preserve">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p>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5、前、后门板：前后门板使用实木颗粒板双帖防火板加工，整体厚度应为20mm。门板应采用PUR封边工艺。同时铰链应经200h中性盐雾测试后性能评级达10级水准。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控制台整体应符合对应标准的检测，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p>
          <w:p>
            <w:pPr>
              <w:jc w:val="left"/>
              <w:keepLines w:val="0"/>
              <w:keepNext w:val="0"/>
              <w:pageBreakBefore w:val="0"/>
              <w:spacing w:line="240" w:lineRule="auto"/>
              <w:shd w:val="clear" w:color="auto"/>
              <w:widowControl/>
              <w:rPr>
                <w:rStyle w:val="660"/>
                <w:rFonts w:hint="default" w:ascii="宋体" w:hAnsi="宋体" w:eastAsia="宋体" w:cs="宋体"/>
                <w:b/>
                <w:bCs/>
                <w:color w:val="auto"/>
                <w:sz w:val="21"/>
                <w:szCs w:val="21"/>
                <w:highlight w:val="none"/>
                <w:lang w:val="en-US" w:eastAsia="zh-CN" w:bidi="ar"/>
              </w:rPr>
              <w:suppressLineNumbers w:val="0"/>
            </w:pPr>
            <w:r>
              <w:rPr>
                <w:rStyle w:val="660"/>
                <w:rFonts w:hint="eastAsia" w:ascii="宋体" w:hAnsi="宋体" w:eastAsia="宋体" w:cs="宋体"/>
                <w:b/>
                <w:bCs/>
                <w:color w:val="auto"/>
                <w:sz w:val="21"/>
                <w:szCs w:val="21"/>
                <w:highlight w:val="none"/>
                <w:lang w:val="en-US" w:eastAsia="zh-CN" w:bidi="ar"/>
              </w:rPr>
              <w:t xml:space="preserve">9、</w:t>
            </w:r>
            <w:r>
              <w:rPr>
                <w:rStyle w:val="659"/>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b/>
                <w:bCs/>
                <w:color w:val="auto"/>
                <w:sz w:val="21"/>
                <w:szCs w:val="21"/>
                <w:highlight w:val="none"/>
                <w:lang w:val="en-US" w:eastAsia="zh-CN" w:bidi="ar"/>
              </w:rPr>
              <w:t xml:space="preserve">中纤板板内密度偏差应不大于2%，含水率应小于6%，TVOC应≤0.02mg/(㎡.h）。（提供CNAS或CMA认可的检测报告原件扫描件并加盖公章）</w:t>
            </w:r>
            <w:r/>
          </w:p>
          <w:p>
            <w:pPr>
              <w:jc w:val="left"/>
              <w:keepLines w:val="0"/>
              <w:keepNext w:val="0"/>
              <w:pageBreakBefore w:val="0"/>
              <w:spacing w:line="240" w:lineRule="auto"/>
              <w:shd w:val="clear" w:color="auto"/>
              <w:widowControl/>
              <w:rPr>
                <w:rStyle w:val="660"/>
                <w:rFonts w:hint="eastAsia" w:ascii="宋体" w:hAnsi="宋体" w:eastAsia="宋体" w:cs="宋体"/>
                <w:strike w:val="0"/>
                <w:color w:val="auto"/>
                <w:sz w:val="21"/>
                <w:szCs w:val="21"/>
                <w:highlight w:val="none"/>
                <w:lang w:val="en-US" w:eastAsia="zh-CN" w:bidi="ar"/>
              </w:rPr>
              <w:suppressLineNumbers w:val="0"/>
            </w:pPr>
            <w:r>
              <w:rPr>
                <w:rStyle w:val="660"/>
                <w:rFonts w:hint="eastAsia" w:ascii="宋体" w:hAnsi="宋体" w:eastAsia="宋体" w:cs="宋体"/>
                <w:strike w:val="0"/>
                <w:color w:val="auto"/>
                <w:sz w:val="21"/>
                <w:szCs w:val="21"/>
                <w:highlight w:val="none"/>
                <w:lang w:val="en-US" w:eastAsia="zh-CN" w:bidi="ar"/>
              </w:rPr>
              <w:t xml:space="preserve">10、控制台整体燃烧测试等级达到阻燃1级，热释放速率应小于10KW，5分钟热释放量应小于1MJ，一氧化碳浓度应小于40ppm。</w:t>
            </w:r>
            <w:r/>
          </w:p>
          <w:p>
            <w:pPr>
              <w:jc w:val="left"/>
              <w:keepLines w:val="0"/>
              <w:keepNext w:val="0"/>
              <w:pageBreakBefore w:val="0"/>
              <w:spacing w:line="240" w:lineRule="auto"/>
              <w:shd w:val="clear" w:color="auto"/>
              <w:widowControl/>
              <w:rPr>
                <w:rStyle w:val="661"/>
                <w:rFonts w:hint="eastAsia" w:ascii="宋体" w:hAnsi="宋体" w:eastAsia="宋体" w:cs="宋体"/>
                <w:b w:val="0"/>
                <w:bCs w:val="0"/>
                <w:color w:val="auto"/>
                <w:sz w:val="21"/>
                <w:szCs w:val="21"/>
                <w:highlight w:val="none"/>
                <w:lang w:val="en-US" w:eastAsia="zh-CN" w:bidi="ar"/>
              </w:rPr>
              <w:suppressLineNumbers w:val="0"/>
            </w:pP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b w:val="0"/>
                <w:bCs w:val="0"/>
                <w:strike w:val="0"/>
                <w:color w:val="auto"/>
                <w:sz w:val="21"/>
                <w:szCs w:val="21"/>
                <w:highlight w:val="none"/>
                <w:lang w:val="en-US" w:eastAsia="zh-CN" w:bidi="ar"/>
              </w:rPr>
              <w:t xml:space="preserve">13、显示器支架、钣金、铝合金在盐雾腐蚀100小时测试条件下，抗腐蚀能力不低于10级。</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14、控制台采用的防火板饰面刨花板需具有抗菌性能，金黄色葡萄球菌抗（细）菌率99%以上，抗霉菌性能达到0级。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16、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92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融合侦研区鱼骨型8人操作员席位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61"/>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1、操作台尺寸：长≦5800mm，宽≦2700mm，高≦740mm，深度≦800mm</w:t>
            </w:r>
            <w:r>
              <w:rPr>
                <w:rStyle w:val="661"/>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p>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3、侧板：侧板材质应为木制，应为模块化设计样式，方便安装；可以对LOGO定制化要求，依据提供LOGO标识进行生产制作。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w:t>
            </w:r>
            <w:r>
              <w:rPr>
                <w:rStyle w:val="660"/>
                <w:rFonts w:hint="eastAsia" w:ascii="宋体" w:hAnsi="宋体" w:eastAsia="宋体" w:cs="宋体"/>
                <w:b w:val="0"/>
                <w:bCs w:val="0"/>
                <w:color w:val="auto"/>
                <w:sz w:val="21"/>
                <w:szCs w:val="21"/>
                <w:highlight w:val="none"/>
                <w:lang w:val="en-US" w:eastAsia="zh-CN" w:bidi="ar"/>
              </w:rPr>
              <w:t xml:space="preserve">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5、前、后门板：前后门板使用实木颗粒板双帖防火板加工，整体厚度应为20mm。门板应采用PUR封边工艺。同时铰链应经200h中性盐雾测试后性能评级达10级水准。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控制台整体应符合对应标准的检测，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p>
          <w:p>
            <w:pPr>
              <w:jc w:val="left"/>
              <w:keepLines w:val="0"/>
              <w:keepNext w:val="0"/>
              <w:pageBreakBefore w:val="0"/>
              <w:spacing w:line="240" w:lineRule="auto"/>
              <w:shd w:val="clear" w:color="auto"/>
              <w:widowControl/>
              <w:rPr>
                <w:rStyle w:val="660"/>
                <w:rFonts w:hint="eastAsia" w:ascii="宋体" w:hAnsi="宋体" w:eastAsia="宋体" w:cs="宋体"/>
                <w:b w:val="0"/>
                <w:bCs w:val="0"/>
                <w:i w:val="0"/>
                <w:iCs w:val="0"/>
                <w:color w:val="auto"/>
                <w:sz w:val="21"/>
                <w:szCs w:val="21"/>
                <w:highlight w:val="none"/>
                <w:u w:val="none"/>
                <w:lang w:val="en-US" w:eastAsia="zh-CN" w:bidi="ar"/>
              </w:rPr>
              <w:suppressLineNumbers w:val="0"/>
            </w:pPr>
            <w:r>
              <w:rPr>
                <w:rStyle w:val="660"/>
                <w:rFonts w:hint="eastAsia" w:ascii="宋体" w:hAnsi="宋体" w:eastAsia="宋体" w:cs="宋体"/>
                <w:b w:val="0"/>
                <w:bCs w:val="0"/>
                <w:i w:val="0"/>
                <w:iCs w:val="0"/>
                <w:color w:val="auto"/>
                <w:sz w:val="21"/>
                <w:szCs w:val="21"/>
                <w:highlight w:val="none"/>
                <w:u w:val="none"/>
                <w:lang w:val="en-US" w:eastAsia="zh-CN" w:bidi="ar"/>
              </w:rPr>
              <w:t xml:space="preserve">9、中纤板板内密度偏差应不大于2%，含水率应小于6%，TVOC应≤0.02mg/(㎡.h）。</w:t>
            </w:r>
            <w:r/>
          </w:p>
          <w:p>
            <w:pPr>
              <w:jc w:val="left"/>
              <w:keepLines w:val="0"/>
              <w:keepNext w:val="0"/>
              <w:pageBreakBefore w:val="0"/>
              <w:spacing w:line="240" w:lineRule="auto"/>
              <w:shd w:val="clear" w:color="auto"/>
              <w:widowControl/>
              <w:rPr>
                <w:rStyle w:val="660"/>
                <w:rFonts w:hint="eastAsia" w:ascii="宋体" w:hAnsi="宋体" w:eastAsia="宋体" w:cs="宋体"/>
                <w:strike w:val="0"/>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10</w:t>
            </w:r>
            <w:r>
              <w:rPr>
                <w:rStyle w:val="660"/>
                <w:rFonts w:hint="eastAsia" w:ascii="宋体" w:hAnsi="宋体" w:eastAsia="宋体" w:cs="宋体"/>
                <w:strike w:val="0"/>
                <w:color w:val="auto"/>
                <w:sz w:val="21"/>
                <w:szCs w:val="21"/>
                <w:highlight w:val="none"/>
                <w:lang w:val="en-US" w:eastAsia="zh-CN" w:bidi="ar"/>
              </w:rPr>
              <w:t xml:space="preserve">、控制台整体燃烧测试等级达到阻燃1级，热释放速率应小于10KW，5分钟热释放量应小于1MJ，一氧化碳浓度应小于40ppm。</w:t>
            </w:r>
            <w:r/>
          </w:p>
          <w:p>
            <w:pPr>
              <w:jc w:val="left"/>
              <w:keepLines w:val="0"/>
              <w:keepNext w:val="0"/>
              <w:pageBreakBefore w:val="0"/>
              <w:spacing w:line="240" w:lineRule="auto"/>
              <w:shd w:val="clear" w:color="auto"/>
              <w:widowControl/>
              <w:rPr>
                <w:rStyle w:val="660"/>
                <w:rFonts w:hint="eastAsia" w:ascii="宋体" w:hAnsi="宋体" w:eastAsia="宋体" w:cs="宋体"/>
                <w:strike/>
                <w:color w:val="auto"/>
                <w:sz w:val="21"/>
                <w:szCs w:val="21"/>
                <w:highlight w:val="none"/>
                <w:lang w:val="en-US" w:eastAsia="zh-CN" w:bidi="ar"/>
              </w:rPr>
              <w:suppressLineNumbers w:val="0"/>
            </w:pP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1"/>
                <w:rFonts w:hint="eastAsia" w:ascii="宋体" w:hAnsi="宋体" w:eastAsia="宋体" w:cs="宋体"/>
                <w:b w:val="0"/>
                <w:bCs w:val="0"/>
                <w:strike w:val="0"/>
                <w:color w:val="auto"/>
                <w:sz w:val="21"/>
                <w:szCs w:val="21"/>
                <w:highlight w:val="none"/>
                <w:lang w:val="en-US" w:eastAsia="zh-CN" w:bidi="ar"/>
              </w:rPr>
              <w:t xml:space="preserve">。</w:t>
            </w:r>
            <w:r/>
          </w:p>
          <w:p>
            <w:pPr>
              <w:jc w:val="left"/>
              <w:keepLines w:val="0"/>
              <w:keepNext w:val="0"/>
              <w:pageBreakBefore w:val="0"/>
              <w:spacing w:line="240" w:lineRule="auto"/>
              <w:shd w:val="clear" w:color="auto"/>
              <w:widowControl/>
              <w:rPr>
                <w:rStyle w:val="660"/>
                <w:rFonts w:hint="eastAsia" w:ascii="宋体" w:hAnsi="宋体" w:eastAsia="宋体" w:cs="宋体"/>
                <w:strike/>
                <w:color w:val="auto"/>
                <w:sz w:val="21"/>
                <w:szCs w:val="21"/>
                <w:highlight w:val="none"/>
                <w:lang w:val="en-US" w:eastAsia="zh-CN" w:bidi="ar"/>
              </w:rPr>
              <w:suppressLineNumbers w:val="0"/>
            </w:pP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p>
          <w:p>
            <w:pPr>
              <w:jc w:val="left"/>
              <w:keepLines w:val="0"/>
              <w:keepNext w:val="0"/>
              <w:pageBreakBefore w:val="0"/>
              <w:spacing w:line="240" w:lineRule="auto"/>
              <w:shd w:val="clear" w:color="auto"/>
              <w:widowControl/>
              <w:rPr>
                <w:rStyle w:val="660"/>
                <w:rFonts w:hint="eastAsia" w:ascii="宋体" w:hAnsi="宋体" w:eastAsia="宋体" w:cs="宋体"/>
                <w:b/>
                <w:bCs/>
                <w:color w:val="auto"/>
                <w:sz w:val="21"/>
                <w:szCs w:val="21"/>
                <w:highlight w:val="none"/>
                <w:lang w:val="en-US" w:eastAsia="zh-CN" w:bidi="ar"/>
              </w:rPr>
              <w:suppressLineNumbers w:val="0"/>
            </w:pPr>
            <w:r>
              <w:rPr>
                <w:rStyle w:val="660"/>
                <w:rFonts w:hint="eastAsia" w:ascii="宋体" w:hAnsi="宋体" w:eastAsia="宋体" w:cs="宋体"/>
                <w:b/>
                <w:bCs/>
                <w:color w:val="auto"/>
                <w:sz w:val="21"/>
                <w:szCs w:val="21"/>
                <w:highlight w:val="none"/>
                <w:lang w:val="en-US" w:eastAsia="zh-CN" w:bidi="ar"/>
              </w:rPr>
              <w:t xml:space="preserve">13、▲桌面简化系统模块要求与控制台匹配度高，最多支持键鼠直接滑屏控制不少于8套不同操作系统电脑主机功能。可直接连接电子铭牌。（提供CNAS或CMA认可的检测报告原件扫描件并加盖公章）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14、</w:t>
            </w:r>
            <w:r>
              <w:rPr>
                <w:rStyle w:val="661"/>
                <w:rFonts w:hint="eastAsia" w:ascii="宋体" w:hAnsi="宋体" w:eastAsia="宋体" w:cs="宋体"/>
                <w:b w:val="0"/>
                <w:bCs w:val="0"/>
                <w:strike w:val="0"/>
                <w:color w:val="auto"/>
                <w:sz w:val="21"/>
                <w:szCs w:val="21"/>
                <w:highlight w:val="none"/>
                <w:lang w:val="en-US" w:eastAsia="zh-CN" w:bidi="ar"/>
              </w:rPr>
              <w:t xml:space="preserve">显示器支架、钣金、铝合金在盐雾腐蚀100小时测试条件下，抗腐蚀能力不低于10级。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15、控制台采用的防火板饰面刨花板需具有抗菌性能，金黄色葡萄球菌抗（细）菌率99%以上，抗霉菌性能达到0级。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16、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17、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融合侦研区折角型7人操作员席位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1、操作台尺寸：长≦5800mm，宽≦1600mm，高≦740mm，深度≦800mm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p>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3、侧板：侧板材质应为木制，应为模块化设计样式，方便安装；可以对LOGO定制化要求，依据提供LOGO标识进行生产制作。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w:t>
            </w:r>
            <w:r>
              <w:rPr>
                <w:rStyle w:val="660"/>
                <w:rFonts w:hint="eastAsia" w:ascii="宋体" w:hAnsi="宋体" w:eastAsia="宋体" w:cs="宋体"/>
                <w:b w:val="0"/>
                <w:bCs w:val="0"/>
                <w:color w:val="auto"/>
                <w:sz w:val="21"/>
                <w:szCs w:val="21"/>
                <w:highlight w:val="none"/>
                <w:lang w:val="en-US" w:eastAsia="zh-CN" w:bidi="ar"/>
              </w:rPr>
              <w:t xml:space="preserve">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5、前、后门板：前后门板使用实木颗粒板双帖防火板加工，整体厚度应为20mm。门板应采用PUR封边工艺。同时铰链应经200h中性盐雾测试后性能评级达10级水准。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控制台整体应符合对应标准的检测，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p>
          <w:p>
            <w:pPr>
              <w:jc w:val="left"/>
              <w:keepLines w:val="0"/>
              <w:keepNext w:val="0"/>
              <w:pageBreakBefore w:val="0"/>
              <w:spacing w:line="240" w:lineRule="auto"/>
              <w:shd w:val="clear" w:color="auto"/>
              <w:widowControl/>
              <w:rPr>
                <w:rStyle w:val="660"/>
                <w:rFonts w:hint="eastAsia" w:ascii="宋体" w:hAnsi="宋体" w:eastAsia="宋体" w:cs="宋体"/>
                <w:b w:val="0"/>
                <w:bCs w:val="0"/>
                <w:color w:val="auto"/>
                <w:sz w:val="21"/>
                <w:szCs w:val="21"/>
                <w:highlight w:val="none"/>
                <w:lang w:val="en-US" w:eastAsia="zh-CN" w:bidi="ar"/>
              </w:rPr>
              <w:suppressLineNumbers w:val="0"/>
            </w:pPr>
            <w:r>
              <w:rPr>
                <w:rStyle w:val="660"/>
                <w:rFonts w:hint="eastAsia" w:ascii="宋体" w:hAnsi="宋体" w:eastAsia="宋体" w:cs="宋体"/>
                <w:b w:val="0"/>
                <w:bCs w:val="0"/>
                <w:i w:val="0"/>
                <w:iCs w:val="0"/>
                <w:color w:val="auto"/>
                <w:sz w:val="21"/>
                <w:szCs w:val="21"/>
                <w:highlight w:val="none"/>
                <w:u w:val="none"/>
                <w:lang w:val="en-US" w:eastAsia="zh-CN" w:bidi="ar"/>
              </w:rPr>
              <w:t xml:space="preserve">9、</w:t>
            </w:r>
            <w:r>
              <w:rPr>
                <w:rStyle w:val="660"/>
                <w:rFonts w:hint="eastAsia" w:ascii="宋体" w:hAnsi="宋体" w:eastAsia="宋体" w:cs="宋体"/>
                <w:b w:val="0"/>
                <w:bCs w:val="0"/>
                <w:color w:val="auto"/>
                <w:sz w:val="21"/>
                <w:szCs w:val="21"/>
                <w:highlight w:val="none"/>
                <w:lang w:val="en-US" w:eastAsia="zh-CN" w:bidi="ar"/>
              </w:rPr>
              <w:t xml:space="preserve">中纤板板内密度偏差应不大于2%，含水率应小于6%，TVOC应≤0.02mg/(㎡.h）。</w:t>
            </w:r>
            <w:r/>
          </w:p>
          <w:p>
            <w:pPr>
              <w:jc w:val="left"/>
              <w:keepLines w:val="0"/>
              <w:keepNext w:val="0"/>
              <w:pageBreakBefore w:val="0"/>
              <w:spacing w:line="240" w:lineRule="auto"/>
              <w:shd w:val="clear" w:color="auto"/>
              <w:widowControl/>
              <w:rPr>
                <w:rStyle w:val="661"/>
                <w:rFonts w:hint="eastAsia" w:ascii="宋体" w:hAnsi="宋体" w:eastAsia="宋体" w:cs="宋体"/>
                <w:b w:val="0"/>
                <w:bCs w:val="0"/>
                <w:color w:val="auto"/>
                <w:sz w:val="21"/>
                <w:szCs w:val="21"/>
                <w:highlight w:val="none"/>
                <w:lang w:val="en-US" w:eastAsia="zh-CN" w:bidi="ar"/>
              </w:rPr>
              <w:suppressLineNumbers w:val="0"/>
            </w:pPr>
            <w:r>
              <w:rPr>
                <w:rStyle w:val="660"/>
                <w:rFonts w:hint="eastAsia" w:ascii="宋体" w:hAnsi="宋体" w:eastAsia="宋体" w:cs="宋体"/>
                <w:strike w:val="0"/>
                <w:color w:val="auto"/>
                <w:sz w:val="21"/>
                <w:szCs w:val="21"/>
                <w:highlight w:val="none"/>
                <w:lang w:val="en-US" w:eastAsia="zh-CN" w:bidi="ar"/>
              </w:rPr>
              <w:t xml:space="preserve">10、控制台整体燃烧测试等级达到阻燃1级，热释放速率应小于10KW，5分钟热释放量应小于1MJ，一氧化碳浓度应小于40ppm。</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1"/>
                <w:rFonts w:hint="eastAsia" w:ascii="宋体" w:hAnsi="宋体" w:eastAsia="宋体" w:cs="宋体"/>
                <w:b w:val="0"/>
                <w:bCs w:val="0"/>
                <w:strike w:val="0"/>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13、</w:t>
            </w:r>
            <w:r>
              <w:rPr>
                <w:rStyle w:val="661"/>
                <w:rFonts w:hint="eastAsia" w:ascii="宋体" w:hAnsi="宋体" w:eastAsia="宋体" w:cs="宋体"/>
                <w:b w:val="0"/>
                <w:bCs w:val="0"/>
                <w:strike w:val="0"/>
                <w:color w:val="auto"/>
                <w:sz w:val="21"/>
                <w:szCs w:val="21"/>
                <w:highlight w:val="none"/>
                <w:lang w:val="en-US" w:eastAsia="zh-CN" w:bidi="ar"/>
              </w:rPr>
              <w:t xml:space="preserve">显示器支架、钣金、铝合金在盐雾腐蚀100小时测试条件下，抗腐蚀能力不低于10级。</w:t>
            </w:r>
            <w:r/>
          </w:p>
          <w:p>
            <w:pPr>
              <w:jc w:val="left"/>
              <w:keepLines w:val="0"/>
              <w:keepNext w:val="0"/>
              <w:pageBreakBefore w:val="0"/>
              <w:spacing w:line="240" w:lineRule="auto"/>
              <w:shd w:val="clear" w:color="auto"/>
              <w:widowControl/>
              <w:rPr>
                <w:rStyle w:val="661"/>
                <w:rFonts w:hint="eastAsia" w:ascii="宋体" w:hAnsi="宋体" w:eastAsia="宋体" w:cs="宋体"/>
                <w:b/>
                <w:bCs/>
                <w:strike w:val="0"/>
                <w:color w:val="auto"/>
                <w:sz w:val="21"/>
                <w:szCs w:val="21"/>
                <w:highlight w:val="none"/>
                <w:lang w:val="en-US" w:eastAsia="zh-CN" w:bidi="ar"/>
              </w:rPr>
              <w:suppressLineNumbers w:val="0"/>
            </w:pPr>
            <w:r>
              <w:rPr>
                <w:rStyle w:val="661"/>
                <w:rFonts w:hint="eastAsia" w:ascii="宋体" w:hAnsi="宋体" w:eastAsia="宋体" w:cs="宋体"/>
                <w:b/>
                <w:bCs/>
                <w:color w:val="auto"/>
                <w:sz w:val="21"/>
                <w:szCs w:val="21"/>
                <w:highlight w:val="none"/>
                <w:lang w:val="en-US" w:eastAsia="zh-CN" w:bidi="ar"/>
              </w:rPr>
              <w:t xml:space="preserve">14、▲</w:t>
            </w:r>
            <w:r>
              <w:rPr>
                <w:rStyle w:val="660"/>
                <w:rFonts w:hint="eastAsia" w:ascii="宋体" w:hAnsi="宋体" w:eastAsia="宋体" w:cs="宋体"/>
                <w:b/>
                <w:bCs/>
                <w:color w:val="auto"/>
                <w:sz w:val="21"/>
                <w:szCs w:val="21"/>
                <w:highlight w:val="none"/>
                <w:lang w:val="en-US" w:eastAsia="zh-CN" w:bidi="ar"/>
              </w:rPr>
              <w:t xml:space="preserve">控制台采用的防火板饰面刨花板需具有抗菌性能，金黄色葡萄球菌抗（细）菌率99%以上，抗霉菌性能达到0级。</w:t>
            </w:r>
            <w:r>
              <w:rPr>
                <w:rStyle w:val="661"/>
                <w:rFonts w:hint="eastAsia" w:ascii="宋体" w:hAnsi="宋体" w:eastAsia="宋体" w:cs="宋体"/>
                <w:b/>
                <w:bCs/>
                <w:strike w:val="0"/>
                <w:color w:val="auto"/>
                <w:sz w:val="21"/>
                <w:szCs w:val="21"/>
                <w:highlight w:val="none"/>
                <w:lang w:val="en-US" w:eastAsia="zh-CN" w:bidi="ar"/>
              </w:rPr>
              <w:t xml:space="preserve">（提供第三方检测报告原件扫描件并加盖公章）</w:t>
            </w:r>
            <w:r/>
          </w:p>
          <w:p>
            <w:pPr>
              <w:jc w:val="left"/>
              <w:keepLines w:val="0"/>
              <w:keepNext w:val="0"/>
              <w:pageBreakBefore w:val="0"/>
              <w:spacing w:line="240" w:lineRule="auto"/>
              <w:shd w:val="clear" w:color="auto"/>
              <w:widowControl/>
              <w:rPr>
                <w:rStyle w:val="660"/>
                <w:rFonts w:hint="default"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b/>
                <w:bCs/>
                <w:color w:val="auto"/>
                <w:sz w:val="21"/>
                <w:szCs w:val="21"/>
                <w:highlight w:val="none"/>
                <w:lang w:val="en-US" w:eastAsia="zh-CN" w:bidi="ar"/>
              </w:rPr>
              <w:t xml:space="preserve">15、▲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16、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▲为保证灯光控制系统的功能完整性，控制台所配备的灯光控制软件应进行功能性检测，且检测项应全部通过。（提供CNAS或CMA认可的检测报告原件扫描件并加盖公章）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194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综合统筹区鱼骨型6人操作员席位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Style w:val="660"/>
                <w:rFonts w:hint="eastAsia" w:ascii="宋体" w:hAnsi="宋体" w:eastAsia="宋体" w:cs="宋体"/>
                <w:strike w:val="0"/>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1、操作台尺寸：长≦4600mm，宽≦2700mm，高≦740mm，深度≦800mm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b w:val="0"/>
                <w:bCs w:val="0"/>
                <w:color w:val="auto"/>
                <w:sz w:val="21"/>
                <w:szCs w:val="21"/>
                <w:highlight w:val="none"/>
                <w:lang w:val="en-US" w:eastAsia="zh-CN" w:bidi="ar"/>
              </w:rPr>
              <w:t xml:space="preserve">4、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5、前、后门板：前后门板使用实木颗粒板双帖防火板加工，整体厚度应为20mm。门板应采用PUR封边工艺。同时铰链应经200h中性盐雾测试后性能评级达10级水准。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8、▲</w:t>
            </w:r>
            <w:r>
              <w:rPr>
                <w:rStyle w:val="660"/>
                <w:rFonts w:hint="eastAsia" w:ascii="宋体" w:hAnsi="宋体" w:eastAsia="宋体" w:cs="宋体"/>
                <w:b/>
                <w:bCs/>
                <w:color w:val="auto"/>
                <w:sz w:val="21"/>
                <w:szCs w:val="21"/>
                <w:highlight w:val="none"/>
                <w:lang w:val="en-US" w:eastAsia="zh-CN" w:bidi="ar"/>
              </w:rPr>
              <w:t xml:space="preserve">控制台整体应有符合对应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9"/>
                <w:rFonts w:hint="eastAsia" w:ascii="宋体" w:hAnsi="宋体" w:eastAsia="宋体" w:cs="宋体"/>
                <w:b/>
                <w:bCs/>
                <w:color w:val="auto"/>
                <w:sz w:val="21"/>
                <w:szCs w:val="21"/>
                <w:highlight w:val="none"/>
                <w:lang w:val="en-US" w:eastAsia="zh-CN" w:bidi="ar"/>
              </w:rPr>
              <w:t xml:space="preserve">（</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9</w:t>
            </w:r>
            <w:r>
              <w:rPr>
                <w:rStyle w:val="660"/>
                <w:rFonts w:hint="eastAsia" w:ascii="宋体" w:hAnsi="宋体" w:eastAsia="宋体" w:cs="宋体"/>
                <w:i w:val="0"/>
                <w:iCs w:val="0"/>
                <w:color w:val="auto"/>
                <w:sz w:val="21"/>
                <w:szCs w:val="21"/>
                <w:highlight w:val="none"/>
                <w:u w:val="none"/>
                <w:lang w:val="en-US" w:eastAsia="zh-CN" w:bidi="ar"/>
              </w:rPr>
              <w:t xml:space="preserve">、</w:t>
            </w:r>
            <w:r>
              <w:rPr>
                <w:rStyle w:val="660"/>
                <w:rFonts w:hint="eastAsia" w:ascii="宋体" w:hAnsi="宋体" w:eastAsia="宋体" w:cs="宋体"/>
                <w:b w:val="0"/>
                <w:bCs w:val="0"/>
                <w:color w:val="auto"/>
                <w:sz w:val="21"/>
                <w:szCs w:val="21"/>
                <w:highlight w:val="none"/>
                <w:lang w:val="en-US" w:eastAsia="zh-CN" w:bidi="ar"/>
              </w:rPr>
              <w:t xml:space="preserve">中纤板板内密度偏差应不大于2%，含水率应小于6%，TVOC应≤0.02mg/(㎡.h）。</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10、控制台整体燃烧测试等级达到阻燃1级，热释放速率应小于10KW，5分钟热释放量应小于1MJ，一氧化碳浓度应小于40ppm。</w:t>
            </w:r>
            <w:r/>
          </w:p>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b/>
                <w:bCs/>
                <w:color w:val="auto"/>
                <w:sz w:val="21"/>
                <w:szCs w:val="21"/>
                <w:highlight w:val="none"/>
                <w:lang w:val="en-US" w:eastAsia="zh-CN" w:bidi="ar"/>
              </w:rPr>
              <w:t xml:space="preserve">13、▲</w:t>
            </w:r>
            <w:r>
              <w:rPr>
                <w:rStyle w:val="661"/>
                <w:rFonts w:hint="eastAsia" w:ascii="宋体" w:hAnsi="宋体" w:eastAsia="宋体" w:cs="宋体"/>
                <w:b/>
                <w:bCs/>
                <w:strike w:val="0"/>
                <w:color w:val="auto"/>
                <w:sz w:val="21"/>
                <w:szCs w:val="21"/>
                <w:highlight w:val="none"/>
                <w:lang w:val="en-US" w:eastAsia="zh-CN" w:bidi="ar"/>
              </w:rPr>
              <w:t xml:space="preserve">显示器支架、钣金、铝合金在盐雾腐蚀100小时测试条件下，抗腐蚀能力不低于10级。</w:t>
            </w:r>
            <w:r>
              <w:rPr>
                <w:rStyle w:val="661"/>
                <w:rFonts w:hint="eastAsia" w:ascii="宋体" w:hAnsi="宋体" w:eastAsia="宋体" w:cs="宋体"/>
                <w:b/>
                <w:bCs/>
                <w:color w:val="auto"/>
                <w:sz w:val="21"/>
                <w:szCs w:val="21"/>
                <w:highlight w:val="none"/>
                <w:lang w:val="en-US" w:eastAsia="zh-CN" w:bidi="ar"/>
              </w:rPr>
              <w:t xml:space="preserve">（提供CNAS或CMA认可的检测报告原件扫描件并加盖公章）</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14、控制台采用的防火板饰面刨花板需具有抗菌性能，金黄色葡萄球菌抗（细）菌率99%以上，抗霉菌性能达到0级。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16、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为保证灯光控制系统的功能完整性，控制台所配备的灯光控制软件应进行功能性检测，且检测项应全部通过。</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4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大数据赋能区梅花型3人操作员席位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0"/>
              </w:num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rPr>
                <w:rStyle w:val="660"/>
                <w:rFonts w:hint="eastAsia" w:ascii="宋体" w:hAnsi="宋体" w:eastAsia="宋体" w:cs="宋体"/>
                <w:color w:val="auto"/>
                <w:sz w:val="21"/>
                <w:szCs w:val="21"/>
                <w:highlight w:val="none"/>
                <w:lang w:val="en-US" w:eastAsia="zh-CN" w:bidi="ar"/>
              </w:rPr>
              <w:t xml:space="preserve">操作台尺寸：长≦2100mm，宽≦2700mm，高≦740mm，深度≦800mm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p>
          <w:p>
            <w:pPr>
              <w:numPr>
                <w:ilvl w:val="0"/>
                <w:numId w:val="0"/>
              </w:numPr>
              <w:ind w:left="0" w:firstLine="0"/>
              <w:jc w:val="left"/>
              <w:keepLines w:val="0"/>
              <w:keepNext w:val="0"/>
              <w:pageBreakBefore w:val="0"/>
              <w:spacing w:line="240" w:lineRule="auto"/>
              <w:shd w:val="clear" w:color="auto"/>
              <w:widowControl/>
              <w:rPr>
                <w:rStyle w:val="660"/>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w:t>
            </w:r>
            <w:r>
              <w:rPr>
                <w:rStyle w:val="660"/>
                <w:rFonts w:hint="eastAsia" w:ascii="宋体" w:hAnsi="宋体" w:eastAsia="宋体" w:cs="宋体"/>
                <w:color w:val="auto"/>
                <w:sz w:val="21"/>
                <w:szCs w:val="21"/>
                <w:highlight w:val="none"/>
                <w:lang w:val="en-US" w:eastAsia="zh-CN" w:bidi="ar"/>
              </w:rPr>
              <w:t xml:space="preserve">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w:t>
            </w:r>
            <w:r>
              <w:rPr>
                <w:rStyle w:val="660"/>
                <w:rFonts w:hint="eastAsia" w:ascii="宋体" w:hAnsi="宋体" w:eastAsia="宋体" w:cs="宋体"/>
                <w:b w:val="0"/>
                <w:bCs w:val="0"/>
                <w:color w:val="auto"/>
                <w:sz w:val="21"/>
                <w:szCs w:val="21"/>
                <w:highlight w:val="none"/>
                <w:lang w:val="en-US" w:eastAsia="zh-CN" w:bidi="ar"/>
              </w:rPr>
              <w:t xml:space="preserve">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p>
          <w:p>
            <w:pPr>
              <w:numPr>
                <w:ilvl w:val="0"/>
                <w:numId w:val="0"/>
              </w:num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1"/>
                <w:rFonts w:hint="eastAsia" w:ascii="宋体" w:hAnsi="宋体" w:eastAsia="宋体" w:cs="宋体"/>
                <w:color w:val="auto"/>
                <w:sz w:val="21"/>
                <w:szCs w:val="21"/>
                <w:highlight w:val="none"/>
                <w:lang w:val="en-US" w:eastAsia="zh-CN" w:bidi="ar"/>
              </w:rPr>
              <w:t xml:space="preserve">5、</w:t>
            </w:r>
            <w:r>
              <w:rPr>
                <w:rStyle w:val="659"/>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b/>
                <w:bCs/>
                <w:color w:val="auto"/>
                <w:sz w:val="21"/>
                <w:szCs w:val="21"/>
                <w:highlight w:val="none"/>
                <w:lang w:val="en-US" w:eastAsia="zh-CN" w:bidi="ar"/>
              </w:rPr>
              <w:t xml:space="preserve">前、后门板：前后门板使用实木颗粒板双帖防火板加工，整体厚度应为20mm。门板应采用PUR封边工艺。同时铰链应经200h中性盐雾测试后性能评级达10级水准。</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控制台整体应有符合对应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p>
          <w:p>
            <w:pPr>
              <w:jc w:val="left"/>
              <w:keepLines w:val="0"/>
              <w:keepNext w:val="0"/>
              <w:pageBreakBefore w:val="0"/>
              <w:spacing w:line="240" w:lineRule="auto"/>
              <w:shd w:val="clear" w:color="auto"/>
              <w:widowControl/>
              <w:rPr>
                <w:rStyle w:val="660"/>
                <w:rFonts w:hint="eastAsia" w:ascii="宋体" w:hAnsi="宋体" w:eastAsia="宋体" w:cs="宋体"/>
                <w:b w:val="0"/>
                <w:bCs w:val="0"/>
                <w:color w:val="auto"/>
                <w:sz w:val="21"/>
                <w:szCs w:val="21"/>
                <w:highlight w:val="none"/>
                <w:lang w:val="en-US" w:eastAsia="zh-CN" w:bidi="ar"/>
              </w:rPr>
              <w:suppressLineNumbers w:val="0"/>
            </w:pPr>
            <w:r>
              <w:rPr>
                <w:rStyle w:val="660"/>
                <w:rFonts w:hint="eastAsia" w:ascii="宋体" w:hAnsi="宋体" w:eastAsia="宋体" w:cs="宋体"/>
                <w:b w:val="0"/>
                <w:bCs w:val="0"/>
                <w:color w:val="auto"/>
                <w:sz w:val="21"/>
                <w:szCs w:val="21"/>
                <w:highlight w:val="none"/>
                <w:lang w:val="en-US" w:eastAsia="zh-CN" w:bidi="ar"/>
              </w:rPr>
              <w:t xml:space="preserve">9、中纤板板内密度偏差应不大于2%，含水率应小于6%，TVOC应≤0.02mg/(㎡.h）。</w:t>
            </w:r>
            <w:r/>
          </w:p>
          <w:p>
            <w:pPr>
              <w:jc w:val="left"/>
              <w:keepLines w:val="0"/>
              <w:keepNext w:val="0"/>
              <w:pageBreakBefore w:val="0"/>
              <w:spacing w:line="240" w:lineRule="auto"/>
              <w:shd w:val="clear" w:color="auto"/>
              <w:widowControl/>
              <w:rPr>
                <w:rStyle w:val="660"/>
                <w:rFonts w:hint="eastAsia" w:ascii="宋体" w:hAnsi="宋体" w:eastAsia="宋体" w:cs="宋体"/>
                <w:strike w:val="0"/>
                <w:color w:val="auto"/>
                <w:sz w:val="21"/>
                <w:szCs w:val="21"/>
                <w:highlight w:val="none"/>
                <w:lang w:val="en-US" w:eastAsia="zh-CN" w:bidi="ar"/>
              </w:rPr>
              <w:suppressLineNumbers w:val="0"/>
            </w:pPr>
            <w:r>
              <w:rPr>
                <w:rStyle w:val="660"/>
                <w:rFonts w:hint="eastAsia" w:ascii="宋体" w:hAnsi="宋体" w:eastAsia="宋体" w:cs="宋体"/>
                <w:strike w:val="0"/>
                <w:color w:val="auto"/>
                <w:sz w:val="21"/>
                <w:szCs w:val="21"/>
                <w:highlight w:val="none"/>
                <w:lang w:val="en-US" w:eastAsia="zh-CN" w:bidi="ar"/>
              </w:rPr>
              <w:t xml:space="preserve">10、控制台整体燃烧测试等级达到阻燃1级，热释放速率应小于10KW，5分钟热释放量应小于1MJ，一氧化碳浓度应小于40ppm。</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p>
          <w:p>
            <w:pPr>
              <w:jc w:val="left"/>
              <w:keepLines w:val="0"/>
              <w:keepNext w:val="0"/>
              <w:pageBreakBefore w:val="0"/>
              <w:spacing w:line="240" w:lineRule="auto"/>
              <w:shd w:val="clear" w:color="auto"/>
              <w:widowControl/>
              <w:rPr>
                <w:rStyle w:val="661"/>
                <w:rFonts w:hint="eastAsia" w:ascii="宋体" w:hAnsi="宋体" w:eastAsia="宋体" w:cs="宋体"/>
                <w:b w:val="0"/>
                <w:bCs w:val="0"/>
                <w:color w:val="auto"/>
                <w:sz w:val="21"/>
                <w:szCs w:val="21"/>
                <w:highlight w:val="none"/>
                <w:lang w:val="en-US" w:eastAsia="zh-CN" w:bidi="ar"/>
              </w:rPr>
              <w:suppressLineNumbers w:val="0"/>
            </w:pPr>
            <w:r>
              <w:rPr>
                <w:rStyle w:val="661"/>
                <w:rFonts w:hint="eastAsia" w:ascii="宋体" w:hAnsi="宋体" w:eastAsia="宋体" w:cs="宋体"/>
                <w:b w:val="0"/>
                <w:bCs w:val="0"/>
                <w:strike w:val="0"/>
                <w:color w:val="auto"/>
                <w:sz w:val="21"/>
                <w:szCs w:val="21"/>
                <w:highlight w:val="none"/>
                <w:lang w:val="en-US" w:eastAsia="zh-CN" w:bidi="ar"/>
              </w:rPr>
              <w:t xml:space="preserve">13、显示器支架、钣金、铝合金在盐雾腐蚀100小时测试条件下，抗腐蚀能力不低于10级。</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14、控制台采用的防火板饰面刨花板需具有抗菌性能，金黄色葡萄球菌抗（细）菌率99%以上，抗霉菌性能达到0级。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16、▲</w:t>
            </w:r>
            <w:r>
              <w:rPr>
                <w:rStyle w:val="660"/>
                <w:rFonts w:hint="eastAsia" w:ascii="宋体" w:hAnsi="宋体" w:eastAsia="宋体" w:cs="宋体"/>
                <w:b/>
                <w:bCs/>
                <w:color w:val="auto"/>
                <w:sz w:val="21"/>
                <w:szCs w:val="21"/>
                <w:highlight w:val="none"/>
                <w:lang w:val="en-US" w:eastAsia="zh-CN" w:bidi="ar"/>
              </w:rPr>
              <w:t xml:space="preserve">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spacing w:line="240" w:lineRule="auto"/>
              <w:shd w:val="clear" w:color="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为保证灯光控制系统的功能完整性，控制台所配备的灯光控制软件应进行功能性检测，且检测项应全部通过。</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343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融合侦研区18人会议桌</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
              </w:numPr>
              <w:jc w:val="left"/>
              <w:keepLines w:val="0"/>
              <w:keepNext w:val="0"/>
              <w:pageBreakBefore w:val="0"/>
              <w:spacing w:line="240" w:lineRule="auto"/>
              <w:shd w:val="clear" w:color="auto"/>
              <w:widowControl/>
              <w:rPr>
                <w:rStyle w:val="661"/>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操作台尺寸：长≦6950mm，宽≦1550mm，高≦740mm（实际尺寸根据现场实际情况复核后和甲方意见为准）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2、框架结构：主体框架结构使用铝型材和钣金结合的结构，其中面板支撑采用2.5mm的优质冷轧钢板加工而成。</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3、台面板：面板使用刨花板+防火板制成，整体厚度为27mm,符合相关环保标准。面板前侧封边为鸭嘴边封边，厚度为27mm，宽度为39mm；与桌面材质无缝粘接，保证整体外观协调统一。</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4、会议桌中所使用的铝合金通过盐雾试验，且达到100h十级。</w:t>
            </w:r>
            <w:r/>
          </w:p>
          <w:p>
            <w:pPr>
              <w:numPr>
                <w:ilvl w:val="0"/>
                <w:numId w:val="0"/>
              </w:num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1"/>
                <w:rFonts w:hint="eastAsia" w:ascii="宋体" w:hAnsi="宋体" w:eastAsia="宋体" w:cs="宋体"/>
                <w:color w:val="auto"/>
                <w:sz w:val="21"/>
                <w:szCs w:val="21"/>
                <w:highlight w:val="none"/>
                <w:lang w:val="en-US" w:eastAsia="zh-CN" w:bidi="ar"/>
              </w:rPr>
              <w:t xml:space="preserve">5、▲会议桌木质件表面贴面层，耐污染、耐湿热达到5级，抗冲击不低于2级，其中有害物质甲醛释放量≤0.009mg/m³，达到或优于E1级。（提供CNAS或CMA认可的检测报告原件扫描件并加盖公章）</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6、会议桌整体燃烧测试达到等级应不低于阻燃1级，质量损失率不大于0.13%，其中“一氧化碳”释放量最高为99ppm。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门板使用刨花板+防火板制成，整体厚度为20mm，采用PUR封边工艺，胶线较普通封边更小，同时，避免了封边后期脱落问题，环保性能更优，具有更优良的耐水蒸汽性、抗腐蚀性、耐久性、耐热性、抗寒性；使用铰链连接到框架上，保证其200000次无障碍开启，可实现快速安装和拆卸；</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b/>
                <w:bCs/>
                <w:color w:val="auto"/>
                <w:sz w:val="21"/>
                <w:szCs w:val="21"/>
                <w:highlight w:val="none"/>
                <w:lang w:val="en-US" w:eastAsia="zh-CN" w:bidi="ar"/>
              </w:rPr>
              <w:t xml:space="preserve">8</w:t>
            </w:r>
            <w:r>
              <w:rPr>
                <w:rStyle w:val="661"/>
                <w:rFonts w:hint="eastAsia" w:ascii="宋体" w:hAnsi="宋体" w:eastAsia="宋体" w:cs="宋体"/>
                <w:b/>
                <w:bCs/>
                <w:color w:val="auto"/>
                <w:sz w:val="21"/>
                <w:szCs w:val="21"/>
                <w:highlight w:val="none"/>
                <w:lang w:val="en-US" w:eastAsia="zh-CN" w:bidi="ar"/>
              </w:rPr>
              <w:t xml:space="preserve">、</w:t>
            </w:r>
            <w:r>
              <w:rPr>
                <w:rStyle w:val="661"/>
                <w:rFonts w:hint="eastAsia" w:ascii="宋体" w:hAnsi="宋体" w:eastAsia="宋体" w:cs="宋体"/>
                <w:color w:val="auto"/>
                <w:sz w:val="21"/>
                <w:szCs w:val="21"/>
                <w:highlight w:val="none"/>
                <w:lang w:val="en-US" w:eastAsia="zh-CN" w:bidi="ar"/>
              </w:rPr>
              <w:t xml:space="preserve">▲会议桌所使用的刨花板和防火板应通过检测，甲醛释放未检出，符合Enf级要求。提供CNAS或CMA认可的检测报告原件扫描件并加盖公章）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400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实战指挥室20人会议桌</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1、操作台尺寸：长≦7850mm，宽≦2150mm，高≦740mm（实际尺寸根据现场实际情况复核后和甲方意见为准）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2、框架结构：主体框架结构使用铝型材和钣金结合的结构，其中面板支撑采用2.5mm的优质冷轧钢板加工而成。</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3、台面板：面板使用刨花板+防火板制成，整体厚度为27mm,符合相关环保标准。面板前侧封边为鸭嘴边封边，厚度为27mm，宽度为39mm；与桌面材质无缝粘接，保证整体外观协调统一。</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b w:val="0"/>
                <w:bCs w:val="0"/>
                <w:color w:val="auto"/>
                <w:sz w:val="21"/>
                <w:szCs w:val="21"/>
                <w:highlight w:val="none"/>
                <w:lang w:val="en-US" w:eastAsia="zh-CN" w:bidi="ar"/>
              </w:rPr>
              <w:t xml:space="preserve">4、会议桌中所使用的铝合金通过盐雾试验，且达到100h十级。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w:t>
            </w:r>
            <w:r>
              <w:rPr>
                <w:rStyle w:val="661"/>
                <w:rFonts w:hint="eastAsia" w:ascii="宋体" w:hAnsi="宋体" w:eastAsia="宋体" w:cs="宋体"/>
                <w:b w:val="0"/>
                <w:bCs w:val="0"/>
                <w:color w:val="auto"/>
                <w:sz w:val="21"/>
                <w:szCs w:val="21"/>
                <w:highlight w:val="none"/>
                <w:lang w:val="en-US" w:eastAsia="zh-CN" w:bidi="ar"/>
              </w:rPr>
              <w:t xml:space="preserve">会议桌木质件表面贴面层，耐污染、耐湿热达到5级，抗冲击不低于2级，其中有害物质甲醛释放量≤0.009mg/m³，达到或优于E1级。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6、会议桌整体燃烧测试达到等级应不低于阻燃1级，质量损失率不大于0.13%，其中“一氧化碳”释放量最高为99ppm。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门板使用刨花板+防火板制成，整体厚度为20mm，采用PUR封边工艺，胶线较普通封边更小，同时，避免了封边后期脱落问题，环保性能更优，具有更优良的耐水蒸汽性、抗腐蚀性、耐久性、耐热性、抗寒性；使用铰链连接到框架上，保证其200000次无障碍开启，可实现快速安装和拆卸；</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w:t>
            </w:r>
            <w:r>
              <w:rPr>
                <w:rStyle w:val="661"/>
                <w:rFonts w:hint="eastAsia" w:ascii="宋体" w:hAnsi="宋体" w:eastAsia="宋体" w:cs="宋体"/>
                <w:b w:val="0"/>
                <w:bCs w:val="0"/>
                <w:color w:val="auto"/>
                <w:sz w:val="21"/>
                <w:szCs w:val="21"/>
                <w:highlight w:val="none"/>
                <w:lang w:val="en-US" w:eastAsia="zh-CN" w:bidi="ar"/>
              </w:rPr>
              <w:t xml:space="preserve">会议桌所使用的刨花板和防火板应通过检测，甲醛释放未检出，符合Enf级要求。</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茶水间-休闲椅子</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1、尺寸：560mm×540mm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茶水间-茶几</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2、材质：岩板饰面，采用五底三磨工艺，绿色环保油漆，黑色铁艺喷涂脚架 </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特色工作室-办公桌</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1、尺寸：1600mm×700mm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特色工作室-办公椅</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1、尺寸：550mm×530mm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2、优质西皮饰面，靠背.坐垫内置再生回弹海绵 ；高标准扁管电镀弓形椅架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特色工作室-休闲椅子</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1、尺寸：560mm×540mm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特色工作室-高柜</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1、尺寸：2400mm×400mm×2000mm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特色工作室-茶几</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2、材质：岩板饰面，采用五底三磨工艺，绿色环保油漆，黑色铁艺喷涂脚架 </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工作室-办公桌</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1、尺寸：1400mm×700mm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工作室-高柜</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1、尺寸：2400mm×400mm×2000mm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工作室-办公椅</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1、尺寸：550mm×530mm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2、材质：优质西皮饰面，靠背.坐垫内置再生回弹海绵；高标准扁管电镀弓形椅架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备勤室-床</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1、尺寸：1200mm×2000mm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2、材质：优质橡木，环保油漆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备勤室-床头柜</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2、材质：优质橡木，环保油漆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备勤室-休闲椅子</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1、尺寸：560mm×540mm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档案室-资料柜</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1、尺寸：900mm×2400mm×400mm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2、材质：采用宝钢牌一级冷轧钢板，数控折弯一体成型新款窄边工艺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接待室会议桌</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1、尺寸：4000mm×1500mm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接待室接待椅</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1、材质：耐磨皮质面料、舒适座包，密度海绵填充，高承重脚轻音滑轮</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二楼会议椅</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1、耐磨皮质面料、舒适座包，密度海绵填充，铝合金固定四脚椅</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一楼办公椅</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1、头枕、背、座全为优质网布；头枕可高度及角度调整；椅背可高低调整；座垫可高低调整；扶手可高低升降</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外立面发光字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烤漆不锈钢围边亚克力发光字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1、3mm白色亚克力面板，1mm不锈钢表面做警务蓝烤漆，内置2835防水LED模组，色温10000K</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门厅-文化墙01</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1、精工不锈钢立体金属字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2、1mm不锈钢激光切割焊接打磨电镀/烤漆；字厚10-30mm，内衬10mm雪弗板</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门厅-文化墙02</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1、迷你发光字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门厅-文化墙03</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反诈打防区-文化墙01</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1、精工字(1mm不锈钢激光切割焊接打磨烤漆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2、背扣12mm透明磨砂亚克力，内置品牌LED模组，色温10000K)</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反诈打防区-文化墙02</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反诈打防区-文化墙03</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案件会商文化墙</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网络合成作战战训基地文化墙</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1、精工不锈钢立体金属字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2、1mm不锈钢激光切割焊接打磨电镀/烤漆；字厚20mm，内衬10mm厚雪弗板；</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专案侦研区-文化墙01</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专案侦研区-文化墙02</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传统盯案区-文化墙</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茶水间-文化墙</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备勤室-文化墙</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腰线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户外背胶PP或透明磨砂膜；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1440dpi彩白彩UV喷印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1、亚克力或铝型材或不锈钢烤漆丝印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2、视甲方最终确认方案采取合适工艺</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VI设计、LOGO设计</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智慧侦查中心VI设计及LOGO设计</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1、基层材料品种、规格:50mm×50mm×3mm、热镀锌方管焊接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2、材料品种、规格:12mm厚水泥压力板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3、不含单列清单的广告部分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193.49 </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柱（梁）面装饰板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1、基层材料品种、规格:50mm×50mm×3mm、热镀锌方管焊接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2、材料品种、规格:12mm厚水泥压力板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3、不含单列清单的广告部分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3.77 </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1、部位：东侧墙面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2、字体材质：拉丝不锈钢文宣发光迷你字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3、字体内容：干就干最好 争就争第一、墙体logo等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警察剪影发光造型</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1、部位：东墙面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2、定制拉丝不锈钢激光切割发光造型，外喷灰色哑光汽车漆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发光箱体宣传栏</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1、位置：东侧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2、规格：2000mm×1000mm拉丝不锈钢发光灯箱体制安；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3、字体材质：定制拉丝不锈钢发光灯箱，不锈钢激光切割折边烤漆灯箱，钢化玻璃、另加装液压杆等</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定制不锈钢折边竖式艺术发光造型</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1、部位：东侧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2、墙面定制不锈钢折边竖式艺术发光造型</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装饰线条</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1、胶片装饰造型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2、定制不锈钢造型、烤专色漆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53.28</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结束语造型</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1、部位：东侧墙面结束语造型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2、字体材质：仿古铜立体字、仿古铜一字板造型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3、字体内容：有激情 有担当 有智慧有作为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发光箱体宣传画面</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1、位置：东侧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2、定制发光箱体内画面</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1、部位：西侧红边造型墙板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2、镀锌板折边烤哑光汽车漆，加装红色边条</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不锈钢大字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部位①：西侧墙面不锈钢16个大字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1、字体材质：不锈钢精品立体字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2、字体内容：政治建警 改革强警 科技兴警 从严治警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3、不锈钢激光切割，无痕打磨、平面围边精品字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4、1.0厚PVC衬底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5、具体式样满足甲方要求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部位②：西侧墙面不锈钢6个精品字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1、字体材质：不锈钢金漆球面精品立体字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2、字体内容：以人民为中心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3、不锈钢激光切割，无痕打磨、烤金漆精品字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4、1mm厚PVC衬底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不锈钢精品背发光立体字</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1、部位：西侧墙面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2、字体规格、材质：不锈钢精品背发光立体字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3、字体内容：WELCOME TO DAFENG POLICE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发光迷你字及警徽</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1、部位：西侧墙面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2、字体规格、材质：发光迷你字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3、字体内容：大丰公安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背发光双层假山造型</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1、部位：定制西侧墙面背发光双层假山造型、烤灰色汽车漆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施工宣传临时围挡</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1、钢架：镀锌型钢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2、墙板：绿草皮色彩钢板</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trHeight w:val="322"/>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文化墙配套安装及服务</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1、拆除工程：1）原宣传栏、装饰板拆除，修凿剥离突出的砌体，铲除围墙涂料及抹灰基层至砖砌体；2）含垃圾清除、外运出现场（运距由投标人自行考虑在报价中）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2、围墙加高：砌块品种、规格、强度等级:水泥标准砖，砂浆：水泥M5.0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3、围墙墙面一般抹灰：1）底层厚度、砂浆配合比:10厚1：1：6混合砂浆底层；2）面层厚度、砂浆配合比:8厚1：1：4混合砂浆面层；3）满铺耐碱玻纤网格布一道（剥离墙面处找平，其他墙面粉平）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4、修缮：1）围墙顶飞檐钢骨架基层及铝塑板面层维修加固处理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1、工程部位:围墙及飞檐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2、腻子种类、遍数:外墙柔性耐水腻子两度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3、油漆品种、刷漆遍数:涂刷封底、分格、搅匀后喷涂真石漆两遍，涂刷透明罩光面漆两遍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4、颜色等其他要求:具体颜色及规格详见立面图，投标人施工前提供小样，经招标人确认后施工</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498.74</w:t>
            </w:r>
            <w:r/>
          </w:p>
        </w:tc>
      </w:tr>
    </w:tbl>
    <w:p>
      <w:pPr>
        <w:pStyle w:val="648"/>
        <w:ind w:firstLine="482"/>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b/>
          <w:bCs/>
          <w:color w:val="auto"/>
          <w:highlight w:val="none"/>
          <w:u w:val="none"/>
        </w:rPr>
      </w:pPr>
      <w:r>
        <w:rPr>
          <w:rFonts w:hint="eastAsia" w:ascii="宋体" w:hAnsi="宋体" w:eastAsia="宋体" w:cs="宋体"/>
          <w:b/>
          <w:bCs/>
          <w:color w:val="auto"/>
          <w:highlight w:val="none"/>
          <w:u w:val="none"/>
          <w:lang w:val="en-US" w:eastAsia="zh-CN"/>
        </w:rPr>
        <w:t xml:space="preserve">二、</w:t>
      </w:r>
      <w:r>
        <w:rPr>
          <w:rFonts w:hint="eastAsia" w:ascii="宋体" w:hAnsi="宋体" w:eastAsia="宋体" w:cs="宋体"/>
          <w:b/>
          <w:bCs/>
          <w:color w:val="auto"/>
          <w:highlight w:val="none"/>
          <w:u w:val="none"/>
        </w:rPr>
        <w:t xml:space="preserve">商务要求</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rPr>
      </w:pPr>
      <w:r>
        <w:rPr>
          <w:rFonts w:hint="eastAsia" w:ascii="宋体" w:hAnsi="宋体" w:eastAsia="宋体" w:cs="宋体"/>
          <w:color w:val="auto"/>
          <w:highlight w:val="none"/>
          <w:u w:val="none"/>
          <w:lang w:val="en-US" w:eastAsia="zh-CN"/>
        </w:rPr>
        <w:t xml:space="preserve">1、</w:t>
      </w:r>
      <w:r>
        <w:rPr>
          <w:rFonts w:hint="eastAsia" w:ascii="宋体" w:hAnsi="宋体" w:eastAsia="宋体" w:cs="宋体"/>
          <w:color w:val="auto"/>
          <w:highlight w:val="none"/>
          <w:u w:val="none"/>
        </w:rPr>
        <w:t xml:space="preserve">合同履行期限：30日历天</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2、交货方式：全部货物到现场安装调试完毕交付甲方。</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3、交货地点：甲方指定地点。</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4、付款方式：合同签订后，预付款为合同金额的30%；项目验收合格后付至合同价的70%，验收合格满一年付至结算审核价的90%，余款待项目质保期满按结算审核价款结清。</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5、质保期要求：二年</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6、质量要求及验收标准：相关质量验收规范合格标准，验收执行国家或行业最新标准、招标文件各项技术参数指标、投标文件投标承诺所达到的各项技术参数指标（招标文件、投标文件、国家或行业标准不一致处以最高标准执行）。</w:t>
      </w:r>
      <w:r/>
    </w:p>
    <w:p>
      <w:pPr>
        <w:pStyle w:val="648"/>
        <w:ind w:firstLine="482"/>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b/>
          <w:bCs/>
          <w:color w:val="auto"/>
          <w:highlight w:val="none"/>
          <w:u w:val="none"/>
          <w:lang w:val="en-US" w:eastAsia="zh-CN"/>
        </w:rPr>
        <w:t xml:space="preserve">三、其他内容</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1、供应商应当优先采购节能、环境标志产品。</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2、供应商需自行踏勘现场，了解文化墙的施工现场情况，进行深化设计。</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3、供应商需从质量保证、环境影响、安全生产等方面加强生产经营全过程管控的能力，不断加强品质控制、环境保护、安全生产等方面的规范性。</w:t>
      </w:r>
      <w:r/>
    </w:p>
    <w:p>
      <w:pPr>
        <w:pStyle w:val="648"/>
        <w:ind w:firstLine="48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4、</w:t>
      </w:r>
      <w:r>
        <w:rPr>
          <w:rFonts w:hint="eastAsia" w:ascii="宋体" w:hAnsi="宋体" w:eastAsia="宋体" w:cs="宋体"/>
          <w:color w:val="auto"/>
          <w:highlight w:val="none"/>
          <w:u w:val="none"/>
        </w:rPr>
        <w:t xml:space="preserve">采购标的中的核心产品</w:t>
      </w:r>
      <w:r>
        <w:rPr>
          <w:rFonts w:hint="eastAsia" w:ascii="宋体" w:hAnsi="宋体" w:eastAsia="宋体" w:cs="宋体"/>
          <w:color w:val="auto"/>
          <w:highlight w:val="none"/>
          <w:u w:val="none"/>
          <w:lang w:val="en-US" w:eastAsia="zh-CN"/>
        </w:rPr>
        <w:t xml:space="preserve">为“视频防泄密安全网关”。</w:t>
      </w:r>
      <w:r/>
    </w:p>
    <w:p>
      <w:pPr>
        <w:ind w:firstLine="480"/>
        <w:spacing w:line="400" w:lineRule="exact"/>
        <w:shd w:val="clear" w:color="auto"/>
        <w:rPr>
          <w:rFonts w:hint="default"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 xml:space="preserve">5、清单中“日志审计”、“可视化中控软件”“智能无纸化会议管理服务器软件”、“无纸化会议终端软件”、“无纸化流媒体服务器嵌入软件”，为确保产品质量及连续性，供应商应当优先采购具有软件著作权登记证书的产品。</w:t>
      </w:r>
      <w:r/>
    </w:p>
    <w:p>
      <w:pPr>
        <w:ind w:firstLine="480"/>
        <w:spacing w:line="400" w:lineRule="exact"/>
        <w:shd w:val="clear" w:color="auto"/>
        <w:rPr>
          <w:rFonts w:hint="default"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 xml:space="preserve">6、供应商需配备有经验的专业人员团队负责本项目的安装、调试、检验、检测及售后服务。</w:t>
      </w:r>
      <w:r/>
    </w:p>
    <w:p>
      <w:pPr>
        <w:ind w:firstLine="482"/>
        <w:spacing w:line="400" w:lineRule="exact"/>
        <w:shd w:val="clear" w:color="auto"/>
        <w:rPr>
          <w:rFonts w:hint="eastAsia" w:ascii="宋体" w:hAnsi="宋体" w:eastAsia="宋体" w:cs="宋体"/>
          <w:b/>
          <w:bCs/>
          <w:color w:val="auto"/>
          <w:sz w:val="24"/>
          <w:highlight w:val="none"/>
          <w:u w:val="none"/>
          <w:lang w:val="en-US" w:eastAsia="zh-CN"/>
        </w:rPr>
      </w:pPr>
      <w:r>
        <w:rPr>
          <w:rFonts w:hint="eastAsia" w:ascii="宋体" w:hAnsi="宋体" w:eastAsia="宋体" w:cs="宋体"/>
          <w:b/>
          <w:bCs/>
          <w:color w:val="auto"/>
          <w:sz w:val="24"/>
          <w:highlight w:val="none"/>
          <w:u w:val="none"/>
          <w:lang w:val="en-US" w:eastAsia="zh-CN"/>
        </w:rPr>
        <w:t xml:space="preserve">7</w:t>
      </w:r>
      <w:r>
        <w:rPr>
          <w:rFonts w:hint="eastAsia" w:ascii="宋体" w:hAnsi="宋体" w:eastAsia="宋体" w:cs="宋体"/>
          <w:b/>
          <w:bCs/>
          <w:color w:val="auto"/>
          <w:sz w:val="24"/>
          <w:highlight w:val="none"/>
          <w:u w:val="none"/>
        </w:rPr>
        <w:t xml:space="preserve">、</w:t>
      </w:r>
      <w:r>
        <w:rPr>
          <w:rFonts w:hint="eastAsia" w:ascii="宋体" w:hAnsi="宋体" w:eastAsia="宋体" w:cs="宋体"/>
          <w:b/>
          <w:bCs/>
          <w:color w:val="auto"/>
          <w:sz w:val="24"/>
          <w:highlight w:val="none"/>
          <w:u w:val="none"/>
          <w:lang w:val="en-US" w:eastAsia="zh-CN"/>
        </w:rPr>
        <w:t xml:space="preserve">本项目采购标的按中小企业划分标准所属行业区分为制造业。</w:t>
      </w:r>
      <w:r/>
    </w:p>
    <w:p>
      <w:pPr>
        <w:ind w:firstLine="480"/>
        <w:spacing w:line="400" w:lineRule="exact"/>
        <w:shd w:val="clear" w:color="auto"/>
        <w:rPr>
          <w:rFonts w:hint="eastAsia" w:ascii="宋体" w:hAnsi="宋体" w:eastAsia="宋体" w:cs="宋体"/>
          <w:color w:val="auto"/>
          <w:sz w:val="24"/>
          <w:highlight w:val="none"/>
          <w:u w:val="none"/>
          <w:lang w:val="en-US" w:eastAsia="zh-CN"/>
        </w:rPr>
        <w:sectPr>
          <w:footnotePr/>
          <w:endnotePr/>
          <w:type w:val="nextPage"/>
          <w:pgSz w:w="16838" w:h="11906" w:orient="landscape"/>
          <w:pgMar w:top="1080" w:right="1440" w:bottom="1080" w:left="1440" w:header="851" w:footer="992" w:gutter="0"/>
          <w:cols w:num="1" w:sep="0" w:space="425" w:equalWidth="1"/>
          <w:docGrid w:linePitch="360"/>
        </w:sectPr>
      </w:pPr>
      <w:r>
        <w:rPr>
          <w:rFonts w:hint="eastAsia" w:ascii="宋体" w:hAnsi="宋体" w:eastAsia="宋体" w:cs="宋体"/>
          <w:color w:val="auto"/>
          <w:sz w:val="24"/>
          <w:highlight w:val="none"/>
          <w:u w:val="none"/>
          <w:lang w:val="en-US" w:eastAsia="zh-CN"/>
        </w:rPr>
      </w:r>
      <w:r/>
    </w:p>
    <w:p>
      <w:pPr>
        <w:pStyle w:val="648"/>
        <w:ind w:left="0" w:right="0" w:firstLine="0"/>
        <w:jc w:val="center"/>
        <w:keepNext/>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第五章  评标方法与评标标准</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48"/>
        <w:ind w:left="0" w:right="0" w:firstLine="482"/>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（1）本项目对小型和微型企业提供的服务给予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的扣除价格，用扣除后的价格参与评审。</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（2）供应商需按照采购文件的要求提供相应的《小微企业声明函》。</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u w:val="single"/>
          <w:lang w:eastAsia="zh-CN"/>
        </w:rPr>
        <w:t xml:space="preserve">。</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48"/>
        <w:ind w:left="0" w:right="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p>
    <w:p>
      <w:pPr>
        <w:ind w:left="0" w:right="0" w:firstLine="480"/>
        <w:keepLines w:val="0"/>
        <w:keepNext w:val="0"/>
        <w:pageBreakBefore w:val="0"/>
        <w:spacing w:line="480" w:lineRule="exact"/>
        <w:shd w:val="clear" w:color="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i w:val="0"/>
          <w:iCs w:val="0"/>
          <w:color w:val="auto"/>
          <w:sz w:val="24"/>
          <w:szCs w:val="24"/>
          <w:highlight w:val="none"/>
          <w:lang w:eastAsia="zh-CN"/>
        </w:rPr>
        <w:t xml:space="preserve">投标文件</w:t>
      </w:r>
      <w:r>
        <w:rPr>
          <w:rFonts w:hint="eastAsia" w:ascii="宋体" w:hAnsi="宋体" w:eastAsia="宋体" w:cs="宋体"/>
          <w:i w:val="0"/>
          <w:iCs w:val="0"/>
          <w:color w:val="auto"/>
          <w:sz w:val="24"/>
          <w:szCs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i w:val="0"/>
          <w:iCs w:val="0"/>
          <w:color w:val="auto"/>
          <w:sz w:val="24"/>
          <w:szCs w:val="24"/>
          <w:highlight w:val="none"/>
          <w:lang w:eastAsia="zh-CN"/>
        </w:rPr>
        <w:t xml:space="preserve">投标文件</w:t>
      </w:r>
      <w:r>
        <w:rPr>
          <w:rFonts w:hint="eastAsia" w:ascii="宋体" w:hAnsi="宋体" w:eastAsia="宋体" w:cs="宋体"/>
          <w:i w:val="0"/>
          <w:iCs w:val="0"/>
          <w:color w:val="auto"/>
          <w:sz w:val="24"/>
          <w:szCs w:val="24"/>
          <w:highlight w:val="none"/>
        </w:rPr>
        <w:t xml:space="preserve">截止时已正式公布的最近一期信息为准，</w:t>
      </w:r>
      <w:r>
        <w:rPr>
          <w:rFonts w:hint="eastAsia" w:ascii="宋体" w:hAnsi="宋体" w:eastAsia="宋体" w:cs="宋体"/>
          <w:b/>
          <w:i w:val="0"/>
          <w:iCs w:val="0"/>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val="0"/>
          <w:iCs w:val="0"/>
          <w:color w:val="auto"/>
          <w:sz w:val="24"/>
          <w:szCs w:val="24"/>
          <w:highlight w:val="none"/>
        </w:rPr>
        <w:t xml:space="preserve">。其他条件相同情况下，应当优先采购节能产品、环境标志产品。</w:t>
      </w:r>
      <w:r/>
    </w:p>
    <w:p>
      <w:pPr>
        <w:ind w:left="0" w:right="0" w:firstLine="48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财办库〔2020〕123号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执行。</w:t>
      </w:r>
      <w:r/>
    </w:p>
    <w:p>
      <w:pPr>
        <w:pStyle w:val="648"/>
        <w:ind w:left="0" w:right="0" w:firstLine="482"/>
        <w:keepLines w:val="0"/>
        <w:keepNext w:val="0"/>
        <w:pageBreakBefore w:val="0"/>
        <w:spacing w:beforeAutospacing="0" w:afterAutospacing="0" w:line="480" w:lineRule="exact"/>
        <w:shd w:val="clear" w:color="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评标方法与评标标准</w:t>
      </w:r>
      <w:r/>
    </w:p>
    <w:tbl>
      <w:tblPr>
        <w:tblStyle w:val="64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1"/>
        <w:gridCol w:w="1339"/>
        <w:gridCol w:w="7912"/>
      </w:tblGrid>
      <w:tr>
        <w:trPr>
          <w:trHeight w:val="1656"/>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投标价</w:t>
            </w:r>
            <w:r/>
          </w:p>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价格分采用低价优先法计算，即满足招标文件要求且投标报价最低的为评标基准价，其价格分为满分。其他供应商的价格分统一按下列公式计算：报价得分=（评标基准价/投标报价）×30，价格分保留两位小数。</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restart"/>
            <w:textDirection w:val="lrTb"/>
            <w:noWrap/>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商务部分</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综合实力</w:t>
            </w:r>
            <w:r/>
          </w:p>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1、投标人具有有效期内的质量管理体系认证证书得0.5分，投标人具有有效期内的环境管理体系认证证书得0.5分，投标人具有有效期内的职业健康安全管理体系认证证书得0.5分。</w:t>
            </w:r>
            <w:r/>
          </w:p>
          <w:p>
            <w:pPr>
              <w:jc w:val="left"/>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投标人所投的“日志审计”具有计算机软件著作登记证书的得0.5分，投标人所投的“可视化中控软件”具有计算机软件著作登记证书的得0.5分，投标人所投的“智能无纸化会议管理服务器软件”具有计算机软件著作登记证书的得0.5分，投标人所投的“无纸化会议终端软件”具有计算机软件著作登记证书的得0.5分，投标人所投的“无纸化流媒体服务器嵌入软件”具有计算机软件著作登记证书的得0.5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注：投标人需提供上述证书原件扫描件，未提供不得分。</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continue"/>
            <w:textDirection w:val="lrTb"/>
            <w:noWrap/>
          </w:tcPr>
          <w:p>
            <w:pPr>
              <w:jc w:val="center"/>
              <w:spacing w:line="440" w:lineRule="exact"/>
              <w:shd w:val="clear" w:color="auto"/>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相关业绩</w:t>
            </w:r>
            <w:r/>
          </w:p>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Style w:val="665"/>
                <w:color w:val="auto"/>
                <w:highlight w:val="none"/>
                <w:lang w:val="en-US" w:eastAsia="zh-CN" w:bidi="ar"/>
              </w:rPr>
              <w:t xml:space="preserve">投标人提供自2021年1月1日以来（以合同签订日期为准）承担过的类似项目业绩，每提供一个业绩得0.5分，满分4分。</w:t>
            </w:r>
            <w:r>
              <w:rPr>
                <w:rStyle w:val="665"/>
                <w:color w:val="auto"/>
                <w:highlight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注：投标人需提供类似项目合同及验收证明文件原件扫描件，以上文件缺一不可，未提供不得分。</w: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continue"/>
            <w:textDirection w:val="lrTb"/>
            <w:noWrap/>
          </w:tcPr>
          <w:p>
            <w:pPr>
              <w:jc w:val="center"/>
              <w:spacing w:line="440" w:lineRule="exact"/>
              <w:shd w:val="clear" w:color="auto"/>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项目团队</w:t>
            </w:r>
            <w:r/>
          </w:p>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spacing w:line="440" w:lineRule="exact"/>
              <w:shd w:val="clear" w:color="auto"/>
              <w:widowControl/>
              <w:rPr>
                <w:rStyle w:val="666"/>
                <w:rFonts w:hint="eastAsia"/>
                <w:color w:val="auto"/>
                <w:highlight w:val="none"/>
                <w:lang w:val="en-US" w:eastAsia="zh-CN" w:bidi="ar"/>
              </w:rPr>
              <w:suppressLineNumbers w:val="0"/>
            </w:pPr>
            <w:r>
              <w:rPr>
                <w:rStyle w:val="666"/>
                <w:rFonts w:hint="eastAsia"/>
                <w:color w:val="auto"/>
                <w:highlight w:val="none"/>
                <w:lang w:val="en-US" w:eastAsia="zh-CN" w:bidi="ar"/>
              </w:rPr>
              <w:t xml:space="preserve">1）投标人拟派项目负责人具备高级及以上工程师职称(电子信息工程类或信息技术类)证书得1分，具备系统架构设计师（高级）证书得1分，具备网络规划设计师（高级）证书得1分。</w:t>
            </w:r>
            <w:r/>
          </w:p>
          <w:p>
            <w:pPr>
              <w:jc w:val="left"/>
              <w:keepLines w:val="0"/>
              <w:keepNext w:val="0"/>
              <w:spacing w:line="440" w:lineRule="exact"/>
              <w:shd w:val="clear" w:color="auto"/>
              <w:widowControl/>
              <w:rPr>
                <w:rStyle w:val="666"/>
                <w:rFonts w:hint="eastAsia"/>
                <w:color w:val="auto"/>
                <w:highlight w:val="none"/>
                <w:lang w:val="en-US" w:eastAsia="zh-CN" w:bidi="ar"/>
              </w:rPr>
              <w:suppressLineNumbers w:val="0"/>
            </w:pPr>
            <w:r>
              <w:rPr>
                <w:rStyle w:val="666"/>
                <w:rFonts w:hint="eastAsia"/>
                <w:color w:val="auto"/>
                <w:highlight w:val="none"/>
                <w:lang w:val="en-US" w:eastAsia="zh-CN" w:bidi="ar"/>
              </w:rPr>
              <w:t xml:space="preserve">2）投标人拟派项目技术负责人具备高级及以上工程师职称(电子信息工程类或信息技术类)证书得1分，具备信息系统项目管理师(高级) 证书得1分。</w:t>
            </w:r>
            <w:r/>
          </w:p>
          <w:p>
            <w:pPr>
              <w:jc w:val="left"/>
              <w:keepLines w:val="0"/>
              <w:keepNext w:val="0"/>
              <w:spacing w:line="440" w:lineRule="exact"/>
              <w:shd w:val="clear" w:color="auto"/>
              <w:widowControl/>
              <w:rPr>
                <w:rStyle w:val="666"/>
                <w:rFonts w:hint="eastAsia"/>
                <w:color w:val="auto"/>
                <w:highlight w:val="none"/>
                <w:lang w:val="en-US" w:eastAsia="zh-CN" w:bidi="ar"/>
              </w:rPr>
              <w:suppressLineNumbers w:val="0"/>
            </w:pPr>
            <w:r>
              <w:rPr>
                <w:rStyle w:val="666"/>
                <w:rFonts w:hint="eastAsia"/>
                <w:color w:val="auto"/>
                <w:highlight w:val="none"/>
                <w:lang w:val="en-US" w:eastAsia="zh-CN" w:bidi="ar"/>
              </w:rPr>
              <w:t xml:space="preserve">3）本项目所配备的项目团队人员（除项目负责人和项目技术负责人外）具有以下证书的，每提供一个得2分，满分10分。</w:t>
            </w:r>
            <w:r/>
          </w:p>
          <w:p>
            <w:pPr>
              <w:jc w:val="left"/>
              <w:keepLines w:val="0"/>
              <w:keepNext w:val="0"/>
              <w:spacing w:line="440" w:lineRule="exact"/>
              <w:shd w:val="clear" w:color="auto"/>
              <w:widowControl/>
              <w:rPr>
                <w:rStyle w:val="666"/>
                <w:rFonts w:hint="eastAsia"/>
                <w:color w:val="auto"/>
                <w:highlight w:val="none"/>
                <w:lang w:val="en-US" w:eastAsia="zh-CN" w:bidi="ar"/>
              </w:rPr>
              <w:suppressLineNumbers w:val="0"/>
            </w:pPr>
            <w:r>
              <w:rPr>
                <w:rStyle w:val="666"/>
                <w:rFonts w:hint="eastAsia"/>
                <w:color w:val="auto"/>
                <w:highlight w:val="none"/>
                <w:lang w:val="en-US" w:eastAsia="zh-CN" w:bidi="ar"/>
              </w:rPr>
              <w:t xml:space="preserve">①信息系统项目管理师（高级）证书</w:t>
            </w:r>
            <w:r/>
          </w:p>
          <w:p>
            <w:pPr>
              <w:jc w:val="left"/>
              <w:keepLines w:val="0"/>
              <w:keepNext w:val="0"/>
              <w:spacing w:line="440" w:lineRule="exact"/>
              <w:shd w:val="clear" w:color="auto"/>
              <w:widowControl/>
              <w:rPr>
                <w:rStyle w:val="666"/>
                <w:rFonts w:hint="eastAsia"/>
                <w:color w:val="auto"/>
                <w:highlight w:val="none"/>
                <w:lang w:val="en-US" w:eastAsia="zh-CN" w:bidi="ar"/>
              </w:rPr>
              <w:suppressLineNumbers w:val="0"/>
            </w:pPr>
            <w:r>
              <w:rPr>
                <w:rStyle w:val="666"/>
                <w:rFonts w:hint="eastAsia"/>
                <w:color w:val="auto"/>
                <w:highlight w:val="none"/>
                <w:lang w:val="en-US" w:eastAsia="zh-CN" w:bidi="ar"/>
              </w:rPr>
              <w:t xml:space="preserve">②网络工程师（中级）证书</w:t>
            </w:r>
            <w:r/>
          </w:p>
          <w:p>
            <w:pPr>
              <w:jc w:val="left"/>
              <w:keepLines w:val="0"/>
              <w:keepNext w:val="0"/>
              <w:spacing w:line="440" w:lineRule="exact"/>
              <w:shd w:val="clear" w:color="auto"/>
              <w:widowControl/>
              <w:rPr>
                <w:rStyle w:val="666"/>
                <w:rFonts w:hint="eastAsia"/>
                <w:color w:val="auto"/>
                <w:highlight w:val="none"/>
                <w:lang w:val="en-US" w:eastAsia="zh-CN" w:bidi="ar"/>
              </w:rPr>
              <w:suppressLineNumbers w:val="0"/>
            </w:pPr>
            <w:r>
              <w:rPr>
                <w:rStyle w:val="666"/>
                <w:rFonts w:hint="eastAsia"/>
                <w:color w:val="auto"/>
                <w:highlight w:val="none"/>
                <w:lang w:val="en-US" w:eastAsia="zh-CN" w:bidi="ar"/>
              </w:rPr>
              <w:t xml:space="preserve">③系统规划与管理师（高级）证书</w:t>
            </w:r>
            <w:r/>
          </w:p>
          <w:p>
            <w:pPr>
              <w:jc w:val="left"/>
              <w:keepLines w:val="0"/>
              <w:keepNext w:val="0"/>
              <w:spacing w:line="440" w:lineRule="exact"/>
              <w:shd w:val="clear" w:color="auto"/>
              <w:widowControl/>
              <w:rPr>
                <w:rStyle w:val="666"/>
                <w:rFonts w:hint="eastAsia"/>
                <w:color w:val="auto"/>
                <w:highlight w:val="none"/>
                <w:lang w:val="en-US" w:eastAsia="zh-CN" w:bidi="ar"/>
              </w:rPr>
              <w:suppressLineNumbers w:val="0"/>
            </w:pPr>
            <w:r>
              <w:rPr>
                <w:rStyle w:val="666"/>
                <w:rFonts w:hint="eastAsia"/>
                <w:color w:val="auto"/>
                <w:highlight w:val="none"/>
                <w:lang w:val="en-US" w:eastAsia="zh-CN" w:bidi="ar"/>
              </w:rPr>
              <w:t xml:space="preserve">④系统分析师（高级）证书</w:t>
            </w:r>
            <w:r/>
          </w:p>
          <w:p>
            <w:pPr>
              <w:jc w:val="left"/>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Style w:val="666"/>
                <w:rFonts w:hint="eastAsia"/>
                <w:color w:val="auto"/>
                <w:highlight w:val="none"/>
                <w:lang w:val="en-US" w:eastAsia="zh-CN" w:bidi="ar"/>
              </w:rPr>
              <w:t xml:space="preserve">⑤软件评测师（中级）证书</w:t>
            </w:r>
            <w:r>
              <w:rPr>
                <w:rStyle w:val="666"/>
                <w:color w:val="auto"/>
                <w:highlight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注：以上人员需提供相应证书原件扫描件以及投标单位与其签订的劳动合同原件扫描件，否则不得分。</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restart"/>
            <w:textDirection w:val="lrTb"/>
            <w:noWrap w:val="false"/>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技术参数（25分）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spacing w:line="440" w:lineRule="exact"/>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无偏离的得满分25分，技术参数偏离1-5项的扣5分，偏离6-10项的扣10分，偏离11-15项的扣15分，偏离16-20项的扣20分，偏离21-25项的扣25分。技术要求中标记▲的需按要求提供佐证材料，未提供或者提供的材料不符合要求的视为负偏离。</w:t>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continue"/>
            <w:textDirection w:val="lrTb"/>
            <w:noWrap w:val="false"/>
          </w:tcPr>
          <w:p>
            <w:pPr>
              <w:jc w:val="center"/>
              <w:spacing w:line="440" w:lineRule="exact"/>
              <w:shd w:val="clear" w:color="auto"/>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实施方案（20分）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评标委员会根据以下评分点独立评分，得分取所有评委评分的算术平均值。</w:t>
            </w:r>
            <w:r/>
          </w:p>
          <w:p>
            <w:pPr>
              <w:jc w:val="left"/>
              <w:keepLines w:val="0"/>
              <w:keepNext w:val="0"/>
              <w:spacing w:line="440" w:lineRule="exact"/>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标人针对本项目编制实施方案，实施方案中设置专节对总体概述（本项目施工组织总体设想，总体设计思路）、功能设计方案、文化墙及logo设计效果图（不少10张）、兼容性解决方案、系统对接方案、施工组织设计方案（进度计划及保证措施）、售后服务方案、培训方案作出响应性说明，每缺一项说明或者说明内容与项目无关扣2.5分。</w:t>
            </w:r>
            <w:r/>
          </w:p>
        </w:tc>
      </w:tr>
      <w:tr>
        <w:trPr>
          <w:trHeight w:val="2968"/>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spacing w:line="440" w:lineRule="exact"/>
              <w:shd w:val="clear" w:color="auto"/>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节能环保</w:t>
            </w:r>
            <w:r/>
          </w:p>
          <w:p>
            <w:pPr>
              <w:jc w:val="center"/>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keepLines w:val="0"/>
              <w:keepNext w:val="0"/>
              <w:spacing w:line="440" w:lineRule="exact"/>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648"/>
        <w:ind w:left="0" w:right="0" w:firstLine="0"/>
        <w:jc w:val="center"/>
        <w:keepNext/>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第六章  投标文件格式</w:t>
      </w:r>
      <w:r>
        <w:rPr>
          <w:rFonts w:hint="eastAsia" w:ascii="宋体" w:hAnsi="宋体" w:eastAsia="宋体" w:cs="宋体"/>
          <w:color w:val="auto"/>
          <w:sz w:val="44"/>
          <w:szCs w:val="44"/>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bookmarkStart w:id="181" w:name="_Hlt26955039"/>
      <w:r/>
      <w:bookmarkEnd w:id="181"/>
      <w:r/>
      <w:bookmarkStart w:id="182" w:name="_Toc26554094"/>
      <w:r/>
      <w:bookmarkEnd w:id="182"/>
      <w:r/>
      <w:bookmarkStart w:id="183" w:name="_Hlt26671244"/>
      <w:r/>
      <w:bookmarkEnd w:id="183"/>
      <w:r/>
      <w:bookmarkStart w:id="184" w:name="_Toc49090576"/>
      <w:r/>
      <w:bookmarkStart w:id="185" w:name="_Toc120614282"/>
      <w:r>
        <w:rPr>
          <w:rFonts w:hint="eastAsia" w:ascii="宋体" w:hAnsi="宋体" w:eastAsia="宋体" w:cs="宋体"/>
          <w:b/>
          <w:color w:val="auto"/>
          <w:sz w:val="72"/>
          <w:szCs w:val="72"/>
          <w:highlight w:val="none"/>
        </w:rPr>
        <w:t xml:space="preserve">投  标  文  件</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right="0" w:firstLine="723"/>
        <w:jc w:val="both"/>
        <w:keepLines w:val="0"/>
        <w:keepNext w:val="0"/>
        <w:pageBreakBefore w:val="0"/>
        <w:spacing w:beforeAutospacing="0" w:afterAutospacing="0" w:line="1000" w:lineRule="exact"/>
        <w:shd w:val="clear" w:color="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48"/>
        <w:ind w:right="0" w:firstLine="723"/>
        <w:jc w:val="both"/>
        <w:keepLines w:val="0"/>
        <w:keepNext w:val="0"/>
        <w:pageBreakBefore w:val="0"/>
        <w:spacing w:beforeAutospacing="0" w:afterAutospacing="0" w:line="1000" w:lineRule="exact"/>
        <w:shd w:val="clear" w:color="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48"/>
        <w:ind w:left="0" w:right="0" w:firstLine="723"/>
        <w:jc w:val="both"/>
        <w:keepLines w:val="0"/>
        <w:keepNext w:val="0"/>
        <w:pageBreakBefore w:val="0"/>
        <w:spacing w:beforeAutospacing="0" w:afterAutospacing="0" w:line="1000" w:lineRule="exact"/>
        <w:shd w:val="clear" w:color="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        </w:t>
      </w:r>
      <w:r/>
    </w:p>
    <w:p>
      <w:pPr>
        <w:pStyle w:val="648"/>
        <w:ind w:left="0" w:right="0" w:firstLine="723"/>
        <w:jc w:val="both"/>
        <w:keepLines w:val="0"/>
        <w:keepNext w:val="0"/>
        <w:pageBreakBefore w:val="0"/>
        <w:spacing w:beforeAutospacing="0" w:afterAutospacing="0" w:line="1000" w:lineRule="exact"/>
        <w:shd w:val="clear" w:color="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right="0" w:firstLine="0"/>
        <w:jc w:val="left"/>
        <w:keepLines w:val="0"/>
        <w:keepNext w:val="0"/>
        <w:pageBreakBefore w:val="0"/>
        <w:spacing w:line="600" w:lineRule="exact"/>
        <w:shd w:val="clear" w:color="auto"/>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二、上一年度的财务状况报表（至少提供资产负债表、利润表、现金流量表，投标人成立不满一年无需提供）</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九、小微企业声明函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十一、联合体协议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十二、投标分项报价表</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十三、技术要求响应及偏离表</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十四、商务要求响应及偏离表</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i/>
          <w:color w:val="auto"/>
          <w:highlight w:val="none"/>
          <w:u w:val="single"/>
        </w:rPr>
      </w:pPr>
      <w:r>
        <w:rPr>
          <w:rFonts w:hint="eastAsia" w:ascii="宋体" w:hAnsi="宋体" w:eastAsia="宋体" w:cs="宋体"/>
          <w:i w:val="0"/>
          <w:iCs/>
          <w:color w:val="auto"/>
          <w:highlight w:val="none"/>
          <w:u w:val="none"/>
        </w:rPr>
        <w:t xml:space="preserve">十五、开标一览表</w:t>
      </w:r>
      <w:r/>
    </w:p>
    <w:p>
      <w:pPr>
        <w:ind w:left="0" w:right="0" w:firstLine="0"/>
        <w:keepLines w:val="0"/>
        <w:keepNext w:val="0"/>
        <w:pageBreakBefore w:val="0"/>
        <w:spacing w:line="600" w:lineRule="exact"/>
        <w:shd w:val="clear" w:color="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十六、</w:t>
      </w:r>
      <w:r>
        <w:rPr>
          <w:rFonts w:hint="eastAsia" w:ascii="宋体" w:hAnsi="宋体" w:eastAsia="宋体" w:cs="宋体"/>
          <w:color w:val="auto"/>
          <w:sz w:val="24"/>
          <w:highlight w:val="none"/>
          <w:lang w:eastAsia="zh-CN"/>
        </w:rPr>
        <w:t xml:space="preserve">依据评标办法用于评分的材料</w:t>
      </w:r>
      <w:r/>
    </w:p>
    <w:p>
      <w:pPr>
        <w:pStyle w:val="648"/>
        <w:ind w:left="0" w:right="0" w:firstLine="0"/>
        <w:jc w:val="both"/>
        <w:keepLines w:val="0"/>
        <w:keepNext w:val="0"/>
        <w:pageBreakBefore w:val="0"/>
        <w:spacing w:beforeAutospacing="0" w:afterAutospacing="0" w:line="6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十七、盐城市政府采购事前信用承诺书</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numPr>
          <w:ilvl w:val="0"/>
          <w:numId w:val="0"/>
        </w:numPr>
        <w:ind w:left="0" w:right="0" w:firstLine="0"/>
        <w:jc w:val="both"/>
        <w:pageBreakBefore w:val="0"/>
        <w:spacing w:beforeAutospacing="0" w:afterAutospacing="0" w:line="240" w:lineRule="auto"/>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bidi="ar-SA"/>
        </w:rPr>
        <w:t xml:space="preserve">一、</w:t>
      </w:r>
      <w:r>
        <w:rPr>
          <w:rFonts w:hint="eastAsia" w:ascii="宋体" w:hAnsi="宋体" w:eastAsia="宋体" w:cs="宋体"/>
          <w:i w:val="0"/>
          <w:iCs w:val="0"/>
          <w:color w:val="auto"/>
          <w:sz w:val="32"/>
          <w:szCs w:val="32"/>
          <w:highlight w:val="none"/>
          <w:u w:val="single"/>
        </w:rPr>
        <w:t xml:space="preserve">法人或者其他组织的营业执照等证明文件，自然人的身份证明</w:t>
      </w:r>
      <w:r/>
    </w:p>
    <w:p>
      <w:pPr>
        <w:pStyle w:val="648"/>
        <w:ind w:left="0" w:right="0" w:firstLine="0"/>
        <w:jc w:val="both"/>
        <w:pageBreakBefore w:val="0"/>
        <w:spacing w:beforeAutospacing="0" w:afterAutospacing="0" w:line="240" w:lineRule="auto"/>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二、上一年度的财务状况报表</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投标人成立不满一年不需提供</w:t>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w:t>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w:t>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highlight w:val="none"/>
        </w:rPr>
      </w:pPr>
      <w:r/>
      <w:bookmarkStart w:id="186" w:name="_Toc120614284"/>
      <w:r>
        <w:rPr>
          <w:rFonts w:hint="eastAsia" w:ascii="宋体" w:hAnsi="宋体" w:eastAsia="宋体" w:cs="宋体"/>
          <w:i w:val="0"/>
          <w:iCs w:val="0"/>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648"/>
        <w:ind w:left="0" w:right="0" w:firstLine="0"/>
        <w:jc w:val="center"/>
        <w:keepLines w:val="0"/>
        <w:keepNext w:val="0"/>
        <w:pageBreakBefore w:val="0"/>
        <w:spacing w:beforeAutospacing="0" w:afterAutospacing="0" w:line="0" w:lineRule="atLeast"/>
        <w:shd w:val="clear" w:color="auto"/>
        <w:widowControl w:val="off"/>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8"/>
        <w:ind w:left="0" w:right="0" w:firstLine="0"/>
        <w:jc w:val="center"/>
        <w:pageBreakBefore w:val="0"/>
        <w:spacing w:beforeAutospacing="0" w:afterAutospacing="0"/>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8"/>
        <w:ind w:left="0" w:right="0" w:firstLine="0"/>
        <w:jc w:val="center"/>
        <w:pageBreakBefore w:val="0"/>
        <w:spacing w:beforeAutospacing="0" w:afterAutospacing="0"/>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8"/>
        <w:ind w:left="0" w:right="0" w:firstLine="0"/>
        <w:jc w:val="left"/>
        <w:pageBreakBefore w:val="0"/>
        <w:spacing w:beforeAutospacing="0" w:afterAutospacing="0"/>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8"/>
        <w:ind w:left="0" w:right="0" w:firstLine="0"/>
        <w:jc w:val="left"/>
        <w:pageBreakBefore w:val="0"/>
        <w:spacing w:beforeAutospacing="0" w:afterAutospacing="0"/>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8"/>
        <w:ind w:left="0" w:right="0" w:firstLine="0"/>
        <w:jc w:val="left"/>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b w:val="0"/>
          <w:bCs w:val="0"/>
          <w:i w:val="0"/>
          <w:iCs/>
          <w:color w:val="auto"/>
          <w:sz w:val="32"/>
          <w:szCs w:val="32"/>
          <w:highlight w:val="none"/>
          <w:u w:val="single"/>
        </w:rPr>
        <w:t xml:space="preserve">七、法人授权书</w:t>
      </w:r>
      <w:r/>
    </w:p>
    <w:p>
      <w:pPr>
        <w:pStyle w:val="648"/>
        <w:ind w:left="0" w:right="0" w:firstLine="0"/>
        <w:jc w:val="both"/>
        <w:pageBreakBefore w:val="0"/>
        <w:spacing w:beforeAutospacing="0" w:afterAutospacing="0"/>
        <w:shd w:val="clear" w:color="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48"/>
        <w:ind w:left="0" w:right="0" w:firstLine="0"/>
        <w:jc w:val="both"/>
        <w:pageBreakBefore w:val="0"/>
        <w:spacing w:beforeAutospacing="0" w:afterAutospacing="0"/>
        <w:shd w:val="clear" w:color="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48"/>
        <w:ind w:left="0" w:right="0" w:firstLine="0"/>
        <w:jc w:val="both"/>
        <w:pageBreakBefore w:val="0"/>
        <w:spacing w:beforeAutospacing="0" w:afterAutospacing="0"/>
        <w:shd w:val="clear" w:color="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shd w:val="clear" w:color="auto"/>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648"/>
        <w:ind w:right="0"/>
        <w:jc w:val="both"/>
        <w:pageBreakBefore w:val="0"/>
        <w:spacing w:beforeAutospacing="0" w:afterAutospacing="0"/>
        <w:shd w:val="clear" w:color="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48"/>
        <w:ind w:left="0" w:right="0" w:firstLine="0"/>
        <w:jc w:val="both"/>
        <w:pageBreakBefore w:val="0"/>
        <w:spacing w:beforeAutospacing="0" w:afterAutospacing="0"/>
        <w:shd w:val="clear" w:color="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shd w:val="clear" w:color="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87" w:name="_Hlt26955070"/>
      <w:r/>
      <w:bookmarkStart w:id="188" w:name="_格式3__银行出具的资信证明"/>
      <w:r/>
      <w:bookmarkStart w:id="189" w:name="_Hlt26671380"/>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keepLines/>
        <w:keepNext/>
        <w:pageBreakBefore w:val="0"/>
        <w:spacing w:beforeAutospacing="0" w:afterAutospacing="0" w:line="415" w:lineRule="auto"/>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val="0"/>
          <w:bCs/>
          <w:color w:val="auto"/>
          <w:sz w:val="32"/>
          <w:szCs w:val="32"/>
          <w:highlight w:val="none"/>
          <w:u w:val="single"/>
        </w:rPr>
        <w:t xml:space="preserve">八、投标函</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盐城市大丰区公安局</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left"/>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b/>
          <w:color w:val="auto"/>
          <w:sz w:val="32"/>
          <w:szCs w:val="32"/>
          <w:highlight w:val="none"/>
          <w:u w:val="single"/>
        </w:rPr>
        <w:t xml:space="preserve">九、小微企业声明函（</w:t>
      </w:r>
      <w:r>
        <w:rPr>
          <w:rFonts w:hint="eastAsia" w:ascii="宋体" w:hAnsi="宋体" w:eastAsia="宋体" w:cs="宋体"/>
          <w:b/>
          <w:color w:val="auto"/>
          <w:sz w:val="32"/>
          <w:szCs w:val="32"/>
          <w:highlight w:val="none"/>
          <w:u w:val="single"/>
          <w:lang w:val="en-US" w:eastAsia="zh-CN"/>
        </w:rPr>
        <w:t xml:space="preserve">货物</w:t>
      </w:r>
      <w:r>
        <w:rPr>
          <w:rFonts w:hint="eastAsia" w:ascii="宋体" w:hAnsi="宋体" w:eastAsia="宋体" w:cs="宋体"/>
          <w:b/>
          <w:color w:val="auto"/>
          <w:sz w:val="32"/>
          <w:szCs w:val="32"/>
          <w:highlight w:val="none"/>
          <w:u w:val="single"/>
        </w:rPr>
        <w:t xml:space="preserve">）（分包号：**）</w:t>
      </w:r>
      <w:r/>
    </w:p>
    <w:p>
      <w:pPr>
        <w:pStyle w:val="648"/>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 xml:space="preserve">江苏建友兴业工程项目管理有限公司</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（项目名称）（分包号：**）</w:t>
      </w:r>
      <w:r>
        <w:rPr>
          <w:rFonts w:hint="eastAsia" w:ascii="宋体" w:hAnsi="宋体" w:eastAsia="宋体" w:cs="宋体"/>
          <w:color w:val="auto"/>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48"/>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648"/>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648"/>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48"/>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648"/>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648"/>
        <w:ind w:right="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right="0" w:firstLine="36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企业名称（加盖CA电子公章）：</w:t>
      </w:r>
      <w:r/>
    </w:p>
    <w:p>
      <w:pPr>
        <w:pStyle w:val="648"/>
        <w:ind w:right="0" w:firstLine="540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48"/>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480"/>
        <w:jc w:val="both"/>
        <w:pageBreakBefore w:val="0"/>
        <w:spacing w:beforeAutospacing="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8"/>
        <w:ind w:left="0" w:right="0" w:firstLine="480"/>
        <w:jc w:val="both"/>
        <w:pageBreakBefore w:val="0"/>
        <w:spacing w:beforeAutospacing="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u w:val="single"/>
        </w:rPr>
        <w:t xml:space="preserve">十、残疾人福利性单位声明函（分包号：**）</w:t>
      </w:r>
      <w:r/>
    </w:p>
    <w:p>
      <w:pPr>
        <w:pStyle w:val="648"/>
        <w:ind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648"/>
        <w:ind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48"/>
        <w:ind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48"/>
        <w:ind w:left="0" w:right="0" w:firstLine="0"/>
        <w:jc w:val="center"/>
        <w:pageBreakBefore w:val="0"/>
        <w:spacing w:beforeAutospacing="0" w:afterAutospacing="0" w:line="0" w:lineRule="atLeast"/>
        <w:shd w:val="clear" w:color="auto"/>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left"/>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b/>
          <w:color w:val="auto"/>
          <w:sz w:val="32"/>
          <w:szCs w:val="32"/>
          <w:highlight w:val="none"/>
          <w:u w:val="single"/>
        </w:rPr>
        <w:t xml:space="preserve">十一、联合体协议（参考格式）（分包号：**）</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联合体中各供应商全称（公章）：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b/>
          <w:color w:val="auto"/>
          <w:sz w:val="32"/>
          <w:szCs w:val="32"/>
          <w:highlight w:val="none"/>
          <w:u w:val="single"/>
        </w:rPr>
        <w:t xml:space="preserve">十二、投标分项报价表（分包号：**）</w:t>
      </w:r>
      <w:r/>
    </w:p>
    <w:tbl>
      <w:tblPr>
        <w:tblStyle w:val="64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7"/>
        <w:gridCol w:w="1315"/>
        <w:gridCol w:w="9175"/>
        <w:gridCol w:w="571"/>
        <w:gridCol w:w="733"/>
        <w:gridCol w:w="834"/>
        <w:gridCol w:w="898"/>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p>
            <w:pPr>
              <w:jc w:val="center"/>
              <w:keepLines w:val="0"/>
              <w:keepNext w:val="0"/>
              <w:pageBreakBefore w:val="0"/>
              <w:spacing w:line="240" w:lineRule="auto"/>
              <w:shd w:val="clear" w:color="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合价（元）</w:t>
            </w:r>
            <w:r/>
          </w:p>
        </w:tc>
      </w:tr>
      <w:tr>
        <w:trPr>
          <w:trHeight w:val="27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万兆供电交换机（外网）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7"/>
                <w:rFonts w:hint="eastAsia" w:ascii="宋体" w:hAnsi="宋体" w:eastAsia="宋体" w:cs="宋体"/>
                <w:b w:val="0"/>
                <w:bCs w:val="0"/>
                <w:color w:val="auto"/>
                <w:sz w:val="21"/>
                <w:szCs w:val="21"/>
                <w:highlight w:val="none"/>
                <w:lang w:val="en-US" w:eastAsia="zh-CN" w:bidi="ar"/>
              </w:rPr>
              <w:suppressLineNumbers w:val="0"/>
            </w:pPr>
            <w:r>
              <w:rPr>
                <w:rStyle w:val="656"/>
                <w:rFonts w:hint="eastAsia" w:ascii="宋体" w:hAnsi="宋体" w:eastAsia="宋体" w:cs="宋体"/>
                <w:color w:val="auto"/>
                <w:sz w:val="21"/>
                <w:szCs w:val="21"/>
                <w:highlight w:val="none"/>
                <w:lang w:val="en-US" w:eastAsia="zh-CN" w:bidi="ar"/>
              </w:rPr>
              <w:t xml:space="preserve">1、交换容量≥396Gbps，包转发率≥126Mpps</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2、端口类型≥24个10/100/1000Base-T电口，≥4个1G/10G SFP+光口。</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3、支持POE+，整机PoE最大输出功率≥375W，单端口最大输出功率≥35W</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b w:val="0"/>
                <w:bCs w:val="0"/>
                <w:color w:val="auto"/>
                <w:sz w:val="21"/>
                <w:szCs w:val="21"/>
                <w:highlight w:val="none"/>
                <w:lang w:val="en-US" w:eastAsia="zh-CN" w:bidi="ar"/>
              </w:rPr>
              <w:t xml:space="preserve">4、支持组播VLAN ，可实现同一组数据在不同用户VLAN间的复制和转发。</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6"/>
                <w:rFonts w:hint="eastAsia" w:ascii="宋体" w:hAnsi="宋体" w:eastAsia="宋体" w:cs="宋体"/>
                <w:color w:val="auto"/>
                <w:sz w:val="21"/>
                <w:szCs w:val="21"/>
                <w:highlight w:val="none"/>
                <w:lang w:val="en-US" w:eastAsia="zh-CN" w:bidi="ar"/>
              </w:rPr>
              <w:t xml:space="preserve">5、支持IEEE 802.3ad，支持动态链路聚合LACP</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6、支持Jumbo Frame数据传输。</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7、支持端口限速以及流限速功能，防止恶意侵占网络带宽，提供多种精细化管理手段，支持ARP Detection功能，支持ARP限速</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8、支持SNMPV1/2/3、TELNET、SSH等多种管理方式，支持管理平台、WEB网管，支持云管和自主网功能</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框式PON交换机（外网）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1、整机交换容量≥168Tbps，包转发率≥36000Mpps</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2、机箱式多插槽交换机，整机业务槽位数量≥3个</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3、支持冗余电源、冗余主控，主控板主备切换无丢包，主控交换卡、电源、接口模块、风扇等关键部件可热插拔</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4、▲支持融合AC功能，无需额外配置单独硬件，并且能在交换机上对所有上线的AP 进行管理与配置。（提供CNAS或CMA认可的检测报告原件扫描件和官网截图证明并加盖公章）</w:t>
            </w:r>
            <w:r>
              <w:rPr>
                <w:rStyle w:val="659"/>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5、▲支持4框虚拟化技术。（提供CNAS或CMA认可的检测报告原件扫描件并加盖公章）</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6、▲支持MACsec硬件加密技术，实现MAC层安全加密，保证重要数据在传输过程中的保密性。（提供CNAS或CMA认可的检测报告原件扫描件并加盖公章）</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7、支持RRPP、ERPS和RPR等环网技术，收敛时间≤50ms</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8、支持sFlow、Netstream等流量统计和分析功能，并支持对VxLAN报文的Netstream流量统计和分析功能</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9、支持智能图形化管理功能，能够实现通过图形化界面设备配置及命令一键下发和版本智能升级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10、支持BFD功能，支持与OSPF、VRRP联动，收敛时间≤50ms</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11、▲支持有线/无线终端用户的端点准入防御功能，能够做到终端安全防范无漏洞（提供官网截图证明并加盖公章）</w:t>
            </w:r>
            <w:r>
              <w:rPr>
                <w:rStyle w:val="659"/>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12、▲支持以太网无源光网络（提供官网截图证明并加盖公章）</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13、为了保障整体网络兼容性和统一售后，要求核心层与接入层设备统一品牌</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14、本次投标产品单台实配：双交流电源，千兆光口≥24个，万兆光口≥4个</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无线接入点（外网）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1、支持802.11ax协议标准，整机双频五流，整机最大接入速率2.975Gbps</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2、固定接口≥1个2.5Gbps 自协商以太网口上行口（PoE受电），无线终端最大接入数≥256</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3、支持无线VLAN绑定</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4、支持无线漫游灵敏度调优、弱信号终端优化、智能优化</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5、支持基于AP侧的无线终端限速</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6、支持一键认证、短信认证、账号认证、访客认证、微信公众号认证、哑终端认证、会员认证、钉钉认证、认证逃生、自定义认证服务器地址</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7、支持通过移动终端平台统一管理与运维，可以查看AP在线情况、AP关键指标、AP信道使用情况</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384"/>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万兆防火墙（外网）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7"/>
                <w:rFonts w:hint="default" w:ascii="宋体" w:hAnsi="宋体" w:eastAsia="宋体" w:cs="宋体"/>
                <w:color w:val="auto"/>
                <w:sz w:val="21"/>
                <w:szCs w:val="21"/>
                <w:highlight w:val="none"/>
                <w:lang w:val="en-US" w:eastAsia="zh-CN" w:bidi="ar"/>
              </w:rPr>
              <w:suppressLineNumbers w:val="0"/>
            </w:pPr>
            <w:r>
              <w:rPr>
                <w:rStyle w:val="656"/>
                <w:rFonts w:hint="eastAsia" w:ascii="宋体" w:hAnsi="宋体" w:eastAsia="宋体" w:cs="宋体"/>
                <w:color w:val="auto"/>
                <w:sz w:val="21"/>
                <w:szCs w:val="21"/>
                <w:highlight w:val="none"/>
                <w:lang w:val="en-US" w:eastAsia="zh-CN" w:bidi="ar"/>
              </w:rPr>
              <w:t xml:space="preserve">1、采用非X86多核架构，具备可插拔冗余电源模块</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2、支持1个 1T HDD\480G SSD硬盘槽硬盘插槽，需实配1个1T HDD硬盘</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3、至少配置16个千兆电口，4个Combo口，6个千兆光口，2个万兆光口，1个管理口，1个Console口，2个USB接口。</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4、▲要求具备≥2个接口扩展卡插槽</w:t>
            </w:r>
            <w:r>
              <w:rPr>
                <w:rStyle w:val="659"/>
                <w:rFonts w:hint="eastAsia" w:ascii="宋体" w:hAnsi="宋体" w:eastAsia="宋体" w:cs="宋体"/>
                <w:color w:val="auto"/>
                <w:sz w:val="21"/>
                <w:szCs w:val="21"/>
                <w:highlight w:val="none"/>
                <w:lang w:val="en-US" w:eastAsia="zh-CN" w:bidi="ar"/>
              </w:rPr>
              <w:t xml:space="preserve">（提供官网截图证明并加盖公章）</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5、全威胁吞吐量≥1G</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6、应用层吞吐量≥2.6Gbps，网络吞吐量≥7G，并发连接数≥260万，新建连接数≥5.5万</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7、整机同时具备防火墙、链路负载均衡、入侵防御、防病毒、带宽控制、应用识别和web应用防护等功能。</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8、配置waf功能授权</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9、支持IPsec VPN隧道自动建立，无需流量触发；支持IPsec VPN智能选路，根据隧道质量调度流量。</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10、可针对HTTP/HTTPS的安全策略来专门为Web应用提供保护。对来自Web应用程序客户端的各类请求进行内容检测和验证，确保其安全性与合法性，对非法的请求予以实时阻断，从而对各类网站进行有效防护。</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11、▲支持sql注入、跨站脚本、远程代码执行、字符编码等攻击的防护，支持对网络设备、网页服务器、数据库等设备的专属特征分类，支持CC攻击防护，可基于检测请求报文头的X-forward-for字段，以获取真正的源IP地址（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12、WAF规则支持用户自定义，同时支持导入和导出功能</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13、支持至少4700种的Web特征的攻击检测和防御</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14、</w:t>
            </w:r>
            <w:r>
              <w:rPr>
                <w:rStyle w:val="659"/>
                <w:rFonts w:hint="eastAsia" w:ascii="宋体" w:hAnsi="宋体" w:eastAsia="宋体" w:cs="宋体"/>
                <w:color w:val="auto"/>
                <w:sz w:val="21"/>
                <w:szCs w:val="21"/>
                <w:highlight w:val="none"/>
                <w:lang w:val="en-US" w:eastAsia="zh-CN" w:bidi="ar"/>
              </w:rPr>
              <w:t xml:space="preserve">▲</w:t>
            </w:r>
            <w:r>
              <w:rPr>
                <w:rStyle w:val="657"/>
                <w:rFonts w:hint="eastAsia" w:ascii="宋体" w:hAnsi="宋体" w:eastAsia="宋体" w:cs="宋体"/>
                <w:color w:val="auto"/>
                <w:sz w:val="21"/>
                <w:szCs w:val="21"/>
                <w:highlight w:val="none"/>
                <w:lang w:val="en-US" w:eastAsia="zh-CN" w:bidi="ar"/>
              </w:rPr>
              <w:t xml:space="preserve">支持至少9400条以上的应用识别，且提示风险类型及风险级别，便于用户根据实际情况进行上网行为管理。（提供功能截图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15、支持云端防病毒，为保证检测时效性，特征缓存数至少保证20万条且缓存保留时间不应少于700分钟；</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16、支持数据防泄露，对传输的文件和内容进行识别过滤，对内容与身份证号、信用卡号、银行卡号、手机号等类型进行匹配。</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17、支持流量自学习功能，可设置自学习时间，并自动生成DDoS防范策略。</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18、支持基于接口及IP的报文捕获，并将捕获到的报文生成Wireshark（一种网络封包分析软件）可识别的.cap后缀文件，保存到本地或外部服务器，供用户分析诊断出入设备的流量。</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19、支持报文示踪功能，支持真实流量、导入报文、构造报文等方式，用于分析和追踪设备中各个安全业务模块（如：攻击防范、uRPF、会话管理和连接数限制等）对报文的处理过程，通过查看报文示踪记录的详细信息，有利于管理员对网络故障的快速排查和定位。</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20、支持基于Http Accept-Encoding、HTTP Accept-Language、Http Host、Http Request-Method、Http URL-File、Http User-Agent等协议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21、能够防范DOS/DDOS攻击：Land、Smurf、Fraggle、Ping of Death、Tear Drop、IP Spoofing、IP分片报文、ARP欺骗、ARP主动反向查询、TCP报文标志位不合法、超大ICMP报文、地址扫描、端口扫描等攻击防范，还包括针对SYN Flood、UPD Flood、ICMP Flood、DNS Flood、http Flood、https Flood、sip Flood等常见DDoS攻击的检测防御。</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22、▲支持国密SM1/2/3/4算法。（提供功能截图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23、</w:t>
            </w:r>
            <w:r>
              <w:rPr>
                <w:rStyle w:val="659"/>
                <w:rFonts w:hint="eastAsia" w:ascii="宋体" w:hAnsi="宋体" w:eastAsia="宋体" w:cs="宋体"/>
                <w:color w:val="auto"/>
                <w:sz w:val="21"/>
                <w:szCs w:val="21"/>
                <w:highlight w:val="none"/>
                <w:lang w:val="en-US" w:eastAsia="zh-CN" w:bidi="ar"/>
              </w:rPr>
              <w:t xml:space="preserve">▲</w:t>
            </w:r>
            <w:r>
              <w:rPr>
                <w:rStyle w:val="657"/>
                <w:rFonts w:hint="eastAsia" w:ascii="宋体" w:hAnsi="宋体" w:eastAsia="宋体" w:cs="宋体"/>
                <w:color w:val="auto"/>
                <w:sz w:val="21"/>
                <w:szCs w:val="21"/>
                <w:highlight w:val="none"/>
                <w:lang w:val="en-US" w:eastAsia="zh-CN" w:bidi="ar"/>
              </w:rPr>
              <w:t xml:space="preserve">所投设备须支持虚拟防火墙功能：支持虚拟防火墙的创建、启动、关闭、删除功能；可独立分配CPU、接口、吞吐量、内存、磁盘空间等资源，支持2台设备堆叠成一台设备使用，实现统一管理，统一配置，所投设备支持高可靠性（包含主备/主主模式）部署。（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24、提供开放API接口（RESTful，NetConf），可编程管理防火墙，不再仅依赖网管软件。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防火墙软件使用权（外网）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AV防病毒安全特征库、IPS特征库升级及应用识别特征库使用权</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49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7"/>
                <w:rFonts w:hint="eastAsia" w:ascii="宋体" w:hAnsi="宋体" w:eastAsia="宋体" w:cs="宋体"/>
                <w:b w:val="0"/>
                <w:bCs w:val="0"/>
                <w:color w:val="auto"/>
                <w:sz w:val="21"/>
                <w:szCs w:val="21"/>
                <w:highlight w:val="none"/>
                <w:lang w:val="en-US" w:eastAsia="zh-CN" w:bidi="ar"/>
              </w:rPr>
              <w:suppressLineNumbers w:val="0"/>
            </w:pPr>
            <w:r>
              <w:rPr>
                <w:rStyle w:val="657"/>
                <w:rFonts w:hint="eastAsia" w:ascii="宋体" w:hAnsi="宋体" w:eastAsia="宋体" w:cs="宋体"/>
                <w:b w:val="0"/>
                <w:bCs w:val="0"/>
                <w:color w:val="auto"/>
                <w:sz w:val="21"/>
                <w:szCs w:val="21"/>
                <w:highlight w:val="none"/>
                <w:lang w:val="en-US" w:eastAsia="zh-CN" w:bidi="ar"/>
              </w:rPr>
              <w:t xml:space="preserve">1、1U标准机架设备，多核多线程CPU，8G内存，2T存储，标配6个千兆电口，1个扩展槽，可扩展4GE+4SFP插卡、8GE插卡、8SFP插卡，4SFP+插卡</w:t>
            </w:r>
            <w:r/>
          </w:p>
          <w:p>
            <w:pPr>
              <w:jc w:val="left"/>
              <w:keepLines w:val="0"/>
              <w:keepNext w:val="0"/>
              <w:pageBreakBefore w:val="0"/>
              <w:spacing w:line="240" w:lineRule="auto"/>
              <w:shd w:val="clear" w:color="auto"/>
              <w:widowControl/>
              <w:rPr>
                <w:rFonts w:hint="default" w:ascii="宋体" w:hAnsi="宋体" w:eastAsia="宋体" w:cs="宋体"/>
                <w:b/>
                <w:bCs/>
                <w:i w:val="0"/>
                <w:iCs w:val="0"/>
                <w:color w:val="auto"/>
                <w:sz w:val="21"/>
                <w:szCs w:val="21"/>
                <w:highlight w:val="none"/>
                <w:u w:val="none"/>
                <w:lang w:val="en-US"/>
              </w:rPr>
              <w:suppressLineNumbers w:val="0"/>
            </w:pPr>
            <w:r>
              <w:rPr>
                <w:rStyle w:val="656"/>
                <w:rFonts w:hint="eastAsia" w:ascii="宋体" w:hAnsi="宋体" w:eastAsia="宋体" w:cs="宋体"/>
                <w:color w:val="auto"/>
                <w:sz w:val="21"/>
                <w:szCs w:val="21"/>
                <w:highlight w:val="none"/>
                <w:lang w:val="en-US" w:eastAsia="zh-CN" w:bidi="ar"/>
              </w:rPr>
              <w:t xml:space="preserve">2、事件入库性能≥1500EPS；默认16个日志源；扩展步长8个日志源，最大可至128个日志源。</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支持市面主流安全设备、网络设备、中间件、服务器、数据库、操作系统等设备对象的日志数据采集；支持主动、被动相结合的数据采集方式；支持日志转发；支持Syslog、SNMP、JDBC、WMI、FTP、文件等进行数据采集；支持通过Agent采集日志数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4、采集内容支持日志监控、文件监控（文件监控无需开启ftp、sftp协议）、网络包监控；</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5、支持控制采集时间、采集级别、采集范围、采集路径、采集名称、采集文件、多文件采集、采集编码格式、采集正则表达式、自定义采集等；</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6、支持采集网络流量，解析协议不少于ICMP、AMQP、Cassandra、DNS、HTTP、Memcache、MySQL、PgSQL、TNS、Redis、Thrift、MongoDB、NFS、TDS、Sybase、Drda、Dameng、POP、SMTP、达梦等；</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7、对元数据进行重加工或扩展加工，通过正则匹配、OID映射等配置文件编写，上传至现有日志审计平台，直接实现数据的扩展兼容；</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8、提供TOP10资产事件趋势，支持实时告警数、资产总数、日志事件总数、系统健康状况的图表显示。并支持资产总数、日志事件总数、系统健康状况四项的下钻查看详情；提供首页“进入/退出全屏”显示按键；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9、支持基于策略的多资产海量日志关联分析，发现安全事件进行关联通知；系统内置不少于50种常见安全事件关联分析规则；</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10、提供可视化关联分析规则编辑视图，可根据实际业务编辑关联分析规则，关联内容支持不少于资产、源地址、源端口、目的地址、目的端口、事件级别、原始日志、关键词等信息；</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11、支持所有日志事件按照通用模板进行多维日志类型、多设备类型日志进行因果性关联分析，支持三个因果关联，实现日志的多维异常分析；</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12、支持自动生成主机访问关系图谱。关系图谱支持无限级延伸，支持点击业务主机节点自动绘制访问关系；</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13、</w:t>
            </w:r>
            <w:r>
              <w:rPr>
                <w:rStyle w:val="659"/>
                <w:rFonts w:hint="eastAsia" w:ascii="宋体" w:hAnsi="宋体" w:eastAsia="宋体" w:cs="宋体"/>
                <w:color w:val="auto"/>
                <w:sz w:val="21"/>
                <w:szCs w:val="21"/>
                <w:highlight w:val="none"/>
                <w:lang w:val="en-US" w:eastAsia="zh-CN" w:bidi="ar"/>
              </w:rPr>
              <w:t xml:space="preserve">▲</w:t>
            </w:r>
            <w:r>
              <w:rPr>
                <w:rStyle w:val="657"/>
                <w:rFonts w:hint="eastAsia" w:ascii="宋体" w:hAnsi="宋体" w:eastAsia="宋体" w:cs="宋体"/>
                <w:color w:val="auto"/>
                <w:sz w:val="21"/>
                <w:szCs w:val="21"/>
                <w:highlight w:val="none"/>
                <w:lang w:val="en-US" w:eastAsia="zh-CN" w:bidi="ar"/>
              </w:rPr>
              <w:t xml:space="preserve">支持关系图谱搜索、过滤，支持自定义关系节点图标、支持基于节点下钻查看日志信息、查看和拓展该点关系图等（提供功能截图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14、对单位内的设备类型、应用类型、协议类型等信息为基础，梳理出设备、应用、协议等之间的访问关系，实时树立访问关系，结合不同类型梳理出正常使用访问操作，非正常授权使用操作；</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15、支持根据内置事件类型，按照用户环境需求，定义无限级深度事件模型，绘制全网事件关联关系模型，提供基于模型而非特征的问题发现能力，辅助发现未知威胁；</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16、▲支持对单位服务器开放端口关系、服务器端口连接关系、服务代理关系、P2P模型等关系的查看。（提供功能截图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7"/>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17、对单位网络中DNS服务器的访问关系，可以通过该关系图直接发现异常DNS服务器地址，发现DNS欺骗问题；</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18、结合单位认证授权设备，如堡垒机，进行登录行为的可视化关系，可以通过该图直接发现过度授权和未授权访问问题；</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19、满足单位根据等级保护中关于网络安全、主机安全、风险管理等相关事件统计要求；</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20、 满足单位萨班斯法案（SOX）中关于认证管理、账号管理、权限管理、操作管理、攻击管理、风险管理等相关要求事件统计；</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21、满足单位信息安全管理要ISO27001中关于资产管理、人力资源安全管理、通信和操作管理、访问控制管理、信息系统获取/开发和维护管理、信息安全事故、业务连续性等相关要求事件统计；</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22、满足单位第三方支付行业（支付卡行业PCI DSS）数据安全标准PCI DSS中关于网络安全管理、访问控制管理、网络监测管理、安全策略管理等相关要求事件统计；</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23、提供按照全网概况、操作系统分析、安全设备分析、网络设备分析、数据库分析、Web应用分析、连接关系、事件关系、网络流量等进行分类的分析图组；</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24、支持根据用户需求进行图表自定义无需二次开发，实时查询总体、时间段、时间节点等相关内容以多样式的图表进行丰富综合展示；</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25、HTTP响应时间、响应状态码、访问来源IP、请求内容等信息监控，实现发现如状态码为404或响应时间超长情况监控、下钻、跟踪，提供及时进行Web性能优化的业务辅助；</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26、▲数据库响应时间、请求方式、请求内容等信息监控，实现发现如响应时间超长情况监控、下钻、跟踪，提供及时进行数据库性能优化的业务辅助（提供功能截图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27、支持实时日志查看，可选择任意时间节点进行查看全部日志或符合时间节点重要事件，无需进行二次查询；</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28、支持在查询结果页面按照时间切片，以柱状图显示每个时间间隔内的日志数量，可直接下钻查询，支持每一秒为一个时间隔。</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29、支持过滤条件不少于以下条件类型：设备IP、来源IP、目的MAC、来源端口、目的端口、目的地址IPV6、源MAC、源地址IPV6、操作用户、目的IP、事件名称、域名、事件级别、应用名称、请求信息、服务名称、错误信息、响应信息、资源类型、错误码、接收字节、数据库表名、状态码、协议、发送字节、请求方式等。</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30、支持在告警信息页面，点击统计图，以环形图形式对告警类型进行统计；</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31、 支持根据时间范围、级别、规则类型、告警全文关键字等方式快速检索安全事件告警，检索结果支持Excel等格式导出。支持邮件、声音、syslog等多种告警方式。</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32、采用基于时间索引方式的日志存储和非关系型数据库的配置的存储架构，支持数据本地集中存储、本地离线备份存储、FTP离线存储、网络存储；</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33、支持日志的数据的冷热模式切换，即基于时间索引的及时关闭和开启索引；</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34、支持在资产列表页面，以环形图、饼状图形式对资产分组和类型进行统计；支持为一个IP分配多种业务类型，同时收取收集不同类型日志，并进行正确解析；</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35、支持设备可用性状态监测，当设备出现异常超出设定阀值时及时发出告警信息；</w:t>
            </w:r>
            <w:r>
              <w:rPr>
                <w:rStyle w:val="657"/>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36、▲日志存储时间应大于等于180天，支持多条件查询（提供官网截图</w:t>
            </w:r>
            <w:r>
              <w:rPr>
                <w:rStyle w:val="659"/>
                <w:rFonts w:hint="eastAsia" w:ascii="宋体" w:hAnsi="宋体" w:eastAsia="宋体" w:cs="宋体"/>
                <w:color w:val="auto"/>
                <w:sz w:val="21"/>
                <w:szCs w:val="21"/>
                <w:highlight w:val="none"/>
                <w:lang w:val="en-US" w:eastAsia="zh-CN" w:bidi="ar"/>
              </w:rPr>
              <w:t xml:space="preserve">并加盖公章</w:t>
            </w:r>
            <w:r>
              <w:rPr>
                <w:rStyle w:val="657"/>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接入交换机（外网）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1、交换容量≥336Gbps，包转发率≥56Mpps。</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2、端口类型≥8个10/100/1000Base-T电口，≥2个1000Base-X SFP光口。</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3、支持堆叠，持集群或堆叠多虚一技术，实现单一界面管理多台设备，堆叠台数≥9台。</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4、支持MAC地址学习数目限制，MAC地址深度最≥8K</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5、支持组播VLAN ，可实现同一组数据在不同用户VLAN间的复制和转发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6、支持端口自环检测，可防止数据环路引起广播风暴。</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7、支持端口限速以及流限速功能，防止恶意侵占网络带宽，提供多种精细化管理手段</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8、支持SNMPV1/2/3、TELNET、SSH等多种管理方式</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9、支持802.1X和MAC认证，支持客户端软件版本检测、Guest VLAN等功能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10、可console管理，支持命令行调试</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11、支持sflow流量统计分析功能。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12、支持STP/RSTP/MSTP多种生成树协议，提高容错能力，提升网络稳定性。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13、所投交换机支持同一品牌的智能管理平台统一运维管理。</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14、支持丰富的IPV6业务特性及多种IPv6管理手段。</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万兆核心交换机（公安内网）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1、交换容量≥5.98Tbps，包转发率≥237Mpps，整机功耗≤60W。</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2、端口类型≥24个100/1000BASE-X SFP光口，≥8个10/100/1000BASE-T电口，≥4个1/10G Base-X SFP+光口，≥1个Console口。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3、支持环境工作温度-5~45℃，工作相对湿度5～95%RH，无冷凝。</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4、支持802.3x流量控制(全双工)，支持未知单播/多播/广播抑制。</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5、支持端口镜像、流镜像、远程镜像，支持 SPAN/RSPAN 镜像和多个镜像观察端口，支持Loopback-detection端口环回检测。</w:t>
            </w:r>
            <w:r>
              <w:rPr>
                <w:rStyle w:val="659"/>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6、支持智能弹性架构的堆叠，持集群或堆叠多虚一技术，实现单一界面管理多台设备，堆叠台数≥9台。</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7、支持MAC地址学习数目限制，MAC地址深度最深≥32K</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8、支持组播VLAN，可实现同一组数据在不同用户VLAN间的复制和转发。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9、支持多种VLAN功能，支持802.1Q/Guest /Voice VLAN，。</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10、支持LACP/STP/RSTP/MSTP/PVST/Smart Link/RRPP快速环网保护机制等保护协议，提高容错能力，提升网络稳定性。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11、支持二层环网协议，支持SmartLink 树型拓朴和SmartLink多实例，提供主备链路的毫秒级保护，支持RRPP环型拓扑和RRPP多实例。</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12、支持防私接DHCP Snooping，避免上网终端从非法DHCP服务器分配IP地址。</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13、支持丰富的IPv4和IPv6三层路由协议、组播技术以及策略路由机制，支持IPv4/IPv6静态路由，支持双栈。</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14、支持集中式MAC地址认证、802.1x认证、PORTAL认证、RADIUS 认证、TACACS认证，支持用户帐号、IP、MAC、VLAN、端口等用户标识元素的动态或静态绑定，同时实现用户策略（VLAN、QoS、ACL）的动态下发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15、支持DLDP单向链路检测协议，支持LLDP，支持NTP，支持VCT电缆检测功能，支持电源的告警功能，风扇、温度告警</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16、支持TCP/IP、ARP、ICMP 协议；支持OSPFv2 路由协议；支持 IGMPv2 协议。</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Style w:val="659"/>
                <w:rFonts w:hint="eastAsia" w:ascii="宋体" w:hAnsi="宋体" w:eastAsia="宋体" w:cs="宋体"/>
                <w:b w:val="0"/>
                <w:bCs w:val="0"/>
                <w:color w:val="auto"/>
                <w:sz w:val="21"/>
                <w:szCs w:val="21"/>
                <w:highlight w:val="none"/>
                <w:lang w:val="en-US" w:eastAsia="zh-CN" w:bidi="ar"/>
              </w:rPr>
              <w:t xml:space="preserve">1、交换容量≥337Gbps，包转发率≥108Mpps，整机功耗≤22W</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2、端口类型≥24个10/100/1000Base-T电口，≥2个1000Base-X SFP光口，≥2个1000Base-X SFP+光口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3、支持组播VLAN ，可实现同一组数据在不同用户VLAN间的复制和转发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4、支持端口自环检测，可防止数据环路引起广播风暴</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5、支持IEEE 802.3ad，支持动态链路聚合LAC</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6、支持Jumbo Frame数据传输，在实现高密千兆接入同时，实现万兆上行的能力</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1、交换容量≥336Gbps，包转发率≥56Mpps。</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2、端口类型≥8个10/100/1000Base-T电口，≥2个1000Base-X SFP光口。</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3、支持堆叠，持集群或堆叠多虚一技术，实现单一界面管理多台设备，堆叠台数≥9台。</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4、支持sflow流量统计分析功能。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5、支持STP/RSTP/MSTP多种生成树协议，提高容错能力，提升网络稳定性。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6、所投交换机支持同一品牌的智能管理平台统一运维管理。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7、支持丰富的IPV6业务特性及多种IPv6管理手段。</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1、24个10/100/1000Base-T电口(包含两个uplink口，可作为上行口)，2个10G Base-X SFP+ 光口(uplink口)；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2、支持PoE+，整机最大输出：225W，单端口最大供电功率 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3、交换容量：88Gbps，包转发：65.7Mpps；MAC地址表：8K，包缓存≥4Mbit；模式切换：标准交换、端口隔离、汇聚上联、网络克隆。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万兆接线模块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LC-LC 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千兆接线模块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LC-LC 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模块化电源</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AC(70W)电源模块</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1、名称：机柜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2、技术参数：高宽深(2000*600*600)mm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3、内置2个8位10A PDU</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1、产品符合ISO/IEC 11801；ANSI-TIA-568.2-D标准；；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2、PIN 针 采用磷青铜镀镍，再镀“50μ”金工艺；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3、标准19英寸机架式安装，采用高密度SPCC冷轧板，保证产品机械强度；</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(铁质)水平理线架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 芯 LC 双工机架固定式配线箱</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信息模块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1、产品符合ISO/IEC 11801；ANSI-TIA-568.2-D标准； PIN 针采用磷青铜镀镍，再镀”50μ”金工艺；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2、满足AWG23线规（6类 0.57）接入要求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3、塑料采用进口防火PC，符合UL94V-0标准；PCB采用FR-4双层板，IDC打线柱采用磷青铜材质；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4、特别优化金针和线路板补偿设计，有效降低串扰，提升产品性能；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5、内置隔离片设计，有效隔离线对之间的串扰；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6、免工具压线方式，施工便捷，降低施工手法对性能的影响，提升施工效率，降低施工成本；</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信息面板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 型双孔面板</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跳线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1、蓝色-3米 6类非屏蔽跳线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2、水晶头采用优质PC材料；PIN 针采用磷青铜，“50μ”镀金工艺；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1、工作波长1310nm, 1550nm, 850nm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2、插损（典型值） ≤0.2dB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3、回损 PC≥45dB,UPC≥50dB,APC≥60dB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4、振动 ≤0.2dB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5、互换性 ≤0.3dB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6、长度≥2米</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一体化冷通道柜</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top"/>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1、机柜尺寸：600*1200*2000mm（WDH，不含脚轮、调节地脚、柜顶线缆管理组件），封闭冷通道；需满足后期机柜数量扩容需求；机柜具有安装脚轮及调节地脚功能。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机柜单元采用冷通道封闭的结构设计。机柜单元前门采用单开钢化玻璃门，在机柜单元前部空间形成密闭冷通道，机柜单元后部空间形成自然散热通道，借助室内房间空调或室温实现精确制冷,最大程度降低空调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3、机柜单元配备弹门装置。当柜内温度异常时，前门可自动弹开应急散热通风；弹门装置的启动与微模块内部温度设定阈值联动。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4、机柜单元具备智能照明功能。每个机柜单元的前后通道内均配置LED灯。当机柜单元的门开启或关闭时，对应的LED灯自动亮起或熄灭，当打开前门时亮白光用于运维照明。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5、机柜单元应兼容上下进线，顶部盖板过线孔数量不少于2个，底部挡板过线孔数量不少于2个。过线孔均应用橡胶圈或毛刷覆盖以防止漏风；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6、机柜单元配备竖直安装型PDU。PDU额定输入电流32A，输出12口10A国标三扁插座，带电源指示和接线盒，不含工业插头，分左右安装（可根据实际需要选用其他类型PDU）。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7、机柜单元应有很强的兼容性，所有符合EIA-310-D标准的设备都可以安装在机柜单元中；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8、机柜单元应满足欧盟RoHS环保指令，所有部件需可靠接地，确保操作安全，满足IEC60950-1-2005安规标准。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4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一体化不间断电源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strike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一体化不间断电源需是国产优质产品；</w:t>
            </w:r>
            <w:r>
              <w:rPr>
                <w:rStyle w:val="659"/>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2、3KVA，220V输入，220V输出；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3、输出功因0.9，比普通机型带载提高13%；</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4、变频功能，支持50Hz输入/60Hz输出或60Hz输入/50Hz输出；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5、直流冷启动，可利用电池开机；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1、蓄电池应和主机为同一厂家；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2、蓄电池应通过抗震检测，其抗震等级应不低于9级。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3、蓄电池正常使用时保持气密和液密状态，当内部气压超过预定值时，安全阀自动开启，释放气体，当内部气压降低后，安全阀自动闭合使其密封，防止外部空气进入电池内部。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b/>
                <w:bCs/>
                <w:color w:val="auto"/>
                <w:sz w:val="21"/>
                <w:szCs w:val="21"/>
                <w:highlight w:val="none"/>
                <w:lang w:val="en-US" w:eastAsia="zh-CN" w:bidi="ar"/>
              </w:rPr>
              <w:t xml:space="preserve">4</w:t>
            </w:r>
            <w:r>
              <w:rPr>
                <w:rStyle w:val="659"/>
                <w:rFonts w:hint="eastAsia" w:ascii="宋体" w:hAnsi="宋体" w:eastAsia="宋体" w:cs="宋体"/>
                <w:b/>
                <w:bCs/>
                <w:color w:val="auto"/>
                <w:sz w:val="21"/>
                <w:szCs w:val="21"/>
                <w:highlight w:val="none"/>
                <w:lang w:val="en-US" w:eastAsia="zh-CN" w:bidi="ar"/>
              </w:rPr>
              <w:t xml:space="preserve">、</w:t>
            </w:r>
            <w:r>
              <w:rPr>
                <w:rStyle w:val="659"/>
                <w:rFonts w:hint="eastAsia" w:ascii="宋体" w:hAnsi="宋体" w:eastAsia="宋体" w:cs="宋体"/>
                <w:color w:val="auto"/>
                <w:sz w:val="21"/>
                <w:szCs w:val="21"/>
                <w:highlight w:val="none"/>
                <w:lang w:val="en-US" w:eastAsia="zh-CN" w:bidi="ar"/>
              </w:rPr>
              <w:t xml:space="preserve">▲电池间连接电压降应不大于10mV。（提供CNAS或CMA认可的检测报告原件扫描件并加盖公章））</w:t>
            </w:r>
            <w:r/>
          </w:p>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5、 蓄电池在25℃满容量状态下，静置28天后其蓄电池容量保存率应在96%以上 。</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6、蓄电池在大电流放电后，极柱不应熔断，其外观不出现异常。</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7、▲蓄电池密封反应效率不低于95%。（提供CNAS或CMA认可的检测报告原件扫描件并加盖公章）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8、蓄电池连接初电流为I10的电阻连续过放30d后，马上充电后容量应能保持在原容量的99%以上。</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w:t>
            </w:r>
            <w:r>
              <w:rPr>
                <w:rStyle w:val="656"/>
                <w:rFonts w:hint="eastAsia" w:ascii="宋体" w:hAnsi="宋体" w:eastAsia="宋体" w:cs="宋体"/>
                <w:color w:val="auto"/>
                <w:sz w:val="21"/>
                <w:szCs w:val="21"/>
                <w:highlight w:val="none"/>
                <w:lang w:val="en-US" w:eastAsia="zh-CN" w:bidi="ar"/>
              </w:rPr>
              <w:t xml:space="preserve">、满足机房设备30分钟以上蓄电需求</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10、容量：12V/7AH</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607"/>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58"/>
                <w:rFonts w:hint="eastAsia" w:ascii="宋体" w:hAnsi="宋体" w:eastAsia="宋体" w:cs="宋体"/>
                <w:color w:val="auto"/>
                <w:sz w:val="21"/>
                <w:szCs w:val="21"/>
                <w:highlight w:val="none"/>
                <w:lang w:val="en-US" w:eastAsia="zh-CN" w:bidi="ar"/>
              </w:rPr>
              <w:t xml:space="preserve">机架式</w:t>
            </w:r>
            <w:r>
              <w:rPr>
                <w:rFonts w:hint="eastAsia" w:ascii="宋体" w:hAnsi="宋体" w:eastAsia="宋体" w:cs="宋体"/>
                <w:i w:val="0"/>
                <w:iCs w:val="0"/>
                <w:color w:val="auto"/>
                <w:sz w:val="21"/>
                <w:szCs w:val="21"/>
                <w:highlight w:val="none"/>
                <w:u w:val="none"/>
                <w:lang w:val="en-US" w:eastAsia="zh-CN" w:bidi="ar"/>
              </w:rPr>
              <w:t xml:space="preserve">通风冷却设备</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numPr>
                <w:ilvl w:val="0"/>
                <w:numId w:val="1"/>
              </w:numPr>
              <w:jc w:val="left"/>
              <w:keepLines w:val="0"/>
              <w:keepNext w:val="0"/>
              <w:pageBreakBefore w:val="0"/>
              <w:spacing w:line="240" w:lineRule="auto"/>
              <w:shd w:val="clear" w:color="auto"/>
              <w:widowControl/>
              <w:rPr>
                <w:rStyle w:val="659"/>
                <w:rFonts w:hint="eastAsia" w:ascii="宋体" w:hAnsi="宋体" w:eastAsia="宋体" w:cs="宋体"/>
                <w:b w:val="0"/>
                <w:bCs w:val="0"/>
                <w:color w:val="auto"/>
                <w:sz w:val="21"/>
                <w:szCs w:val="21"/>
                <w:highlight w:val="none"/>
                <w:lang w:val="en-US" w:eastAsia="zh-CN" w:bidi="ar"/>
              </w:rPr>
              <w:suppressLineNumbers w:val="0"/>
            </w:pPr>
            <w:r>
              <w:rPr>
                <w:rStyle w:val="659"/>
                <w:rFonts w:hint="eastAsia" w:ascii="宋体" w:hAnsi="宋体" w:eastAsia="宋体" w:cs="宋体"/>
                <w:b w:val="0"/>
                <w:bCs w:val="0"/>
                <w:color w:val="auto"/>
                <w:sz w:val="21"/>
                <w:szCs w:val="21"/>
                <w:highlight w:val="none"/>
                <w:lang w:val="en-US" w:eastAsia="zh-CN" w:bidi="ar"/>
              </w:rPr>
              <w:t xml:space="preserve">风量≥600m3/h，无室外机一体化设计，机架式安装，不大于7U</w:t>
            </w:r>
            <w:r/>
          </w:p>
          <w:p>
            <w:pPr>
              <w:numPr>
                <w:ilvl w:val="0"/>
                <w:numId w:val="0"/>
              </w:numPr>
              <w:jc w:val="left"/>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2、要求</w:t>
            </w:r>
            <w:r>
              <w:rPr>
                <w:rFonts w:hint="eastAsia" w:ascii="宋体" w:hAnsi="宋体" w:eastAsia="宋体" w:cs="宋体"/>
                <w:i w:val="0"/>
                <w:iCs w:val="0"/>
                <w:color w:val="auto"/>
                <w:sz w:val="21"/>
                <w:szCs w:val="21"/>
                <w:highlight w:val="none"/>
                <w:u w:val="none"/>
                <w:lang w:val="en-US" w:eastAsia="zh-CN" w:bidi="ar"/>
              </w:rPr>
              <w:t xml:space="preserve">通风冷却</w:t>
            </w:r>
            <w:r>
              <w:rPr>
                <w:rStyle w:val="658"/>
                <w:rFonts w:hint="eastAsia" w:ascii="宋体" w:hAnsi="宋体" w:eastAsia="宋体" w:cs="宋体"/>
                <w:color w:val="auto"/>
                <w:sz w:val="21"/>
                <w:szCs w:val="21"/>
                <w:highlight w:val="none"/>
                <w:lang w:val="en-US" w:eastAsia="zh-CN" w:bidi="ar"/>
              </w:rPr>
              <w:t xml:space="preserve">单元采用变频设备，可根据机柜内部的实际热负荷在一定范围内动态调节冷量输出，以减少</w:t>
            </w:r>
            <w:r>
              <w:rPr>
                <w:rFonts w:hint="eastAsia" w:ascii="宋体" w:hAnsi="宋体" w:eastAsia="宋体" w:cs="宋体"/>
                <w:i w:val="0"/>
                <w:iCs w:val="0"/>
                <w:color w:val="auto"/>
                <w:sz w:val="21"/>
                <w:szCs w:val="21"/>
                <w:highlight w:val="none"/>
                <w:u w:val="none"/>
                <w:lang w:val="en-US" w:eastAsia="zh-CN" w:bidi="ar"/>
              </w:rPr>
              <w:t xml:space="preserve">冷却设备</w:t>
            </w:r>
            <w:r>
              <w:rPr>
                <w:rStyle w:val="658"/>
                <w:rFonts w:hint="eastAsia" w:ascii="宋体" w:hAnsi="宋体" w:eastAsia="宋体" w:cs="宋体"/>
                <w:color w:val="auto"/>
                <w:sz w:val="21"/>
                <w:szCs w:val="21"/>
                <w:highlight w:val="none"/>
                <w:lang w:val="en-US" w:eastAsia="zh-CN" w:bidi="ar"/>
              </w:rPr>
              <w:t xml:space="preserve">启停次数，延长冷却设备寿命，并实现更精确的微模块内部温度控制。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3、设备应在-15℃～45℃的室外环境温度范围内保证正常制冷。</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4、要求整机连续运行设计寿命不小于 10 年。</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5、机架式</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的送回风方式为上前送风，上后回风。</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6、每台机架式</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内置室内回风温度传感器，监控机柜内回风温度。</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7、机架式</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通过回风温度控智能制设备运行。</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8、输入电压制式 220V~/50Hz，允许电压波动范围：220V±10%，频率：50HZ±2HZ。</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9、整机模块化设计，电路可全正面维护。</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采用高效可靠的转子变频设备，因为知名品牌。噪声等级达到行业标准的要求，同时压缩机可以在现场安装维修。</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11、室内机风机应采用高效离心风机，风机电机轴承的使用寿命大于4万小时。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12、一体化设计，无需室外机，无需管道连接。</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控接口配置：配置有RS485监控接口，可提供本地和远端两种控制模式，自动进行启停切换和数据保存，具有工作状态、报警信号远端传送和控制功能。具有设备运行参数的设置及智能判断功能，对于超常规的参数设置（错误命令）能自动拒绝。且具有良好的电气隔离（信号端子对地承受直流电压500V、1分钟不击穿或闪烁）。                                                                          </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14、具有故障智能检测、诊断功能；</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预留火灾、烟感等报警以及与其它安全器件联锁接口。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15、相对湿度控制精度：</w:t>
            </w:r>
            <w:r>
              <w:rPr>
                <w:rFonts w:hint="eastAsia" w:ascii="宋体" w:hAnsi="宋体" w:eastAsia="宋体" w:cs="宋体"/>
                <w:i w:val="0"/>
                <w:iCs w:val="0"/>
                <w:color w:val="auto"/>
                <w:sz w:val="21"/>
                <w:szCs w:val="21"/>
                <w:highlight w:val="none"/>
                <w:u w:val="none"/>
                <w:lang w:val="en-US" w:eastAsia="zh-CN" w:bidi="ar"/>
              </w:rPr>
              <w:t xml:space="preserve">通风冷却设备</w:t>
            </w:r>
            <w:r>
              <w:rPr>
                <w:rStyle w:val="658"/>
                <w:rFonts w:hint="eastAsia" w:ascii="宋体" w:hAnsi="宋体" w:eastAsia="宋体" w:cs="宋体"/>
                <w:color w:val="auto"/>
                <w:sz w:val="21"/>
                <w:szCs w:val="21"/>
                <w:highlight w:val="none"/>
                <w:lang w:val="en-US" w:eastAsia="zh-CN" w:bidi="ar"/>
              </w:rPr>
              <w:t xml:space="preserve">在正常使用条件下，室内相对湿度控制 范围 40%～70%，控制精度应可达到设定点±5%。</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16、具备冷却系统高压告警、电源故障告警、过流保护等功能。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17、需和UPS为同一厂家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18、输入:AC 220V</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19、内循环风量:600m3/h</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20、噪音:58dB(A)</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22、安装:机架式7U，深度800mm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机房动环系统</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b w:val="0"/>
                <w:bCs w:val="0"/>
                <w:i w:val="0"/>
                <w:iCs w:val="0"/>
                <w:color w:val="auto"/>
                <w:sz w:val="21"/>
                <w:szCs w:val="21"/>
                <w:highlight w:val="none"/>
                <w:u w:val="none"/>
                <w:lang w:val="en-US"/>
              </w:rPr>
              <w:suppressLineNumbers w:val="0"/>
            </w:pPr>
            <w:r>
              <w:rPr>
                <w:rStyle w:val="658"/>
                <w:rFonts w:hint="eastAsia" w:ascii="宋体" w:hAnsi="宋体" w:eastAsia="宋体" w:cs="宋体"/>
                <w:color w:val="auto"/>
                <w:sz w:val="21"/>
                <w:szCs w:val="21"/>
                <w:highlight w:val="none"/>
                <w:lang w:val="en-US" w:eastAsia="zh-CN" w:bidi="ar"/>
              </w:rPr>
              <w:t xml:space="preserve">1、本地15寸显示屏，Linux操作系统，4核处理器，系统稳定流畅；</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2、实时监控系统的UPS、温湿度、水浸、门磁、烟感等，提供有效的应急告警保护方案，</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3、确保设备运行在一个可靠的基础设施环境；</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4、远程Web界面登录IP地址即可访问模块整机动环系统，实现远程运维，实现多个模块集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中监控，统一云平台管理；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5、可监控IT设备和任何IP终端，做到机房统一网管；</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6、微信小程序、短信、电话远程移动运维，无论何时何地都可实时监控，实现无人值守；</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7、支持声光告警（放置于柜内冷通道前端）；</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8、冷通道进风温湿度</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9、需和UPS精密空调为同一品牌</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应急快冷系统</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可实现温度控制功能，实现应急状态快速冷却系统，下出风</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配电单元</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1、配电单元采用19英寸机架式安装设计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2、高度为3U，机架式安装。总输入63A/1P,UPS输入/输出32A/1P(带维修旁路)，市电3路馈出（1路空调+2路IT），UPS 2路馈出（2路IT）,带分路智能检测，含配电数据采集-485通讯。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配电模块能监控：主路输入电压电流、无功功率、开关状态、防雷器开关状态、防雷器状态、UPS开关状态等，馈出支路电压、电流、无功功率、有功功率、开关状态等。</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PDU单元</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12位标准10A供电插排，支持防浪涌，满足大功率设备接入需求</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1、具有2个HDMI接口、2个VGA接口、1个CVBS接口、2个RJ45 千兆网络接口；2个USB2.0接口、2个USB3.0接口、1个RS232接口、1个RS485接口（可接入RS485键盘）、1个eSata接口；具有1路音频输入接口、2路音频输出接口、16路报警输入接口、9路报警输出接口（其中第9路支持受控直流12V输出）、具有1路直流12V输出接口（12V 1A）、可内置9块SATA接口硬盘；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2、可接入6T、8T、10T、12TB、14TB、16TB、18TB、20TB 容量的 SATA接口硬盘；可接入 AI 硬盘、加密硬盘；支持不同品牌、不同转速的监控级和企业级硬盘混合接入。支持SATA硬盘，SAS硬盘和SSD硬盘混合接入；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3、支持4通道输出，包括HDMI1、HDMI2、VGA1、VGA2，各输出口均支持显示系统主菜单，且每路均可分别进行预览、回放、配置等操作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4、支持4路视频流人脸识别，支持16路图片流人脸识别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5、人脸正对相机、人脸无遮挡等干扰情况，人脸识别准确率≥99%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6、采用单人戴口罩正脸依次循环通行进行试验，试验人员数量不小于5人，通过速度不小于1m/s，人员通过间隔时间不大于1s，戴口罩人脸检出率不低于99%</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6TB 7200PRM 256M缓存</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24英寸 1080P HDMI</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9"/>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视频防泄密安全网关</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top"/>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56"/>
                <w:rFonts w:hint="eastAsia" w:ascii="宋体" w:hAnsi="宋体" w:eastAsia="宋体" w:cs="宋体"/>
                <w:color w:val="auto"/>
                <w:sz w:val="21"/>
                <w:szCs w:val="21"/>
                <w:highlight w:val="none"/>
                <w:lang w:val="en-US" w:eastAsia="zh-CN" w:bidi="ar"/>
              </w:rPr>
              <w:t xml:space="preserve">设备规格：标准机架式设备，默认支持6个千兆电口，支持以太网电口的线速转发，最大支持管理50个视频防泄密客户端以及端视频流调阅管控并发处理，配置单电源；</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1、支持权限管理操作席终端用户对视频监控系统的访问进行准入控制，禁止非法用户接入视频监控系统。</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2、支持操作席终端机视频防泄密客户端软件下载/导出的视频数据和抓图自动加密保护。</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3、支持在操作席终端禁止通过截屏/录屏软件对监控画面进行截屏和录屏操作。</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4、支持二维码及透明水印技术对操作席终端显示的视频图像拍屏操作进行防护，具有事前震慑、事后追溯。</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5、支持外发视频文件的视频数据加密处理并设置权限和使用期限，过期自动删除。</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6、支持外发视频文件的接收方无需预先安装任何软硬件即可在权限内使用外发视频加密数据。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7、支持视频管控流程审批功能，对需要解密、外发视频监控数据的申请进行审批，批复通过后才有权限获取相关数据。</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8、支持黑名单和白名单流量过滤控制，支持IP地址、端口等多种防护方式；</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9、支持安全概览、日志管理、资产管理、策略配置、系统管理等功能。</w:t>
            </w:r>
            <w:r>
              <w:rPr>
                <w:rStyle w:val="656"/>
                <w:rFonts w:hint="eastAsia" w:ascii="宋体" w:hAnsi="宋体" w:eastAsia="宋体" w:cs="宋体"/>
                <w:color w:val="auto"/>
                <w:sz w:val="21"/>
                <w:szCs w:val="21"/>
                <w:highlight w:val="none"/>
                <w:lang w:val="en-US" w:eastAsia="zh-CN" w:bidi="ar"/>
              </w:rPr>
              <w:br/>
            </w:r>
            <w:r>
              <w:rPr>
                <w:rStyle w:val="656"/>
                <w:rFonts w:hint="eastAsia" w:ascii="宋体" w:hAnsi="宋体" w:eastAsia="宋体" w:cs="宋体"/>
                <w:color w:val="auto"/>
                <w:sz w:val="21"/>
                <w:szCs w:val="21"/>
                <w:highlight w:val="none"/>
                <w:lang w:val="en-US" w:eastAsia="zh-CN" w:bidi="ar"/>
              </w:rPr>
              <w:t xml:space="preserve">10、支持业务日志、资产日志、终端日志、系统日志、告警信息，支持风险聚合和风险处理功能。</w:t>
            </w:r>
            <w:r>
              <w:rPr>
                <w:rStyle w:val="656"/>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11、▲访问控制功能，依据安全策略，控制视频监控文件访问的授权环境及视频监控文件的访问，保护监控文件的能力应不小于5G字节；具有防控用户终端截取内存和显存数据截屏的能力。</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57"/>
                <w:rFonts w:hint="eastAsia" w:ascii="宋体" w:hAnsi="宋体" w:eastAsia="宋体" w:cs="宋体"/>
                <w:color w:val="auto"/>
                <w:sz w:val="21"/>
                <w:szCs w:val="21"/>
                <w:highlight w:val="none"/>
                <w:lang w:val="en-US" w:eastAsia="zh-CN" w:bidi="ar"/>
              </w:rPr>
              <w:br/>
            </w:r>
            <w:r>
              <w:rPr>
                <w:rStyle w:val="657"/>
                <w:rFonts w:hint="eastAsia" w:ascii="宋体" w:hAnsi="宋体" w:eastAsia="宋体" w:cs="宋体"/>
                <w:color w:val="auto"/>
                <w:sz w:val="21"/>
                <w:szCs w:val="21"/>
                <w:highlight w:val="none"/>
                <w:lang w:val="en-US" w:eastAsia="zh-CN" w:bidi="ar"/>
              </w:rPr>
              <w:t xml:space="preserve">12、▲视频监控文件的外发应用，支持通过授权，在用户终端将视频监控文件制作成外发数据，并应具有设置密码、时效、编辑、自删除等修改、调整功能；外发数据在时效和权限许可范围内，无需安装专用软件即可使用；5G大小的外发文件在标准配置的计算机上，打开时间比原始视频文件增加不应超过10秒钟。</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783"/>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视频防泄密客户端安全软件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top"/>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配套核心安全网关使用：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1、录像/抓图导出防泄密：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录像/抓图数据导出时自动加密保护；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只有在授权的操作席终端上才可以正常使用，一旦带离授权环境则完全无法使用；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2、拍摄屏幕防泄密：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支持显性水印，包含用户信息和设备信息，可威慑拍屏者并用于事后追溯；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支持隐性水印，包含用户信息，用于事后追溯；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3、截屏/录屏防泄密：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禁止在操作席终端上对监控画面进行截屏和录屏；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可防各种截屏/录屏软件；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4、视频数据外发防泄密：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获得授权后操作席终端用户方可将视频数据制作成外发文件；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可对外发文件设置访问权限、时限和次数，并具备自动删除功能；</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视频显示安全网关</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top"/>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设备规格：标准机架式设备，支持12组HDMI接口解析，支持12路视频显示通道视频流上墙处理，默认支持1个以太网电口管理端口，配置冗余双电源；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1、水印功能：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支持显性水印，包含用户信息、时间信息和警示信息，可威慑拍屏者并用于事后追溯；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支持隐性水印，包含用户信息和时间信息，用于事后追溯；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2、分屏/全屏显示：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支持拼接屏幕防拍屏，支持分屏水印；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支持全屏幕防拍屏，支持整屏水印；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3、安全便捷的管理：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支持GUI人机交互界面控制，操作更便捷；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支持统一网管；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4、水印设置：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支持水印开关设置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支持水印位置设置，支持透明度设置，支持文本颜色设置；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支持水印字体样式、字体大小设置；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具有断电信息保存功能</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分布式坐席输入终端</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1、支持纯分布式架构，无需配置服务器即可构建去中心化的分布式音视频及控制系统；</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2、▲可同时输出无损视频流、浅压缩视频流、深压缩视频流</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3、支持坐席管理功能和大屏拼接功能在同一硬件框架下配置和使用；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4、支持坐席管理功能和大屏拼接功能在同一软件界面下配置和使用；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5、支持1G、10G速率SFP模块；</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权限管理功能检验：支持精细权限管理功能，具备高一级权限时可直接断开他方控制权直接控制；同级权限可向对方发起断开请求，并倒计时，5秒内无操作即可断开并实现独占接管，信号源可分为完全控制和查看2个等级并可进行分别管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7、支持≥1个万兆光纤接口、≥1个千兆以太网口；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8、支持≥1个HDMI1.4/2.0的输入接口、≥1个HDMI1.4/2.0的输出接口；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9、支持≥1路模拟音频输入、≥1路模拟音频输出；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10、支持≥1个继电器接口；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11、支持≥1路的RS232接口，支持远程开关机，支持红外输入输出；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支持EDID管理；</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12、▲支持3840*2160@60帧/1080P60帧4:4:4采样，信号源从输入节点至输出节点投屏显示图像延时≤1ms</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13、支持USB2.0接口，支持物理层USB透传控制，支持U盘、UKey、USBcamera、USB多点触摸屏、USB打印机，能够正常工作；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14、支持HDR，支持HDMI2.0视频格式输入/输出，支持HDCP2.2协议；</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15、工作温度-40℃~+85℃</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16、电源DC12V2.5A</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17、跨屏操作支持主屏、扩展屏，支持 Windows7、Windows10、WindowsXP、Windows11、Windows8.1、Ubuntu、凝思磐石4.2及以上版本、Redhat、MAC、红旗、中标麒麟、银河麒麟、统信 U0S、Debian、Cent0S、Linux、Solaris、Unix等操作系统；</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18、环通输出：支持HDMI2.0信号的环通输出，输入节点支持本地环出，环出信号与输入信号一致，在设备故障的情况下可以环出信号不受影响</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19、▲支持 USB数据三重隔离，即支持USB2.0的数据透传功能且组网灵活，支持节点USB数据透传和独立式 USB 数据透传混合使用，可通过硬件和软件2种方式控制 USB数据网络打开或关闭，还可通过软件方式控制 USB数据透传功能的打开或关闭。</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20、坐席对讲：支持坐席语音对讲，支持32人以上语音对讲功能；</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21、具备单台显示器同时查看并跨屏操控不少于9个不同业务系统的画面功能，鼠标滑动到任意一个分割区域都可对相应的主机进行控制，可设定监视屏以便同时监视多个信号，当需要操作时双击即可全屏显示；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22、支持同时显示多个坐席终端接入状态，并可通过双击进行全屏显示或浏览</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863"/>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分布式坐席输出终端</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1、支持纯分布式架构，无需配置服务器即可构建去中心化的分布式音视频及控制系统；</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2、可同时输出无损视频流、浅压缩视频流、深压缩视频流；</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3、支持坐席管理功能和大屏拼接功能在同一硬件框架下配置和使用；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4、支持坐席管理功能和大屏拼接功能在同一软件界面下配置和使用；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5、支持1G、10G速率SFP模块；</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6、▲权限管理功能检验：支持精细权限管理功能，具备高一级权限时可直接断开他方控制权直接控制；同级权限可向对方发起断开请求，并倒计时，5秒内无操作即可断开并实现独占接管，信号源可分为完全控制和查看2个等级并可进行分别管理</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7、支持≥1个万兆光纤接口、≥1个千兆以太网口；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8、支持≥1个HDMI1.4/2.0的输入接口、≥1个HDMI1.4/2.0的输出接口；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9、支持≥1路模拟音频输入、≥1路模拟音频输出；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10、支持≥1个继电器接口；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11、支持≥1路的RS232接口，支持远程开关机，支持红外输入输出；</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支持EDID管理；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12、支持3840*2160@60帧/1080P60帧4:4:4采样，信号源从输入节点至输出节点投屏显示图像延时≤1ms；</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13、支持USB2.0接口，支持物理层USB透传控制，支持U盘、UKey、USBcamera、USB多点触摸屏、USB打印机，能够正常工作；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14、支持HDR，支持HDMI2.0视频格式输入/输出，支持HDCP2.2协议；</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15、工作温度-40℃~+85℃</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16、电源DC12V2.5A</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17、</w:t>
            </w:r>
            <w:r>
              <w:rPr>
                <w:rStyle w:val="659"/>
                <w:rFonts w:hint="eastAsia" w:ascii="宋体" w:hAnsi="宋体" w:eastAsia="宋体" w:cs="宋体"/>
                <w:color w:val="auto"/>
                <w:sz w:val="21"/>
                <w:szCs w:val="21"/>
                <w:highlight w:val="none"/>
                <w:lang w:val="en-US" w:eastAsia="zh-CN" w:bidi="ar"/>
              </w:rPr>
              <w:t xml:space="preserve">▲</w:t>
            </w:r>
            <w:r>
              <w:rPr>
                <w:rStyle w:val="661"/>
                <w:rFonts w:hint="eastAsia" w:ascii="宋体" w:hAnsi="宋体" w:eastAsia="宋体" w:cs="宋体"/>
                <w:color w:val="auto"/>
                <w:sz w:val="21"/>
                <w:szCs w:val="21"/>
                <w:highlight w:val="none"/>
                <w:lang w:val="en-US" w:eastAsia="zh-CN" w:bidi="ar"/>
              </w:rPr>
              <w:t xml:space="preserve">跨屏操作支持主屏、扩展屏，支持</w:t>
            </w:r>
            <w:r>
              <w:rPr>
                <w:rStyle w:val="661"/>
                <w:rFonts w:hint="eastAsia" w:ascii="宋体" w:hAnsi="宋体" w:eastAsia="宋体" w:cs="宋体"/>
                <w:strike w:val="0"/>
                <w:color w:val="auto"/>
                <w:sz w:val="21"/>
                <w:szCs w:val="21"/>
                <w:highlight w:val="none"/>
                <w:lang w:val="en-US" w:eastAsia="zh-CN" w:bidi="ar"/>
              </w:rPr>
              <w:t xml:space="preserve">Windows7、Windows10、WindowsXP、Windows11、Windows8.1、Ubuntu、凝思磐石4.2及以上版本、Redhat、MAC、</w:t>
            </w:r>
            <w:r>
              <w:rPr>
                <w:rStyle w:val="661"/>
                <w:rFonts w:hint="eastAsia" w:ascii="宋体" w:hAnsi="宋体" w:eastAsia="宋体" w:cs="宋体"/>
                <w:color w:val="auto"/>
                <w:sz w:val="21"/>
                <w:szCs w:val="21"/>
                <w:highlight w:val="none"/>
                <w:lang w:val="en-US" w:eastAsia="zh-CN" w:bidi="ar"/>
              </w:rPr>
              <w:t xml:space="preserve">红旗、中标麒麟、银河麒麟、统信 U0S、Debian、Cent0S、Linux、Solaris、Unix等操作系统</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18、环通输出：支持HDMI2.0信号的环通输出，输入节点支持本地环出，环出信号与输入信号一致，在设备故障的情况下可以环出信号不受影响</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19、支持 USB数据三重隔离，即支持USB2.0的数据透传功能且组网灵活，支持节点USB数据透传和独立式 USB 数据透传混合使用，可通过硬件和软件2种方式控制 USB数据网络打开或关闭，还可通过软件方式控制 USB数据透传功能的打开或关闭；</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20、坐席对讲：支持坐席语音对讲，支持32人以上语音对讲功能；</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21、▲具备单台显示器同时查看并跨屏操控不少于9个不同业务系统的画面功能，鼠标滑动到任意一个分割区域都可对相应的主机进行控制，可设定监视屏以便同时监视多个信号，当需要操作时双击即可全屏显示</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22、支持同时显示多个坐席终端接入状态，并可通过双击进行全屏显示或浏览</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智能中控节点</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1、8个串口，2个千兆网口，1个HDMI输出，2个USB键盘鼠标，1个电源指示灯，1个开机按键，1个12v电源。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2、嵌入式Linux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3、支持控制室周边产品的集中控制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可视化中控软件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9"/>
                <w:rFonts w:hint="default"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1、支持Android操作系统的平台设备对分布式系统的管控；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2、支持可编程控制平台，交互式的控制结构，可进行多设备间智能联动；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3、支持自定义添加受控设备，支持多种控件选择，可编辑中控；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4、支持RS-232、RS-422、RS-485、IR、I/O、TCP/IP等控制方式；</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5、可控制无纸化升降、音量大小的调节、电源开关、摄像机的控制、画面切换；</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可视化运维节点</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1、1路千兆网口，1路HDMI输出，2个USB键盘鼠标，1个开机按键，1路IR，1路IO。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2、支持SNMP网络配置管理，可在通过运维管理服务对网络内的输入/输出节点检测发现，及时反馈设备IP地址、MAC地址、网关地址等状态信息，并可对设备进行批量升级。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3、支持用户日志，设备日志信息的查询。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4、支持设备的可视化拓扑图的自动生成。</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控制平板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不小于10.8英寸 8+128GB</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5G双频双千兆企业路由器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1、48x10GE SFP+；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2、6x40/100GE QSFP28；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3、交换容量4.8Tbps/76.8Tbps，包转发2000Mpps。</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万兆单模10KM光模块；</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光转电模块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千兆光转电模块</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融合侦研区主扩音柱（200W）</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1、采用6只意大利进口的3寸全频喇叭单元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2、额定功率≥200W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3、峰值功率≥800W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4、最大声压级（额定/峰值）:118dB/124dB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5、标称阻抗：6Ω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6、频率响应：80Hz-20KHz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7、灵敏度≥95dB(1M/1W)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8、喇叭单元：3＂全频×6</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融合侦研区辅扩音柱（150W）</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1、采用拼接排列扬声器设计，6只3寸进口全频单元；箱体采用12mm夹板制作。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2、阻抗：8Ω、频响：80Hz-20kHz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3、额定功率≥150W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4、灵敏度≥95dB/W/M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融合侦研区音柱壁挂支架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1、固定面板孔位尺寸（长*宽）：≥ 140mm*65mm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2、箱体固定面板孔位尺寸（长*宽）： ≥128mm*70mm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3、设备面板尺寸：≥160mm*90mm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融合侦研区主音箱功放</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6、输出功率：立体声@8Ω：≥500W×2；立体声@4Ω：≥850W×2；桥接@8Ω：≥1700W。</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融合侦研区辅助音箱功放</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6、输出功率：立体声@8Ω：≥500W×2；立体声@4Ω：≥850W×2；桥接@8Ω：≥1700W。</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1、具有≥10.1英寸1280x800真彩电阻触摸屏、数字编码器以及按键构成的操作面板。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2、具有≥17个电动推子，电动推子可操控：≥1个LR主声道推子、≥16个通道推子。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3、支持中英文界面切换，且无需重启。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4、内置USB录音、放音功能。能够识别USB电子盘内的中英文歌曲名，具备快进、下一曲、快速暂停等功能；且支持播放APE、FLAC、MP3、WAV音频格式。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5、内置≥16个通道独立的反馈抑制器，内置≥16路自动混音（增益共享型）。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6、具有≥2个内置效果器，自带有经典混响、大房间混响等效果模块；FX音效可使用专用的返回通道返回到混音且不占用单声道和立体声输入通道。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7、支持iPad触摸屏全功能控制，实时数据同步；支持≥8个终端同时控制。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8、可通过网络或者USB升级ARM固件、DSP固件。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9、每个输入通道具有≥4段参数均衡、噪声门、高低通、压缩、反相。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10、每个输出通道具有≥8段参数均衡、高低通、压缩、反相、延时器。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11、模拟输入≥24CH ( MIC/Line)；输出通道支持L/R、10BUS、HeadPhone(L/R)，10BUS混音总线可选择推子前、推子后（PRE/POST）。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12、支持≥100组场景预设功能，可导出、导入USB存储器，便于数据备份；支持32个PEQ模式存储。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13、内置信号发生器：正弦波、粉红噪声、白噪声。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14、支持通道参数拷贝功能，相同的通道快速复制数据，通道名称可自定义。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15、接线方式：平衡式输入、输出卡侬。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16、支持≥8个推子编组、≥8个用户自定义按键、≥4个快速静音组按键。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17、具有面板锁定按键，防止误操作。</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1、数字音频处理器支持≥16路平衡式话筒/线路输入通道，采用裸线接口VN.K972250529端子，平衡接法；支持≥16路平衡式线路输出，采用裸线接口端子，平衡接法。</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2、▲输入通道支持前级放大、信号发生器、扩展器、压缩器、≥12段参量均衡，≥31段图示均衡、闪避器、AGC自动增益、AM自动混音功能（门限式、增益共享式）、AFC自适应反馈消除、AEC回声消除、ANC噪声消除、音频矩阵。（提供设备界面截图并加盖公章）</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3、输出通道支持≥12段参量均衡，≥31段图示均衡、延时器、分频器、高低通滤波器、限幅器。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4、高性能专业DSP处理器，支持≥32bit/48kHz的声音，支持输入通道48V幻象供电。</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5、具有≥2英寸IPS真彩显示屏，支持显示设备网络信息、实时电平、通道静音状态。</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6、▲支持通过APP软件进行操作控制，面板具备USB接口，支持多媒体存储，可进行播放或存储录播。（提供CNAS或CMA认可的检测报告原件扫描件并加盖公章）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7、配置双向RS-232接口，可用于控制外部设备；配置RS-485接口，可实现自动摄像跟踪功能。配置≥8通道可编程GPIO控制接口（可自定义输入输出）。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8、支持断电自动保护记忆功能。支持通道拷贝、粘贴、联控功能。管理控制软件可工作在XP/Windows7、8、10等系统环境下。</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9、≥8个场景预设，支持场景信息导入、场景信息导出。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70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融合侦研区抑制器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1、高性能DSP处理，≥40-bit DPS处理器（400兆主频），提供≥32-bit/48kHz的声音。</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2、▲采用“陷波”+“移频”双方式进行反馈抑制。陷波器提供12固定点+12动态点。高精度移频，范围等同或优于-10Hz到10Hz。（提供CNAS或CMA认可的检测报告原件扫描件并加盖公章）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3、均衡器支持≥31段图示均衡器和8段参量均衡器。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4、支持巴特沃斯，贝塞尔，林克威治-瑞利三种类型及多种倍频程。</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5、具有自动增益功能，声音达到一定峰值自动衰减变小，声音较小则自动增益放大。</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6、具有一个IPS真彩显示屏。支持中英文切换显示。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7、具有≥48个陷波器状态LED指示灯实时显示，每通道≥12个静态+≥12个动态陷波器。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8、具有≥双通道直通，一键重置陷波点配置功能。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9、支持≥4个场景切换。</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10、支持设备定位功能、断电自动保护记忆功能。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11、输入通道及插座≥2路XLR与TRS多功能座模拟输入；输出通道及插座≥2路XLR公座+≥2路TRS公座模拟输出。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12、支持通过后台管理软件对多台设备进行批量升级。</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58"/>
                <w:rFonts w:hint="eastAsia" w:ascii="宋体" w:hAnsi="宋体" w:eastAsia="宋体" w:cs="宋体"/>
                <w:color w:val="auto"/>
                <w:sz w:val="21"/>
                <w:szCs w:val="21"/>
                <w:highlight w:val="none"/>
                <w:lang w:val="en-US" w:eastAsia="zh-CN" w:bidi="ar"/>
              </w:rPr>
              <w:t xml:space="preserve">1、频率指标：优于530-580MHz，640-690MHz，调制方式：宽带FM，频道数目：≥200个频道。</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2、配套有≥1台接收主机和≥2个无线手持话筒。</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3、采用UHF超高频段双真分集接收，并采用PLL锁相环多信道频率合成技术。</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4、接收机指标：采用自动选讯接收方式，灵敏度:≥12dB μV（80dBS/N)，频率响应:优于50Hz-16.5kHz。</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5、发射机指标：音头采用动圈式麦克风；手持麦克风内置螺旋天线。</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融合侦研区放大器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1、频率范围等同或优于500MHZ-1GHZ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2、端子：TNC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3、噪声≤3dB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4、增益≥15db</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融合侦研区分线盒</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1、通过内部补偿电路可以减少接线线损。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2、在放大器系统中，通过此分线盒方便转接和安装。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3、分线盒与强波器串连在线路中，方便连接。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4、分线盒在线路中有隔离杂讯的功能，防止自激。</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1、提供≥2进≥8出的天线信号分配器设备。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2、简化天线装配工程，提升接收距离及效能。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3、两路天线信号接收到分配器的天线输入端。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4、两路信号输出到下一台分配器的天线输入端进行级联。</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1、射频频率范围等同或优于450-950MHz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2、驻波比：≤2.0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3、输入阻抗：≤50Ω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4、放大器底噪：＜3.6dB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5、增益：≥18db(典型)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6、极化方式：垂直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7、前后比：≥25dB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桌插</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1、插座采用全铝结构，信息模块接口采用标准模块。</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2、弹起式桌面插座，支持45°仰角。</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color w:val="auto"/>
                <w:sz w:val="21"/>
                <w:szCs w:val="21"/>
                <w:highlight w:val="none"/>
                <w:lang w:val="en-US" w:eastAsia="zh-CN" w:bidi="ar"/>
              </w:rPr>
              <w:t xml:space="preserve">3、具有≥1个功能按键，支持自定义按键的功能，搭配中控矩阵使用可实现视频切换、搭配中控系统支持扩展场景调用功能、搭配中控会议系统实现会议系统电源开启关闭功能等。</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4、配置接口：≥1个多功能电源接口、≥2个RJ45网络、≥1个3.5音频、≥1个HDMI高清视频接口、≥1个功能按键</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restart"/>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vMerge w:val="restart"/>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1、设备具有音频时钟同步传输技术，端到端音频传输＜5ms。</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2、内置DSP处理器，具有≥16路音频矩阵、啸叫抑制、≥10段EQ调节、音量dB值调节、延时器调节功能。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3、设备接口：通讯接口：≥2路RS232接口、≥1路RS-485接口、≥4路RJ45；音频输出接口≥1路RCA、≥1路卡侬头、≥16路凤凰端子；音频输入接口≥1路RCA、≥1路卡侬头、≥2路凤凰端子。</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4、支持≥16通道音频输出功能，可灵活配置为有线角色分离输出模式、无线角色分离输出模式、同传输出模式、相控输出模式。每个输出通道都可以调节≥10段EQ、音量dB值调节、延时器参数调节。</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16通道有线、无线角色分离输出模式，可使有线或无线话筒根据ID号独立输出，最大支持≥128路有线话筒或无线话筒独立音频输出，并支持通过录音软件实现每个话筒独立录音、或语音转写设备对接实现角色分离。</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6、具有≥16通道同传输出模式，可使同传音频根据通道号独立输出，可供录音或监听设备使用。且输出通道数量，可通过外部设备扩展。</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7、具有≥16通道相控输出模式，内置≥nx16音频矩阵处理器，实现≥16通道分组输出功能。可使任意输入源（包括所有输入源和在线话筒），按任意音量比例，输出到任意通道。</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8、会议主机采用TCP/IP网络协议，具有客户端、WEB端控制方式，可供PC软件或浏览器控制。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9、设备具有安卓手机、平板APP软件，通过软件可控制话筒开关、开启签到、投票、表决、接收会议服务信息、一键关闭无线话筒等功能，免PC操作。</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10、设备具有客户端、WEB端控制方式，通过客户端或WEB端可调节音频矩阵参数（包括EQ、音量、延时器、话筒灵敏度等）、≥16通道输出模式切换、开关话筒同步、中英俄法四种语言切换、控制角色分离主机。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12、支持环形手拉手功能，确保在其中的一条网线断开或者话筒出现故障时，会议能继续正常进行。</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13、具有支持中、英、俄、法文多种语言任意切换显示。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14、PC软件可查看在线无线话筒的电池电量、WiFi信号等信息状态；支持一键关闭所有无线话筒、单独关闭某个无线话筒。</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15、设备具有会议发言录音功能；搭配会议话筒可以录制单个话筒发言音频或录制所有话筒混音输出音频；支持通过主机U盘录音或PC软件录音。</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16、支持搭配同声传译系统，最大可同时传输≥63+1的有线同声传译。</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17、系统与语音转写系统深度适配，系统之间通过网线交互数据，实现角色分离语音转写功能。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18、具有消防报警联动触发接口，支持对接烟雾报警器实时检测，触发后报警信息会同步至话筒界面和主机界面。</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19、具有≥1路RS-485接口，支持一台摄像机实现摄像跟踪，支持PELCO-D、VISCA控制协议。配合摄像跟踪主机达到多路视频自动跟踪功能。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20、≥四种话筒管理模式:FIFO（先进先出）、NORMAL（普通模式）、VOICE（声控模式）、APPLY（申请模式）。</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21、系统具有发起会议签到、表决、选举、评级、满意度、自定义VN.K972250529功能。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22、具有≥4.3英寸全彩触摸屏，可实现对参数设置或查看，进行任意触摸操作。</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23、强大的编ID功能，可对有线单元、无线单元、译员机、角色分离主机进行编ID。</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24、支持≥10段 EQ调节功能，≥16路多功能输出通道与≥2路LINEOUT输出通道都具有≥10段 EQ调节功能。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25、支持AP信道扫描，监测现场的无线信道使用情况，支持信道自动或手动配置最佳信道，支持AP名称在线显示列表。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26、会议主机具备注册天数显示功能，可以随时了解注册后使用的剩余天数；支持触摸设备屏幕输入注册码进行主机注册。</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27、具备主机双机热备功能，可设置主机或从机功能，当主机出现故障时，可自动切换至从机运行，实现双备份功能。</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28、▲具有运维管理平台，可通过web端远程固件升级；具有日志管理功能，可以自动收集和存储系统日志；比如实时监测设备运行状态、设备故障信息，包括内存不足、火警提示、id重复等。（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vMerge w:val="restart"/>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vMerge w:val="restart"/>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57"/>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vMerge w:val="continue"/>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vMerge w:val="continue"/>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vMerge w:val="continue"/>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1、具有自动混音功能，包括增益共享型自动混音以及门限型自动混音。具有自动增益功能，能够有效将话筒音量保持在一定动态范围。</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2、具有AFC反馈抑制功能，采用陷波+移频双方式，能够自动抓取啸叫点并设置陷波器陷波，陷波器支持≥12个固定点≥+12个动态点，可有效消除啸叫功能。</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3、▲具有话筒语音激励功能，可设置跟踪阈值，当话筒发言达阈值时可实现联动摄像跟踪功能。具有EQ调节功能，输出具有≥31段图示均衡器调节。（提供CNAS或CMA认可的检测报告原件扫描件并加盖公章）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4、具有≥2路网口，用于连接无线AP和与会议主机通信；通过网络协议对接数字会议主机，实现音频数据传输。具有≥1路EXTENSION接口，用于连接会议主机扩展口。具有≥1路卡侬平衡输出，≥1路莲花非平衡输出。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6、支持话筒同时开麦数量≥16个有线单元+≥8个无线单元。</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1、一款双通道音频隔离器。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2、低底噪、无50Hz交流“嗡”声、无高频“嗞啦”干扰。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3、点对点平衡传输音频，可以选择前面板2个接口中的任意一个COMBO接口输入，从后面板对应COMBO接口输出。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4、即插即用，支持热插拨。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5、隔离滤波音频传输最远传输信号等同或优于450－600米。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6、内置瞬态、浪涌抑制、抗静电保护电路。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融合侦研区无线会议主席话筒</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1、话筒采用≥48kHz采样率。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2、采用芯片架构及算法，话筒开机连接时间≤5秒。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3、具有智能检测故障功能，提示用户AP故障、主机通信故障、信号强度过低等情况。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4、支持通过Type-C口充电，支持18W快充，具有智能指标状态。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5、可通过UI设置SSID。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6、具有中英文切换显示功能，通过PC软件统一设置。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7、具有发言计时和定时发言功能。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8、具有声控功能。通过软件调节声控灵敏度及设置关闭时间。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9、支持签到功能，通过PC软件设置并发起。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10、支持会议投票功能、支持五键选举、三键表决功能。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11、采用≥128位AES加密技术，支持 WPA/WPA2 无线安全技术。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12、主席具备优先权功能，可关闭正在发言的所有代表话筒。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13、采用≥4.3英寸全彩触屏，咪杆长度≤240mm。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14、具备3.5mm耳机孔，可连接外置麦克风。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15、内置锂电池，电池容量支持≥14小时持续发言。</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452"/>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融合侦研区无线会议代表话筒</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1、话筒采用≥48kHz采样率。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2、采用芯片架构及算法，话筒开机连接时间≤5秒。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3、具有智能检测故障功能，提示用户AP故障、主机通信故障、信号强度过低等情况。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4、支持通过Type-C口充电，支持18W快充，具有智能指标状态。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5、可通过UI设置SSID。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6、具有中英文切换显示功能，通过PC软件统一设置。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7、具有发言计时和定时发言功能。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8、具有声控功能。通过软件调节声控灵敏度及设置关闭时间。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9、支持签到功能，通过PC软件设置并发起。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10、支持会议投票功能、支持五键选举、三键表决功能。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11、采用≥128位AES加密技术，支持 WPA/WPA2 无线安全技术。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12、代表机具有申请发言功能，通过主席机批准申请人发言。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13、采用≥4.3英寸全彩触屏，咪杆长度≤240mm。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14、具备3.5mm耳机孔，可连接外置麦克风。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15、内置锂电池，电池容量支持≥14小时持续发言。</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1、固定端口：5个10/100/1000Base-T电口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2、模式切换：标准交换 端口隔离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3、交换容量10Gbps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4、转发能力 7.4Mpps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5、PoE 4个下行端口，单端口最大供电功率 30</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融合侦研区发射器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1、遵从Wi-Fi 6协议标准（IEEE 802.11ax），向下兼容802.11a/b/g/n/ac/Wave2，支持MU-MIMO，允许AP同时接收多个终端发送数据，整机最大传输速率可达1.601Gbps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2、支持OFDMA空间复用技术和1024QAM调制解调算法。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3、支持中文SSID，可指定最长包含≥31个字符的SSID，也可以使用中英文混合的SSID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4、支持WPA3安全协议。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5、支持等同或优于80/160MHz的高带宽频段。</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融合侦研区充电箱</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1、充电箱具有≥10个USB接口，支持使用USB线充电，提供5V/9V供电。一端连接充电器一端连接会议单元,支持18W快充。支持同时插满所有USB接口。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2、根据设备的耐受电流大小充电器会自动匹配合适的电流大小给设备充电，同时有过流保护功能。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3、智能自动电路保护，所有USB插口均具有短路保护功能和自恢复功能。</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反诈侦防区天花喇叭</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1、采用1只6.5寸中低音喇叭单元和1只1.5"球顶高音单元的同轴设计方案；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2、采用吸顶安装方式，采用铁质网罩内贴防尘网棉。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3、分频器优化功率响应及人声部分的中频表现力。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4、额定功率≥100W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6、灵敏度(1W/1M)≥92dB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7、频率响应(-10dB)：60Hz-20KHz</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反诈侦防区专业功放</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2、配套有≥1台接收主机和≥2个无线手持话筒。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1、射频频率范围等同或优于450-950MHz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2、驻波比：≤2.0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3、输入阻抗：≤50Ω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4、放大器底噪：＜3.6dB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5、增益：≥18db(典型)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6、极化方式：垂直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7、前后比：≥25dB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反诈侦防区无线话筒台式支架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大数据赋能区天花喇叭</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1、采用1只6.5寸中低音喇叭单元和1只1.5"球顶高音单元的同轴设计方案；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2、采用吸顶安装方式，采用铁质网罩内贴防尘网棉。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3、分频器优化功率响应及人声部分的中频表现力。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4、额定功率≥100W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6、灵敏度(1W/1M)≥92dB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7、频率响应(-10dB)：60Hz-20KHz</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大数据赋能区专业功放</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2、配套有≥1台接收主机和≥2个无线手持话筒。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1、射频频率范围等同或优于450-950MHz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2、驻波比：≤2.0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3、输入阻抗：≤50Ω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4、放大器底噪：＜3.6dB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5、增益：≥18db(典型)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6、极化方式：垂直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7、前后比：≥25dB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实战指挥室音柱（100W）</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1、额定功率≥100W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2、标称阻抗：8Ω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3、频率响应：150Hz-14KHz@-6dB  / 80Hz-20KHz@-10dB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4、灵敏度≥95dB(1M/1W)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5、垂直覆盖角≥20°，水平覆盖角≥120°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6、喇叭单元：3＂全频×4</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实战指挥室专业功放</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1、1U机箱设计，采用D类数字功放设计方案。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2、标准XLR输入接口，和LINK输出口。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实战指挥室调音台</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2、具有≥2组立体主输出、≥4路编组输出、≥4路辅助输出、≥1组立体声监听输出、≥1个耳机监听输出、≥1个效果输出、≥1组主混音断点插入、≥6个断点插入。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3、内置≥24位DSP效果器，提供≥100种预设效果。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4、具备≥13个60mm行程的高精密碳膜推子。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81"/>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1、数字音频处理器支持≥4路平衡式话筒/线路输入通道，采用裸线接口端子，平衡接法；支持≥4路平衡式线路VN.K972250529输出，采用裸线接口端子，平衡接法。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2、输入通道支持前级放大、信号发生器、扩展器、压缩器、≥5段参量均衡、AM自动混音功能、AFC自适应反馈消除、AEC回声消除、ANC噪声消除。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3、输出通道支持≥31段图示均衡器、延时器、分频器、高低通滤波器、限幅器。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4、支持≥24bit/48kHz的声音，支持输入通道48V幻象供电。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5、具有液晶显示屏，支持显示设备网络信息、实时电平、通道静音状态、矩阵混音状态。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6、支持通过ipad或iPhone或安卓手机APP软件进行操作控制，面板具备USB接口，支持多媒体存储，可进行播放或存储录播。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7、配置双向RS-232接口，可用于控制外部设备；配置RS-485接口，可实现自动摄像跟踪功能。配置≥8通道可编程GPIO控制接口（可自定义输入输出）。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8、支持断电自动保护记忆功能。支持通道拷贝、粘贴、联控功能。支持通过浏览器访问设备，下载自带管理控制软件；可工作在XP/Windows7、8、10等系统环境下。</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实战指挥室抑制器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1、高性能DSP处理，≥40-bit DPS处理器（400兆主频），提供≥32-bit/48kHz的声音。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2、采用“陷波”+“移频”双方式进行反馈抑制。陷波器提供12固定点+12动态点。高精度移频，范围等同或优于-10Hz到10Hz。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3、均衡器支持≥31段图示均衡器和8段参量均衡器。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4、支持巴特沃斯，贝塞尔，林克威治-瑞利三种类型及多种倍频程。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5、具有自动增益功能，声音达到一定峰值自动衰减变小，声音较小则自动增益放大。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6、具有一个IPS真彩显示屏。支持中英文切换显示。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7、具有≥48个陷波器状态LED指示灯实时显示，每通道≥12个静态+≥12个动态陷波器。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8、具有≥双通道直通，一键重置陷波点配置功能。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9、支持≥4个场景切换。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10、支持设备定位功能、断电自动保护记忆功能。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11、输入通道及插座≥2路XLR与TRS多功能座模拟输入；输出通道及插座≥2路XLR公座+≥2路TRS公座模拟输出。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12、支持通过后台管理软件对多台设备进行批量升级。</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实战指挥室无线话筒</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2、配套有≥1台接收主机和≥2个无线手持话筒。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实战指挥室话筒天线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1、射频频率范围等同或优于450-950MHz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2、驻波比：≤2.0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3、输入阻抗：≤50Ω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4、放大器底噪：＜3.6dB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5、增益：≥18db(典型)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6、极化方式：垂直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7、前后比：≥25dB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桌插</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1、插座采用全铝结构，信息模块接口采用标准模块。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2、弹起式桌面插座，支持45°仰角。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3、具有≥1个功能按键，支持自定义按键的功能，搭配中控矩阵使用可实现视频切换、搭配中控系统支持扩展场景调用功能、搭配中控会议系统实现会议系统电源开启关闭功能等。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4、配置接口：≥1个多功能电源接口、≥2个RJ45网络、≥1个3.5音频、≥1个HDMI高清视频接口、≥1个功能按键</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068"/>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1、设备具有音频时钟同步传输技术，端到端音频传输＜5ms。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2、内置DSP处理器，具有≥16路音频矩阵、啸叫抑制、≥10段EQ调节、音量dB值调节、延时器调节功能。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3、设备接口：通讯接口：≥2路RS232接口、≥1路RS-485接口、≥4路RJ45；音频输出接口≥1路RCA、≥1路卡侬头、≥16路凤凰端子；音频输入接口≥1路RCA、≥1路卡侬头、≥2路凤凰端子。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4、支持≥16通道音频输出功能，可灵活配置为有线角色分离输出模式、无线角色分离输出模式、同传输出模式、相控输出模式。每个输出通道都可以调节≥10段EQ、音量dB值调节、延时器参数调节。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16通道有线、无线角色分离输出模式，可使有线或无线话筒根据ID号独立输出，最大支持≥128路有线话筒或无线话筒独立音频输出，并支持通过录音软件实现每个话筒独立录音、或语音转写设备对接实现角色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6、具有≥16通道同传输出模式，可使同传音频根据通道号独立输出，可供录音或监听设备使用。且输出通道数量，可通过外部设备扩展。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7、具有≥16通道相控输出模式，内置≥nx16音频矩阵处理器，实现≥16通道分组输出功能。可使任意输入源（包括所有输入源和在线话筒），按任意音量比例，输出到任意通道。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8、会议主机采用TCP/IP网络协议，具有客户端、WEB端控制方式，可供PC软件或浏览器控制。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9、设备具有安卓手机、平板APP软件，通过软件可控制话筒开关、开启签到、投票、表决、接收会议服务信息、一键关闭无线话筒等功能，免PC操作。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10、设备具有客户端、WEB端控制方式，通过客户端或WEB端可调节音频矩阵参数（包括EQ、音量、延时器、话筒灵敏度等）、≥16通道输出模式切换、开关话筒同步、中英俄法四种语言切换、控制角色分离主机。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12、支持环形手拉手功能，确保在其中的一条网线断开或者话筒出现故障时，会议能继续正常进行。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13、具有支持中、英、俄、法文多种语言任意切换显示。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14、PC软件可查看在线无线话筒的电池电量、WiFi信号等信息状态；支持一键关闭所有无线话筒、单独关闭某个无线话筒。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15、设备具有会议发言录音功能；搭配会议话筒可以录制单个话筒发言音频或录制所有话筒混音输出音频；支持通过主机U盘录音或PC软件录音。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16、支持搭配同声传译系统，最大可同时传输≥63+1的有线同声传译。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17、系统与语音转写系统深度适配，系统之间通过网线交互数据，实现角色分离语音转写功能。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18、具有消防报警联动触发接口，支持对接烟雾报警器实时检测，触发后报警信息会同步至话筒界面和主机界面。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19、具有≥1路RS-485接口，支持一台摄像机实现摄像跟踪，支持PELCO-D、VISCA控制协议。配合摄像跟踪主机达到多路视频自动跟踪功能。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20、≥四种话筒管理模式:FIFO（先进先出）、NORMAL（普通模式）、VOICE（声控模式）、APPLY（申请模式）。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21、系统具有发起会议签到、表决、选举、评级、满意度、自定义VN.K972250529功能。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22、具有≥4.3英寸全彩触摸屏，可实现对参数设置或查看，进行任意触摸操作。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23、强大的编ID功能，可对有线单元、无线单元、译员机、角色分离主机进行编ID。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24、支持≥10段 EQ调节功能，≥16路多功能输出通道与≥2路LINEOUT输出通道都具有≥10段 EQ调节功能。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25、支持AP信道扫描，监测现场的无线信道使用情况，支持信道自动或手动配置最佳信道，支持AP名称在线显示列表。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26、会议主机具备注册天数显示功能，可以随时了解注册后使用的剩余天数；支持触摸设备屏幕输入注册码进行主机注册。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27、具备主机双机热备功能，可设置主机或从机功能，当主机出现故障时，可自动切换至从机运行，实现双备份功能。</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932"/>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1、具有自动混音功能，包括增益共享型自动混音以及门限型自动混音。具有自动增益功能，能够有效将话筒音量保持在一定动态范围。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2、具有AFC反馈抑制功能，采用陷波+移频双方式，能够自动抓取啸叫点并设置陷波器陷波，陷波器支持≥12个固定点≥+12个动态点，可有效消除啸叫功能。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3、具有话筒语音激励功能，可设置跟踪阈值，当话筒发言达阈值时可实现联动摄像跟踪功能。具有EQ调节功能，输出具有≥31段图示均衡器调节。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4、具有≥2路网口，用于连接无线AP和与会议主机通信；通过网络协议对接数字会议主机，实现音频数据传输。具有≥1路EXTENSION接口，用于连接会议主机扩展口。具有≥1路卡侬平衡输出，≥1路莲花非平衡输出。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6、支持话筒同时开麦数量≥16个有线单元+≥8个无线单元。</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1、一款双通道音频隔离器。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2、低底噪、无50Hz交流“嗡”声、无高频“嗞啦”干扰。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3、点对点平衡传输音频，可以选择前面板2个接口中的任意一个COMBO接口输入，从后面板对应COMBO接口输出。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4、即插即用，支持热插拨。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5、隔离滤波音频传输最远传输信号等同或优于450－600米。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6、内置瞬态、浪涌抑制、抗静电保护电路。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连接线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≥30米延长线（一公一母）</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608"/>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实战指挥室无纸化主机（包含智能无纸化会议管理服务器软件）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58"/>
                <w:rFonts w:hint="eastAsia" w:ascii="宋体" w:hAnsi="宋体" w:eastAsia="宋体" w:cs="宋体"/>
                <w:color w:val="auto"/>
                <w:sz w:val="21"/>
                <w:szCs w:val="21"/>
                <w:highlight w:val="none"/>
                <w:lang w:val="en-US" w:eastAsia="zh-CN" w:bidi="ar"/>
              </w:rPr>
              <w:t xml:space="preserve">硬件部分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无纸化服务主机搭配管理软件，负责处理会议功能模块、会议主题、参会人员信息、会议议题、投票内容等会前信息预设，具有会议各类文件资料的上传分发、人员的权限管理设置、会议信息的实时记录等应用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2、采用CPU配置等同或优于四核（参考的配置等同或优于I7）</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3、采用内存配置≥8G</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4、采用硬盘容量≥1TB</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5、具有千兆网络接口（RJ45）</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6、具有视频输出接口：≥1×HDMI；具备音频接口：≥1×3.5mm音频输入接口、≥1×3.5mm音频输出接口；具备其他接口：≥1×RS232、≥4×USB接口。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软件部分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1、支持多会议室管理，会议室支持可视化布局配置管理。支持会议室坐席可视化控制。</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2、支持本地联合会议和异地互联会议（需搭建专网专线）。</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3、支持会议室坐席模拟排位功能，支持人员筛选，支持根据人员权重自动排位和手动排位。</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4、支持多个会议议题进行管理操作，每个议题可以独立上传多份附件；支持议题内加入VN.K972250529文件夹，三级目录文件展示；支持快速创建议题关联的投票。</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5、支持统一管理多个投票，实时查看投票过程与结果，控制投票结果实时投屏展示。支持投票导入导出功能。支持投票身份认证。</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color w:val="auto"/>
                <w:sz w:val="21"/>
                <w:szCs w:val="21"/>
                <w:highlight w:val="none"/>
                <w:lang w:val="en-US" w:eastAsia="zh-CN" w:bidi="ar"/>
              </w:rPr>
              <w:t xml:space="preserve">6、▲支持统一管理多个评分，实时查看评分过程与结果，控制评分投屏。支持评分导入导出功能。支持评分身份认证。支持配置平均分规则为默认或截尾平均数。支持评分备注功能。（提供功能界面截图并加盖公章）</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7、支持批注白板，可同时管理各参会人员的电子白板存档、手写批注、文档批注，支持后台预览及一键导出功能。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8、支持三员管理功能。开启该功能后系统将分为系统管理员、会务管理员、审计员三种角色。</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9、支持个人中心H5网页展示，可会前、会中上传资料，查看资料，支持会后下载参加过的会议的资料及批注文件，保密会议会前会后不能查看会议资料。</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10、支持双机热备，主从设备数据同步，当主设备出现故障时从机接管。</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11、支持服务器监控，可查看服务器cpu使用率、内存使用率、磁盘空间、网络传输速率，可设置阈值警告。</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实战指挥室无纸化升降器（包含无纸化升降器内嵌软件）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59"/>
                <w:rFonts w:hint="eastAsia" w:ascii="宋体" w:hAnsi="宋体" w:eastAsia="宋体" w:cs="宋体"/>
                <w:strike w:val="0"/>
                <w:color w:val="auto"/>
                <w:sz w:val="21"/>
                <w:szCs w:val="21"/>
                <w:highlight w:val="none"/>
                <w:lang w:val="en-US" w:eastAsia="zh-CN" w:bidi="ar"/>
              </w:rPr>
              <w:suppressLineNumbers w:val="0"/>
            </w:pPr>
            <w:r>
              <w:rPr>
                <w:rStyle w:val="658"/>
                <w:rFonts w:hint="eastAsia" w:ascii="宋体" w:hAnsi="宋体" w:eastAsia="宋体" w:cs="宋体"/>
                <w:color w:val="auto"/>
                <w:sz w:val="21"/>
                <w:szCs w:val="21"/>
                <w:highlight w:val="none"/>
                <w:lang w:val="en-US" w:eastAsia="zh-CN" w:bidi="ar"/>
              </w:rPr>
              <w:t xml:space="preserve">硬件部分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1、触控超薄高清显示屏与升降器一体化设计，无外露连接线、无连接背板、无外露螺丝，保证升降显示触控屏整体美观大方。</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2、设备采用全铝结构，优质铝材加上CNC精雕加工，显示屏框架、机箱都为铝合金带麦克风一体升降，设备的表面处理为阳极氧化处理。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3、话筒升降具有自动扶直功能，当麦杆弯曲时，机器关闭可自动扶直麦杆，不会损坏麦杆。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4、具备≥1组232/485，≥2路USB接口。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传动结构做特殊处理，噪音降到最低。产品传动方式以高品质耐拉皮带与高精密度的滑块导轨和直线轴承配合，交流减速电机做驱动动力；中控协议兼容性较强，兼容所有控制主机，控制设备在上升后，屏幕自动供电，下降后，屏幕自行断电，节约环保。</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6、15.6英寸超薄液晶触屏显示器，分辨率达1920*1080P，显示效果清晰亮丽，可调节背光设计</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7、支持≥1路HDMI和≥1路VGA信号输入，当只有一路信号输入时，屏幕会自动识别信号，当两路信号同时输入时，可通过面板按键手动切换，当无信号输入时，屏幕自动进入省电模式。</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8、设备可通过中控软件进行集中控制，可通过主机进行控制，一键可让室内所有的设备都上升或下降。</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9、显示屏仰角符合人体工程学原理，不遮挡视线和人脸，要求显示屏仰角角度可调0-30°。</w:t>
            </w:r>
            <w:r>
              <w:rPr>
                <w:rStyle w:val="658"/>
                <w:rFonts w:hint="eastAsia" w:ascii="宋体" w:hAnsi="宋体" w:eastAsia="宋体" w:cs="宋体"/>
                <w:color w:val="auto"/>
                <w:sz w:val="21"/>
                <w:szCs w:val="21"/>
                <w:highlight w:val="none"/>
                <w:lang w:val="en-US" w:eastAsia="zh-CN" w:bidi="ar"/>
              </w:rPr>
              <w:br/>
            </w:r>
            <w:r>
              <w:rPr>
                <w:rStyle w:val="659"/>
                <w:rFonts w:hint="eastAsia" w:ascii="宋体" w:hAnsi="宋体" w:eastAsia="宋体" w:cs="宋体"/>
                <w:b w:val="0"/>
                <w:bCs w:val="0"/>
                <w:strike w:val="0"/>
                <w:color w:val="auto"/>
                <w:sz w:val="21"/>
                <w:szCs w:val="21"/>
                <w:highlight w:val="none"/>
                <w:lang w:val="en-US" w:eastAsia="zh-CN" w:bidi="ar"/>
              </w:rPr>
              <w:t xml:space="preserve">10、要求升降器具备≥1路环通输出电源插座，给终端供电减少终端电源插座布线。</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11、桌面面板具备≥1路USB接口，支持连接U盘可进行浏览文件或上传文件等操作。</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软件部分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1.软件内嵌于终端设备，显示端可对多种文件格式文档进行阅览。</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2.支持多种分辨率适配，可适应各种终端界面。</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786"/>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实战指挥室无纸化会议终端（包含无纸化会议终端软件）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rPr>
              <w:suppressLineNumbers w:val="0"/>
            </w:pPr>
            <w:r>
              <w:rPr>
                <w:rStyle w:val="660"/>
                <w:rFonts w:hint="eastAsia" w:ascii="宋体" w:hAnsi="宋体" w:eastAsia="宋体" w:cs="宋体"/>
                <w:color w:val="auto"/>
                <w:sz w:val="21"/>
                <w:szCs w:val="21"/>
                <w:highlight w:val="none"/>
                <w:lang w:val="en-US" w:eastAsia="zh-CN" w:bidi="ar"/>
              </w:rPr>
              <w:t xml:space="preserve">硬件部分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多媒体会议终端主机搭配终端内嵌软件负责处理会议过程的文件推送、文件分发、浏览阅读、文件批注、智能签到、投票表决、电子白板、电子铭牌、会议交流、会议服务、视频信号互联互通、会议管控、同屏广播等应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2、支持无纸化会议模式和Windows模式，可任意切换。</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3、可对多种文件格式进行阅览，包括常见格式doc/ docx /xls/ xlsx /ppt /pptx/ pdf /txt/jpg/png等，参会人只可看到有权限的文件。</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4、会议过程中可以随时进行会议笔记记录，支持下载到本地。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5、个人中心模块支持会前、会中上传资料，查看资料（保密会议会前不能查看）；支持会后下载参加过的会议的资料。</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6、结束会议终端自动清除本地会议文件。</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7、具有≥4×USB、≥1×HDMI、≥1×VGA、≥1×LAN、≥1×MIC-IN端口、≥1×LINE-OUT端口、≥1×DC端口、≥1×COM口</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8、采用CPU配置不低于I5处理器（四核）</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9、采用内存配置不低于4G</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10、采用硬盘容量不低于128GB 固态硬盘</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11、具有千兆网络接口（RJ45）</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软件部分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1、支持会议信息展示。支持查看参会名单和会议人员座位图。</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2、支持文档阅览，可对多种文件格式进行阅览，支持权限设置功能，参会人仅能看到自己有权限查看的文件。同时支持文档批注功能，可以对文档图片进行批注、保存，并支持多人交互批注。</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3、支持U盘上传会议资料，进行文件阅览或共享其他参会人员，同时上传文件可保存在服务器和本地终端中。</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4、支持截屏批注，可单人批注或多人批注。批注结果可保存至服务器，会后自动归档处理。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5、内置浏览器，支持浏览以太网网络，可后台统一设置，点击直接打开配置好的网页。</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6、支持屏幕同屏广播，支持跨平台（windows/Android）广播；屏幕广播/文档主讲支持申请模式。同屏广播具备计时功能，可选择倒计时或顺计时，以及具备选择是否同步到大屏功能。</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7、支持异步浏览，参会人员可以通过异步浏览自由使用终端其他功能，也支持浮窗的方式进行异浏览。</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8、支持个人中心（个人空间）功能，可查看自己参与过的会议的会议信息。</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9、支持多媒体分享功能，多种媒体以广播的方式分享到其它终端，并可以交互操作。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10、支持集中控制操作，控制终端显示内容，控制终端开关机，支持对服务器的关机控制，支持无纸化升降器及话筒的统一升降。</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11、会议主持可控制评分功能启用、结束，查看统计结果功能，评分过程结果实时投屏；支持评分签名确认。</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12、会议主持可通过信号管理将任意参会人本地画面屏幕广播至任意或全部参会人，也可以结束任意参会人的共享画面；分组同屏广播最大可支持8个分组，同时投送到大屏显示最大支持4路。</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13、会议主持可管理会议纪要，管理纪要文件查看权限；并可发起会签，现场生成会签文档和最终纪要文件。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273"/>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实战指挥室无纸化流媒体主机（包含无纸化流媒体服务器嵌入软件）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58"/>
                <w:rFonts w:hint="eastAsia" w:ascii="宋体" w:hAnsi="宋体" w:eastAsia="宋体" w:cs="宋体"/>
                <w:color w:val="auto"/>
                <w:sz w:val="21"/>
                <w:szCs w:val="21"/>
                <w:highlight w:val="none"/>
                <w:lang w:val="en-US" w:eastAsia="zh-CN" w:bidi="ar"/>
              </w:rPr>
              <w:t xml:space="preserve">硬件部分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1、内嵌高清、标清视频信号处理模块，同步、异步处理视频信号输入、输出。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2、支持HDMI信号输入，外部信号通过此接口实时广播画面到所有会议终端并同步显示。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3、支持HDMI信号输出，任何会议终端画面通过此接口输出至大屏幕或其他信号显示设备。</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4、配置≥1路3.5mm音频输入接口和≥1路3.5mm音频输出接口，实现音视频同步输入输出。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5、支持全高清1080P、高清720P等多种高清分辨率输出。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6、要求服务器的CPU配置等同或优于四核（参考配置等同或优于I5），内存配置≥4G，硬盘为固态硬盘且容量≥128GB。</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7、具备视频输入接口：≥1×HDMI；具备视频输出接口：≥1×HDMI；具备音频接口：≥1×3.5mm音频输入接口、≥1×3.5mm音频输出接口；具备≥2×RS-232、≥4×USB接口。</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软件部分</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1、支持签到投屏功能，将签到过程、签到结果展示在大屏上。</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2、支持将电子白板、会议标语、文档主讲、外部信号等信息广播到大屏展示。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3、支持多媒体(桌面同屏、电子白板、文档资料等)分组投屏功能， 最大可支持≥4分屏画面同时投屏输出显示。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4、支持大屏点播功能，直接播放服务器原生视频文件；支持大屏广播功能，将大屏的画面广播同步到各个终端并显示。</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5、支持大屏视频矩阵功能，同时支持多路多媒体源进行播放功能。</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6、支持投票投屏功能，将投票过程、投票结果以文字、柱状图、饼状图方式展示在大屏上。</w:t>
            </w:r>
            <w:r>
              <w:rPr>
                <w:rStyle w:val="658"/>
                <w:rFonts w:hint="eastAsia" w:ascii="宋体" w:hAnsi="宋体" w:eastAsia="宋体" w:cs="宋体"/>
                <w:color w:val="auto"/>
                <w:sz w:val="21"/>
                <w:szCs w:val="21"/>
                <w:highlight w:val="none"/>
                <w:lang w:val="en-US" w:eastAsia="zh-CN" w:bidi="ar"/>
              </w:rPr>
              <w:br/>
            </w:r>
            <w:r>
              <w:rPr>
                <w:rStyle w:val="658"/>
                <w:rFonts w:hint="eastAsia" w:ascii="宋体" w:hAnsi="宋体" w:eastAsia="宋体" w:cs="宋体"/>
                <w:color w:val="auto"/>
                <w:sz w:val="21"/>
                <w:szCs w:val="21"/>
                <w:highlight w:val="none"/>
                <w:lang w:val="en-US" w:eastAsia="zh-CN" w:bidi="ar"/>
              </w:rPr>
              <w:t xml:space="preserve">7、支持评分投屏功能，评分过程中查看评分人数、未提交人数。支持评分结束后以柱状图（≥10项）或表格（≥10项）的形式投屏显示评分结果。</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实战指挥室网络主机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1、具有≥24个网络端口，≥4个千兆SFP+光纤口，≥1个控制口。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2、支持网口和光纤线热插拨，支持双备份链路。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3、支持胖瘦一体化，具有智能交换机和普通交换机两种工作模式。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4、通过网络管理平台可实现一键快速替换故障设备。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 IEEE 802.3az 标准的 EEE 节能技术：当 EEE 使能时，可大幅度的减小端口在该阶段的功耗，达到了节能的目的。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6、提供友好的Web管理界面，1:1还原交换机端口和面板状态，可方便、快捷查看交换机端口工作状态、流量趋势等。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7、采用“零部署”上线方式，交换机接上网线后自动展示在待激活列表，无需配置，一键即可激活。同时控制器还能对故障交换机进行一键重启和替换，最大程度节省运维时间。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8、具有自动化拓扑生成功能，设备接线后，管理平台自动生成网络拓扑，并且能够直接在拓扑上进行设备配置。</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实战指挥室无纸化主席移动控制软件</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通过移动端扫描二维码方式与无纸化终端进行连接。支持通过移动端（手机或平板）通过无线方式控制无纸化终端显示界面，触摸移动端即可操作无纸化终端；支持通过移动端打开无纸化终端的会议资料文档。支持放大镜放大局部功能，可对无纸化终端的PPT中文字等较小或看不清的部分进行放大操作。</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双频 2.5G网口 wifi穿墙/可变端口/AC管理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1、具有≥8路自动、手动电源控制器，内置≥8个20A继电器，负载能力≥4400W/单路；配合中控主机使用，用于控制灯光、电动投影幕、电动窗帘等会议室周边设备。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2、每路继电器都有三连接点的接线柱,具有常开与常闭的功能。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3、具有复位按键，支持恢复到出厂的默认设置。具有1路网络接口，支持通过网络实现远程控制。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4、具有设备运行状态指示灯及≥8个继电器的开关状态指示灯。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5、具有键盘锁（LOCK）功能。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6、机器具备ID识别，通过中控主机网络控制多台时，可通过ID识别。</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音量控制器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1、4路独立音频通道音量调节模块。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2、支持平衡线路级音频输入/出。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3、面板具备小键盘,支持手动操作控制,具有LED指示功能。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4、控制方法: 通过R232协议控制,搭配可编程中控主机使用,也全面支持第三方设备。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5、输入端口：5.8欧式端子，支持平衡线路级音频输入 、输出端口：5.8欧式端子，支持平衡线路级音频输出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1.8米音频连接线：卡侬头（母）-卡侬头（公）</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1.8米音频连接线：3.5（耳机插头）-双6.35话筒插头</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1、屏幕尺寸≥98寸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2、接口：HDMI，USB，网线</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1、屏幕尺寸：5.76米*2.4米=13.824㎡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2、点间距：1.25mm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3、模组尺寸：320*160mm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4、对比度：≥5000：1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13.824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1、单卡超大带载256*256；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1、单台带载能力1040万像素、最宽16384像素、最高8192像素，集视频处理、视频控制以及 LED 屏体配置等功能于一体，具备多种类的视频信号接收能力、超高清全 4K×2K@60Hz 的图像处理能力和发送能力。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2、拥有完备的视频输入接口： 1 路 HDMI 2.0，4 路 DVI，1 路 3G-SDI。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3、多输出，大带载：支持 16 路网口和 4 路光纤输出，带载高达 1040 万像素。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 HDR 输出：能够极大地增强显示屏的画质，使画面色彩更加 真实生动，细节更加清晰。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5、支持个性化的画质缩放：支持三种画面缩放模式，包括点对点模式、全屏 缩放、自定义缩放。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6、多窗口显示：支持 5 窗口任意布局。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7、支持预监输出画面：将预监内容通过 HDMI 发送到显示器显示。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8、支持智能控制软件进行操作控制。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9、支持场景预设：最多可创建 10 个用户场景作为模板保存，可直接调用，方便使用。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 EDID 管理：支持用户自定义 EDID 和预设 EDID。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11、支持视频格式：RGB4:4:4、YCbCr4:4:4、YCbCr4:2:2、3840×2160@60Hz向下兼容</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65寸广告机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1、同时可播放多个节目，可循环播放，无缝切换，图片视频混播；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3、U 播播放，即插即用，插入 U 盘就可自动识别 U 盘内容进行播放，支持多种视频、图片、音乐格式；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4、USB、TF、音频输出、HDMI 输入、LAN 网口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5、支持图片,视频，文本，fiash，网页天气预报，ppt，word，excel、pdf</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1、屏幕尺寸：3.84米*1.6米=6.144㎡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2、点间距：1.25mm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3、模组尺寸：320*160mm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4、对比度：≥5000：1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6.144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1，单卡超大带载256*256；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restart"/>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640mm*640mm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638"/>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1、输入接口包括 2 ×HDMI 1.4、 1 × DVI、 1 × 3G-SDI（IN+LOOP），选配 1 × 3.5mm 音频输入接口；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2、输出接口包括 10 路千兆网口，最大带载 650 万像素，单台设备输出最大宽度 10240，高度 8192， 1 路 HDMI 1.3 输出接口，可用作输出预监或视频输出；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3、音频输入输出： 支持 HDMI 伴随音频输入， 支持 3.5mm 独立音频输入， 支持 3.5mm 独立音频输出， 支持通过多功能卡进行音频输出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4、低至 1 帧延迟输出：在低延迟开关开启、输入源同步开启，输入源到接收卡之间的延时可减少至 1 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 个图层：图层大小和位置可单独调节，支持图层按照 Z 序优先级调整；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6、强大视频处理能力：搭载 SuperView III 画质处理技术，支持输出画面无极缩放，支持一键全屏缩放，支持输入源任意截取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7、画质调整：支持输入画质管理，包括亮度、对比度、饱和度和色度调整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8、多场景保存和调用：支持 10 个自定义场景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9、热备份：支持输入源热备功能，支持网口间备份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10、同步输出：支持使用内部输入源作为同步源，保证输入输出画面同步。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11、支持逐点亮色度校正：配合调试软件和校正平台，对每个灯点的亮度和色度进行校正，有效消除色差，使整屏的亮度和色度达到高度均匀一致，提高显示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二楼会议室全彩LED显示屏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1、屏幕尺寸：3.2米*1.6米=5.12㎡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2、点间距：1.25mm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3、模组尺寸：320*160mm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4、对比度：≥5000：1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1，单卡超大带载256*256；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restart"/>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640mm*640mm</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58"/>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1、输入接口包括 2 ×HDMI 1.4、 1 × DVI、 1 × 3G-SDI（IN+LOOP），选配 1 × 3.5mm 音频输入接口；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2、输出接口包括 10 路千兆网口，最大带载 650 万像素，单台设备输出最大宽度 10240，高度 8192， 1 路 HDMI 1.3 输出接口，可用作输出预监或视频输出；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3、音频输入输出： 支持 HDMI 伴随音频输入， 支持 3.5mm 独立音频输入， 支持 3.5mm 独立音频输出， 支持通过多功能卡进行音频输出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4、低至 1 帧延迟输出：在低延迟开关开启、输入源同步开启，输入源到接收卡之间的延时可减少至 1 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 个图层：图层大小和位置可单独调节，支持图层按照 Z 序优先级调整；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6、强大视频处理能力：搭载 SuperView III 画质处理技术，支持输出画面无极缩放，支持一键全屏缩放，支持输入源任意截取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7、画质调整：支持输入画质管理，包括亮度、对比度、饱和度和色度调整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8、多场景保存和调用：支持 10 个自定义场景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9、热备份：支持输入源热备功能，支持网口间备份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10、同步输出：支持使用内部输入源作为同步源，保证输入输出画面同步。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11、支持逐点亮色度校正：配合调试软件和校正平台，对每个灯点的亮度和色度进行校正，有效消除色差，使整屏的亮度和色度达到高度均匀一致，提高显示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电脑显示器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27寸 1080P HDMI，支持安装电脑支臂</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升降机</w:t>
            </w:r>
            <w:r/>
          </w:p>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（点调设备用）</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净水机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1、工作原理：反渗透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2、滤芯：RO膜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3、水效等级：1级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4、功效：直饮</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直饮机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国产优质，设备支持多种水模式选择（热水，泡茶，冲奶，常温等）</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2、工作方式：微波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3、底盘形式：平板</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立式打印机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功能：复印、打印、扫描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双面打印：支持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网络功能：支持有线网络、支持无线网络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接口：USB接口、网络接口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输出纸张尺寸：A3-A5、B6、A6、长纸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最大原稿尺寸：A3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复印功能原稿类型：纸张、书本、三维物体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连续复印：支持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打印语言：PCL 5e/c、PCL6、PS3仿真、XPS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打印其他性能字体：PCL：80种字体、PS：137种字体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操作系统：Windows、mac、linux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是否有液晶屏：有</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彩色扫描打印机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1、接口：USB，WIFI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2、双面打印：支持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3、打印方式：喷墨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A4高速双面彩色扫描仪</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座机电话</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具备录音功能。具体类似视甲方最终需求采购</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尺寸：长830mm，宽645mm，高1775mm，双开门，容积406L</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床上四件套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国产优质（样式根据甲方需求采购）</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55寸电视机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定制杯具（茶壶，瓷杯，纸杯）</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定制数量茶壶≥6个，瓷杯≥50个，纸杯≥5000个</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中心警员工作背心</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定制，按个中心名称进行定制，工作背心数量≥100件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室内人脸门禁一体主机</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1、设备应采用嵌入式 linux 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2、前面板防破坏能力应满足 ≥IK07 的要求；结构后壳防破坏能力应满足 ≥IK10 的要求；防水等级应满足≥IP66防护等级；应支持选择嵌入式、壁挂、桌面、立式、人员通道安装；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3、屏幕应为 ≥7 英寸触摸屏；应采用水滴屏全贴合工艺；玻璃屏占比≥90%。屏幕流明度≥600cd/m2；屏幕分辨率应为 800×1280；屏显下端应具有圆形指示灯，指示灯应支持固定频率的亮起和熄灭（呼吸状态）及识别状态提示，采用 200W 像素双目摄像头，帧率应≥25 帧/s；应支持接入 NVR 设备，实现视频监控录像；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4、应支持双码流技术，主码流和子码流均为 1280×720@25fps 输出；在 IE 浏览器下，视频编码格式具有 H.265、H.264、MPEG-4. MJPEG 设置选项；可将 H.265、H.264 格式设置为Baseline/Mai n/High Profile；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5、设备离线应支持 10000个用户（用户权限应能配置为管理员）、 10000 张人脸库、 50000 张卡片容量、150000 笔记录存储 、 10000 个密码；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6、应支持通过文字转换为提示语音的 TTS 功能；应支持本地广告信息播放；应支持广告节目编排播放，播放时间可自定义；应支持图片、文字、视频广告节目播放；应支持在设备端查看人员信息、设备状态、显示模式（认证模式、广告模式和简洁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应支持佩戴口罩情况下的人脸识别功能，提示模式应分为提醒模式或强制模式；提醒模式下，未佩戴口罩时，应能做身份验证及考勤签到，身份验证通过后提醒佩戴口罩；强制模式下未佩戴口罩时，应无法做身份验证，并提醒佩戴口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8、人脸比对平均时间应＜120ms （1:1对比方式）；最大人脸识别距离：＞4m；最小人脸识别距离：＜0.2m，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1、输入电压：100-240VAC；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2、输出电压：12VDC；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3、输出电流：4.17A；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4、输出功率：50W；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6、工作温度：-10℃-+70℃；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7、工作湿度：＜95%；</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出门按钮</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1.、结构：塑料面板；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2、性能：最大耐电流1.25A，电压250V；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3、输出：常开；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4、类型：适合埋入式电器盒使用；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玻璃门单开智能门锁</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玻璃门双开智能门锁</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智能人脸门锁</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1、无线连接：蓝牙5.0、Wi-Fi IEEE 802.11 b/g/n 2.4GHz、NFC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2、产品安全级别：B级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3、锁芯安全级别：C级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4、工作湿度：0~93% RH，无冷凝</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含网线、光缆、音频线等线缆、辅材及配套安装调试等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6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融合侦研区鱼骨型6人操作员席位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1、操作台尺寸：长</w:t>
            </w:r>
            <w:r>
              <w:rPr>
                <w:rStyle w:val="662"/>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t xml:space="preserve">4600mm，宽≦2700mm，高≦740mm，深度≦800mm</w:t>
            </w:r>
            <w:r/>
          </w:p>
          <w:p>
            <w:pPr>
              <w:jc w:val="left"/>
              <w:keepLines w:val="0"/>
              <w:keepNext w:val="0"/>
              <w:pageBreakBefore w:val="0"/>
              <w:spacing w:line="240" w:lineRule="auto"/>
              <w:shd w:val="clear" w:color="auto"/>
              <w:widowControl/>
              <w:rPr>
                <w:rStyle w:val="660"/>
                <w:rFonts w:hint="eastAsia" w:ascii="宋体" w:hAnsi="宋体" w:eastAsia="宋体" w:cs="宋体"/>
                <w:b/>
                <w:bCs/>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b/>
                <w:bCs/>
                <w:color w:val="auto"/>
                <w:sz w:val="21"/>
                <w:szCs w:val="21"/>
                <w:highlight w:val="none"/>
                <w:lang w:val="en-US" w:eastAsia="zh-CN" w:bidi="ar"/>
              </w:rPr>
              <w:t xml:space="preserve">4、</w:t>
            </w:r>
            <w:r>
              <w:rPr>
                <w:rStyle w:val="659"/>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b/>
                <w:bCs/>
                <w:color w:val="auto"/>
                <w:sz w:val="21"/>
                <w:szCs w:val="21"/>
                <w:highlight w:val="none"/>
                <w:lang w:val="en-US" w:eastAsia="zh-CN" w:bidi="ar"/>
              </w:rPr>
              <w:t xml:space="preserve">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p>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5、前、后门板：前后门板使用实木颗粒板双帖防火板加工，整体厚度应为20mm。门板应采用PUR封边工艺。同时铰链应经200h中性盐雾测试后性能评级达10级水准。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控制台整体应符合对应标准的检测，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p>
          <w:p>
            <w:pPr>
              <w:jc w:val="left"/>
              <w:keepLines w:val="0"/>
              <w:keepNext w:val="0"/>
              <w:pageBreakBefore w:val="0"/>
              <w:spacing w:line="240" w:lineRule="auto"/>
              <w:shd w:val="clear" w:color="auto"/>
              <w:widowControl/>
              <w:rPr>
                <w:rStyle w:val="660"/>
                <w:rFonts w:hint="default" w:ascii="宋体" w:hAnsi="宋体" w:eastAsia="宋体" w:cs="宋体"/>
                <w:b/>
                <w:bCs/>
                <w:color w:val="auto"/>
                <w:sz w:val="21"/>
                <w:szCs w:val="21"/>
                <w:highlight w:val="none"/>
                <w:lang w:val="en-US" w:eastAsia="zh-CN" w:bidi="ar"/>
              </w:rPr>
              <w:suppressLineNumbers w:val="0"/>
            </w:pPr>
            <w:r>
              <w:rPr>
                <w:rStyle w:val="660"/>
                <w:rFonts w:hint="eastAsia" w:ascii="宋体" w:hAnsi="宋体" w:eastAsia="宋体" w:cs="宋体"/>
                <w:b/>
                <w:bCs/>
                <w:color w:val="auto"/>
                <w:sz w:val="21"/>
                <w:szCs w:val="21"/>
                <w:highlight w:val="none"/>
                <w:lang w:val="en-US" w:eastAsia="zh-CN" w:bidi="ar"/>
              </w:rPr>
              <w:t xml:space="preserve">9、</w:t>
            </w:r>
            <w:r>
              <w:rPr>
                <w:rStyle w:val="659"/>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b/>
                <w:bCs/>
                <w:color w:val="auto"/>
                <w:sz w:val="21"/>
                <w:szCs w:val="21"/>
                <w:highlight w:val="none"/>
                <w:lang w:val="en-US" w:eastAsia="zh-CN" w:bidi="ar"/>
              </w:rPr>
              <w:t xml:space="preserve">中纤板板内密度偏差应不大于2%，含水率应小于6%，TVOC应≤0.02mg/(㎡.h）。（提供CNAS或CMA认可的检测报告原件扫描件并加盖公章）</w:t>
            </w:r>
            <w:r/>
          </w:p>
          <w:p>
            <w:pPr>
              <w:jc w:val="left"/>
              <w:keepLines w:val="0"/>
              <w:keepNext w:val="0"/>
              <w:pageBreakBefore w:val="0"/>
              <w:spacing w:line="240" w:lineRule="auto"/>
              <w:shd w:val="clear" w:color="auto"/>
              <w:widowControl/>
              <w:rPr>
                <w:rStyle w:val="660"/>
                <w:rFonts w:hint="eastAsia" w:ascii="宋体" w:hAnsi="宋体" w:eastAsia="宋体" w:cs="宋体"/>
                <w:strike w:val="0"/>
                <w:color w:val="auto"/>
                <w:sz w:val="21"/>
                <w:szCs w:val="21"/>
                <w:highlight w:val="none"/>
                <w:lang w:val="en-US" w:eastAsia="zh-CN" w:bidi="ar"/>
              </w:rPr>
              <w:suppressLineNumbers w:val="0"/>
            </w:pPr>
            <w:r>
              <w:rPr>
                <w:rStyle w:val="660"/>
                <w:rFonts w:hint="eastAsia" w:ascii="宋体" w:hAnsi="宋体" w:eastAsia="宋体" w:cs="宋体"/>
                <w:strike w:val="0"/>
                <w:color w:val="auto"/>
                <w:sz w:val="21"/>
                <w:szCs w:val="21"/>
                <w:highlight w:val="none"/>
                <w:lang w:val="en-US" w:eastAsia="zh-CN" w:bidi="ar"/>
              </w:rPr>
              <w:t xml:space="preserve">10、控制台整体燃烧测试等级达到阻燃1级，热释放速率应小于10KW，5分钟热释放量应小于1MJ，一氧化碳浓度应小于40ppm。</w:t>
            </w:r>
            <w:r/>
          </w:p>
          <w:p>
            <w:pPr>
              <w:jc w:val="left"/>
              <w:keepLines w:val="0"/>
              <w:keepNext w:val="0"/>
              <w:pageBreakBefore w:val="0"/>
              <w:spacing w:line="240" w:lineRule="auto"/>
              <w:shd w:val="clear" w:color="auto"/>
              <w:widowControl/>
              <w:rPr>
                <w:rStyle w:val="661"/>
                <w:rFonts w:hint="eastAsia" w:ascii="宋体" w:hAnsi="宋体" w:eastAsia="宋体" w:cs="宋体"/>
                <w:b w:val="0"/>
                <w:bCs w:val="0"/>
                <w:color w:val="auto"/>
                <w:sz w:val="21"/>
                <w:szCs w:val="21"/>
                <w:highlight w:val="none"/>
                <w:lang w:val="en-US" w:eastAsia="zh-CN" w:bidi="ar"/>
              </w:rPr>
              <w:suppressLineNumbers w:val="0"/>
            </w:pP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b w:val="0"/>
                <w:bCs w:val="0"/>
                <w:strike w:val="0"/>
                <w:color w:val="auto"/>
                <w:sz w:val="21"/>
                <w:szCs w:val="21"/>
                <w:highlight w:val="none"/>
                <w:lang w:val="en-US" w:eastAsia="zh-CN" w:bidi="ar"/>
              </w:rPr>
              <w:t xml:space="preserve">13、显示器支架、钣金、铝合金在盐雾腐蚀100小时测试条件下，抗腐蚀能力不低于10级。</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14、控制台采用的防火板饰面刨花板需具有抗菌性能，金黄色葡萄球菌抗（细）菌率99%以上，抗霉菌性能达到0级。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16、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92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融合侦研区鱼骨型8人操作员席位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61"/>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1、操作台尺寸：长≦5800mm，宽≦2700mm，高≦740mm，深度≦800mm</w:t>
            </w:r>
            <w:r>
              <w:rPr>
                <w:rStyle w:val="661"/>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p>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3、侧板：侧板材质应为木制，应为模块化设计样式，方便安装；可以对LOGO定制化要求，依据提供LOGO标识进行生产制作。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w:t>
            </w:r>
            <w:r>
              <w:rPr>
                <w:rStyle w:val="660"/>
                <w:rFonts w:hint="eastAsia" w:ascii="宋体" w:hAnsi="宋体" w:eastAsia="宋体" w:cs="宋体"/>
                <w:b w:val="0"/>
                <w:bCs w:val="0"/>
                <w:color w:val="auto"/>
                <w:sz w:val="21"/>
                <w:szCs w:val="21"/>
                <w:highlight w:val="none"/>
                <w:lang w:val="en-US" w:eastAsia="zh-CN" w:bidi="ar"/>
              </w:rPr>
              <w:t xml:space="preserve">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5、前、后门板：前后门板使用实木颗粒板双帖防火板加工，整体厚度应为20mm。门板应采用PUR封边工艺。同时铰链应经200h中性盐雾测试后性能评级达10级水准。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控制台整体应符合对应标准的检测，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p>
          <w:p>
            <w:pPr>
              <w:jc w:val="left"/>
              <w:keepLines w:val="0"/>
              <w:keepNext w:val="0"/>
              <w:pageBreakBefore w:val="0"/>
              <w:spacing w:line="240" w:lineRule="auto"/>
              <w:shd w:val="clear" w:color="auto"/>
              <w:widowControl/>
              <w:rPr>
                <w:rStyle w:val="660"/>
                <w:rFonts w:hint="eastAsia" w:ascii="宋体" w:hAnsi="宋体" w:eastAsia="宋体" w:cs="宋体"/>
                <w:b w:val="0"/>
                <w:bCs w:val="0"/>
                <w:i w:val="0"/>
                <w:iCs w:val="0"/>
                <w:color w:val="auto"/>
                <w:sz w:val="21"/>
                <w:szCs w:val="21"/>
                <w:highlight w:val="none"/>
                <w:u w:val="none"/>
                <w:lang w:val="en-US" w:eastAsia="zh-CN" w:bidi="ar"/>
              </w:rPr>
              <w:suppressLineNumbers w:val="0"/>
            </w:pPr>
            <w:r>
              <w:rPr>
                <w:rStyle w:val="660"/>
                <w:rFonts w:hint="eastAsia" w:ascii="宋体" w:hAnsi="宋体" w:eastAsia="宋体" w:cs="宋体"/>
                <w:b w:val="0"/>
                <w:bCs w:val="0"/>
                <w:i w:val="0"/>
                <w:iCs w:val="0"/>
                <w:color w:val="auto"/>
                <w:sz w:val="21"/>
                <w:szCs w:val="21"/>
                <w:highlight w:val="none"/>
                <w:u w:val="none"/>
                <w:lang w:val="en-US" w:eastAsia="zh-CN" w:bidi="ar"/>
              </w:rPr>
              <w:t xml:space="preserve">9、中纤板板内密度偏差应不大于2%，含水率应小于6%，TVOC应≤0.02mg/(㎡.h）。</w:t>
            </w:r>
            <w:r/>
          </w:p>
          <w:p>
            <w:pPr>
              <w:jc w:val="left"/>
              <w:keepLines w:val="0"/>
              <w:keepNext w:val="0"/>
              <w:pageBreakBefore w:val="0"/>
              <w:spacing w:line="240" w:lineRule="auto"/>
              <w:shd w:val="clear" w:color="auto"/>
              <w:widowControl/>
              <w:rPr>
                <w:rStyle w:val="660"/>
                <w:rFonts w:hint="eastAsia" w:ascii="宋体" w:hAnsi="宋体" w:eastAsia="宋体" w:cs="宋体"/>
                <w:strike w:val="0"/>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10</w:t>
            </w:r>
            <w:r>
              <w:rPr>
                <w:rStyle w:val="660"/>
                <w:rFonts w:hint="eastAsia" w:ascii="宋体" w:hAnsi="宋体" w:eastAsia="宋体" w:cs="宋体"/>
                <w:strike w:val="0"/>
                <w:color w:val="auto"/>
                <w:sz w:val="21"/>
                <w:szCs w:val="21"/>
                <w:highlight w:val="none"/>
                <w:lang w:val="en-US" w:eastAsia="zh-CN" w:bidi="ar"/>
              </w:rPr>
              <w:t xml:space="preserve">、控制台整体燃烧测试等级达到阻燃1级，热释放速率应小于10KW，5分钟热释放量应小于1MJ，一氧化碳浓度应小于40ppm。</w:t>
            </w:r>
            <w:r/>
          </w:p>
          <w:p>
            <w:pPr>
              <w:jc w:val="left"/>
              <w:keepLines w:val="0"/>
              <w:keepNext w:val="0"/>
              <w:pageBreakBefore w:val="0"/>
              <w:spacing w:line="240" w:lineRule="auto"/>
              <w:shd w:val="clear" w:color="auto"/>
              <w:widowControl/>
              <w:rPr>
                <w:rStyle w:val="660"/>
                <w:rFonts w:hint="eastAsia" w:ascii="宋体" w:hAnsi="宋体" w:eastAsia="宋体" w:cs="宋体"/>
                <w:strike/>
                <w:color w:val="auto"/>
                <w:sz w:val="21"/>
                <w:szCs w:val="21"/>
                <w:highlight w:val="none"/>
                <w:lang w:val="en-US" w:eastAsia="zh-CN" w:bidi="ar"/>
              </w:rPr>
              <w:suppressLineNumbers w:val="0"/>
            </w:pP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1"/>
                <w:rFonts w:hint="eastAsia" w:ascii="宋体" w:hAnsi="宋体" w:eastAsia="宋体" w:cs="宋体"/>
                <w:b w:val="0"/>
                <w:bCs w:val="0"/>
                <w:strike w:val="0"/>
                <w:color w:val="auto"/>
                <w:sz w:val="21"/>
                <w:szCs w:val="21"/>
                <w:highlight w:val="none"/>
                <w:lang w:val="en-US" w:eastAsia="zh-CN" w:bidi="ar"/>
              </w:rPr>
              <w:t xml:space="preserve">。</w:t>
            </w:r>
            <w:r/>
          </w:p>
          <w:p>
            <w:pPr>
              <w:jc w:val="left"/>
              <w:keepLines w:val="0"/>
              <w:keepNext w:val="0"/>
              <w:pageBreakBefore w:val="0"/>
              <w:spacing w:line="240" w:lineRule="auto"/>
              <w:shd w:val="clear" w:color="auto"/>
              <w:widowControl/>
              <w:rPr>
                <w:rStyle w:val="660"/>
                <w:rFonts w:hint="eastAsia" w:ascii="宋体" w:hAnsi="宋体" w:eastAsia="宋体" w:cs="宋体"/>
                <w:strike/>
                <w:color w:val="auto"/>
                <w:sz w:val="21"/>
                <w:szCs w:val="21"/>
                <w:highlight w:val="none"/>
                <w:lang w:val="en-US" w:eastAsia="zh-CN" w:bidi="ar"/>
              </w:rPr>
              <w:suppressLineNumbers w:val="0"/>
            </w:pP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p>
          <w:p>
            <w:pPr>
              <w:jc w:val="left"/>
              <w:keepLines w:val="0"/>
              <w:keepNext w:val="0"/>
              <w:pageBreakBefore w:val="0"/>
              <w:spacing w:line="240" w:lineRule="auto"/>
              <w:shd w:val="clear" w:color="auto"/>
              <w:widowControl/>
              <w:rPr>
                <w:rStyle w:val="660"/>
                <w:rFonts w:hint="eastAsia" w:ascii="宋体" w:hAnsi="宋体" w:eastAsia="宋体" w:cs="宋体"/>
                <w:b/>
                <w:bCs/>
                <w:color w:val="auto"/>
                <w:sz w:val="21"/>
                <w:szCs w:val="21"/>
                <w:highlight w:val="none"/>
                <w:lang w:val="en-US" w:eastAsia="zh-CN" w:bidi="ar"/>
              </w:rPr>
              <w:suppressLineNumbers w:val="0"/>
            </w:pPr>
            <w:r>
              <w:rPr>
                <w:rStyle w:val="660"/>
                <w:rFonts w:hint="eastAsia" w:ascii="宋体" w:hAnsi="宋体" w:eastAsia="宋体" w:cs="宋体"/>
                <w:b/>
                <w:bCs/>
                <w:color w:val="auto"/>
                <w:sz w:val="21"/>
                <w:szCs w:val="21"/>
                <w:highlight w:val="none"/>
                <w:lang w:val="en-US" w:eastAsia="zh-CN" w:bidi="ar"/>
              </w:rPr>
              <w:t xml:space="preserve">13、▲桌面简化系统模块要求与控制台匹配度高，最多支持键鼠直接滑屏控制不少于8套不同操作系统电脑主机功能。可直接连接电子铭牌。（提供CNAS或CMA认可的检测报告原件扫描件并加盖公章）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14、</w:t>
            </w:r>
            <w:r>
              <w:rPr>
                <w:rStyle w:val="661"/>
                <w:rFonts w:hint="eastAsia" w:ascii="宋体" w:hAnsi="宋体" w:eastAsia="宋体" w:cs="宋体"/>
                <w:b w:val="0"/>
                <w:bCs w:val="0"/>
                <w:strike w:val="0"/>
                <w:color w:val="auto"/>
                <w:sz w:val="21"/>
                <w:szCs w:val="21"/>
                <w:highlight w:val="none"/>
                <w:lang w:val="en-US" w:eastAsia="zh-CN" w:bidi="ar"/>
              </w:rPr>
              <w:t xml:space="preserve">显示器支架、钣金、铝合金在盐雾腐蚀100小时测试条件下，抗腐蚀能力不低于10级。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15、控制台采用的防火板饰面刨花板需具有抗菌性能，金黄色葡萄球菌抗（细）菌率99%以上，抗霉菌性能达到0级。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16、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17、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融合侦研区折角型7人操作员席位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1、操作台尺寸：长≦5800mm，宽≦1600mm，高≦740mm，深度≦800mm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p>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3、侧板：侧板材质应为木制，应为模块化设计样式，方便安装；可以对LOGO定制化要求，依据提供LOGO标识进行生产制作。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w:t>
            </w:r>
            <w:r>
              <w:rPr>
                <w:rStyle w:val="660"/>
                <w:rFonts w:hint="eastAsia" w:ascii="宋体" w:hAnsi="宋体" w:eastAsia="宋体" w:cs="宋体"/>
                <w:b w:val="0"/>
                <w:bCs w:val="0"/>
                <w:color w:val="auto"/>
                <w:sz w:val="21"/>
                <w:szCs w:val="21"/>
                <w:highlight w:val="none"/>
                <w:lang w:val="en-US" w:eastAsia="zh-CN" w:bidi="ar"/>
              </w:rPr>
              <w:t xml:space="preserve">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5、前、后门板：前后门板使用实木颗粒板双帖防火板加工，整体厚度应为20mm。门板应采用PUR封边工艺。同时铰链应经200h中性盐雾测试后性能评级达10级水准。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控制台整体应符合对应标准的检测，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p>
          <w:p>
            <w:pPr>
              <w:jc w:val="left"/>
              <w:keepLines w:val="0"/>
              <w:keepNext w:val="0"/>
              <w:pageBreakBefore w:val="0"/>
              <w:spacing w:line="240" w:lineRule="auto"/>
              <w:shd w:val="clear" w:color="auto"/>
              <w:widowControl/>
              <w:rPr>
                <w:rStyle w:val="660"/>
                <w:rFonts w:hint="eastAsia" w:ascii="宋体" w:hAnsi="宋体" w:eastAsia="宋体" w:cs="宋体"/>
                <w:b w:val="0"/>
                <w:bCs w:val="0"/>
                <w:color w:val="auto"/>
                <w:sz w:val="21"/>
                <w:szCs w:val="21"/>
                <w:highlight w:val="none"/>
                <w:lang w:val="en-US" w:eastAsia="zh-CN" w:bidi="ar"/>
              </w:rPr>
              <w:suppressLineNumbers w:val="0"/>
            </w:pPr>
            <w:r>
              <w:rPr>
                <w:rStyle w:val="660"/>
                <w:rFonts w:hint="eastAsia" w:ascii="宋体" w:hAnsi="宋体" w:eastAsia="宋体" w:cs="宋体"/>
                <w:b w:val="0"/>
                <w:bCs w:val="0"/>
                <w:i w:val="0"/>
                <w:iCs w:val="0"/>
                <w:color w:val="auto"/>
                <w:sz w:val="21"/>
                <w:szCs w:val="21"/>
                <w:highlight w:val="none"/>
                <w:u w:val="none"/>
                <w:lang w:val="en-US" w:eastAsia="zh-CN" w:bidi="ar"/>
              </w:rPr>
              <w:t xml:space="preserve">9、</w:t>
            </w:r>
            <w:r>
              <w:rPr>
                <w:rStyle w:val="660"/>
                <w:rFonts w:hint="eastAsia" w:ascii="宋体" w:hAnsi="宋体" w:eastAsia="宋体" w:cs="宋体"/>
                <w:b w:val="0"/>
                <w:bCs w:val="0"/>
                <w:color w:val="auto"/>
                <w:sz w:val="21"/>
                <w:szCs w:val="21"/>
                <w:highlight w:val="none"/>
                <w:lang w:val="en-US" w:eastAsia="zh-CN" w:bidi="ar"/>
              </w:rPr>
              <w:t xml:space="preserve">中纤板板内密度偏差应不大于2%，含水率应小于6%，TVOC应≤0.02mg/(㎡.h）。</w:t>
            </w:r>
            <w:r/>
          </w:p>
          <w:p>
            <w:pPr>
              <w:jc w:val="left"/>
              <w:keepLines w:val="0"/>
              <w:keepNext w:val="0"/>
              <w:pageBreakBefore w:val="0"/>
              <w:spacing w:line="240" w:lineRule="auto"/>
              <w:shd w:val="clear" w:color="auto"/>
              <w:widowControl/>
              <w:rPr>
                <w:rStyle w:val="661"/>
                <w:rFonts w:hint="eastAsia" w:ascii="宋体" w:hAnsi="宋体" w:eastAsia="宋体" w:cs="宋体"/>
                <w:b w:val="0"/>
                <w:bCs w:val="0"/>
                <w:color w:val="auto"/>
                <w:sz w:val="21"/>
                <w:szCs w:val="21"/>
                <w:highlight w:val="none"/>
                <w:lang w:val="en-US" w:eastAsia="zh-CN" w:bidi="ar"/>
              </w:rPr>
              <w:suppressLineNumbers w:val="0"/>
            </w:pPr>
            <w:r>
              <w:rPr>
                <w:rStyle w:val="660"/>
                <w:rFonts w:hint="eastAsia" w:ascii="宋体" w:hAnsi="宋体" w:eastAsia="宋体" w:cs="宋体"/>
                <w:strike w:val="0"/>
                <w:color w:val="auto"/>
                <w:sz w:val="21"/>
                <w:szCs w:val="21"/>
                <w:highlight w:val="none"/>
                <w:lang w:val="en-US" w:eastAsia="zh-CN" w:bidi="ar"/>
              </w:rPr>
              <w:t xml:space="preserve">10、控制台整体燃烧测试等级达到阻燃1级，热释放速率应小于10KW，5分钟热释放量应小于1MJ，一氧化碳浓度应小于40ppm。</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1"/>
                <w:rFonts w:hint="eastAsia" w:ascii="宋体" w:hAnsi="宋体" w:eastAsia="宋体" w:cs="宋体"/>
                <w:b w:val="0"/>
                <w:bCs w:val="0"/>
                <w:strike w:val="0"/>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13、</w:t>
            </w:r>
            <w:r>
              <w:rPr>
                <w:rStyle w:val="661"/>
                <w:rFonts w:hint="eastAsia" w:ascii="宋体" w:hAnsi="宋体" w:eastAsia="宋体" w:cs="宋体"/>
                <w:b w:val="0"/>
                <w:bCs w:val="0"/>
                <w:strike w:val="0"/>
                <w:color w:val="auto"/>
                <w:sz w:val="21"/>
                <w:szCs w:val="21"/>
                <w:highlight w:val="none"/>
                <w:lang w:val="en-US" w:eastAsia="zh-CN" w:bidi="ar"/>
              </w:rPr>
              <w:t xml:space="preserve">显示器支架、钣金、铝合金在盐雾腐蚀100小时测试条件下，抗腐蚀能力不低于10级。</w:t>
            </w:r>
            <w:r/>
          </w:p>
          <w:p>
            <w:pPr>
              <w:jc w:val="left"/>
              <w:keepLines w:val="0"/>
              <w:keepNext w:val="0"/>
              <w:pageBreakBefore w:val="0"/>
              <w:spacing w:line="240" w:lineRule="auto"/>
              <w:shd w:val="clear" w:color="auto"/>
              <w:widowControl/>
              <w:rPr>
                <w:rStyle w:val="661"/>
                <w:rFonts w:hint="eastAsia" w:ascii="宋体" w:hAnsi="宋体" w:eastAsia="宋体" w:cs="宋体"/>
                <w:b/>
                <w:bCs/>
                <w:strike w:val="0"/>
                <w:color w:val="auto"/>
                <w:sz w:val="21"/>
                <w:szCs w:val="21"/>
                <w:highlight w:val="none"/>
                <w:lang w:val="en-US" w:eastAsia="zh-CN" w:bidi="ar"/>
              </w:rPr>
              <w:suppressLineNumbers w:val="0"/>
            </w:pPr>
            <w:r>
              <w:rPr>
                <w:rStyle w:val="661"/>
                <w:rFonts w:hint="eastAsia" w:ascii="宋体" w:hAnsi="宋体" w:eastAsia="宋体" w:cs="宋体"/>
                <w:b/>
                <w:bCs/>
                <w:color w:val="auto"/>
                <w:sz w:val="21"/>
                <w:szCs w:val="21"/>
                <w:highlight w:val="none"/>
                <w:lang w:val="en-US" w:eastAsia="zh-CN" w:bidi="ar"/>
              </w:rPr>
              <w:t xml:space="preserve">14、▲</w:t>
            </w:r>
            <w:r>
              <w:rPr>
                <w:rStyle w:val="660"/>
                <w:rFonts w:hint="eastAsia" w:ascii="宋体" w:hAnsi="宋体" w:eastAsia="宋体" w:cs="宋体"/>
                <w:b/>
                <w:bCs/>
                <w:color w:val="auto"/>
                <w:sz w:val="21"/>
                <w:szCs w:val="21"/>
                <w:highlight w:val="none"/>
                <w:lang w:val="en-US" w:eastAsia="zh-CN" w:bidi="ar"/>
              </w:rPr>
              <w:t xml:space="preserve">控制台采用的防火板饰面刨花板需具有抗菌性能，金黄色葡萄球菌抗（细）菌率99%以上，抗霉菌性能达到0级。</w:t>
            </w:r>
            <w:r>
              <w:rPr>
                <w:rStyle w:val="661"/>
                <w:rFonts w:hint="eastAsia" w:ascii="宋体" w:hAnsi="宋体" w:eastAsia="宋体" w:cs="宋体"/>
                <w:b/>
                <w:bCs/>
                <w:strike w:val="0"/>
                <w:color w:val="auto"/>
                <w:sz w:val="21"/>
                <w:szCs w:val="21"/>
                <w:highlight w:val="none"/>
                <w:lang w:val="en-US" w:eastAsia="zh-CN" w:bidi="ar"/>
              </w:rPr>
              <w:t xml:space="preserve">（提供第三方检测报告原件扫描件并加盖公章）</w:t>
            </w:r>
            <w:r/>
          </w:p>
          <w:p>
            <w:pPr>
              <w:jc w:val="left"/>
              <w:keepLines w:val="0"/>
              <w:keepNext w:val="0"/>
              <w:pageBreakBefore w:val="0"/>
              <w:spacing w:line="240" w:lineRule="auto"/>
              <w:shd w:val="clear" w:color="auto"/>
              <w:widowControl/>
              <w:rPr>
                <w:rStyle w:val="660"/>
                <w:rFonts w:hint="default"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b/>
                <w:bCs/>
                <w:color w:val="auto"/>
                <w:sz w:val="21"/>
                <w:szCs w:val="21"/>
                <w:highlight w:val="none"/>
                <w:lang w:val="en-US" w:eastAsia="zh-CN" w:bidi="ar"/>
              </w:rPr>
              <w:t xml:space="preserve">15、▲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提供CNAS或CMA认可的检测报告原件扫描件并加盖公章）</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16、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▲为保证灯光控制系统的功能完整性，控制台所配备的灯光控制软件应进行功能性检测，且检测项应全部通过。（提供CNAS或CMA认可的检测报告原件扫描件并加盖公章）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94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综合统筹区鱼骨型6人操作员席位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Style w:val="660"/>
                <w:rFonts w:hint="eastAsia" w:ascii="宋体" w:hAnsi="宋体" w:eastAsia="宋体" w:cs="宋体"/>
                <w:strike w:val="0"/>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1、操作台尺寸：长≦4600mm，宽≦2700mm，高≦740mm，深度≦800mm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b w:val="0"/>
                <w:bCs w:val="0"/>
                <w:color w:val="auto"/>
                <w:sz w:val="21"/>
                <w:szCs w:val="21"/>
                <w:highlight w:val="none"/>
                <w:lang w:val="en-US" w:eastAsia="zh-CN" w:bidi="ar"/>
              </w:rPr>
              <w:t xml:space="preserve">4、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5、前、后门板：前后门板使用实木颗粒板双帖防火板加工，整体厚度应为20mm。门板应采用PUR封边工艺。同时铰链应经200h中性盐雾测试后性能评级达10级水准。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8、▲</w:t>
            </w:r>
            <w:r>
              <w:rPr>
                <w:rStyle w:val="660"/>
                <w:rFonts w:hint="eastAsia" w:ascii="宋体" w:hAnsi="宋体" w:eastAsia="宋体" w:cs="宋体"/>
                <w:b/>
                <w:bCs/>
                <w:color w:val="auto"/>
                <w:sz w:val="21"/>
                <w:szCs w:val="21"/>
                <w:highlight w:val="none"/>
                <w:lang w:val="en-US" w:eastAsia="zh-CN" w:bidi="ar"/>
              </w:rPr>
              <w:t xml:space="preserve">控制台整体应有符合对应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9"/>
                <w:rFonts w:hint="eastAsia" w:ascii="宋体" w:hAnsi="宋体" w:eastAsia="宋体" w:cs="宋体"/>
                <w:b/>
                <w:bCs/>
                <w:color w:val="auto"/>
                <w:sz w:val="21"/>
                <w:szCs w:val="21"/>
                <w:highlight w:val="none"/>
                <w:lang w:val="en-US" w:eastAsia="zh-CN" w:bidi="ar"/>
              </w:rPr>
              <w:t xml:space="preserve">（</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9</w:t>
            </w:r>
            <w:r>
              <w:rPr>
                <w:rStyle w:val="660"/>
                <w:rFonts w:hint="eastAsia" w:ascii="宋体" w:hAnsi="宋体" w:eastAsia="宋体" w:cs="宋体"/>
                <w:i w:val="0"/>
                <w:iCs w:val="0"/>
                <w:color w:val="auto"/>
                <w:sz w:val="21"/>
                <w:szCs w:val="21"/>
                <w:highlight w:val="none"/>
                <w:u w:val="none"/>
                <w:lang w:val="en-US" w:eastAsia="zh-CN" w:bidi="ar"/>
              </w:rPr>
              <w:t xml:space="preserve">、</w:t>
            </w:r>
            <w:r>
              <w:rPr>
                <w:rStyle w:val="660"/>
                <w:rFonts w:hint="eastAsia" w:ascii="宋体" w:hAnsi="宋体" w:eastAsia="宋体" w:cs="宋体"/>
                <w:b w:val="0"/>
                <w:bCs w:val="0"/>
                <w:color w:val="auto"/>
                <w:sz w:val="21"/>
                <w:szCs w:val="21"/>
                <w:highlight w:val="none"/>
                <w:lang w:val="en-US" w:eastAsia="zh-CN" w:bidi="ar"/>
              </w:rPr>
              <w:t xml:space="preserve">中纤板板内密度偏差应不大于2%，含水率应小于6%，TVOC应≤0.02mg/(㎡.h）。</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10、控制台整体燃烧测试等级达到阻燃1级，热释放速率应小于10KW，5分钟热释放量应小于1MJ，一氧化碳浓度应小于40ppm。</w:t>
            </w:r>
            <w:r/>
          </w:p>
          <w:p>
            <w:p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b/>
                <w:bCs/>
                <w:color w:val="auto"/>
                <w:sz w:val="21"/>
                <w:szCs w:val="21"/>
                <w:highlight w:val="none"/>
                <w:lang w:val="en-US" w:eastAsia="zh-CN" w:bidi="ar"/>
              </w:rPr>
              <w:t xml:space="preserve">13、▲</w:t>
            </w:r>
            <w:r>
              <w:rPr>
                <w:rStyle w:val="661"/>
                <w:rFonts w:hint="eastAsia" w:ascii="宋体" w:hAnsi="宋体" w:eastAsia="宋体" w:cs="宋体"/>
                <w:b/>
                <w:bCs/>
                <w:strike w:val="0"/>
                <w:color w:val="auto"/>
                <w:sz w:val="21"/>
                <w:szCs w:val="21"/>
                <w:highlight w:val="none"/>
                <w:lang w:val="en-US" w:eastAsia="zh-CN" w:bidi="ar"/>
              </w:rPr>
              <w:t xml:space="preserve">显示器支架、钣金、铝合金在盐雾腐蚀100小时测试条件下，抗腐蚀能力不低于10级。</w:t>
            </w:r>
            <w:r>
              <w:rPr>
                <w:rStyle w:val="661"/>
                <w:rFonts w:hint="eastAsia" w:ascii="宋体" w:hAnsi="宋体" w:eastAsia="宋体" w:cs="宋体"/>
                <w:b/>
                <w:bCs/>
                <w:color w:val="auto"/>
                <w:sz w:val="21"/>
                <w:szCs w:val="21"/>
                <w:highlight w:val="none"/>
                <w:lang w:val="en-US" w:eastAsia="zh-CN" w:bidi="ar"/>
              </w:rPr>
              <w:t xml:space="preserve">（提供CNAS或CMA认可的检测报告原件扫描件并加盖公章）</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14、控制台采用的防火板饰面刨花板需具有抗菌性能，金黄色葡萄球菌抗（细）菌率99%以上，抗霉菌性能达到0级。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16、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为保证灯光控制系统的功能完整性，控制台所配备的灯光控制软件应进行功能性检测，且检测项应全部通过。</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44"/>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大数据赋能区梅花型3人操作员席位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numPr>
                <w:ilvl w:val="0"/>
                <w:numId w:val="0"/>
              </w:num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rPr>
                <w:rStyle w:val="660"/>
                <w:rFonts w:hint="eastAsia" w:ascii="宋体" w:hAnsi="宋体" w:eastAsia="宋体" w:cs="宋体"/>
                <w:color w:val="auto"/>
                <w:sz w:val="21"/>
                <w:szCs w:val="21"/>
                <w:highlight w:val="none"/>
                <w:lang w:val="en-US" w:eastAsia="zh-CN" w:bidi="ar"/>
              </w:rPr>
              <w:t xml:space="preserve">操作台尺寸：长≦2100mm，宽≦2700mm，高≦740mm，深度≦800mm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满足不低于5级。</w:t>
            </w:r>
            <w:r/>
          </w:p>
          <w:p>
            <w:pPr>
              <w:numPr>
                <w:ilvl w:val="0"/>
                <w:numId w:val="0"/>
              </w:numPr>
              <w:ind w:left="0" w:firstLine="0"/>
              <w:jc w:val="left"/>
              <w:keepLines w:val="0"/>
              <w:keepNext w:val="0"/>
              <w:pageBreakBefore w:val="0"/>
              <w:spacing w:line="240" w:lineRule="auto"/>
              <w:shd w:val="clear" w:color="auto"/>
              <w:widowControl/>
              <w:rPr>
                <w:rStyle w:val="660"/>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w:t>
            </w:r>
            <w:r>
              <w:rPr>
                <w:rStyle w:val="660"/>
                <w:rFonts w:hint="eastAsia" w:ascii="宋体" w:hAnsi="宋体" w:eastAsia="宋体" w:cs="宋体"/>
                <w:color w:val="auto"/>
                <w:sz w:val="21"/>
                <w:szCs w:val="21"/>
                <w:highlight w:val="none"/>
                <w:lang w:val="en-US" w:eastAsia="zh-CN" w:bidi="ar"/>
              </w:rPr>
              <w:t xml:space="preserve">侧板：侧板材质应为木制，应为模块化设计样式，方便安装；可以对LOGO定制化要求，依据提供LOGO标识进行生产制作。</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w:t>
            </w:r>
            <w:r>
              <w:rPr>
                <w:rStyle w:val="660"/>
                <w:rFonts w:hint="eastAsia" w:ascii="宋体" w:hAnsi="宋体" w:eastAsia="宋体" w:cs="宋体"/>
                <w:b w:val="0"/>
                <w:bCs w:val="0"/>
                <w:color w:val="auto"/>
                <w:sz w:val="21"/>
                <w:szCs w:val="21"/>
                <w:highlight w:val="none"/>
                <w:lang w:val="en-US" w:eastAsia="zh-CN" w:bidi="ar"/>
              </w:rPr>
              <w:t xml:space="preserve">主体框架：为确保钢度及方正性，满足工程的受力强度要求，主体框架结构应使用优质冷轧钢板。控制台所使用的冷轧钢板涂层应无漏喷、锈蚀和脱色、掉色现象；涂层应光滑均匀，色泽一致，应无流挂、疙瘩、皱皮、飞漆等缺陷；中性盐雾连续喷雾150小时，涂层本身的耐腐蚀等级应为10级，涂层对基体的保护等级应为10级。</w:t>
            </w:r>
            <w:r/>
          </w:p>
          <w:p>
            <w:pPr>
              <w:numPr>
                <w:ilvl w:val="0"/>
                <w:numId w:val="0"/>
              </w:numPr>
              <w:jc w:val="left"/>
              <w:keepLines w:val="0"/>
              <w:keepNext w:val="0"/>
              <w:pageBreakBefore w:val="0"/>
              <w:spacing w:line="240" w:lineRule="auto"/>
              <w:shd w:val="clear" w:color="auto"/>
              <w:widowControl/>
              <w:rPr>
                <w:rStyle w:val="660"/>
                <w:rFonts w:hint="eastAsia" w:ascii="宋体" w:hAnsi="宋体" w:eastAsia="宋体" w:cs="宋体"/>
                <w:color w:val="auto"/>
                <w:sz w:val="21"/>
                <w:szCs w:val="21"/>
                <w:highlight w:val="none"/>
                <w:lang w:val="en-US" w:eastAsia="zh-CN" w:bidi="ar"/>
              </w:rPr>
              <w:suppressLineNumbers w:val="0"/>
            </w:pPr>
            <w:r>
              <w:rPr>
                <w:rStyle w:val="661"/>
                <w:rFonts w:hint="eastAsia" w:ascii="宋体" w:hAnsi="宋体" w:eastAsia="宋体" w:cs="宋体"/>
                <w:color w:val="auto"/>
                <w:sz w:val="21"/>
                <w:szCs w:val="21"/>
                <w:highlight w:val="none"/>
                <w:lang w:val="en-US" w:eastAsia="zh-CN" w:bidi="ar"/>
              </w:rPr>
              <w:t xml:space="preserve">5、</w:t>
            </w:r>
            <w:r>
              <w:rPr>
                <w:rStyle w:val="659"/>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b/>
                <w:bCs/>
                <w:color w:val="auto"/>
                <w:sz w:val="21"/>
                <w:szCs w:val="21"/>
                <w:highlight w:val="none"/>
                <w:lang w:val="en-US" w:eastAsia="zh-CN" w:bidi="ar"/>
              </w:rPr>
              <w:t xml:space="preserve">前、后门板：前后门板使用实木颗粒板双帖防火板加工，整体厚度应为20mm。门板应采用PUR封边工艺。同时铰链应经200h中性盐雾测试后性能评级达10级水准。</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rPr>
                <w:rStyle w:val="661"/>
                <w:rFonts w:hint="eastAsia" w:ascii="宋体" w:hAnsi="宋体" w:eastAsia="宋体" w:cs="宋体"/>
                <w:color w:val="auto"/>
                <w:sz w:val="21"/>
                <w:szCs w:val="21"/>
                <w:highlight w:val="none"/>
                <w:lang w:val="en-US" w:eastAsia="zh-CN" w:bidi="ar"/>
              </w:rPr>
              <w:t xml:space="preserve">。</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控制台整体应有符合对应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p>
          <w:p>
            <w:pPr>
              <w:jc w:val="left"/>
              <w:keepLines w:val="0"/>
              <w:keepNext w:val="0"/>
              <w:pageBreakBefore w:val="0"/>
              <w:spacing w:line="240" w:lineRule="auto"/>
              <w:shd w:val="clear" w:color="auto"/>
              <w:widowControl/>
              <w:rPr>
                <w:rStyle w:val="660"/>
                <w:rFonts w:hint="eastAsia" w:ascii="宋体" w:hAnsi="宋体" w:eastAsia="宋体" w:cs="宋体"/>
                <w:b w:val="0"/>
                <w:bCs w:val="0"/>
                <w:color w:val="auto"/>
                <w:sz w:val="21"/>
                <w:szCs w:val="21"/>
                <w:highlight w:val="none"/>
                <w:lang w:val="en-US" w:eastAsia="zh-CN" w:bidi="ar"/>
              </w:rPr>
              <w:suppressLineNumbers w:val="0"/>
            </w:pPr>
            <w:r>
              <w:rPr>
                <w:rStyle w:val="660"/>
                <w:rFonts w:hint="eastAsia" w:ascii="宋体" w:hAnsi="宋体" w:eastAsia="宋体" w:cs="宋体"/>
                <w:b w:val="0"/>
                <w:bCs w:val="0"/>
                <w:color w:val="auto"/>
                <w:sz w:val="21"/>
                <w:szCs w:val="21"/>
                <w:highlight w:val="none"/>
                <w:lang w:val="en-US" w:eastAsia="zh-CN" w:bidi="ar"/>
              </w:rPr>
              <w:t xml:space="preserve">9、中纤板板内密度偏差应不大于2%，含水率应小于6%，TVOC应≤0.02mg/(㎡.h）。</w:t>
            </w:r>
            <w:r/>
          </w:p>
          <w:p>
            <w:pPr>
              <w:jc w:val="left"/>
              <w:keepLines w:val="0"/>
              <w:keepNext w:val="0"/>
              <w:pageBreakBefore w:val="0"/>
              <w:spacing w:line="240" w:lineRule="auto"/>
              <w:shd w:val="clear" w:color="auto"/>
              <w:widowControl/>
              <w:rPr>
                <w:rStyle w:val="660"/>
                <w:rFonts w:hint="eastAsia" w:ascii="宋体" w:hAnsi="宋体" w:eastAsia="宋体" w:cs="宋体"/>
                <w:strike w:val="0"/>
                <w:color w:val="auto"/>
                <w:sz w:val="21"/>
                <w:szCs w:val="21"/>
                <w:highlight w:val="none"/>
                <w:lang w:val="en-US" w:eastAsia="zh-CN" w:bidi="ar"/>
              </w:rPr>
              <w:suppressLineNumbers w:val="0"/>
            </w:pPr>
            <w:r>
              <w:rPr>
                <w:rStyle w:val="660"/>
                <w:rFonts w:hint="eastAsia" w:ascii="宋体" w:hAnsi="宋体" w:eastAsia="宋体" w:cs="宋体"/>
                <w:strike w:val="0"/>
                <w:color w:val="auto"/>
                <w:sz w:val="21"/>
                <w:szCs w:val="21"/>
                <w:highlight w:val="none"/>
                <w:lang w:val="en-US" w:eastAsia="zh-CN" w:bidi="ar"/>
              </w:rPr>
              <w:t xml:space="preserve">10、控制台整体燃烧测试等级达到阻燃1级，热释放速率应小于10KW，5分钟热释放量应小于1MJ，一氧化碳浓度应小于40ppm。</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b w:val="0"/>
                <w:bCs w:val="0"/>
                <w:strike w:val="0"/>
                <w:color w:val="auto"/>
                <w:sz w:val="21"/>
                <w:szCs w:val="21"/>
                <w:highlight w:val="none"/>
                <w:lang w:val="en-US" w:eastAsia="zh-CN" w:bidi="ar"/>
              </w:rPr>
              <w:t xml:space="preserve">11、为避免静电敏感元器件以及工作人员遭受静电损伤，产品需设置防静电接地处理，控制台整体应进行接地电阻检测，测试结果应不超过0.1</w:t>
            </w:r>
            <w:r>
              <w:rPr>
                <w:rStyle w:val="663"/>
                <w:rFonts w:hint="eastAsia" w:ascii="宋体" w:hAnsi="宋体" w:eastAsia="宋体" w:cs="宋体"/>
                <w:b w:val="0"/>
                <w:bCs w:val="0"/>
                <w:strike w:val="0"/>
                <w:color w:val="auto"/>
                <w:sz w:val="21"/>
                <w:szCs w:val="21"/>
                <w:highlight w:val="none"/>
                <w:lang w:val="en-US" w:eastAsia="zh-CN" w:bidi="ar"/>
              </w:rPr>
              <w:t xml:space="preserve">Ω。</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strike w:val="0"/>
                <w:color w:val="auto"/>
                <w:sz w:val="21"/>
                <w:szCs w:val="21"/>
                <w:highlight w:val="none"/>
                <w:lang w:val="en-US" w:eastAsia="zh-CN" w:bidi="ar"/>
              </w:rPr>
              <w:t xml:space="preserve">12、控制台应在配重200kg的工况下，通过9烈度抗震试验；</w:t>
            </w:r>
            <w:r/>
          </w:p>
          <w:p>
            <w:pPr>
              <w:jc w:val="left"/>
              <w:keepLines w:val="0"/>
              <w:keepNext w:val="0"/>
              <w:pageBreakBefore w:val="0"/>
              <w:spacing w:line="240" w:lineRule="auto"/>
              <w:shd w:val="clear" w:color="auto"/>
              <w:widowControl/>
              <w:rPr>
                <w:rStyle w:val="661"/>
                <w:rFonts w:hint="eastAsia" w:ascii="宋体" w:hAnsi="宋体" w:eastAsia="宋体" w:cs="宋体"/>
                <w:b w:val="0"/>
                <w:bCs w:val="0"/>
                <w:color w:val="auto"/>
                <w:sz w:val="21"/>
                <w:szCs w:val="21"/>
                <w:highlight w:val="none"/>
                <w:lang w:val="en-US" w:eastAsia="zh-CN" w:bidi="ar"/>
              </w:rPr>
              <w:suppressLineNumbers w:val="0"/>
            </w:pPr>
            <w:r>
              <w:rPr>
                <w:rStyle w:val="661"/>
                <w:rFonts w:hint="eastAsia" w:ascii="宋体" w:hAnsi="宋体" w:eastAsia="宋体" w:cs="宋体"/>
                <w:b w:val="0"/>
                <w:bCs w:val="0"/>
                <w:strike w:val="0"/>
                <w:color w:val="auto"/>
                <w:sz w:val="21"/>
                <w:szCs w:val="21"/>
                <w:highlight w:val="none"/>
                <w:lang w:val="en-US" w:eastAsia="zh-CN" w:bidi="ar"/>
              </w:rPr>
              <w:t xml:space="preserve">13、显示器支架、钣金、铝合金在盐雾腐蚀100小时测试条件下，抗腐蚀能力不低于10级。</w:t>
            </w:r>
            <w:r/>
          </w:p>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14、控制台采用的防火板饰面刨花板需具有抗菌性能，金黄色葡萄球菌抗（细）菌率99%以上，抗霉菌性能达到0级。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15、为保证控制台灯光控制功能的安全可靠，其灯光控制器在进行高温70℃，低温-10℃的环境测试下，产品外观、结构和功能应正常。控制台所配备的灯光控制软件应进行功能性检测，应满足氛围颜色切换、控制模式切换、RGB颜色调整、光源模式切换、设置还原、灯光电话联动功能，且用例执行率100%。</w:t>
            </w:r>
            <w:r>
              <w:rPr>
                <w:rStyle w:val="660"/>
                <w:rFonts w:hint="eastAsia" w:ascii="宋体" w:hAnsi="宋体" w:eastAsia="宋体" w:cs="宋体"/>
                <w:color w:val="auto"/>
                <w:sz w:val="21"/>
                <w:szCs w:val="21"/>
                <w:highlight w:val="none"/>
                <w:lang w:val="en-US" w:eastAsia="zh-CN" w:bidi="ar"/>
              </w:rPr>
              <w:br/>
            </w:r>
            <w:r>
              <w:rPr>
                <w:rStyle w:val="661"/>
                <w:rFonts w:hint="eastAsia" w:ascii="宋体" w:hAnsi="宋体" w:eastAsia="宋体" w:cs="宋体"/>
                <w:color w:val="auto"/>
                <w:sz w:val="21"/>
                <w:szCs w:val="21"/>
                <w:highlight w:val="none"/>
                <w:lang w:val="en-US" w:eastAsia="zh-CN" w:bidi="ar"/>
              </w:rPr>
              <w:t xml:space="preserve">16、▲</w:t>
            </w:r>
            <w:r>
              <w:rPr>
                <w:rStyle w:val="660"/>
                <w:rFonts w:hint="eastAsia" w:ascii="宋体" w:hAnsi="宋体" w:eastAsia="宋体" w:cs="宋体"/>
                <w:b/>
                <w:bCs/>
                <w:color w:val="auto"/>
                <w:sz w:val="21"/>
                <w:szCs w:val="21"/>
                <w:highlight w:val="none"/>
                <w:lang w:val="en-US" w:eastAsia="zh-CN" w:bidi="ar"/>
              </w:rPr>
              <w:t xml:space="preserve">为确保信息安全，控制台的传导发射、辐射骚扰测试结果应检测合格，符合对应检测标准要求；控制台静电放电抗扰度、射频电磁场辐射抗扰度、电快速瞬变脉冲群抗扰度、浪涌（冲击）抗扰度、射频场感应的传导骚扰抗扰度的测试结果应符合对应检测标准要求，结果判定应均为A级。</w:t>
            </w:r>
            <w:r>
              <w:rPr>
                <w:rStyle w:val="659"/>
                <w:rFonts w:hint="eastAsia" w:ascii="宋体" w:hAnsi="宋体" w:eastAsia="宋体" w:cs="宋体"/>
                <w:color w:val="auto"/>
                <w:sz w:val="21"/>
                <w:szCs w:val="21"/>
                <w:highlight w:val="none"/>
                <w:lang w:val="en-US" w:eastAsia="zh-CN" w:bidi="ar"/>
              </w:rPr>
              <w:t xml:space="preserve">（提供CNAS或CMA认可的检测报告原件扫描件并加盖公章）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spacing w:line="240" w:lineRule="auto"/>
              <w:shd w:val="clear" w:color="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为保证灯光控制系统的功能完整性，控制台所配备的灯光控制软件应进行功能性检测，且检测项应全部通过。</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43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融合侦研区18人会议桌</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numPr>
                <w:ilvl w:val="0"/>
                <w:numId w:val="2"/>
              </w:numPr>
              <w:jc w:val="left"/>
              <w:keepLines w:val="0"/>
              <w:keepNext w:val="0"/>
              <w:pageBreakBefore w:val="0"/>
              <w:spacing w:line="240" w:lineRule="auto"/>
              <w:shd w:val="clear" w:color="auto"/>
              <w:widowControl/>
              <w:rPr>
                <w:rStyle w:val="661"/>
                <w:rFonts w:hint="eastAsia" w:ascii="宋体" w:hAnsi="宋体" w:eastAsia="宋体" w:cs="宋体"/>
                <w:color w:val="auto"/>
                <w:sz w:val="21"/>
                <w:szCs w:val="21"/>
                <w:highlight w:val="none"/>
                <w:lang w:val="en-US" w:eastAsia="zh-CN" w:bidi="ar"/>
              </w:rPr>
              <w:suppressLineNumbers w:val="0"/>
            </w:pPr>
            <w:r>
              <w:rPr>
                <w:rStyle w:val="660"/>
                <w:rFonts w:hint="eastAsia" w:ascii="宋体" w:hAnsi="宋体" w:eastAsia="宋体" w:cs="宋体"/>
                <w:color w:val="auto"/>
                <w:sz w:val="21"/>
                <w:szCs w:val="21"/>
                <w:highlight w:val="none"/>
                <w:lang w:val="en-US" w:eastAsia="zh-CN" w:bidi="ar"/>
              </w:rPr>
              <w:t xml:space="preserve">操作台尺寸：长≦6950mm，宽≦1550mm，高≦740mm（实际尺寸根据现场实际情况复核后和甲方意见为准）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2、框架结构：主体框架结构使用铝型材和钣金结合的结构，其中面板支撑采用2.5mm的优质冷轧钢板加工而成。</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3、台面板：面板使用刨花板+防火板制成，整体厚度为27mm,符合相关环保标准。面板前侧封边为鸭嘴边封边，厚度为27mm，宽度为39mm；与桌面材质无缝粘接，保证整体外观协调统一。</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4、会议桌中所使用的铝合金通过盐雾试验，且达到100h十级。</w:t>
            </w:r>
            <w:r/>
          </w:p>
          <w:p>
            <w:pPr>
              <w:numPr>
                <w:ilvl w:val="0"/>
                <w:numId w:val="0"/>
              </w:num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1"/>
                <w:rFonts w:hint="eastAsia" w:ascii="宋体" w:hAnsi="宋体" w:eastAsia="宋体" w:cs="宋体"/>
                <w:color w:val="auto"/>
                <w:sz w:val="21"/>
                <w:szCs w:val="21"/>
                <w:highlight w:val="none"/>
                <w:lang w:val="en-US" w:eastAsia="zh-CN" w:bidi="ar"/>
              </w:rPr>
              <w:t xml:space="preserve">5、▲会议桌木质件表面贴面层，耐污染、耐湿热达到5级，抗冲击不低于2级，其中有害物质甲醛释放量≤0.009mg/m³，达到或优于E1级。（提供CNAS或CMA认可的检测报告原件扫描件并加盖公章）</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6、会议桌整体燃烧测试达到等级应不低于阻燃1级，质量损失率不大于0.13%，其中“一氧化碳”释放量最高为99ppm。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门板使用刨花板+防火板制成，整体厚度为20mm，采用PUR封边工艺，胶线较普通封边更小，同时，避免了封边后期脱落问题，环保性能更优，具有更优良的耐水蒸汽性、抗腐蚀性、耐久性、耐热性、抗寒性；使用铰链连接到框架上，保证其200000次无障碍开启，可实现快速安装和拆卸；</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b/>
                <w:bCs/>
                <w:color w:val="auto"/>
                <w:sz w:val="21"/>
                <w:szCs w:val="21"/>
                <w:highlight w:val="none"/>
                <w:lang w:val="en-US" w:eastAsia="zh-CN" w:bidi="ar"/>
              </w:rPr>
              <w:t xml:space="preserve">8</w:t>
            </w:r>
            <w:r>
              <w:rPr>
                <w:rStyle w:val="661"/>
                <w:rFonts w:hint="eastAsia" w:ascii="宋体" w:hAnsi="宋体" w:eastAsia="宋体" w:cs="宋体"/>
                <w:b/>
                <w:bCs/>
                <w:color w:val="auto"/>
                <w:sz w:val="21"/>
                <w:szCs w:val="21"/>
                <w:highlight w:val="none"/>
                <w:lang w:val="en-US" w:eastAsia="zh-CN" w:bidi="ar"/>
              </w:rPr>
              <w:t xml:space="preserve">、</w:t>
            </w:r>
            <w:r>
              <w:rPr>
                <w:rStyle w:val="661"/>
                <w:rFonts w:hint="eastAsia" w:ascii="宋体" w:hAnsi="宋体" w:eastAsia="宋体" w:cs="宋体"/>
                <w:color w:val="auto"/>
                <w:sz w:val="21"/>
                <w:szCs w:val="21"/>
                <w:highlight w:val="none"/>
                <w:lang w:val="en-US" w:eastAsia="zh-CN" w:bidi="ar"/>
              </w:rPr>
              <w:t xml:space="preserve">▲会议桌所使用的刨花板和防火板应通过检测，甲醛释放未检出，符合Enf级要求。提供CNAS或CMA认可的检测报告原件扫描件并加盖公章）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400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实战指挥室20人会议桌</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60"/>
                <w:rFonts w:hint="eastAsia" w:ascii="宋体" w:hAnsi="宋体" w:eastAsia="宋体" w:cs="宋体"/>
                <w:color w:val="auto"/>
                <w:sz w:val="21"/>
                <w:szCs w:val="21"/>
                <w:highlight w:val="none"/>
                <w:lang w:val="en-US" w:eastAsia="zh-CN" w:bidi="ar"/>
              </w:rPr>
              <w:t xml:space="preserve">1、操作台尺寸：长≦7850mm，宽≦2150mm，高≦740mm（实际尺寸根据现场实际情况复核后和甲方意见为准）</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2、框架结构：主体框架结构使用铝型材和钣金结合的结构，其中面板支撑采用2.5mm的优质冷轧钢板加工而成。</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3、台面板：面板使用刨花板+防火板制成，整体厚度为27mm,符合相关环保标准。面板前侧封边为鸭嘴边封边，厚度为27mm，宽度为39mm；与桌面材质无缝粘接，保证整体外观协调统一。</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b w:val="0"/>
                <w:bCs w:val="0"/>
                <w:color w:val="auto"/>
                <w:sz w:val="21"/>
                <w:szCs w:val="21"/>
                <w:highlight w:val="none"/>
                <w:lang w:val="en-US" w:eastAsia="zh-CN" w:bidi="ar"/>
              </w:rPr>
              <w:t xml:space="preserve">4、会议桌中所使用的铝合金通过盐雾试验，且达到100h十级。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5、</w:t>
            </w:r>
            <w:r>
              <w:rPr>
                <w:rStyle w:val="661"/>
                <w:rFonts w:hint="eastAsia" w:ascii="宋体" w:hAnsi="宋体" w:eastAsia="宋体" w:cs="宋体"/>
                <w:b w:val="0"/>
                <w:bCs w:val="0"/>
                <w:color w:val="auto"/>
                <w:sz w:val="21"/>
                <w:szCs w:val="21"/>
                <w:highlight w:val="none"/>
                <w:lang w:val="en-US" w:eastAsia="zh-CN" w:bidi="ar"/>
              </w:rPr>
              <w:t xml:space="preserve">会议桌木质件表面贴面层，耐污染、耐湿热达到5级，抗冲击不低于2级，其中有害物质甲醛释放量≤0.009mg/m³，达到或优于E1级。</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6、会议桌整体燃烧测试达到等级应不低于阻燃1级，质量损失率不大于0.13%，其中“一氧化碳”释放量最高为99ppm。</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7、门板使用刨花板+防火板制成，整体厚度为20mm，采用PUR封边工艺，胶线较普通封边更小，同时，避免了封边后期脱落问题，环保性能更优，具有更优良的耐水蒸汽性、抗腐蚀性、耐久性、耐热性、抗寒性；使用铰链连接到框架上，保证其200000次无障碍开启，可实现快速安装和拆卸；</w:t>
            </w:r>
            <w:r>
              <w:rPr>
                <w:rStyle w:val="660"/>
                <w:rFonts w:hint="eastAsia" w:ascii="宋体" w:hAnsi="宋体" w:eastAsia="宋体" w:cs="宋体"/>
                <w:color w:val="auto"/>
                <w:sz w:val="21"/>
                <w:szCs w:val="21"/>
                <w:highlight w:val="none"/>
                <w:lang w:val="en-US" w:eastAsia="zh-CN" w:bidi="ar"/>
              </w:rPr>
              <w:br/>
            </w:r>
            <w:r>
              <w:rPr>
                <w:rStyle w:val="660"/>
                <w:rFonts w:hint="eastAsia" w:ascii="宋体" w:hAnsi="宋体" w:eastAsia="宋体" w:cs="宋体"/>
                <w:color w:val="auto"/>
                <w:sz w:val="21"/>
                <w:szCs w:val="21"/>
                <w:highlight w:val="none"/>
                <w:lang w:val="en-US" w:eastAsia="zh-CN" w:bidi="ar"/>
              </w:rPr>
              <w:t xml:space="preserve">8、</w:t>
            </w:r>
            <w:r>
              <w:rPr>
                <w:rStyle w:val="661"/>
                <w:rFonts w:hint="eastAsia" w:ascii="宋体" w:hAnsi="宋体" w:eastAsia="宋体" w:cs="宋体"/>
                <w:b w:val="0"/>
                <w:bCs w:val="0"/>
                <w:color w:val="auto"/>
                <w:sz w:val="21"/>
                <w:szCs w:val="21"/>
                <w:highlight w:val="none"/>
                <w:lang w:val="en-US" w:eastAsia="zh-CN" w:bidi="ar"/>
              </w:rPr>
              <w:t xml:space="preserve">会议桌所使用的刨花板和防火板应通过检测，甲醛释放未检出，符合Enf级要求。</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茶水间-休闲椅子</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1、尺寸：560mm×540mm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茶水间-茶几</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2、材质：岩板饰面，采用五底三磨工艺，绿色环保油漆，黑色铁艺喷涂脚架 </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特色工作室-办公桌</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1、尺寸：1600mm×700mm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特色工作室-办公椅</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1、尺寸：550mm×530mm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2、优质西皮饰面，靠背.坐垫内置再生回弹海绵 ；高标准扁管电镀弓形椅架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特色工作室-休闲椅子</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1、尺寸：560mm×540mm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特色工作室-高柜</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1、尺寸：2400mm×400mm×2000mm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特色工作室-茶几</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2、材质：岩板饰面，采用五底三磨工艺，绿色环保油漆，黑色铁艺喷涂脚架 </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工作室-办公桌</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1、尺寸：1400mm×700mm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工作室-高柜</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1、尺寸：2400mm×400mm×2000mm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工作室-办公椅</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1、尺寸：550mm×530mm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2、材质：优质西皮饰面，靠背.坐垫内置再生回弹海绵；高标准扁管电镀弓形椅架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备勤室-床</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1、尺寸：1200mm×2000mm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2、材质：优质橡木，环保油漆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备勤室-床头柜</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2、材质：优质橡木，环保油漆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备勤室-休闲椅子</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1、尺寸：560mm×540mm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档案室-资料柜</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1、尺寸：900mm×2400mm×400mm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2、材质：采用宝钢牌一级冷轧钢板，数控折弯一体成型新款窄边工艺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接待室会议桌</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1、尺寸：4000mm×1500mm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接待室接待椅</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1、材质：耐磨皮质面料、舒适座包，密度海绵填充，高承重脚轻音滑轮</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二楼会议椅</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1、耐磨皮质面料、舒适座包，密度海绵填充，铝合金固定四脚椅</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一楼办公椅</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1、头枕、背、座全为优质网布；头枕可高度及角度调整；椅背可高低调整；座垫可高低调整；扶手可高低升降</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外立面发光字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烤漆不锈钢围边亚克力发光字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1、3mm白色亚克力面板，1mm不锈钢表面做警务蓝烤漆，内置2835防水LED模组，色温10000K</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门厅-文化墙01</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1、精工不锈钢立体金属字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2、1mm不锈钢激光切割焊接打磨电镀/烤漆；字厚10-30mm，内衬10mm雪弗板</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门厅-文化墙02</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1、迷你发光字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门厅-文化墙03</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反诈打防区-文化墙01</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1、精工字(1mm不锈钢激光切割焊接打磨烤漆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2、背扣12mm透明磨砂亚克力，内置品牌LED模组，色温10000K)</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反诈打防区-文化墙02</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反诈打防区-文化墙03</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案件会商文化墙</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网络合成作战战训基地文化墙</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1、精工不锈钢立体金属字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2、1mm不锈钢激光切割焊接打磨电镀/烤漆；字厚20mm，内衬10mm厚雪弗板；</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专案侦研区-文化墙01</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专案侦研区-文化墙02</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传统盯案区-文化墙</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茶水间-文化墙</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备勤室-文化墙</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宣绒布UV喷印；2+8mm水晶字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10mm雪弗板UV覆钢化膜；或其他材料工艺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腰线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户外背胶PP或透明磨砂膜；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1440dpi彩白彩UV喷印</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1、亚克力或铝型材或不锈钢烤漆丝印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2、视甲方最终确认方案采取合适工艺</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VI设计、LOGO设计</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智慧侦查中心VI设计及LOGO设计</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1、基层材料品种、规格:50mm×50mm×3mm、热镀锌方管焊接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2、材料品种、规格:12mm厚水泥压力板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3、不含单列清单的广告部分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193.49 </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柱（梁）面装饰板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1、基层材料品种、规格:50mm×50mm×3mm、热镀锌方管焊接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2、材料品种、规格:12mm厚水泥压力板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3、不含单列清单的广告部分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3.77 </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1、部位：东侧墙面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2、字体材质：拉丝不锈钢文宣发光迷你字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3、字体内容：干就干最好 争就争第一、墙体logo等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警察剪影发光造型</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1、部位：东墙面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2、定制拉丝不锈钢激光切割发光造型，外喷灰色哑光汽车漆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发光箱体宣传栏</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1、位置：东侧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2、规格：2000mm×1000mm拉丝不锈钢发光灯箱体制安；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3、字体材质：定制拉丝不锈钢发光灯箱，不锈钢激光切割折边烤漆灯箱，钢化玻璃、另加装液压杆等</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定制不锈钢折边竖式艺术发光造型</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1、部位：东侧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2、墙面定制不锈钢折边竖式艺术发光造型</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装饰线条</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1、胶片装饰造型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2、定制不锈钢造型、烤专色漆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53.28</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结束语造型</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1、部位：东侧墙面结束语造型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2、字体材质：仿古铜立体字、仿古铜一字板造型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3、字体内容：有激情 有担当 有智慧有作为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发光箱体宣传画面</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1、位置：东侧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2、定制发光箱体内画面</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1、部位：西侧红边造型墙板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2、镀锌板折边烤哑光汽车漆，加装红色边条</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不锈钢大字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部位①：西侧墙面不锈钢16个大字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1、字体材质：不锈钢精品立体字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2、字体内容：政治建警 改革强警 科技兴警 从严治警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3、不锈钢激光切割，无痕打磨、平面围边精品字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4、1.0厚PVC衬底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5、具体式样满足甲方要求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部位②：西侧墙面不锈钢6个精品字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1、字体材质：不锈钢金漆球面精品立体字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2、字体内容：以人民为中心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3、不锈钢激光切割，无痕打磨、烤金漆精品字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4、1mm厚PVC衬底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不锈钢精品背发光立体字</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1、部位：西侧墙面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2、字体规格、材质：不锈钢精品背发光立体字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3、字体内容：WELCOME TO DAFENG POLICE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发光迷你字及警徽</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1、部位：西侧墙面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2、字体规格、材质：发光迷你字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3、字体内容：大丰公安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背发光双层假山造型</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1、部位：定制西侧墙面背发光双层假山造型、烤灰色汽车漆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施工宣传临时围挡</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1、钢架：镀锌型钢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2、墙板：绿草皮色彩钢板</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22"/>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文化墙配套安装及服务</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1、拆除工程：1）原宣传栏、装饰板拆除，修凿剥离突出的砌体，铲除围墙涂料及抹灰基层至砖砌体；2）含垃圾清除、外运出现场（运距由投标人自行考虑在报价中）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2、围墙加高：砌块品种、规格、强度等级:水泥标准砖，砂浆：水泥M5.0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3、围墙墙面一般抹灰：1）底层厚度、砂浆配合比:10厚1：1：6混合砂浆底层；2）面层厚度、砂浆配合比:8厚1：1：4混合砂浆面层；3）满铺耐碱玻纤网格布一道（剥离墙面处找平，其他墙面粉平）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4、修缮：1）围墙顶飞檐钢骨架基层及铝塑板面层维修加固处理</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3239"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1、工程部位:围墙及飞檐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2、腻子种类、遍数:外墙柔性耐水腻子两度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3、油漆品种、刷漆遍数:涂刷封底、分格、搅匀后喷涂真石漆两遍，涂刷透明罩光面漆两遍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4、颜色等其他要求:具体颜色及规格详见立面图，投标人施工前提供小样，经招标人确认后施工</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498.74</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46"/>
        </w:trPr>
        <w:tc>
          <w:tcPr>
            <w:gridSpan w:val="6"/>
            <w:shd w:val="clear" w:color="auto" w:fill="auto"/>
            <w:tcBorders>
              <w:top w:val="single" w:color="000000" w:sz="4" w:space="0"/>
              <w:left w:val="single" w:color="000000" w:sz="4" w:space="0"/>
              <w:bottom w:val="single" w:color="000000" w:sz="4" w:space="0"/>
              <w:right w:val="single" w:color="000000" w:sz="4" w:space="0"/>
            </w:tcBorders>
            <w:tcW w:w="4682" w:type="pct"/>
            <w:vAlign w:val="center"/>
            <w:textDirection w:val="lrTb"/>
            <w:noWrap/>
          </w:tcPr>
          <w:p>
            <w:pPr>
              <w:jc w:val="center"/>
              <w:keepLines w:val="0"/>
              <w:keepNext w:val="0"/>
              <w:pageBreakBefore w:val="0"/>
              <w:spacing w:line="240" w:lineRule="auto"/>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总计（元）</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sectPr>
          <w:footnotePr/>
          <w:endnotePr/>
          <w:type w:val="nextPage"/>
          <w:pgSz w:w="16838" w:h="11906" w:orient="landscape"/>
          <w:pgMar w:top="1080" w:right="1440" w:bottom="1080" w:left="1440" w:header="851" w:footer="992" w:gutter="0"/>
          <w:cols w:num="1" w:sep="0" w:space="425" w:equalWidth="1"/>
          <w:docGrid w:linePitch="360"/>
        </w:sectPr>
      </w:pPr>
      <w:r>
        <w:rPr>
          <w:rFonts w:hint="eastAsia" w:ascii="宋体" w:hAnsi="宋体" w:eastAsia="宋体" w:cs="宋体"/>
          <w:color w:val="auto"/>
          <w:highlight w:val="none"/>
        </w:rPr>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十三、技术要求响应及偏离表（分包号：**）</w:t>
      </w:r>
      <w:r/>
    </w:p>
    <w:tbl>
      <w:tblPr>
        <w:tblStyle w:val="642"/>
        <w:tblW w:w="4992"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826"/>
        <w:gridCol w:w="2747"/>
        <w:gridCol w:w="2450"/>
        <w:gridCol w:w="2567"/>
        <w:gridCol w:w="1376"/>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投标产品品牌</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注：行数不够，可自行添加。</w:t>
      </w:r>
      <w:r>
        <w:rPr>
          <w:rFonts w:hint="eastAsia" w:ascii="宋体" w:hAnsi="宋体" w:eastAsia="宋体" w:cs="宋体"/>
          <w:color w:val="auto"/>
          <w:highlight w:val="none"/>
          <w:lang w:val="en-US" w:eastAsia="zh-CN"/>
        </w:rPr>
        <w:t xml:space="preserve">出现超出或偏离时详细列明。</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left"/>
        <w:pageBreakBefore w:val="0"/>
        <w:spacing w:beforeAutospacing="0" w:afterAutospacing="0"/>
        <w:shd w:val="clear" w:color="auto"/>
        <w:rPr>
          <w:rFonts w:hint="eastAsia" w:ascii="宋体" w:hAnsi="宋体" w:eastAsia="宋体" w:cs="宋体"/>
          <w:color w:val="auto"/>
          <w:highlight w:val="none"/>
        </w:rPr>
      </w:pPr>
      <w:r/>
      <w:bookmarkStart w:id="190" w:name="_Hlt26955054"/>
      <w:r>
        <w:rPr>
          <w:rFonts w:hint="eastAsia" w:ascii="宋体" w:hAnsi="宋体" w:eastAsia="宋体" w:cs="宋体"/>
          <w:b/>
          <w:color w:val="auto"/>
          <w:sz w:val="32"/>
          <w:szCs w:val="32"/>
          <w:highlight w:val="none"/>
          <w:u w:val="single"/>
        </w:rPr>
        <w:t xml:space="preserve">十四、商务要求响应及偏离表（分包号：**）</w:t>
      </w:r>
      <w:r/>
    </w:p>
    <w:tbl>
      <w:tblPr>
        <w:tblStyle w:val="642"/>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36"/>
        <w:gridCol w:w="3512"/>
        <w:gridCol w:w="3761"/>
        <w:gridCol w:w="1769"/>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bookmarkStart w:id="191" w:name="_Hlt26955064"/>
            <w:r/>
            <w:bookmarkStart w:id="192" w:name="_Hlt26671343"/>
            <w:r/>
            <w:bookmarkStart w:id="193" w:name="_Hlt26671372"/>
            <w:r/>
            <w:bookmarkStart w:id="194" w:name="_Hlt26609391"/>
            <w:r/>
            <w:bookmarkStart w:id="195" w:name="_Hlt24879081"/>
            <w:r/>
            <w:bookmarkStart w:id="196" w:name="_Hlt26782999"/>
            <w:r/>
            <w:bookmarkStart w:id="197" w:name="_Hlt26955056"/>
            <w:r/>
            <w:bookmarkStart w:id="198" w:name="_Hlt26580838"/>
            <w:r>
              <w:rPr>
                <w:rFonts w:hint="eastAsia" w:ascii="宋体" w:hAnsi="宋体" w:eastAsia="宋体" w:cs="宋体"/>
                <w:color w:val="auto"/>
                <w:highlight w:val="none"/>
              </w:rPr>
              <w:t xml:space="preserve">序号</w:t>
            </w:r>
            <w:bookmarkEnd w:id="191"/>
            <w:bookmarkEnd w:id="192"/>
            <w:bookmarkEnd w:id="193"/>
            <w:bookmarkEnd w:id="194"/>
            <w:bookmarkEnd w:id="195"/>
            <w:bookmarkEnd w:id="196"/>
            <w:bookmarkEnd w:id="197"/>
            <w:bookmarkEnd w:id="198"/>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注： 行数不够，可自行添加。</w:t>
      </w:r>
      <w:r>
        <w:rPr>
          <w:rFonts w:hint="eastAsia" w:ascii="宋体" w:hAnsi="宋体" w:eastAsia="宋体" w:cs="宋体"/>
          <w:color w:val="auto"/>
          <w:highlight w:val="none"/>
          <w:lang w:val="en-US" w:eastAsia="zh-CN"/>
        </w:rPr>
        <w:t xml:space="preserve">出现超出或偏离时详细列明；全部符合无需填写，直接将上述表格上传即可。</w:t>
      </w:r>
      <w:r/>
    </w:p>
    <w:p>
      <w:pPr>
        <w:pStyle w:val="648"/>
        <w:ind w:left="0" w:right="0" w:firstLine="0"/>
        <w:jc w:val="both"/>
        <w:pageBreakBefore w:val="0"/>
        <w:spacing w:beforeAutospacing="0" w:afterAutospacing="0" w:line="48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line="48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bookmarkStart w:id="199" w:name="_Toc462564146"/>
      <w:r/>
      <w:bookmarkStart w:id="200" w:name="_格式2__法定代表人授权书"/>
      <w:r/>
      <w:bookmarkStart w:id="201" w:name="_Hlt26955066"/>
      <w:r/>
      <w:bookmarkStart w:id="202" w:name="_Hlt26671374"/>
      <w:r/>
      <w:bookmarkStart w:id="203" w:name="_Hlt26609389"/>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left="0" w:right="0" w:firstLine="0"/>
        <w:jc w:val="both"/>
        <w:pageBreakBefore w:val="0"/>
        <w:spacing w:beforeAutospacing="0" w:afterAutospacing="0"/>
        <w:shd w:val="clear" w:color="auto"/>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8"/>
        <w:ind w:left="0" w:right="0" w:firstLine="0"/>
        <w:jc w:val="both"/>
        <w:pageBreakBefore w:val="0"/>
        <w:spacing w:beforeAutospacing="0" w:afterAutospacing="0"/>
        <w:shd w:val="clear" w:color="auto"/>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8"/>
        <w:ind w:left="0" w:right="0" w:firstLine="0"/>
        <w:jc w:val="both"/>
        <w:pageBreakBefore w:val="0"/>
        <w:spacing w:beforeAutospacing="0" w:afterAutospacing="0"/>
        <w:shd w:val="clear" w:color="auto"/>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8"/>
        <w:ind w:left="0" w:right="0" w:firstLine="0"/>
        <w:jc w:val="both"/>
        <w:pageBreakBefore w:val="0"/>
        <w:spacing w:beforeAutospacing="0" w:afterAutospacing="0"/>
        <w:shd w:val="clear" w:color="auto"/>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8"/>
        <w:ind w:left="0" w:right="0" w:firstLine="0"/>
        <w:jc w:val="both"/>
        <w:pageBreakBefore w:val="0"/>
        <w:spacing w:beforeAutospacing="0" w:afterAutospacing="0"/>
        <w:shd w:val="clear" w:color="auto"/>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u w:val="none"/>
        </w:rPr>
      </w:pPr>
      <w:r>
        <w:rPr>
          <w:rFonts w:hint="eastAsia" w:ascii="宋体" w:hAnsi="宋体" w:eastAsia="宋体" w:cs="宋体"/>
          <w:b/>
          <w:i w:val="0"/>
          <w:iCs/>
          <w:color w:val="auto"/>
          <w:sz w:val="32"/>
          <w:szCs w:val="32"/>
          <w:highlight w:val="none"/>
          <w:u w:val="single"/>
        </w:rPr>
        <w:t xml:space="preserve">十五、开标一览表</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42"/>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982"/>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48"/>
              <w:ind w:left="0" w:right="0" w:firstLine="0"/>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元）</w:t>
            </w:r>
            <w:r/>
          </w:p>
        </w:tc>
      </w:tr>
    </w:tbl>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ind w:left="0" w:right="0" w:firstLine="0"/>
        <w:jc w:val="center"/>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ind w:left="0" w:right="0" w:firstLine="0"/>
        <w:jc w:val="center"/>
        <w:pageBreakBefore w:val="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left"/>
        <w:pageBreakBefore w:val="0"/>
        <w:shd w:val="clear" w:color="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u w:val="single"/>
        </w:rPr>
        <w:t xml:space="preserve">十六、</w:t>
      </w:r>
      <w:r>
        <w:rPr>
          <w:rFonts w:hint="eastAsia" w:ascii="宋体" w:hAnsi="宋体" w:eastAsia="宋体" w:cs="宋体"/>
          <w:b/>
          <w:bCs/>
          <w:color w:val="auto"/>
          <w:sz w:val="32"/>
          <w:szCs w:val="32"/>
          <w:highlight w:val="none"/>
          <w:u w:val="single"/>
          <w:lang w:eastAsia="zh-CN"/>
        </w:rPr>
        <w:t xml:space="preserve">依据评标办法用于评分的材料</w:t>
      </w:r>
      <w:r/>
    </w:p>
    <w:p>
      <w:pPr>
        <w:pStyle w:val="648"/>
        <w:ind w:left="0" w:right="0" w:firstLine="0"/>
        <w:jc w:val="both"/>
        <w:pageBreakBefore w:val="0"/>
        <w:spacing w:beforeAutospacing="0" w:afterAutospacing="0"/>
        <w:shd w:val="clear" w:color="auto"/>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pacing w:line="499" w:lineRule="atLeast"/>
        <w:shd w:val="clear" w:color="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shd w:val="clear" w:color="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shd w:val="clear" w:color="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shd w:val="clear" w:color="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shd w:val="clear" w:color="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shd w:val="clear" w:color="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shd w:val="clear" w:color="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shd w:val="clear" w:color="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shd w:val="clear" w:color="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shd w:val="clear" w:color="auto"/>
        <w:widowControl/>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u w:val="single"/>
        </w:rPr>
        <w:t xml:space="preserve">十七、盐城市政府采购事前信用承诺书</w:t>
      </w:r>
      <w:r/>
    </w:p>
    <w:p>
      <w:pPr>
        <w:ind w:left="0" w:right="0" w:firstLine="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48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    </w:t>
      </w:r>
      <w:r/>
    </w:p>
    <w:p>
      <w:pPr>
        <w:ind w:left="0" w:right="0" w:firstLine="720"/>
        <w:jc w:val="left"/>
        <w:keepLines w:val="0"/>
        <w:keepNext w:val="0"/>
        <w:pageBreakBefore w:val="0"/>
        <w:spacing w:line="360" w:lineRule="atLeas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720"/>
        <w:jc w:val="right"/>
        <w:keepLines w:val="0"/>
        <w:keepNext w:val="0"/>
        <w:pageBreakBefore w:val="0"/>
        <w:spacing w:line="360" w:lineRule="atLeast"/>
        <w:shd w:val="clear" w:color="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9"/>
      <w:r/>
      <w:bookmarkEnd w:id="180"/>
      <w:r/>
      <w:bookmarkEnd w:id="184"/>
      <w:r/>
      <w:bookmarkEnd w:id="185"/>
      <w:r/>
      <w:bookmarkEnd w:id="187"/>
      <w:r/>
      <w:bookmarkEnd w:id="188"/>
      <w:r/>
      <w:bookmarkEnd w:id="189"/>
      <w:r/>
      <w:bookmarkEnd w:id="190"/>
      <w:r/>
      <w:bookmarkEnd w:id="199"/>
      <w:r/>
      <w:bookmarkEnd w:id="200"/>
      <w:r/>
      <w:bookmarkEnd w:id="201"/>
      <w:r/>
      <w:bookmarkEnd w:id="202"/>
      <w:r/>
      <w:bookmarkEnd w:id="203"/>
      <w:r/>
      <w:r/>
    </w:p>
    <w:p>
      <w:pPr>
        <w:pStyle w:val="648"/>
        <w:ind w:left="0" w:right="0" w:firstLine="0"/>
        <w:jc w:val="center"/>
        <w:pageBreakBefore w:val="0"/>
        <w:spacing w:beforeAutospacing="0" w:afterAutospacing="0"/>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pageBreakBefore w:val="0"/>
        <w:spacing w:beforeAutospacing="0" w:afterAutospacing="0"/>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pageBreakBefore w:val="0"/>
        <w:spacing w:beforeAutospacing="0" w:afterAutospacing="0"/>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pageBreakBefore w:val="0"/>
        <w:spacing w:beforeAutospacing="0" w:afterAutospacing="0"/>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pageBreakBefore w:val="0"/>
        <w:spacing w:beforeAutospacing="0" w:afterAutospacing="0"/>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pageBreakBefore w:val="0"/>
        <w:spacing w:beforeAutospacing="0" w:afterAutospacing="0"/>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pageBreakBefore w:val="0"/>
        <w:spacing w:beforeAutospacing="0" w:afterAutospacing="0"/>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8"/>
        <w:ind w:left="0" w:right="0" w:firstLine="0"/>
        <w:jc w:val="center"/>
        <w:pageBreakBefore w:val="0"/>
        <w:spacing w:beforeAutospacing="0" w:afterAutospacing="0"/>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48"/>
        <w:ind w:left="0" w:right="0" w:firstLine="0"/>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48"/>
        <w:ind w:left="0" w:righ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48"/>
        <w:ind w:left="0" w:right="0" w:firstLine="0"/>
        <w:jc w:val="both"/>
        <w:pageBreakBefore w:val="0"/>
        <w:spacing w:beforeAutospacing="0" w:afterAutospacing="0" w:line="0" w:lineRule="atLeast"/>
        <w:shd w:val="clear" w:color="auto"/>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48"/>
        <w:ind w:left="0" w:right="0" w:firstLine="0"/>
        <w:pageBreakBefore w:val="0"/>
        <w:spacing w:beforeAutospacing="0" w:afterAutospacing="0" w:line="0" w:lineRule="atLeas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48"/>
        <w:ind w:left="0" w:right="0" w:firstLine="0"/>
        <w:pageBreakBefore w:val="0"/>
        <w:spacing w:beforeAutospacing="0" w:afterAutospacing="0" w:line="0" w:lineRule="atLeas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8"/>
        <w:ind w:left="0" w:right="0" w:firstLine="0"/>
        <w:pageBreakBefore w:val="0"/>
        <w:spacing w:beforeAutospacing="0" w:afterAutospacing="0" w:line="0" w:lineRule="atLeas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48"/>
        <w:ind w:left="0" w:right="0" w:firstLine="0"/>
        <w:pageBreakBefore w:val="0"/>
        <w:spacing w:beforeAutospacing="0" w:afterAutospacing="0" w:line="0" w:lineRule="atLeas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48"/>
        <w:ind w:left="0" w:right="0" w:firstLine="0"/>
        <w:pageBreakBefore w:val="0"/>
        <w:spacing w:beforeAutospacing="0" w:afterAutospacing="0" w:line="0" w:lineRule="atLeas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48"/>
        <w:ind w:left="0" w:right="0" w:firstLine="0"/>
        <w:pageBreakBefore w:val="0"/>
        <w:spacing w:beforeAutospacing="0" w:afterAutospacing="0" w:line="0" w:lineRule="atLeas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48"/>
        <w:ind w:left="0" w:right="0" w:firstLine="0"/>
        <w:jc w:val="both"/>
        <w:pageBreakBefore w:val="0"/>
        <w:spacing w:beforeAutospacing="0" w:afterAutospacing="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firstLine="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64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64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8"/>
    <w:next w:val="6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1"/>
    <w:link w:val="12"/>
    <w:uiPriority w:val="9"/>
    <w:rPr>
      <w:rFonts w:ascii="Arial" w:hAnsi="Arial" w:eastAsia="Arial" w:cs="Arial"/>
      <w:sz w:val="40"/>
      <w:szCs w:val="40"/>
    </w:rPr>
  </w:style>
  <w:style w:type="character" w:styleId="15">
    <w:name w:val="Heading 2 Char"/>
    <w:basedOn w:val="641"/>
    <w:link w:val="639"/>
    <w:uiPriority w:val="9"/>
    <w:rPr>
      <w:rFonts w:ascii="Arial" w:hAnsi="Arial" w:eastAsia="Arial" w:cs="Arial"/>
      <w:sz w:val="34"/>
    </w:rPr>
  </w:style>
  <w:style w:type="paragraph" w:styleId="16">
    <w:name w:val="Heading 3"/>
    <w:basedOn w:val="638"/>
    <w:next w:val="6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1"/>
    <w:link w:val="16"/>
    <w:uiPriority w:val="9"/>
    <w:rPr>
      <w:rFonts w:ascii="Arial" w:hAnsi="Arial" w:eastAsia="Arial" w:cs="Arial"/>
      <w:sz w:val="30"/>
      <w:szCs w:val="30"/>
    </w:rPr>
  </w:style>
  <w:style w:type="character" w:styleId="19">
    <w:name w:val="Heading 4 Char"/>
    <w:basedOn w:val="641"/>
    <w:link w:val="640"/>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0">
    <w:name w:val="List Paragraph"/>
    <w:basedOn w:val="6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8"/>
    <w:next w:val="638"/>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47"/>
    <w:uiPriority w:val="99"/>
  </w:style>
  <w:style w:type="character" w:styleId="44">
    <w:name w:val="Footer Char"/>
    <w:basedOn w:val="641"/>
    <w:link w:val="646"/>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646"/>
    <w:uiPriority w:val="99"/>
  </w:style>
  <w:style w:type="table" w:styleId="47">
    <w:name w:val="Table Grid"/>
    <w:basedOn w:val="64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0">
    <w:name w:val="toc 1"/>
    <w:basedOn w:val="638"/>
    <w:next w:val="638"/>
    <w:uiPriority w:val="39"/>
    <w:unhideWhenUsed/>
    <w:pPr>
      <w:ind w:left="0"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9">
    <w:name w:val="Heading 2"/>
    <w:basedOn w:val="638"/>
    <w:next w:val="63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0">
    <w:name w:val="Heading 4"/>
    <w:basedOn w:val="638"/>
    <w:next w:val="638"/>
    <w:uiPriority w:val="0"/>
    <w:semiHidden/>
    <w:unhideWhenUsed/>
    <w:qFormat/>
    <w:pPr>
      <w:ind w:firstLine="0"/>
      <w:keepLines/>
      <w:keepNext/>
      <w:spacing w:beforeAutospacing="0" w:afterAutospacing="0" w:line="240" w:lineRule="auto"/>
      <w:outlineLvl w:val="3"/>
    </w:pPr>
    <w:rPr>
      <w:rFonts w:asciiTheme="minorAscii" w:hAnsiTheme="minorAscii"/>
      <w:b/>
      <w:sz w:val="30"/>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Body Text"/>
    <w:basedOn w:val="638"/>
    <w:next w:val="644"/>
    <w:uiPriority w:val="0"/>
    <w:qFormat/>
    <w:pPr>
      <w:spacing w:after="120"/>
    </w:pPr>
  </w:style>
  <w:style w:type="paragraph" w:styleId="644">
    <w:name w:val="toc 2"/>
    <w:basedOn w:val="638"/>
    <w:next w:val="638"/>
    <w:uiPriority w:val="39"/>
    <w:unhideWhenUsed/>
    <w:qFormat/>
    <w:pPr>
      <w:ind w:left="420"/>
    </w:pPr>
  </w:style>
  <w:style w:type="paragraph" w:styleId="645">
    <w:name w:val="Plain Text"/>
    <w:basedOn w:val="638"/>
    <w:uiPriority w:val="99"/>
    <w:qFormat/>
    <w:rPr>
      <w:rFonts w:ascii="宋体" w:hAnsi="Courier New"/>
      <w:sz w:val="28"/>
      <w:szCs w:val="20"/>
    </w:rPr>
  </w:style>
  <w:style w:type="paragraph" w:styleId="646">
    <w:name w:val="Footer"/>
    <w:basedOn w:val="638"/>
    <w:link w:val="651"/>
    <w:uiPriority w:val="0"/>
    <w:qFormat/>
    <w:pPr>
      <w:jc w:val="left"/>
      <w:tabs>
        <w:tab w:val="center" w:pos="4153" w:leader="none"/>
        <w:tab w:val="right" w:pos="8306" w:leader="none"/>
      </w:tabs>
    </w:pPr>
    <w:rPr>
      <w:sz w:val="18"/>
      <w:szCs w:val="18"/>
    </w:rPr>
  </w:style>
  <w:style w:type="paragraph" w:styleId="647">
    <w:name w:val="Header"/>
    <w:basedOn w:val="638"/>
    <w:link w:val="650"/>
    <w:uiPriority w:val="0"/>
    <w:qFormat/>
    <w:pPr>
      <w:jc w:val="center"/>
      <w:tabs>
        <w:tab w:val="center" w:pos="4153" w:leader="none"/>
        <w:tab w:val="right" w:pos="8306" w:leader="none"/>
      </w:tabs>
      <w:pBdr>
        <w:bottom w:val="single" w:color="auto" w:sz="6" w:space="1"/>
      </w:pBdr>
    </w:pPr>
    <w:rPr>
      <w:sz w:val="18"/>
      <w:szCs w:val="18"/>
    </w:rPr>
  </w:style>
  <w:style w:type="paragraph" w:styleId="648">
    <w:name w:val="Normal (Web)"/>
    <w:basedOn w:val="638"/>
    <w:uiPriority w:val="0"/>
    <w:qFormat/>
    <w:pPr>
      <w:jc w:val="left"/>
      <w:spacing w:beforeAutospacing="1" w:afterAutospacing="1"/>
    </w:pPr>
    <w:rPr>
      <w:rFonts w:cs="Times New Roman"/>
      <w:sz w:val="24"/>
    </w:rPr>
  </w:style>
  <w:style w:type="paragraph" w:styleId="649" w:customStyle="1">
    <w:name w:val="Fließtext"/>
    <w:basedOn w:val="638"/>
    <w:uiPriority w:val="0"/>
    <w:qFormat/>
    <w:rPr>
      <w:szCs w:val="20"/>
    </w:rPr>
  </w:style>
  <w:style w:type="character" w:styleId="650" w:customStyle="1">
    <w:name w:val="页眉 Char"/>
    <w:basedOn w:val="641"/>
    <w:link w:val="647"/>
    <w:uiPriority w:val="0"/>
    <w:qFormat/>
    <w:rPr>
      <w:rFonts w:asciiTheme="minorHAnsi" w:hAnsiTheme="minorHAnsi" w:eastAsiaTheme="minorEastAsia" w:cstheme="minorBidi"/>
      <w:sz w:val="18"/>
      <w:szCs w:val="18"/>
    </w:rPr>
  </w:style>
  <w:style w:type="character" w:styleId="651" w:customStyle="1">
    <w:name w:val="页脚 Char"/>
    <w:basedOn w:val="641"/>
    <w:link w:val="646"/>
    <w:uiPriority w:val="0"/>
    <w:qFormat/>
    <w:rPr>
      <w:rFonts w:asciiTheme="minorHAnsi" w:hAnsiTheme="minorHAnsi" w:eastAsiaTheme="minorEastAsia" w:cstheme="minorBidi"/>
      <w:sz w:val="18"/>
      <w:szCs w:val="18"/>
    </w:rPr>
  </w:style>
  <w:style w:type="paragraph" w:styleId="652" w:customStyle="1">
    <w:name w:val="plain text"/>
    <w:basedOn w:val="638"/>
    <w:uiPriority w:val="99"/>
    <w:unhideWhenUsed/>
    <w:qFormat/>
    <w:rPr>
      <w:rFonts w:hint="eastAsia" w:ascii="宋体" w:hAnsi="Courier New"/>
      <w:sz w:val="21"/>
    </w:rPr>
  </w:style>
  <w:style w:type="paragraph" w:styleId="65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654" w:customStyle="1">
    <w:name w:val="Normal_3"/>
    <w:uiPriority w:val="0"/>
    <w:qFormat/>
    <w:rPr>
      <w:rFonts w:ascii="Times New Roman" w:hAnsi="Times New Roman" w:eastAsia="Times New Roman" w:cs="Times New Roman"/>
      <w:sz w:val="24"/>
      <w:szCs w:val="24"/>
    </w:rPr>
  </w:style>
  <w:style w:type="paragraph" w:styleId="655" w:customStyle="1">
    <w:name w:val="Table Paragraph"/>
    <w:basedOn w:val="638"/>
    <w:uiPriority w:val="0"/>
    <w:qFormat/>
    <w:pPr>
      <w:jc w:val="both"/>
      <w:spacing w:after="0" w:line="360" w:lineRule="auto"/>
      <w:widowControl w:val="off"/>
    </w:pPr>
    <w:rPr>
      <w:rFonts w:cs="宋体" w:asciiTheme="minorEastAsia" w:hAnsiTheme="minorEastAsia" w:eastAsiaTheme="minorEastAsia"/>
      <w:color w:val="000000" w:themeColor="text1"/>
      <w:spacing w:val="3"/>
      <w:sz w:val="28"/>
      <w:szCs w:val="28"/>
      <w14:textFill>
        <w14:solidFill>
          <w14:schemeClr w14:val="tx1"/>
        </w14:solidFill>
      </w14:textFill>
    </w:rPr>
  </w:style>
  <w:style w:type="character" w:styleId="656" w:customStyle="1">
    <w:name w:val="font31"/>
    <w:basedOn w:val="641"/>
    <w:uiPriority w:val="0"/>
    <w:qFormat/>
    <w:rPr>
      <w:rFonts w:hint="eastAsia" w:ascii="宋体" w:hAnsi="宋体" w:eastAsia="宋体" w:cs="宋体"/>
      <w:color w:val="000000"/>
      <w:sz w:val="24"/>
      <w:szCs w:val="24"/>
      <w:u w:val="none"/>
    </w:rPr>
  </w:style>
  <w:style w:type="character" w:styleId="657" w:customStyle="1">
    <w:name w:val="font51"/>
    <w:basedOn w:val="641"/>
    <w:uiPriority w:val="0"/>
    <w:qFormat/>
    <w:rPr>
      <w:rFonts w:hint="eastAsia" w:ascii="宋体" w:hAnsi="宋体" w:eastAsia="宋体" w:cs="宋体"/>
      <w:b/>
      <w:bCs/>
      <w:color w:val="000000"/>
      <w:sz w:val="24"/>
      <w:szCs w:val="24"/>
      <w:u w:val="none"/>
    </w:rPr>
  </w:style>
  <w:style w:type="character" w:styleId="658" w:customStyle="1">
    <w:name w:val="font41"/>
    <w:basedOn w:val="641"/>
    <w:uiPriority w:val="0"/>
    <w:qFormat/>
    <w:rPr>
      <w:rFonts w:hint="eastAsia" w:ascii="宋体" w:hAnsi="宋体" w:eastAsia="宋体" w:cs="宋体"/>
      <w:color w:val="000000"/>
      <w:sz w:val="24"/>
      <w:szCs w:val="24"/>
      <w:u w:val="none"/>
    </w:rPr>
  </w:style>
  <w:style w:type="character" w:styleId="659" w:customStyle="1">
    <w:name w:val="font61"/>
    <w:basedOn w:val="641"/>
    <w:uiPriority w:val="0"/>
    <w:qFormat/>
    <w:rPr>
      <w:rFonts w:hint="eastAsia" w:ascii="宋体" w:hAnsi="宋体" w:eastAsia="宋体" w:cs="宋体"/>
      <w:b/>
      <w:bCs/>
      <w:color w:val="000000"/>
      <w:sz w:val="24"/>
      <w:szCs w:val="24"/>
      <w:u w:val="none"/>
    </w:rPr>
  </w:style>
  <w:style w:type="character" w:styleId="660" w:customStyle="1">
    <w:name w:val="font71"/>
    <w:basedOn w:val="641"/>
    <w:uiPriority w:val="0"/>
    <w:qFormat/>
    <w:rPr>
      <w:rFonts w:hint="eastAsia" w:ascii="宋体" w:hAnsi="宋体" w:eastAsia="宋体" w:cs="宋体"/>
      <w:color w:val="000000"/>
      <w:sz w:val="24"/>
      <w:szCs w:val="24"/>
      <w:u w:val="none"/>
    </w:rPr>
  </w:style>
  <w:style w:type="character" w:styleId="661" w:customStyle="1">
    <w:name w:val="font112"/>
    <w:basedOn w:val="641"/>
    <w:uiPriority w:val="0"/>
    <w:qFormat/>
    <w:rPr>
      <w:rFonts w:hint="eastAsia" w:ascii="宋体" w:hAnsi="宋体" w:eastAsia="宋体" w:cs="宋体"/>
      <w:b/>
      <w:bCs/>
      <w:color w:val="000000"/>
      <w:sz w:val="24"/>
      <w:szCs w:val="24"/>
      <w:u w:val="none"/>
    </w:rPr>
  </w:style>
  <w:style w:type="character" w:styleId="662" w:customStyle="1">
    <w:name w:val="font181"/>
    <w:basedOn w:val="641"/>
    <w:uiPriority w:val="0"/>
    <w:qFormat/>
    <w:rPr>
      <w:rFonts w:ascii="宋体" w:hAnsi="宋体" w:eastAsia="宋体" w:cs="宋体"/>
      <w:color w:val="000000"/>
      <w:sz w:val="24"/>
      <w:szCs w:val="24"/>
      <w:u w:val="none"/>
    </w:rPr>
  </w:style>
  <w:style w:type="character" w:styleId="663" w:customStyle="1">
    <w:name w:val="font191"/>
    <w:basedOn w:val="641"/>
    <w:uiPriority w:val="0"/>
    <w:qFormat/>
    <w:rPr>
      <w:rFonts w:ascii="Calibri" w:hAnsi="Calibri" w:cs="Calibri"/>
      <w:b/>
      <w:bCs/>
      <w:color w:val="000000"/>
      <w:sz w:val="24"/>
      <w:szCs w:val="24"/>
      <w:u w:val="none"/>
    </w:rPr>
  </w:style>
  <w:style w:type="character" w:styleId="664" w:customStyle="1">
    <w:name w:val="font201"/>
    <w:basedOn w:val="641"/>
    <w:uiPriority w:val="0"/>
    <w:qFormat/>
    <w:rPr>
      <w:rFonts w:hint="default" w:ascii="Calibri" w:hAnsi="Calibri" w:cs="Calibri"/>
      <w:color w:val="000000"/>
      <w:sz w:val="24"/>
      <w:szCs w:val="24"/>
      <w:u w:val="none"/>
    </w:rPr>
  </w:style>
  <w:style w:type="character" w:styleId="665" w:customStyle="1">
    <w:name w:val="font01"/>
    <w:basedOn w:val="641"/>
    <w:uiPriority w:val="0"/>
    <w:qFormat/>
    <w:rPr>
      <w:rFonts w:hint="eastAsia" w:ascii="宋体" w:hAnsi="宋体" w:eastAsia="宋体" w:cs="宋体"/>
      <w:color w:val="000000"/>
      <w:sz w:val="22"/>
      <w:szCs w:val="22"/>
      <w:u w:val="none"/>
    </w:rPr>
  </w:style>
  <w:style w:type="character" w:styleId="666" w:customStyle="1">
    <w:name w:val="font21"/>
    <w:basedOn w:val="641"/>
    <w:uiPriority w:val="0"/>
    <w:qFormat/>
    <w:rPr>
      <w:rFonts w:hint="eastAsia" w:ascii="宋体" w:hAnsi="宋体" w:eastAsia="宋体" w:cs="宋体"/>
      <w:color w:val="000000"/>
      <w:sz w:val="22"/>
      <w:szCs w:val="22"/>
      <w:u w:val="none"/>
    </w:rPr>
  </w:style>
  <w:style w:type="numbering" w:styleId="385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江苏建友兴业工程项目管理有限公司</cp:lastModifiedBy>
  <cp:revision>273</cp:revision>
  <dcterms:created xsi:type="dcterms:W3CDTF">2014-10-29T12:08:00Z</dcterms:created>
  <dcterms:modified xsi:type="dcterms:W3CDTF">2024-08-30T08:49:53Z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70F396D3445E472BBF0487C90BC69665</vt:lpwstr>
  </property>
</Properties>
</file>