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ind w:firstLine="420"/>
        <w:rPr>
          <w:rFonts w:hint="eastAsia" w:hAnsi="宋体" w:eastAsia="宋体"/>
          <w:color w:val="auto"/>
          <w:highlight w:val="none"/>
        </w:rPr>
      </w:pPr>
      <w:r>
        <w:rPr>
          <w:rFonts w:hint="eastAsia" w:hAnsi="宋体" w:eastAsia="宋体"/>
          <w:color w:val="auto"/>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center"/>
        <w:spacing w:line="360" w:lineRule="auto"/>
        <w:widowControl/>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苏州市政府采购</w:t>
      </w:r>
      <w:r>
        <w:rPr>
          <w:color w:val="auto"/>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72"/>
          <w:highlight w:val="none"/>
        </w:rPr>
        <w:t xml:space="preserve">招标文件</w:t>
      </w:r>
      <w:r>
        <w:rPr>
          <w:color w:val="auto"/>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bl>
      <w:tblPr>
        <w:tblStyle w:val="773"/>
        <w:tblW w:w="8720" w:type="dxa"/>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10"/>
        <w:gridCol w:w="6310"/>
      </w:tblGrid>
      <w:tr>
        <w:trPr>
          <w:trHeight w:val="680"/>
        </w:trPr>
        <w:tc>
          <w:tcPr>
            <w:tcW w:w="2410" w:type="dxa"/>
            <w:vAlign w:val="center"/>
            <w:textDirection w:val="lrTb"/>
            <w:noWrap w:val="false"/>
          </w:tcPr>
          <w:p>
            <w:pPr>
              <w:pStyle w:val="929"/>
              <w:ind w:firstLine="0"/>
              <w:jc w:val="right"/>
              <w:widowControl w:val="off"/>
              <w:rPr>
                <w:rFonts w:hint="eastAsia" w:hAnsi="宋体"/>
                <w:b/>
                <w:bCs/>
                <w:color w:val="auto"/>
                <w:sz w:val="32"/>
                <w:highlight w:val="none"/>
              </w:rPr>
            </w:pPr>
            <w:r>
              <w:rPr>
                <w:rFonts w:hint="eastAsia" w:hAnsi="宋体"/>
                <w:b/>
                <w:bCs/>
                <w:color w:val="auto"/>
                <w:sz w:val="32"/>
                <w:highlight w:val="none"/>
              </w:rPr>
              <w:t xml:space="preserve">招标编号：</w:t>
            </w:r>
            <w:r>
              <w:rPr>
                <w:color w:val="auto"/>
                <w:highlight w:val="none"/>
              </w:rPr>
            </w:r>
            <w:r/>
          </w:p>
        </w:tc>
        <w:tc>
          <w:tcPr>
            <w:tcW w:w="6310" w:type="dxa"/>
            <w:vAlign w:val="center"/>
            <w:textDirection w:val="lrTb"/>
            <w:noWrap w:val="false"/>
          </w:tcPr>
          <w:p>
            <w:pPr>
              <w:pStyle w:val="929"/>
              <w:ind w:firstLine="0"/>
              <w:widowControl w:val="off"/>
              <w:rPr>
                <w:rFonts w:hint="eastAsia" w:hAnsi="宋体"/>
                <w:b/>
                <w:bCs/>
                <w:color w:val="auto"/>
                <w:sz w:val="32"/>
                <w:highlight w:val="none"/>
              </w:rPr>
            </w:pPr>
            <w:r>
              <w:rPr>
                <w:rFonts w:hint="eastAsia" w:hAnsi="宋体"/>
                <w:b/>
                <w:bCs/>
                <w:color w:val="auto"/>
                <w:sz w:val="32"/>
                <w:highlight w:val="none"/>
              </w:rPr>
              <w:t xml:space="preserve">JSZC-320507-YJKJ-G2025-0015</w:t>
            </w:r>
            <w:r>
              <w:rPr>
                <w:color w:val="auto"/>
                <w:highlight w:val="none"/>
              </w:rPr>
            </w:r>
            <w:r/>
          </w:p>
        </w:tc>
      </w:tr>
      <w:tr>
        <w:trPr>
          <w:trHeight w:val="680"/>
        </w:trPr>
        <w:tc>
          <w:tcPr>
            <w:tcW w:w="2410" w:type="dxa"/>
            <w:vAlign w:val="center"/>
            <w:textDirection w:val="lrTb"/>
            <w:noWrap w:val="false"/>
          </w:tcPr>
          <w:p>
            <w:pPr>
              <w:pStyle w:val="929"/>
              <w:ind w:firstLine="0"/>
              <w:jc w:val="right"/>
              <w:widowControl w:val="off"/>
              <w:rPr>
                <w:rFonts w:hint="eastAsia" w:hAnsi="宋体"/>
                <w:b/>
                <w:bCs/>
                <w:color w:val="auto"/>
                <w:sz w:val="32"/>
                <w:highlight w:val="none"/>
              </w:rPr>
            </w:pPr>
            <w:r>
              <w:rPr>
                <w:rFonts w:hint="eastAsia" w:hAnsi="宋体"/>
                <w:b/>
                <w:bCs/>
                <w:color w:val="auto"/>
                <w:sz w:val="32"/>
                <w:highlight w:val="none"/>
              </w:rPr>
              <w:t xml:space="preserve">采</w:t>
            </w:r>
            <w:r>
              <w:rPr>
                <w:rFonts w:hAnsi="宋体"/>
                <w:b/>
                <w:bCs/>
                <w:color w:val="auto"/>
                <w:sz w:val="32"/>
                <w:highlight w:val="none"/>
              </w:rPr>
              <w:t xml:space="preserve"> 购 人：</w:t>
            </w:r>
            <w:r>
              <w:rPr>
                <w:color w:val="auto"/>
                <w:highlight w:val="none"/>
              </w:rPr>
            </w:r>
            <w:r/>
          </w:p>
        </w:tc>
        <w:tc>
          <w:tcPr>
            <w:tcW w:w="6310" w:type="dxa"/>
            <w:vAlign w:val="center"/>
            <w:textDirection w:val="lrTb"/>
            <w:noWrap w:val="false"/>
          </w:tcPr>
          <w:p>
            <w:pPr>
              <w:pStyle w:val="929"/>
              <w:ind w:firstLine="0"/>
              <w:widowControl w:val="off"/>
              <w:rPr>
                <w:rFonts w:hint="eastAsia" w:hAnsi="宋体"/>
                <w:b/>
                <w:bCs/>
                <w:color w:val="auto"/>
                <w:sz w:val="32"/>
                <w:highlight w:val="none"/>
              </w:rPr>
            </w:pPr>
            <w:r>
              <w:rPr>
                <w:rFonts w:hint="eastAsia" w:hAnsi="宋体"/>
                <w:b/>
                <w:bCs/>
                <w:color w:val="auto"/>
                <w:sz w:val="32"/>
                <w:highlight w:val="none"/>
              </w:rPr>
              <w:t xml:space="preserve">苏州市相城区区级机关事务管理中心</w:t>
            </w:r>
            <w:r>
              <w:rPr>
                <w:color w:val="auto"/>
                <w:highlight w:val="none"/>
              </w:rPr>
            </w:r>
            <w:r/>
          </w:p>
        </w:tc>
      </w:tr>
      <w:tr>
        <w:trPr>
          <w:trHeight w:val="680"/>
        </w:trPr>
        <w:tc>
          <w:tcPr>
            <w:tcW w:w="2410" w:type="dxa"/>
            <w:vAlign w:val="center"/>
            <w:textDirection w:val="lrTb"/>
            <w:noWrap w:val="false"/>
          </w:tcPr>
          <w:p>
            <w:pPr>
              <w:pStyle w:val="929"/>
              <w:ind w:firstLine="0"/>
              <w:jc w:val="right"/>
              <w:widowControl w:val="off"/>
              <w:rPr>
                <w:rFonts w:hint="eastAsia" w:hAnsi="宋体"/>
                <w:b/>
                <w:bCs/>
                <w:color w:val="auto"/>
                <w:sz w:val="32"/>
                <w:highlight w:val="none"/>
              </w:rPr>
            </w:pPr>
            <w:r>
              <w:rPr>
                <w:rFonts w:hint="eastAsia" w:hAnsi="宋体"/>
                <w:b/>
                <w:bCs/>
                <w:color w:val="auto"/>
                <w:sz w:val="32"/>
                <w:highlight w:val="none"/>
              </w:rPr>
              <w:t xml:space="preserve">项目名称：</w:t>
            </w:r>
            <w:r>
              <w:rPr>
                <w:color w:val="auto"/>
                <w:highlight w:val="none"/>
              </w:rPr>
            </w:r>
            <w:r/>
          </w:p>
        </w:tc>
        <w:tc>
          <w:tcPr>
            <w:tcW w:w="6310" w:type="dxa"/>
            <w:vAlign w:val="center"/>
            <w:textDirection w:val="lrTb"/>
            <w:noWrap w:val="false"/>
          </w:tcPr>
          <w:p>
            <w:pPr>
              <w:pStyle w:val="929"/>
              <w:ind w:firstLine="0"/>
              <w:widowControl w:val="off"/>
              <w:rPr>
                <w:rFonts w:hint="eastAsia" w:hAnsi="宋体"/>
                <w:b/>
                <w:bCs/>
                <w:color w:val="auto"/>
                <w:sz w:val="32"/>
                <w:highlight w:val="none"/>
              </w:rPr>
            </w:pPr>
            <w:r>
              <w:rPr>
                <w:rFonts w:hint="eastAsia" w:hAnsi="宋体"/>
                <w:b/>
                <w:bCs/>
                <w:color w:val="auto"/>
                <w:sz w:val="32"/>
                <w:highlight w:val="none"/>
              </w:rPr>
              <w:t xml:space="preserve">相城区疾控中心检测设备采购</w:t>
            </w:r>
            <w:r>
              <w:rPr>
                <w:color w:val="auto"/>
                <w:highlight w:val="none"/>
              </w:rPr>
            </w:r>
            <w:r/>
          </w:p>
        </w:tc>
      </w:tr>
      <w:tr>
        <w:trPr>
          <w:trHeight w:val="680"/>
        </w:trPr>
        <w:tc>
          <w:tcPr>
            <w:tcW w:w="2410" w:type="dxa"/>
            <w:vAlign w:val="center"/>
            <w:textDirection w:val="lrTb"/>
            <w:noWrap w:val="false"/>
          </w:tcPr>
          <w:p>
            <w:pPr>
              <w:pStyle w:val="929"/>
              <w:ind w:firstLine="0"/>
              <w:jc w:val="right"/>
              <w:widowControl w:val="off"/>
              <w:rPr>
                <w:rFonts w:hint="eastAsia" w:hAnsi="宋体"/>
                <w:b/>
                <w:bCs/>
                <w:color w:val="auto"/>
                <w:sz w:val="32"/>
                <w:highlight w:val="none"/>
              </w:rPr>
            </w:pPr>
            <w:r>
              <w:rPr>
                <w:rFonts w:hint="eastAsia" w:hAnsi="宋体"/>
                <w:b/>
                <w:bCs/>
                <w:color w:val="auto"/>
                <w:sz w:val="32"/>
                <w:highlight w:val="none"/>
              </w:rPr>
              <w:t xml:space="preserve">类</w:t>
            </w:r>
            <w:r>
              <w:rPr>
                <w:rFonts w:hAnsi="宋体"/>
                <w:b/>
                <w:bCs/>
                <w:color w:val="auto"/>
                <w:sz w:val="32"/>
                <w:highlight w:val="none"/>
              </w:rPr>
              <w:t xml:space="preserve">    别：</w:t>
            </w:r>
            <w:r>
              <w:rPr>
                <w:color w:val="auto"/>
                <w:highlight w:val="none"/>
              </w:rPr>
            </w:r>
            <w:r/>
          </w:p>
        </w:tc>
        <w:tc>
          <w:tcPr>
            <w:tcW w:w="6310" w:type="dxa"/>
            <w:vAlign w:val="center"/>
            <w:textDirection w:val="lrTb"/>
            <w:noWrap w:val="false"/>
          </w:tcPr>
          <w:p>
            <w:pPr>
              <w:pStyle w:val="929"/>
              <w:ind w:firstLine="0"/>
              <w:widowControl w:val="off"/>
              <w:rPr>
                <w:rFonts w:hint="eastAsia" w:hAnsi="宋体"/>
                <w:b/>
                <w:bCs/>
                <w:color w:val="auto"/>
                <w:sz w:val="32"/>
                <w:highlight w:val="none"/>
              </w:rPr>
            </w:pPr>
            <w:r>
              <w:rPr>
                <w:rFonts w:hint="eastAsia" w:hAnsi="宋体"/>
                <w:b/>
                <w:bCs/>
                <w:color w:val="auto"/>
                <w:sz w:val="32"/>
                <w:highlight w:val="none"/>
              </w:rPr>
              <w:t xml:space="preserve">货物类</w:t>
            </w:r>
            <w:r>
              <w:rPr>
                <w:color w:val="auto"/>
                <w:highlight w:val="none"/>
              </w:rPr>
            </w:r>
            <w:r/>
          </w:p>
        </w:tc>
      </w:tr>
    </w:tbl>
    <w:p>
      <w:pPr>
        <w:pStyle w:val="929"/>
        <w:ind w:left="1050" w:firstLine="643"/>
        <w:spacing w:line="480" w:lineRule="auto"/>
        <w:rPr>
          <w:rFonts w:hint="eastAsia" w:hAnsi="宋体"/>
          <w:b/>
          <w:bCs/>
          <w:color w:val="auto"/>
          <w:sz w:val="32"/>
          <w:highlight w:val="none"/>
        </w:rPr>
      </w:pPr>
      <w:r>
        <w:rPr>
          <w:rFonts w:hint="eastAsia" w:hAnsi="宋体"/>
          <w:b/>
          <w:bCs/>
          <w:color w:val="auto"/>
          <w:sz w:val="32"/>
          <w:highlight w:val="none"/>
        </w:rPr>
      </w:r>
      <w:r>
        <w:rPr>
          <w:color w:val="auto"/>
          <w:highlight w:val="none"/>
        </w:rPr>
      </w:r>
      <w:r/>
    </w:p>
    <w:p>
      <w:pPr>
        <w:rPr>
          <w:rFonts w:hint="eastAsia" w:ascii="宋体" w:hAnsi="宋体" w:eastAsia="宋体"/>
          <w:b/>
          <w:bCs/>
          <w:color w:val="auto"/>
          <w:sz w:val="32"/>
          <w:highlight w:val="none"/>
        </w:rPr>
      </w:pPr>
      <w:r>
        <w:rPr>
          <w:rFonts w:hint="eastAsia" w:ascii="宋体" w:hAnsi="宋体" w:eastAsia="宋体"/>
          <w:b/>
          <w:bCs/>
          <w:color w:val="auto"/>
          <w:sz w:val="32"/>
          <w:highlight w:val="none"/>
        </w:rPr>
      </w:r>
      <w:r>
        <w:rPr>
          <w:color w:val="auto"/>
          <w:highlight w:val="none"/>
        </w:rPr>
      </w:r>
      <w:r/>
    </w:p>
    <w:p>
      <w:pPr>
        <w:rPr>
          <w:rFonts w:hint="eastAsia" w:ascii="宋体" w:hAnsi="宋体" w:eastAsia="宋体"/>
          <w:b/>
          <w:bCs/>
          <w:color w:val="auto"/>
          <w:sz w:val="32"/>
          <w:highlight w:val="none"/>
        </w:rPr>
      </w:pPr>
      <w:r>
        <w:rPr>
          <w:rFonts w:hint="eastAsia" w:ascii="宋体" w:hAnsi="宋体" w:eastAsia="宋体"/>
          <w:b/>
          <w:bCs/>
          <w:color w:val="auto"/>
          <w:sz w:val="32"/>
          <w:highlight w:val="none"/>
        </w:rPr>
      </w:r>
      <w:r>
        <w:rPr>
          <w:color w:val="auto"/>
          <w:highlight w:val="none"/>
        </w:rPr>
      </w:r>
      <w:r/>
    </w:p>
    <w:p>
      <w:pPr>
        <w:jc w:val="left"/>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b/>
          <w:bCs/>
          <w:color w:val="auto"/>
          <w:sz w:val="32"/>
          <w:highlight w:val="none"/>
        </w:rPr>
        <w:t xml:space="preserve">                           </w:t>
      </w:r>
      <w:r>
        <w:rPr>
          <w:rFonts w:hint="eastAsia" w:ascii="宋体" w:hAnsi="宋体" w:eastAsia="宋体" w:cs="宋体"/>
          <w:b/>
          <w:color w:val="auto"/>
          <w:sz w:val="28"/>
          <w:szCs w:val="28"/>
          <w:highlight w:val="none"/>
        </w:rPr>
        <mc:AlternateContent>
          <mc:Choice Requires="wpg">
            <w:drawing>
              <wp:inline xmlns:wp="http://schemas.openxmlformats.org/drawingml/2006/wordprocessingDrawing" distT="0" distB="0" distL="0" distR="0">
                <wp:extent cx="868680" cy="796925"/>
                <wp:effectExtent l="0" t="0" r="7620" b="3175"/>
                <wp:docPr id="1" name="图片 1" descr="0211307099ff2ab32728a1725c36e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211307099ff2ab32728a1725c36e92"/>
                        <pic:cNvPicPr>
                          <a:picLocks noChangeAspect="1"/>
                        </pic:cNvPicPr>
                        <pic:nvPr/>
                      </pic:nvPicPr>
                      <pic:blipFill>
                        <a:blip r:embed="rId13"/>
                        <a:stretch/>
                      </pic:blipFill>
                      <pic:spPr bwMode="auto">
                        <a:xfrm>
                          <a:off x="0" y="0"/>
                          <a:ext cx="868680" cy="796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8.4pt;height:62.8pt;mso-wrap-distance-left:0.0pt;mso-wrap-distance-top:0.0pt;mso-wrap-distance-right:0.0pt;mso-wrap-distance-bottom:0.0pt;" stroked="f">
                <v:path textboxrect="0,0,0,0"/>
                <v:imagedata r:id="rId13" o:title=""/>
              </v:shape>
            </w:pict>
          </mc:Fallback>
        </mc:AlternateContent>
      </w:r>
      <w:r>
        <w:rPr>
          <w:color w:val="auto"/>
          <w:highlight w:val="none"/>
        </w:rPr>
      </w:r>
      <w:r/>
    </w:p>
    <w:p>
      <w:pPr>
        <w:jc w:val="left"/>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rPr>
          <w:color w:val="auto"/>
          <w:highlight w:val="none"/>
        </w:rPr>
      </w:r>
      <w:r/>
    </w:p>
    <w:p>
      <w:pPr>
        <w:pStyle w:val="762"/>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rPr>
          <w:color w:val="auto"/>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center"/>
        <w:widowControl/>
        <w:tabs>
          <w:tab w:val="left" w:pos="315" w:leader="none"/>
          <w:tab w:val="center" w:pos="4153" w:leader="none"/>
        </w:tabs>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研佳科技咨询（苏州）有限公司</w:t>
      </w:r>
      <w:r>
        <w:rPr>
          <w:color w:val="auto"/>
          <w:highlight w:val="none"/>
        </w:rPr>
      </w:r>
      <w:r/>
    </w:p>
    <w:p>
      <w:pPr>
        <w:jc w:val="center"/>
        <w:widowControl/>
        <w:tabs>
          <w:tab w:val="left" w:pos="315" w:leader="none"/>
          <w:tab w:val="center" w:pos="4153" w:leader="none"/>
        </w:tabs>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二○二五年八月</w:t>
      </w:r>
      <w:r>
        <w:rPr>
          <w:color w:val="auto"/>
          <w:highlight w:val="none"/>
        </w:rPr>
      </w:r>
      <w:r/>
    </w:p>
    <w:p>
      <w:pPr>
        <w:jc w:val="center"/>
        <w:widowControl/>
        <w:rPr>
          <w:rFonts w:hint="eastAsia" w:ascii="黑体" w:hAnsi="宋体" w:eastAsia="黑体" w:cs="宋体"/>
          <w:b/>
          <w:bCs/>
          <w:color w:val="auto"/>
          <w:spacing w:val="20"/>
          <w:sz w:val="32"/>
          <w:szCs w:val="32"/>
          <w:highlight w:val="none"/>
        </w:rPr>
      </w:pPr>
      <w:r>
        <w:rPr>
          <w:rFonts w:ascii="黑体" w:hAnsi="宋体" w:eastAsia="黑体" w:cs="宋体"/>
          <w:b/>
          <w:bCs/>
          <w:color w:val="auto"/>
          <w:spacing w:val="20"/>
          <w:sz w:val="32"/>
          <w:szCs w:val="32"/>
          <w:highlight w:val="none"/>
        </w:rPr>
        <w:br w:type="page" w:clear="all"/>
      </w:r>
      <w:r>
        <w:rPr>
          <w:rFonts w:hint="eastAsia" w:ascii="黑体" w:hAnsi="宋体" w:eastAsia="黑体" w:cs="宋体"/>
          <w:b/>
          <w:bCs/>
          <w:color w:val="auto"/>
          <w:spacing w:val="20"/>
          <w:sz w:val="32"/>
          <w:szCs w:val="32"/>
          <w:highlight w:val="none"/>
        </w:rPr>
        <w:t xml:space="preserve">前附表</w:t>
      </w:r>
      <w:r>
        <w:rPr>
          <w:color w:val="auto"/>
          <w:highlight w:val="none"/>
        </w:rPr>
      </w:r>
      <w:r/>
    </w:p>
    <w:tbl>
      <w:tblPr>
        <w:tblStyle w:val="747"/>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序号</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textDirection w:val="lrTb"/>
            <w:noWrap w:val="false"/>
          </w:tcPr>
          <w:p>
            <w:pPr>
              <w:jc w:val="center"/>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名称</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内容</w:t>
            </w:r>
            <w:r>
              <w:rPr>
                <w:color w:val="auto"/>
                <w:highlight w:val="none"/>
              </w:rPr>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招标编号</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JSZC-320507-YJKJ-G2025-0015</w:t>
            </w:r>
            <w:r>
              <w:rPr>
                <w:color w:val="auto"/>
                <w:highlight w:val="none"/>
              </w:rPr>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招标内容</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相城区疾控中心检测设备采购</w:t>
            </w:r>
            <w:r>
              <w:rPr>
                <w:color w:val="auto"/>
                <w:highlight w:val="none"/>
              </w:rPr>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投标截止之日起</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0天（日历日）</w:t>
            </w:r>
            <w:r>
              <w:rPr>
                <w:color w:val="auto"/>
                <w:highlight w:val="none"/>
              </w:rPr>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投标保证金</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本项目不收投标证金</w:t>
            </w:r>
            <w:r>
              <w:rPr>
                <w:color w:val="auto"/>
                <w:highlight w:val="none"/>
              </w:rPr>
            </w:r>
            <w:r/>
          </w:p>
        </w:tc>
      </w:tr>
      <w:tr>
        <w:trPr>
          <w:jc w:val="center"/>
          <w:trHeight w:val="734"/>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5</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投标文件</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本项目采用电子投标文件，投标人按照招标文件要求制作上传电子投标文件，投标人无需提供纸质投标文件。</w:t>
            </w:r>
            <w:r>
              <w:rPr>
                <w:color w:val="auto"/>
                <w:highlight w:val="none"/>
              </w:rPr>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6</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投标文件</w:t>
            </w:r>
            <w:r>
              <w:rPr>
                <w:color w:val="auto"/>
                <w:highlight w:val="none"/>
              </w:rPr>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提交</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截止时间：</w:t>
            </w:r>
            <w:r>
              <w:rPr>
                <w:rFonts w:hint="eastAsia" w:ascii="宋体" w:hAnsi="宋体" w:eastAsia="宋体" w:cs="宋体"/>
                <w:color w:val="auto"/>
                <w:sz w:val="24"/>
                <w:highlight w:val="none"/>
                <w:lang w:val="zh-CN"/>
              </w:rPr>
              <w:t xml:space="preserve">202</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年0</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lang w:val="zh-CN"/>
              </w:rPr>
              <w:t xml:space="preserve">日09点30分</w:t>
            </w:r>
            <w:r>
              <w:rPr>
                <w:rFonts w:ascii="宋体" w:hAnsi="宋体" w:eastAsia="宋体" w:cs="宋体"/>
                <w:color w:val="auto"/>
                <w:sz w:val="24"/>
                <w:highlight w:val="none"/>
                <w:lang w:val="zh-CN"/>
              </w:rPr>
              <w:t xml:space="preserve">（北京时间）</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rPr>
                <w:color w:val="auto"/>
                <w:highlight w:val="none"/>
              </w:rPr>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7</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开标时间</w:t>
            </w:r>
            <w:r>
              <w:rPr>
                <w:color w:val="auto"/>
                <w:highlight w:val="none"/>
              </w:rPr>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时间：</w:t>
            </w:r>
            <w:r>
              <w:rPr>
                <w:rFonts w:hint="eastAsia" w:ascii="宋体" w:hAnsi="宋体" w:eastAsia="宋体" w:cs="宋体"/>
                <w:color w:val="auto"/>
                <w:sz w:val="24"/>
                <w:highlight w:val="none"/>
                <w:lang w:val="zh-CN"/>
              </w:rPr>
              <w:t xml:space="preserve">202</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年0</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lang w:val="en-US" w:eastAsia="zh-CN"/>
              </w:rPr>
              <w:t xml:space="preserve">27</w:t>
            </w:r>
            <w:r>
              <w:rPr>
                <w:rFonts w:hint="eastAsia" w:ascii="宋体" w:hAnsi="宋体" w:eastAsia="宋体" w:cs="宋体"/>
                <w:color w:val="auto"/>
                <w:sz w:val="24"/>
                <w:highlight w:val="none"/>
                <w:lang w:val="zh-CN"/>
              </w:rPr>
              <w:t xml:space="preserve">日09点30分</w:t>
            </w:r>
            <w:r>
              <w:rPr>
                <w:rFonts w:ascii="宋体" w:hAnsi="宋体" w:eastAsia="宋体" w:cs="宋体"/>
                <w:color w:val="auto"/>
                <w:sz w:val="24"/>
                <w:highlight w:val="none"/>
                <w:lang w:val="zh-CN"/>
              </w:rPr>
              <w:t xml:space="preserve">（北京时间）</w:t>
            </w:r>
            <w:r>
              <w:rPr>
                <w:color w:val="auto"/>
                <w:highlight w:val="none"/>
              </w:rPr>
            </w:r>
            <w:r/>
          </w:p>
          <w:p>
            <w:pPr>
              <w:jc w:val="left"/>
              <w:widowControl/>
              <w:rPr>
                <w:rFonts w:hint="eastAsia" w:ascii="宋体" w:hAnsi="宋体" w:eastAsia="宋体" w:cs="Times New Roman"/>
                <w:color w:val="auto"/>
                <w:sz w:val="24"/>
                <w:highlight w:val="none"/>
              </w:rPr>
            </w:pPr>
            <w:r>
              <w:rPr>
                <w:rFonts w:hint="eastAsia" w:ascii="宋体" w:hAnsi="宋体" w:eastAsia="宋体" w:cs="宋体"/>
                <w:color w:val="auto"/>
                <w:sz w:val="24"/>
                <w:highlight w:val="none"/>
                <w:lang w:val="zh-CN"/>
              </w:rPr>
              <w:t xml:space="preserve">地点：</w:t>
            </w:r>
            <w:r>
              <w:rPr>
                <w:rFonts w:hint="eastAsia" w:ascii="宋体" w:hAnsi="宋体" w:eastAsia="宋体" w:cs="Times New Roman"/>
                <w:color w:val="auto"/>
                <w:sz w:val="24"/>
                <w:highlight w:val="none"/>
              </w:rPr>
              <w:t xml:space="preserve">“苏采云”系统（网址：</w:t>
            </w:r>
            <w:r>
              <w:rPr>
                <w:rFonts w:ascii="宋体" w:hAnsi="宋体" w:eastAsia="宋体" w:cs="Times New Roman"/>
                <w:color w:val="auto"/>
                <w:sz w:val="24"/>
                <w:highlight w:val="none"/>
              </w:rPr>
              <w:t xml:space="preserve">http://jszfcg.jsczt.cn/</w:t>
            </w:r>
            <w:r>
              <w:rPr>
                <w:rFonts w:hint="eastAsia" w:ascii="宋体" w:hAnsi="宋体" w:eastAsia="宋体" w:cs="Times New Roman"/>
                <w:color w:val="auto"/>
                <w:sz w:val="24"/>
                <w:highlight w:val="none"/>
              </w:rPr>
              <w:t xml:space="preserve">）</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rPr>
                <w:color w:val="auto"/>
                <w:highlight w:val="none"/>
              </w:rPr>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Times New Roman"/>
                <w:color w:val="auto"/>
                <w:sz w:val="24"/>
                <w:highlight w:val="none"/>
              </w:rPr>
              <w:t xml:space="preserve">中标通知书</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928"/>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确定出中标人后，采购代理机构在法定时间内向中标人发出中标通知书。中标通知书将成为合同的组成部分。</w:t>
            </w:r>
            <w:r>
              <w:rPr>
                <w:color w:val="auto"/>
                <w:highlight w:val="none"/>
              </w:rPr>
            </w:r>
            <w:r/>
          </w:p>
          <w:p>
            <w:pPr>
              <w:pStyle w:val="928"/>
              <w:ind w:firstLine="0"/>
              <w:rPr>
                <w:rFonts w:hint="eastAsia" w:ascii="宋体" w:hAnsi="宋体"/>
                <w:b/>
                <w:color w:val="auto"/>
                <w:sz w:val="24"/>
                <w:szCs w:val="24"/>
                <w:highlight w:val="none"/>
              </w:rPr>
            </w:pPr>
            <w:r>
              <w:rPr>
                <w:rFonts w:hint="eastAsia" w:ascii="宋体" w:hAnsi="宋体" w:cs="宋体"/>
                <w:b/>
                <w:color w:val="auto"/>
                <w:sz w:val="24"/>
                <w:szCs w:val="24"/>
                <w:highlight w:val="none"/>
              </w:rPr>
              <w:t xml:space="preserve">请中标人在中标结果公告届满之日起30日内,使用CA证书登录“苏采云”系统及时下载中标通知书。</w:t>
            </w:r>
            <w:r>
              <w:rPr>
                <w:color w:val="auto"/>
                <w:highlight w:val="none"/>
              </w:rPr>
            </w:r>
            <w:r/>
          </w:p>
        </w:tc>
      </w:tr>
      <w:tr>
        <w:trPr>
          <w:jc w:val="center"/>
          <w:trHeight w:val="48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导致废标因素</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出现下列情形之一的，为废标： </w:t>
            </w:r>
            <w:r>
              <w:rPr>
                <w:color w:val="auto"/>
                <w:highlight w:val="none"/>
              </w:rPr>
            </w:r>
            <w:r/>
          </w:p>
          <w:p>
            <w:pPr>
              <w:jc w:val="left"/>
              <w:widowControl/>
              <w:tabs>
                <w:tab w:val="left" w:pos="42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（一）符合专业条件的投标人或者对招标文件作实质响应的投标人不足三家的；</w:t>
            </w:r>
            <w:r>
              <w:rPr>
                <w:color w:val="auto"/>
                <w:highlight w:val="none"/>
              </w:rPr>
            </w:r>
            <w:r/>
          </w:p>
          <w:p>
            <w:pPr>
              <w:jc w:val="left"/>
              <w:widowControl/>
              <w:tabs>
                <w:tab w:val="left" w:pos="42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（二）出现影响采购公正的违法、违规行为的； </w:t>
            </w:r>
            <w:r>
              <w:rPr>
                <w:color w:val="auto"/>
                <w:highlight w:val="none"/>
              </w:rPr>
            </w:r>
            <w:r/>
          </w:p>
          <w:p>
            <w:pPr>
              <w:jc w:val="left"/>
              <w:widowControl/>
              <w:tabs>
                <w:tab w:val="left" w:pos="42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（三）投标人的报价均超过了采购预算，采购人不能支付的； </w:t>
            </w:r>
            <w:r>
              <w:rPr>
                <w:color w:val="auto"/>
                <w:highlight w:val="none"/>
              </w:rPr>
            </w:r>
            <w:r/>
          </w:p>
          <w:p>
            <w:pPr>
              <w:jc w:val="left"/>
              <w:widowControl/>
              <w:tabs>
                <w:tab w:val="left" w:pos="420" w:leader="none"/>
              </w:tabs>
              <w:rPr>
                <w:rFonts w:hint="eastAsia" w:ascii="宋体" w:hAnsi="宋体" w:eastAsia="宋体" w:cs="宋体"/>
                <w:b/>
                <w:color w:val="auto"/>
                <w:sz w:val="24"/>
                <w:highlight w:val="none"/>
              </w:rPr>
            </w:pPr>
            <w:r>
              <w:rPr>
                <w:rFonts w:hint="eastAsia" w:ascii="宋体" w:hAnsi="宋体" w:eastAsia="宋体" w:cs="Times New Roman"/>
                <w:color w:val="auto"/>
                <w:sz w:val="24"/>
                <w:highlight w:val="none"/>
              </w:rPr>
              <w:t xml:space="preserve">（四）因重大变故，采购任务取消的。</w:t>
            </w:r>
            <w:r>
              <w:rPr>
                <w:color w:val="auto"/>
                <w:highlight w:val="none"/>
              </w:rPr>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导致无效标因素</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投标文件属下列情况之一的，在资格性、符合性检查时按照无效投标处理：</w:t>
            </w:r>
            <w:r>
              <w:rPr>
                <w:color w:val="auto"/>
                <w:highlight w:val="none"/>
              </w:rPr>
            </w:r>
            <w:r/>
          </w:p>
          <w:p>
            <w:pPr>
              <w:jc w:val="left"/>
              <w:widowControl/>
              <w:tabs>
                <w:tab w:val="left" w:pos="42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（一）未按照招标文件规定要求签署、盖章的；</w:t>
            </w:r>
            <w:r>
              <w:rPr>
                <w:color w:val="auto"/>
                <w:highlight w:val="none"/>
              </w:rPr>
            </w:r>
            <w:r/>
          </w:p>
          <w:p>
            <w:pPr>
              <w:jc w:val="left"/>
              <w:widowControl/>
              <w:tabs>
                <w:tab w:val="left" w:pos="42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（二）不具备招标文件中规定资格要求的；</w:t>
            </w:r>
            <w:r>
              <w:rPr>
                <w:color w:val="auto"/>
                <w:highlight w:val="none"/>
              </w:rPr>
            </w:r>
            <w:r/>
          </w:p>
          <w:p>
            <w:pPr>
              <w:jc w:val="left"/>
              <w:widowControl/>
              <w:tabs>
                <w:tab w:val="left" w:pos="42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（三）报价超过招标文件中规定的预算金额或者最高限价的；</w:t>
            </w:r>
            <w:r>
              <w:rPr>
                <w:color w:val="auto"/>
                <w:highlight w:val="none"/>
              </w:rPr>
            </w:r>
            <w:r/>
          </w:p>
          <w:p>
            <w:pPr>
              <w:jc w:val="left"/>
              <w:widowControl/>
              <w:tabs>
                <w:tab w:val="left" w:pos="42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（四）投标文件含有采购人不能接受的附加条件的；</w:t>
            </w:r>
            <w:r>
              <w:rPr>
                <w:color w:val="auto"/>
                <w:highlight w:val="none"/>
              </w:rPr>
            </w:r>
            <w:r/>
          </w:p>
          <w:p>
            <w:pPr>
              <w:jc w:val="left"/>
              <w:widowControl/>
              <w:tabs>
                <w:tab w:val="left" w:pos="42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（五）法律、法规和招标文件规定的其他无效情形。</w:t>
            </w:r>
            <w:r>
              <w:rPr>
                <w:color w:val="auto"/>
                <w:highlight w:val="none"/>
              </w:rPr>
            </w:r>
            <w:r/>
          </w:p>
          <w:p>
            <w:pPr>
              <w:jc w:val="left"/>
              <w:widowControl/>
              <w:tabs>
                <w:tab w:val="left" w:pos="420" w:leader="none"/>
              </w:tabs>
              <w:rPr>
                <w:rFonts w:hint="eastAsia" w:ascii="宋体" w:hAnsi="宋体" w:eastAsia="宋体" w:cs="宋体"/>
                <w:b/>
                <w:color w:val="auto"/>
                <w:sz w:val="24"/>
                <w:highlight w:val="none"/>
              </w:rPr>
            </w:pPr>
            <w:r>
              <w:rPr>
                <w:rFonts w:hint="eastAsia" w:ascii="宋体" w:hAnsi="宋体" w:eastAsia="宋体" w:cs="Times New Roman"/>
                <w:color w:val="auto"/>
                <w:sz w:val="24"/>
                <w:highlight w:val="none"/>
              </w:rPr>
              <w:t xml:space="preserve">（六）不同投标人的电子投标文件制作机器码一致；</w:t>
            </w:r>
            <w:r>
              <w:rPr>
                <w:color w:val="auto"/>
                <w:highlight w:val="none"/>
              </w:rPr>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color w:val="auto"/>
                <w:highlight w:val="none"/>
              </w:rPr>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代理服务费</w:t>
            </w:r>
            <w:r>
              <w:rPr>
                <w:color w:val="auto"/>
                <w:highlight w:val="none"/>
              </w:rPr>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服务费：本项目招标代理服务费由中标单位按以下收费标准向招标代理机构支付。</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预算金额100万元以下部分，费率为该部分预算金额的1.5%；</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预算金额100万元（含）－500万元部分，费率为该部分预算金额的1.1%；</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预算金额500万元（含）-1000万元部分，费率为该部分预算金额的0.8%；</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预算金额1000万元（含）-5000万元部分，费率为该部分预算金额的0.5%；</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预算金额5000万元以上部分，费率为该部分预算金额的0.25%。</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服务费账号：51472600001480</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账户名：研佳科技咨询（苏州）有限公司黄埭分公司</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开户行：苏州银行渭中路支行</w:t>
            </w:r>
            <w:r>
              <w:rPr>
                <w:color w:val="auto"/>
                <w:highlight w:val="none"/>
              </w:rPr>
            </w:r>
            <w:r/>
          </w:p>
        </w:tc>
      </w:tr>
    </w:tbl>
    <w:p>
      <w:pPr>
        <w:pStyle w:val="749"/>
        <w:ind w:firstLine="0"/>
        <w:jc w:val="center"/>
        <w:rPr>
          <w:rFonts w:hint="eastAsia" w:ascii="宋体" w:hAnsi="宋体" w:eastAsia="宋体"/>
          <w:b/>
          <w:color w:val="auto"/>
          <w:sz w:val="30"/>
          <w:szCs w:val="30"/>
          <w:highlight w:val="none"/>
        </w:rPr>
      </w:pPr>
      <w:r>
        <w:rPr>
          <w:rFonts w:ascii="宋体" w:hAnsi="宋体" w:eastAsia="宋体"/>
          <w:b/>
          <w:color w:val="auto"/>
          <w:sz w:val="30"/>
          <w:szCs w:val="30"/>
          <w:highlight w:val="none"/>
        </w:rPr>
        <w:br w:type="page" w:clear="all"/>
      </w:r>
      <w:r>
        <w:rPr>
          <w:color w:val="auto"/>
          <w:highlight w:val="none"/>
        </w:rPr>
      </w:r>
      <w:r/>
    </w:p>
    <w:p>
      <w:pPr>
        <w:pStyle w:val="749"/>
        <w:ind w:firstLine="0"/>
        <w:jc w:val="center"/>
        <w:rPr>
          <w:rFonts w:hint="eastAsia" w:ascii="宋体" w:hAnsi="宋体" w:eastAsia="宋体"/>
          <w:b/>
          <w:color w:val="auto"/>
          <w:sz w:val="84"/>
          <w:szCs w:val="84"/>
          <w:highlight w:val="none"/>
        </w:rPr>
      </w:pPr>
      <w:r>
        <w:rPr>
          <w:rFonts w:hint="eastAsia" w:ascii="宋体" w:hAnsi="宋体" w:eastAsia="宋体"/>
          <w:b/>
          <w:color w:val="auto"/>
          <w:sz w:val="52"/>
          <w:szCs w:val="52"/>
          <w:highlight w:val="none"/>
        </w:rPr>
        <w:t xml:space="preserve">目      录</w:t>
      </w:r>
      <w:r>
        <w:rPr>
          <w:color w:val="auto"/>
          <w:highlight w:val="none"/>
        </w:rPr>
      </w:r>
      <w:r/>
    </w:p>
    <w:p>
      <w:pPr>
        <w:pStyle w:val="762"/>
        <w:spacing w:line="480" w:lineRule="auto"/>
        <w:tabs>
          <w:tab w:val="right" w:pos="9022" w:leader="dot"/>
        </w:tabs>
        <w:rPr>
          <w:rFonts w:hint="eastAsia" w:ascii="宋体" w:hAnsi="宋体" w:eastAsia="宋体"/>
          <w:b/>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TOC \o "1-1"</w:instrText>
      </w:r>
      <w:r>
        <w:rPr>
          <w:rFonts w:ascii="宋体" w:hAnsi="宋体" w:eastAsia="宋体"/>
          <w:b/>
          <w:bCs/>
          <w:color w:val="auto"/>
          <w:sz w:val="30"/>
          <w:szCs w:val="30"/>
          <w:highlight w:val="none"/>
        </w:rPr>
        <w:fldChar w:fldCharType="separate"/>
      </w:r>
      <w:r>
        <w:rPr>
          <w:rFonts w:hint="eastAsia" w:ascii="宋体" w:hAnsi="宋体" w:eastAsia="宋体"/>
          <w:b/>
          <w:color w:val="auto"/>
          <w:sz w:val="30"/>
          <w:szCs w:val="30"/>
          <w:highlight w:val="none"/>
        </w:rPr>
        <w:t xml:space="preserve">第一章  招标公告</w:t>
      </w:r>
      <w:r>
        <w:rPr>
          <w:color w:val="auto"/>
          <w:highlight w:val="none"/>
        </w:rPr>
      </w:r>
      <w:r/>
    </w:p>
    <w:p>
      <w:pPr>
        <w:pStyle w:val="762"/>
        <w:spacing w:line="480" w:lineRule="auto"/>
        <w:tabs>
          <w:tab w:val="right" w:pos="9022" w:leader="dot"/>
        </w:tabs>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第二章  投标人须知</w:t>
      </w:r>
      <w:r>
        <w:rPr>
          <w:color w:val="auto"/>
          <w:highlight w:val="none"/>
        </w:rPr>
      </w:r>
      <w:r/>
    </w:p>
    <w:p>
      <w:pPr>
        <w:pStyle w:val="762"/>
        <w:spacing w:line="480" w:lineRule="auto"/>
        <w:tabs>
          <w:tab w:val="right" w:pos="9022" w:leader="dot"/>
        </w:tabs>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第三章  投标文件格式</w:t>
      </w:r>
      <w:r>
        <w:rPr>
          <w:color w:val="auto"/>
          <w:highlight w:val="none"/>
        </w:rPr>
      </w:r>
      <w:r/>
    </w:p>
    <w:p>
      <w:pPr>
        <w:pStyle w:val="762"/>
        <w:spacing w:line="480" w:lineRule="auto"/>
        <w:tabs>
          <w:tab w:val="right" w:pos="9022" w:leader="dot"/>
        </w:tabs>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第四章  招标书</w:t>
      </w:r>
      <w:r>
        <w:rPr>
          <w:color w:val="auto"/>
          <w:highlight w:val="none"/>
        </w:rPr>
      </w:r>
      <w:r/>
    </w:p>
    <w:p>
      <w:pPr>
        <w:pStyle w:val="762"/>
        <w:spacing w:line="480" w:lineRule="auto"/>
        <w:tabs>
          <w:tab w:val="right" w:pos="9022" w:leader="dot"/>
        </w:tabs>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第五章  合同主要条款</w:t>
      </w:r>
      <w:r>
        <w:rPr>
          <w:color w:val="auto"/>
          <w:highlight w:val="none"/>
        </w:rPr>
      </w:r>
      <w:r/>
    </w:p>
    <w:p>
      <w:pPr>
        <w:pStyle w:val="762"/>
        <w:spacing w:line="480" w:lineRule="auto"/>
        <w:tabs>
          <w:tab w:val="right" w:pos="9022" w:leader="dot"/>
        </w:tabs>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第六章  评分标准</w:t>
      </w:r>
      <w:r>
        <w:rPr>
          <w:color w:val="auto"/>
          <w:highlight w:val="none"/>
        </w:rPr>
      </w:r>
      <w:r/>
    </w:p>
    <w:p>
      <w:pPr>
        <w:pStyle w:val="749"/>
        <w:ind w:firstLine="0"/>
        <w:jc w:val="center"/>
        <w:spacing w:line="480" w:lineRule="auto"/>
        <w:rPr>
          <w:b/>
          <w:color w:val="auto"/>
          <w:sz w:val="32"/>
          <w:highlight w:val="none"/>
        </w:rPr>
      </w:pPr>
      <w:r>
        <w:rPr>
          <w:rFonts w:ascii="宋体" w:hAnsi="宋体" w:eastAsia="宋体"/>
          <w:b/>
          <w:bCs/>
          <w:color w:val="auto"/>
          <w:sz w:val="30"/>
          <w:szCs w:val="30"/>
          <w:highlight w:val="none"/>
        </w:rPr>
        <w:fldChar w:fldCharType="end"/>
      </w:r>
      <w:r>
        <w:rPr>
          <w:b/>
          <w:color w:val="auto"/>
          <w:sz w:val="32"/>
          <w:highlight w:val="none"/>
        </w:rPr>
        <w:br w:type="page" w:clear="all"/>
      </w:r>
      <w:r>
        <w:rPr>
          <w:color w:val="auto"/>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737"/>
        <w:jc w:val="center"/>
        <w:rPr>
          <w:rFonts w:hint="eastAsia" w:ascii="宋体" w:hAnsi="宋体" w:eastAsia="宋体"/>
          <w:color w:val="auto"/>
          <w:sz w:val="52"/>
          <w:highlight w:val="none"/>
        </w:rPr>
      </w:pPr>
      <w:r>
        <w:rPr>
          <w:color w:val="auto"/>
          <w:highlight w:val="none"/>
        </w:rPr>
      </w:r>
      <w:bookmarkStart w:id="0" w:name="_Toc520073481"/>
      <w:r>
        <w:rPr>
          <w:rFonts w:hint="eastAsia" w:ascii="宋体" w:hAnsi="宋体" w:eastAsia="宋体"/>
          <w:color w:val="auto"/>
          <w:sz w:val="52"/>
          <w:highlight w:val="none"/>
        </w:rPr>
        <w:t xml:space="preserve">第一章  招标公告</w:t>
      </w:r>
      <w:bookmarkEnd w:id="0"/>
      <w:r>
        <w:rPr>
          <w:color w:val="auto"/>
          <w:highlight w:val="none"/>
        </w:rPr>
      </w:r>
      <w:r/>
    </w:p>
    <w:p>
      <w:pPr>
        <w:jc w:val="left"/>
        <w:spacing w:line="360" w:lineRule="auto"/>
        <w:widowControl/>
        <w:rPr>
          <w:rFonts w:hint="eastAsia" w:ascii="宋体" w:hAnsi="宋体" w:eastAsia="宋体" w:cs="宋体"/>
          <w:color w:val="auto"/>
          <w:sz w:val="24"/>
          <w:highlight w:val="none"/>
          <w:u w:val="single"/>
        </w:rPr>
      </w:pPr>
      <w:r>
        <w:rPr>
          <w:rFonts w:ascii="宋体" w:hAnsi="宋体" w:eastAsia="宋体" w:cs="宋体"/>
          <w:color w:val="auto"/>
          <w:sz w:val="24"/>
          <w:highlight w:val="none"/>
        </w:rPr>
        <w:br w:type="page" w:clear="all"/>
      </w:r>
      <w:r>
        <w:rPr>
          <w:color w:val="auto"/>
          <w:highlight w:val="none"/>
        </w:rPr>
      </w:r>
      <w:r/>
    </w:p>
    <w:tbl>
      <w:tblPr>
        <w:tblStyle w:val="7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textDirection w:val="lrTb"/>
            <w:noWrap w:val="false"/>
          </w:tcPr>
          <w:p>
            <w:pPr>
              <w:ind w:firstLine="480"/>
              <w:spacing w:line="360" w:lineRule="auto"/>
              <w:rPr>
                <w:rFonts w:hint="eastAsia" w:ascii="宋体" w:hAnsi="宋体" w:eastAsia="宋体" w:cs="宋体"/>
                <w:color w:val="auto"/>
                <w:sz w:val="24"/>
                <w:highlight w:val="none"/>
              </w:rPr>
            </w:pPr>
            <w:r>
              <w:rPr>
                <w:color w:val="auto"/>
                <w:highlight w:val="none"/>
              </w:rPr>
            </w:r>
            <w:bookmarkStart w:id="1" w:name="OLE_LINK1"/>
            <w:r>
              <w:rPr>
                <w:rFonts w:hint="eastAsia" w:ascii="宋体" w:hAnsi="宋体" w:eastAsia="宋体" w:cs="宋体"/>
                <w:color w:val="auto"/>
                <w:sz w:val="24"/>
                <w:highlight w:val="none"/>
              </w:rPr>
              <w:t xml:space="preserve">项目概况</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苏州市相城区区级机关事务管理中心关于相城区疾控中心检测设备采购的潜在投标人应在“苏采云”系统获取招标文件，并于</w:t>
            </w:r>
            <w:r>
              <w:rPr>
                <w:rFonts w:hint="eastAsia" w:ascii="宋体" w:hAnsi="宋体" w:eastAsia="宋体" w:cs="宋体"/>
                <w:color w:val="auto"/>
                <w:sz w:val="24"/>
                <w:highlight w:val="none"/>
                <w:lang w:val="zh-CN"/>
              </w:rPr>
              <w:t xml:space="preserve">202</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年0</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lang w:val="en-US" w:eastAsia="zh-CN"/>
              </w:rPr>
              <w:t xml:space="preserve">27</w:t>
            </w:r>
            <w:r>
              <w:rPr>
                <w:rFonts w:hint="eastAsia" w:ascii="宋体" w:hAnsi="宋体" w:eastAsia="宋体" w:cs="宋体"/>
                <w:color w:val="auto"/>
                <w:sz w:val="24"/>
                <w:highlight w:val="none"/>
                <w:lang w:val="zh-CN"/>
              </w:rPr>
              <w:t xml:space="preserve">日09点30分</w:t>
            </w:r>
            <w:r>
              <w:rPr>
                <w:rFonts w:hint="eastAsia" w:ascii="宋体" w:hAnsi="宋体" w:eastAsia="宋体" w:cs="宋体"/>
                <w:color w:val="auto"/>
                <w:sz w:val="24"/>
                <w:highlight w:val="none"/>
              </w:rPr>
              <w:t xml:space="preserve">（北京时间）前递交投标文件。</w:t>
            </w:r>
            <w:r>
              <w:rPr>
                <w:color w:val="auto"/>
                <w:highlight w:val="none"/>
              </w:rPr>
            </w:r>
            <w:r/>
          </w:p>
        </w:tc>
      </w:tr>
    </w:tbl>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项目编号：JSZC-320507-YJKJ-G2025-0015</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项目名称：相城区疾控中心检测设备采购</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采购方式：公开招标</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预算金额：人民币柒佰肆拾肆万零陆佰元整（￥7440600.00）</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最高限价：人民币柒佰肆拾肆万零陆佰元整（￥7440600.00）</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采购清单：</w:t>
      </w:r>
      <w:r>
        <w:rPr>
          <w:color w:val="auto"/>
          <w:highlight w:val="none"/>
        </w:rPr>
      </w:r>
      <w:r/>
    </w:p>
    <w:tbl>
      <w:tblPr>
        <w:tblStyle w:val="747"/>
        <w:tblW w:w="7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3700"/>
        <w:gridCol w:w="1750"/>
        <w:gridCol w:w="1675"/>
      </w:tblGrid>
      <w:tr>
        <w:trPr>
          <w:jc w:val="center"/>
          <w:trHeight w:val="90"/>
        </w:trPr>
        <w:tc>
          <w:tcPr>
            <w:tcW w:w="712" w:type="dxa"/>
            <w:vAlign w:val="center"/>
            <w:textDirection w:val="lrTb"/>
            <w:noWrap w:val="false"/>
          </w:tcPr>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rPr>
                <w:color w:val="auto"/>
                <w:highlight w:val="none"/>
              </w:rPr>
            </w:r>
            <w:r/>
          </w:p>
        </w:tc>
        <w:tc>
          <w:tcPr>
            <w:tcW w:w="3700" w:type="dxa"/>
            <w:vAlign w:val="center"/>
            <w:textDirection w:val="lrTb"/>
            <w:noWrap w:val="false"/>
          </w:tcPr>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产品名称</w:t>
            </w:r>
            <w:r>
              <w:rPr>
                <w:color w:val="auto"/>
                <w:highlight w:val="none"/>
              </w:rPr>
            </w:r>
            <w:r/>
          </w:p>
        </w:tc>
        <w:tc>
          <w:tcPr>
            <w:tcW w:w="1750" w:type="dxa"/>
            <w:vAlign w:val="center"/>
            <w:textDirection w:val="lrTb"/>
            <w:noWrap w:val="false"/>
          </w:tcPr>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rPr>
                <w:color w:val="auto"/>
                <w:highlight w:val="none"/>
              </w:rPr>
            </w:r>
            <w:r/>
          </w:p>
        </w:tc>
        <w:tc>
          <w:tcPr>
            <w:tcW w:w="1675" w:type="dxa"/>
            <w:vAlign w:val="center"/>
            <w:textDirection w:val="lrTb"/>
            <w:noWrap w:val="false"/>
          </w:tcPr>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多病原核酸快速检测系统</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color w:val="auto"/>
                <w:highlight w:val="none"/>
              </w:rPr>
            </w:r>
            <w:bookmarkStart w:id="2" w:name="OLE_LINK28"/>
            <w:r>
              <w:rPr>
                <w:rFonts w:hint="eastAsia" w:ascii="宋体" w:hAnsi="宋体" w:eastAsia="宋体" w:cs="宋体"/>
                <w:color w:val="auto"/>
                <w:sz w:val="20"/>
                <w:szCs w:val="20"/>
                <w:highlight w:val="none"/>
                <w:lang w:bidi="ar"/>
              </w:rPr>
              <w:t xml:space="preserve">套</w:t>
            </w:r>
            <w:bookmarkEnd w:id="2"/>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全自动微生物质谱检测系统</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大容量台式离心机</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医用冷藏箱</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超低温冰箱</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低温保存箱</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相差显微镜</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恒温水浴槽</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鼓风干燥箱</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隔水式恒温培养箱</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气相色谱仪I</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2</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气相色谱仪II</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3</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Style w:val="934"/>
                <w:rFonts w:hint="default"/>
                <w:color w:val="auto"/>
                <w:highlight w:val="none"/>
                <w:lang w:bidi="ar"/>
              </w:rPr>
              <w:t xml:space="preserve">气相色谱</w:t>
            </w:r>
            <w:r>
              <w:rPr>
                <w:rStyle w:val="935"/>
                <w:rFonts w:eastAsia="宋体"/>
                <w:color w:val="auto"/>
                <w:highlight w:val="none"/>
                <w:lang w:bidi="ar"/>
              </w:rPr>
              <w:t xml:space="preserve">-</w:t>
            </w:r>
            <w:r>
              <w:rPr>
                <w:rStyle w:val="936"/>
                <w:rFonts w:hint="default"/>
                <w:color w:val="auto"/>
                <w:highlight w:val="none"/>
                <w:lang w:bidi="ar"/>
              </w:rPr>
              <w:t xml:space="preserve">质谱联用仪</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4</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离子色谱仪</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火焰原子吸收光谱仪</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6</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原子荧光光度计</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7</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全自动游离二氧化硅前处理仪</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8</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全自动热脱附仪</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9</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气体发生器一体机</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10</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超纯水仪</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11</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紫外分光光度计</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12</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洗瓶机</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13</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分析天平（1/10000）</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14</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分析天平（1/100000）</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15</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外置活塞式移液器</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16</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马弗炉</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17</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医用冷藏箱</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3</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18</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无管式净化型储药柜（PP材质）</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2</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19</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超声波清洗机</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20</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铂金坩埚</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个</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3</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个体（定点）防爆采样器I</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个体（定点）防爆采样器II</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大气采样器</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color w:val="auto"/>
                <w:highlight w:val="none"/>
              </w:rPr>
            </w:r>
            <w:bookmarkStart w:id="3" w:name="_Hlk204463288"/>
            <w:r>
              <w:rPr>
                <w:rFonts w:hint="eastAsia" w:ascii="宋体" w:hAnsi="宋体" w:eastAsia="宋体" w:cs="宋体"/>
                <w:color w:val="auto"/>
                <w:sz w:val="20"/>
                <w:szCs w:val="20"/>
                <w:highlight w:val="none"/>
                <w:lang w:bidi="ar"/>
              </w:rPr>
              <w:t xml:space="preserve">4</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手动有毒有害气体采集系统</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bookmarkEnd w:id="3"/>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干式流量计</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粉尘滤膜除静电器</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rPr>
                <w:color w:val="auto"/>
                <w:highlight w:val="none"/>
              </w:rPr>
            </w:r>
            <w:r/>
          </w:p>
        </w:tc>
        <w:tc>
          <w:tcPr>
            <w:tcW w:w="3700"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大气压力表</w:t>
            </w:r>
            <w:r>
              <w:rPr>
                <w:color w:val="auto"/>
                <w:highlight w:val="none"/>
              </w:rPr>
            </w:r>
            <w:r/>
          </w:p>
        </w:tc>
        <w:tc>
          <w:tcPr>
            <w:tcW w:w="1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bl>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技术参数要求详见：第四章 招标书</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合同履行期限</w:t>
      </w:r>
      <w:r>
        <w:rPr>
          <w:rFonts w:hint="eastAsia" w:ascii="宋体" w:hAnsi="宋体" w:eastAsia="宋体" w:cs="宋体"/>
          <w:color w:val="auto"/>
          <w:sz w:val="24"/>
          <w:highlight w:val="none"/>
        </w:rPr>
        <w:t xml:space="preserve">：合同签订后90天内完成供货安装调试结束</w:t>
      </w:r>
      <w:r>
        <w:rPr>
          <w:rFonts w:ascii="宋体" w:hAnsi="宋体" w:eastAsia="宋体" w:cs="宋体"/>
          <w:color w:val="auto"/>
          <w:sz w:val="24"/>
          <w:highlight w:val="none"/>
        </w:rPr>
        <w:t xml:space="preserve">。</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交货地点：苏州市相城区疾病预防控制中心指定地点。</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本项目（是/否）接受联合体：不接受联合体。</w:t>
      </w:r>
      <w:r>
        <w:rPr>
          <w:color w:val="auto"/>
          <w:highlight w:val="none"/>
        </w:rPr>
      </w:r>
      <w:r/>
    </w:p>
    <w:p>
      <w:pPr>
        <w:pStyle w:val="946"/>
        <w:rPr>
          <w:color w:val="auto"/>
          <w:highlight w:val="none"/>
        </w:rPr>
      </w:pPr>
      <w:r>
        <w:rPr>
          <w:rFonts w:hint="eastAsia"/>
          <w:color w:val="auto"/>
          <w:highlight w:val="none"/>
        </w:rPr>
        <w:t xml:space="preserve">本项目不接受进口产品投标。</w:t>
      </w:r>
      <w:r>
        <w:rPr>
          <w:color w:val="auto"/>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1.1具有独立承担民事责任的能力；</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1.2具有良好的商业信誉和健全的财务会计制度；</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1.3具有履行合同所必需的设备和专业技术能力；</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1.4有依法缴纳税收和社会保障资金的良好记录；</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1.5参加政府采购活动前三年内，在经营活动中没有重大违法记录；</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2.落实政府采购政策需满足的资格要求：本项目非专门面向中小企业采购，所属行业为其他未列明行业。</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w:t>
      </w:r>
      <w:r>
        <w:rPr>
          <w:rFonts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3.2投标单位具有</w:t>
      </w:r>
      <w:bookmarkStart w:id="4" w:name="OLE_LINK19"/>
      <w:r>
        <w:rPr>
          <w:rFonts w:hint="eastAsia" w:ascii="宋体" w:hAnsi="宋体" w:eastAsia="宋体" w:cs="宋体"/>
          <w:color w:val="auto"/>
          <w:sz w:val="24"/>
          <w:highlight w:val="none"/>
        </w:rPr>
        <w:t xml:space="preserve">全自动微生物质谱检测系统</w:t>
      </w:r>
      <w:bookmarkEnd w:id="4"/>
      <w:r>
        <w:rPr>
          <w:rFonts w:hint="eastAsia" w:ascii="宋体" w:hAnsi="宋体" w:eastAsia="宋体" w:cs="宋体"/>
          <w:color w:val="auto"/>
          <w:sz w:val="24"/>
          <w:highlight w:val="none"/>
        </w:rPr>
        <w:t xml:space="preserve">、医用冷藏箱、超低温冰箱、低温保存箱的医疗器械生产或经营(许可)资格。投标单位为生产企业的，须提供有效期内的《医疗器械生产许可证》复印件，投标单位为经营企业的，须提供有效期内的医疗器械经营资格证书复印件。</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三、获取采购文件</w:t>
      </w:r>
      <w:r>
        <w:rPr>
          <w:color w:val="auto"/>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1.时</w:t>
      </w:r>
      <w:r>
        <w:rPr>
          <w:rFonts w:hint="eastAsia" w:ascii="宋体" w:hAnsi="宋体" w:eastAsia="宋体" w:cs="宋体"/>
          <w:color w:val="auto"/>
          <w:sz w:val="24"/>
          <w:szCs w:val="20"/>
          <w:highlight w:val="none"/>
        </w:rPr>
        <w:t xml:space="preserve">间：自公告发布之日起五个工作日</w:t>
      </w:r>
      <w:r>
        <w:rPr>
          <w:color w:val="auto"/>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w:t>
      </w:r>
      <w:r>
        <w:rPr>
          <w:color w:val="auto"/>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3.方式：苏采云网上报名</w:t>
      </w:r>
      <w:r>
        <w:rPr>
          <w:color w:val="auto"/>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4.售价：0.00元</w:t>
      </w:r>
      <w:r>
        <w:rPr>
          <w:color w:val="auto"/>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注：未依照招标公告要求获取招标文件的投标人，视为未参加该项政府采购活动，不具备对该政府采购项目提出质疑的法定权利。</w:t>
      </w:r>
      <w:r>
        <w:rPr>
          <w:color w:val="auto"/>
          <w:highlight w:val="none"/>
        </w:rPr>
      </w:r>
      <w:r/>
    </w:p>
    <w:p>
      <w:pPr>
        <w:pStyle w:val="937"/>
        <w:numPr>
          <w:ilvl w:val="0"/>
          <w:numId w:val="1"/>
        </w:numPr>
        <w:ind w:firstLine="420"/>
        <w:spacing w:beforeAutospacing="0" w:afterAutospacing="0" w:line="480" w:lineRule="atLeast"/>
        <w:shd w:val="clear" w:color="auto" w:fill="ffffff"/>
        <w:widowControl/>
        <w:rPr>
          <w:rFonts w:hint="eastAsia" w:ascii="宋体" w:hAnsi="宋体" w:cs="宋体"/>
          <w:b/>
          <w:bCs/>
          <w:color w:val="auto"/>
          <w:highlight w:val="none"/>
        </w:rPr>
      </w:pPr>
      <w:r>
        <w:rPr>
          <w:rFonts w:hint="eastAsia" w:ascii="宋体" w:hAnsi="宋体" w:cs="宋体"/>
          <w:b/>
          <w:bCs/>
          <w:color w:val="auto"/>
          <w:highlight w:val="none"/>
        </w:rPr>
        <w:t xml:space="preserve">响应文件提交</w:t>
      </w:r>
      <w:r>
        <w:rPr>
          <w:color w:val="auto"/>
          <w:highlight w:val="none"/>
        </w:rPr>
      </w:r>
      <w:r/>
    </w:p>
    <w:p>
      <w:pPr>
        <w:pStyle w:val="937"/>
        <w:ind w:firstLine="480"/>
        <w:spacing w:beforeAutospacing="0" w:afterAutospacing="0" w:line="480" w:lineRule="atLeast"/>
        <w:shd w:val="clear" w:color="auto" w:fill="ffffff"/>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截止时间：</w:t>
      </w:r>
      <w:r>
        <w:rPr>
          <w:rFonts w:hint="eastAsia" w:ascii="宋体" w:hAnsi="宋体" w:eastAsia="宋体" w:cs="宋体"/>
          <w:color w:val="auto"/>
          <w:szCs w:val="20"/>
          <w:highlight w:val="none"/>
        </w:rPr>
        <w:t xml:space="preserve">2025年8月</w:t>
      </w:r>
      <w:r>
        <w:rPr>
          <w:rFonts w:hint="eastAsia" w:ascii="宋体" w:hAnsi="宋体" w:eastAsia="宋体" w:cs="宋体"/>
          <w:color w:val="auto"/>
          <w:szCs w:val="20"/>
          <w:highlight w:val="none"/>
          <w:lang w:val="en-US" w:eastAsia="zh-CN"/>
        </w:rPr>
        <w:t xml:space="preserve">27</w:t>
      </w:r>
      <w:r>
        <w:rPr>
          <w:rFonts w:hint="eastAsia" w:ascii="宋体" w:hAnsi="宋体" w:eastAsia="宋体" w:cs="宋体"/>
          <w:color w:val="auto"/>
          <w:szCs w:val="20"/>
          <w:highlight w:val="none"/>
        </w:rPr>
        <w:t xml:space="preserve">日09点30分（北京时间）</w:t>
      </w:r>
      <w:r>
        <w:rPr>
          <w:color w:val="auto"/>
          <w:highlight w:val="none"/>
        </w:rPr>
      </w:r>
      <w:r/>
    </w:p>
    <w:p>
      <w:pPr>
        <w:pStyle w:val="937"/>
        <w:ind w:firstLine="420"/>
        <w:spacing w:beforeAutospacing="0" w:afterAutospacing="0" w:line="480" w:lineRule="atLeast"/>
        <w:shd w:val="clear" w:color="auto" w:fill="ffffff"/>
        <w:widowControl/>
        <w:rPr>
          <w:rFonts w:hint="eastAsia" w:ascii="宋体" w:hAnsi="宋体" w:eastAsia="宋体" w:cs="宋体"/>
          <w:b/>
          <w:color w:val="auto"/>
          <w:highlight w:val="none"/>
        </w:rPr>
      </w:pPr>
      <w:r>
        <w:rPr>
          <w:rFonts w:hint="eastAsia" w:ascii="宋体" w:hAnsi="宋体" w:eastAsia="宋体" w:cs="宋体"/>
          <w:color w:val="auto"/>
          <w:szCs w:val="20"/>
          <w:highlight w:val="none"/>
        </w:rPr>
        <w:t xml:space="preserve">地点：苏采云政府采购一体化平台开标大厅（网上不见面开标）</w:t>
      </w:r>
      <w:r>
        <w:rPr>
          <w:color w:val="auto"/>
          <w:highlight w:val="none"/>
        </w:rPr>
      </w:r>
      <w:r/>
    </w:p>
    <w:p>
      <w:pPr>
        <w:ind w:firstLine="422"/>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五、开启</w:t>
      </w:r>
      <w:r>
        <w:rPr>
          <w:color w:val="auto"/>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时间：</w:t>
      </w:r>
      <w:r>
        <w:rPr>
          <w:rFonts w:hint="eastAsia" w:ascii="宋体" w:hAnsi="宋体" w:eastAsia="宋体" w:cs="宋体"/>
          <w:color w:val="auto"/>
          <w:sz w:val="24"/>
          <w:szCs w:val="20"/>
          <w:highlight w:val="none"/>
        </w:rPr>
        <w:t xml:space="preserve">2025年8月</w:t>
      </w:r>
      <w:r>
        <w:rPr>
          <w:rFonts w:hint="eastAsia" w:ascii="宋体" w:hAnsi="宋体" w:eastAsia="宋体" w:cs="宋体"/>
          <w:color w:val="auto"/>
          <w:sz w:val="24"/>
          <w:szCs w:val="20"/>
          <w:highlight w:val="none"/>
          <w:lang w:val="en-US" w:eastAsia="zh-CN"/>
        </w:rPr>
        <w:t xml:space="preserve">27</w:t>
      </w:r>
      <w:r>
        <w:rPr>
          <w:rFonts w:hint="eastAsia" w:ascii="宋体" w:hAnsi="宋体" w:eastAsia="宋体" w:cs="宋体"/>
          <w:color w:val="auto"/>
          <w:sz w:val="24"/>
          <w:szCs w:val="20"/>
          <w:highlight w:val="none"/>
        </w:rPr>
        <w:t xml:space="preserve">日09点30分(北京时间)</w:t>
      </w:r>
      <w:r>
        <w:rPr>
          <w:color w:val="auto"/>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地点：“苏采云”系统</w:t>
      </w:r>
      <w:r>
        <w:rPr>
          <w:color w:val="auto"/>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六、公告期限</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rPr>
          <w:color w:val="auto"/>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七、其他补充事宜</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1、联合体及转包、分包：本项目不接受联合体。不得转包、分包本项目。</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2、法人的分支机构不得参加本项目的采购活动（除银行、保险、石油石化、电力、电信等行业特殊情况外）。</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4、凡为采购项目提供整体设计、规范编制或者项目管理、监理、检测等服务的供应商，不得再参加本项目的采购活动。</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5、供应商未被“信用中国”网站（WWW.creditchina.gov.cn）或“中国政府采购网”网站（www.ccgp.gov.cn）列入失信被执行人、重大税收违法案件当事人名单、政府采购严重失信行为记录名单。</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6、方式：</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（1）CA证书办理</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（2）参与采购活动</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（3）电子投标准备</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在系统操作过程中如有疑问，请按以下方式联系：</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注册咨询：18261002950；</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CA技术咨询电话：400-608-6099；</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签章使用问题：025-83633811、025-83633812、15380932027、15371015030；</w:t>
      </w:r>
      <w:r>
        <w:rPr>
          <w:color w:val="auto"/>
          <w:highlight w:val="none"/>
        </w:rPr>
      </w:r>
      <w:r/>
    </w:p>
    <w:p>
      <w:pPr>
        <w:ind w:firstLine="42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系统使用指导与咨询：联系电话：18261002950；QQ：3048755361、1315179389、895706745。</w:t>
      </w:r>
      <w:r>
        <w:rPr>
          <w:color w:val="auto"/>
          <w:highlight w:val="none"/>
        </w:rPr>
      </w:r>
      <w:r/>
    </w:p>
    <w:p>
      <w:pPr>
        <w:ind w:firstLine="420"/>
        <w:spacing w:line="360" w:lineRule="auto"/>
        <w:widowControl/>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7、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highlight w:val="none"/>
          <w:lang w:val="zh-CN"/>
        </w:rPr>
        <w:t xml:space="preserve">供应商应充分考虑到网络环境、网络带宽等风险因素，如因供应商自身原因造成的电子响应文件上传不成功由供应商自行承担全部责任。</w:t>
      </w:r>
      <w:r>
        <w:rPr>
          <w:color w:val="auto"/>
          <w:highlight w:val="none"/>
        </w:rPr>
      </w:r>
      <w:r/>
    </w:p>
    <w:p>
      <w:pPr>
        <w:ind w:firstLine="420"/>
        <w:spacing w:line="360" w:lineRule="auto"/>
        <w:widowControl/>
        <w:rPr>
          <w:rFonts w:hint="eastAsia" w:ascii="宋体" w:hAnsi="宋体" w:eastAsia="宋体" w:cs="宋体"/>
          <w:b/>
          <w:color w:val="auto"/>
          <w:sz w:val="24"/>
          <w:highlight w:val="none"/>
        </w:rPr>
      </w:pPr>
      <w:r>
        <w:rPr>
          <w:rFonts w:hint="eastAsia" w:ascii="宋体" w:hAnsi="宋体" w:eastAsia="宋体" w:cs="宋体"/>
          <w:bCs/>
          <w:color w:val="auto"/>
          <w:sz w:val="24"/>
          <w:highlight w:val="none"/>
          <w:lang w:val="zh-CN"/>
        </w:rPr>
        <w:t xml:space="preserve">8、线上参加开标（开启）会方式：供应商登录“苏采云”系统在平台首页点击“开标大厅”，进入江苏省政府采购一体化不见面开标（采购）大厅，在今日项目列表，点击项目，进入不见面开标系统。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highlight w:val="none"/>
          <w:lang w:val="zh-CN"/>
        </w:rPr>
        <w:t xml:space="preserve">本项目为不见面磋商项目，</w:t>
      </w:r>
      <w:r>
        <w:rPr>
          <w:rFonts w:hint="eastAsia" w:ascii="宋体" w:hAnsi="宋体" w:eastAsia="宋体" w:cs="宋体"/>
          <w:b/>
          <w:color w:val="auto"/>
          <w:sz w:val="24"/>
          <w:highlight w:val="none"/>
          <w:lang w:val="zh-CN"/>
        </w:rPr>
        <w:t xml:space="preserve">开启阶段供应商在【供应商解密】环节必须使用 CA证书解密电子响应文件，如在系统规定的解密时间内未能完成解密的视为放弃参与本项目。</w:t>
      </w:r>
      <w:r>
        <w:rPr>
          <w:color w:val="auto"/>
          <w:highlight w:val="none"/>
        </w:rPr>
      </w:r>
      <w:r/>
    </w:p>
    <w:p>
      <w:pPr>
        <w:ind w:firstLine="422"/>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请供应商确保电脑、系统及其他设备（视频输入输出设备等）无误，且开启直至项目结束始终保持系统在线状态。</w:t>
      </w:r>
      <w:r>
        <w:rPr>
          <w:color w:val="auto"/>
          <w:highlight w:val="none"/>
        </w:rPr>
      </w:r>
      <w:r/>
    </w:p>
    <w:p>
      <w:pPr>
        <w:ind w:firstLine="4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9、本公告同时在中国政府采购网、江苏政府采购网、苏州市政府采购网上发布，成交公告亦是刊登在此媒体，敬请各供应商注意。政府采购监督管理部门监督电话：0512-67591005、0512-67591006。</w:t>
      </w:r>
      <w:r>
        <w:rPr>
          <w:color w:val="auto"/>
          <w:highlight w:val="none"/>
        </w:rPr>
      </w:r>
      <w:r/>
    </w:p>
    <w:p>
      <w:pPr>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10、根据苏州市财政局《关于深入开展苏州市政府采购合同</w:t>
      </w:r>
      <w:bookmarkStart w:id="5" w:name="_Hlk170818634"/>
      <w:r>
        <w:rPr>
          <w:rFonts w:hint="eastAsia" w:ascii="宋体" w:hAnsi="宋体" w:eastAsia="宋体" w:cs="宋体"/>
          <w:color w:val="auto"/>
          <w:sz w:val="24"/>
          <w:highlight w:val="none"/>
        </w:rPr>
        <w:t xml:space="preserve">信用融资</w:t>
      </w:r>
      <w:bookmarkEnd w:id="5"/>
      <w:r>
        <w:rPr>
          <w:rFonts w:hint="eastAsia" w:ascii="宋体" w:hAnsi="宋体" w:eastAsia="宋体" w:cs="宋体"/>
          <w:color w:val="auto"/>
          <w:sz w:val="24"/>
          <w:highlight w:val="none"/>
        </w:rPr>
        <w:t xml:space="preserve">业务的通知》相关要求，本项目支持政府采购合同信用融资。</w:t>
      </w:r>
      <w:r>
        <w:rPr>
          <w:color w:val="auto"/>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八、对本次招标提出询问，请按以下方式联系</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名称：苏州市相城区区级机关事务管理中心</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地址：苏州市相城区阳澄湖东路8号相城区行政中心8号楼</w:t>
      </w:r>
      <w:r>
        <w:rPr>
          <w:color w:val="auto"/>
          <w:highlight w:val="none"/>
        </w:rPr>
      </w:r>
      <w:r/>
    </w:p>
    <w:p>
      <w:pPr>
        <w:pStyle w:val="758"/>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联系人：于文</w:t>
      </w:r>
      <w:r>
        <w:rPr>
          <w:color w:val="auto"/>
          <w:highlight w:val="none"/>
        </w:rPr>
      </w:r>
      <w:r/>
    </w:p>
    <w:p>
      <w:pPr>
        <w:pStyle w:val="758"/>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联系方式：</w:t>
      </w:r>
      <w:r>
        <w:rPr>
          <w:rFonts w:hint="eastAsia" w:eastAsia="宋体" w:cs="宋体"/>
          <w:color w:val="auto"/>
          <w:highlight w:val="none"/>
        </w:rPr>
        <w:t xml:space="preserve">0512-85182861</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名称：研佳科技咨询（苏州）有限公司</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地址：苏州市相城区高铁新城青龙港路60号苏州港口大厦11层1101室</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联系人：曹梦斌、赵正阳</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联系方式：0512-65729727</w:t>
      </w:r>
      <w:bookmarkEnd w:id="1"/>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olor w:val="auto"/>
          <w:sz w:val="52"/>
          <w:highlight w:val="none"/>
        </w:rPr>
      </w:pPr>
      <w:r>
        <w:rPr>
          <w:rFonts w:hint="eastAsia" w:ascii="宋体" w:hAnsi="宋体" w:eastAsia="宋体"/>
          <w:color w:val="auto"/>
          <w:sz w:val="52"/>
          <w:highlight w:val="none"/>
        </w:rPr>
      </w:r>
      <w:r>
        <w:rPr>
          <w:color w:val="auto"/>
          <w:highlight w:val="none"/>
        </w:rPr>
      </w:r>
      <w:r/>
    </w:p>
    <w:p>
      <w:pPr>
        <w:jc w:val="left"/>
        <w:widowControl/>
        <w:rPr>
          <w:rFonts w:hint="eastAsia" w:ascii="宋体" w:hAnsi="宋体" w:eastAsia="宋体"/>
          <w:color w:val="auto"/>
          <w:sz w:val="52"/>
          <w:highlight w:val="none"/>
        </w:rPr>
      </w:pPr>
      <w:r>
        <w:rPr>
          <w:rFonts w:hint="eastAsia" w:ascii="宋体" w:hAnsi="宋体" w:eastAsia="宋体"/>
          <w:color w:val="auto"/>
          <w:sz w:val="52"/>
          <w:highlight w:val="none"/>
        </w:rPr>
      </w:r>
      <w:r>
        <w:rPr>
          <w:color w:val="auto"/>
          <w:highlight w:val="none"/>
        </w:rPr>
      </w:r>
      <w:r/>
    </w:p>
    <w:p>
      <w:pPr>
        <w:pStyle w:val="737"/>
        <w:jc w:val="center"/>
        <w:rPr>
          <w:rFonts w:hint="eastAsia" w:ascii="宋体" w:hAnsi="宋体" w:eastAsia="宋体"/>
          <w:color w:val="auto"/>
          <w:sz w:val="52"/>
          <w:highlight w:val="none"/>
        </w:rPr>
      </w:pPr>
      <w:r>
        <w:rPr>
          <w:rFonts w:hint="eastAsia" w:ascii="宋体" w:hAnsi="宋体" w:eastAsia="宋体"/>
          <w:color w:val="auto"/>
          <w:sz w:val="52"/>
          <w:highlight w:val="none"/>
        </w:rPr>
      </w:r>
      <w:r>
        <w:rPr>
          <w:color w:val="auto"/>
          <w:highlight w:val="none"/>
        </w:rPr>
      </w:r>
      <w:r/>
    </w:p>
    <w:p>
      <w:pPr>
        <w:pStyle w:val="737"/>
        <w:jc w:val="center"/>
        <w:rPr>
          <w:rFonts w:hint="eastAsia" w:ascii="宋体" w:hAnsi="宋体" w:eastAsia="宋体"/>
          <w:color w:val="auto"/>
          <w:sz w:val="52"/>
          <w:highlight w:val="none"/>
        </w:rPr>
      </w:pPr>
      <w:r>
        <w:rPr>
          <w:color w:val="auto"/>
          <w:highlight w:val="none"/>
        </w:rPr>
      </w:r>
      <w:bookmarkStart w:id="6" w:name="_Toc520073482"/>
      <w:r>
        <w:rPr>
          <w:rFonts w:hint="eastAsia" w:ascii="宋体" w:hAnsi="宋体" w:eastAsia="宋体"/>
          <w:color w:val="auto"/>
          <w:sz w:val="52"/>
          <w:highlight w:val="none"/>
        </w:rPr>
        <w:t xml:space="preserve">第二章  投标人须知</w:t>
      </w:r>
      <w:bookmarkEnd w:id="6"/>
      <w:r>
        <w:rPr>
          <w:color w:val="auto"/>
          <w:highlight w:val="none"/>
        </w:rPr>
      </w:r>
      <w:r/>
    </w:p>
    <w:p>
      <w:pPr>
        <w:ind w:firstLine="480"/>
        <w:jc w:val="left"/>
        <w:spacing w:line="360" w:lineRule="auto"/>
        <w:rPr>
          <w:rFonts w:hint="eastAsia" w:ascii="宋体" w:hAnsi="宋体" w:eastAsia="宋体" w:cs="宋体"/>
          <w:b/>
          <w:bCs/>
          <w:color w:val="auto"/>
          <w:sz w:val="24"/>
          <w:highlight w:val="none"/>
        </w:rPr>
      </w:pPr>
      <w:r>
        <w:rPr>
          <w:rFonts w:ascii="宋体" w:hAnsi="宋体" w:eastAsia="宋体" w:cs="宋体"/>
          <w:color w:val="auto"/>
          <w:sz w:val="24"/>
          <w:highlight w:val="none"/>
        </w:rPr>
        <w:br w:type="page" w:clear="all"/>
      </w:r>
      <w:r>
        <w:rPr>
          <w:rFonts w:ascii="宋体" w:hAnsi="宋体" w:eastAsia="宋体" w:cs="宋体"/>
          <w:b/>
          <w:bCs/>
          <w:color w:val="auto"/>
          <w:sz w:val="24"/>
          <w:highlight w:val="none"/>
          <w:lang w:val="zh-CN"/>
        </w:rPr>
        <w:t xml:space="preserve">1.</w:t>
      </w:r>
      <w:r>
        <w:rPr>
          <w:rFonts w:hint="eastAsia" w:ascii="宋体" w:hAnsi="宋体" w:eastAsia="宋体" w:cs="宋体"/>
          <w:b/>
          <w:bCs/>
          <w:color w:val="auto"/>
          <w:sz w:val="24"/>
          <w:highlight w:val="none"/>
          <w:lang w:val="zh-CN"/>
        </w:rPr>
        <w:t xml:space="preserve">说明</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1.1</w:t>
      </w:r>
      <w:r>
        <w:rPr>
          <w:rFonts w:hint="eastAsia" w:ascii="宋体" w:hAnsi="宋体" w:eastAsia="宋体" w:cs="宋体"/>
          <w:color w:val="auto"/>
          <w:sz w:val="24"/>
          <w:highlight w:val="none"/>
          <w:lang w:val="zh-CN"/>
        </w:rPr>
        <w:t xml:space="preserve">本招标文件仅适用于研佳科技咨询（苏州）有限公司组织的招标活动。</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1.2</w:t>
      </w:r>
      <w:r>
        <w:rPr>
          <w:rFonts w:hint="eastAsia" w:ascii="宋体" w:hAnsi="宋体" w:eastAsia="宋体" w:cs="宋体"/>
          <w:color w:val="auto"/>
          <w:sz w:val="24"/>
          <w:highlight w:val="none"/>
          <w:lang w:val="zh-CN"/>
        </w:rPr>
        <w:t xml:space="preserve">本次招标活动及因本次招标产生的合同受中国法律制约和保护。</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1.3</w:t>
      </w:r>
      <w:r>
        <w:rPr>
          <w:rFonts w:hint="eastAsia" w:ascii="宋体" w:hAnsi="宋体" w:eastAsia="宋体" w:cs="宋体"/>
          <w:color w:val="auto"/>
          <w:sz w:val="24"/>
          <w:highlight w:val="none"/>
          <w:lang w:val="zh-CN"/>
        </w:rPr>
        <w:t xml:space="preserve">本招标文件的解释权属于研佳科技咨询（苏州）有限公司。</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zh-CN"/>
        </w:rPr>
        <w:t xml:space="preserve">词语释义</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2.1</w:t>
      </w:r>
      <w:r>
        <w:rPr>
          <w:rFonts w:hint="eastAsia" w:ascii="宋体" w:hAnsi="宋体" w:eastAsia="宋体" w:cs="宋体"/>
          <w:color w:val="auto"/>
          <w:sz w:val="24"/>
          <w:highlight w:val="none"/>
          <w:lang w:val="zh-CN"/>
        </w:rPr>
        <w:t xml:space="preserve">招标代理机构：具体组织实施招标活动的法人。</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2.2</w:t>
      </w:r>
      <w:r>
        <w:rPr>
          <w:rFonts w:hint="eastAsia" w:ascii="宋体" w:hAnsi="宋体" w:eastAsia="宋体" w:cs="宋体"/>
          <w:color w:val="auto"/>
          <w:sz w:val="24"/>
          <w:highlight w:val="none"/>
          <w:lang w:val="zh-CN"/>
        </w:rPr>
        <w:t xml:space="preserve">投标人：经认定有资格响应招标，参加投标竞争的法人或其他组织和自然人。</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2.3</w:t>
      </w:r>
      <w:r>
        <w:rPr>
          <w:rFonts w:hint="eastAsia" w:ascii="宋体" w:hAnsi="宋体" w:eastAsia="宋体" w:cs="宋体"/>
          <w:color w:val="auto"/>
          <w:sz w:val="24"/>
          <w:highlight w:val="none"/>
          <w:lang w:val="zh-CN"/>
        </w:rPr>
        <w:t xml:space="preserve">响应：投标人根据招标代理机构或招标代理机构发布的招标文件，编制投标文件并按规定投标的行为。</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2.4</w:t>
      </w:r>
      <w:r>
        <w:rPr>
          <w:rFonts w:hint="eastAsia" w:ascii="宋体" w:hAnsi="宋体" w:eastAsia="宋体" w:cs="宋体"/>
          <w:color w:val="auto"/>
          <w:sz w:val="24"/>
          <w:highlight w:val="none"/>
          <w:lang w:val="zh-CN"/>
        </w:rPr>
        <w:t xml:space="preserve">合同：采供双方根据招标文件和中标的投标文件及中标通知书规定的内容签署的以书面形式所达成的协议，包括所有的附件、附录和构成协议的所有文件。</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2.5</w:t>
      </w:r>
      <w:r>
        <w:rPr>
          <w:rFonts w:hint="eastAsia" w:ascii="宋体" w:hAnsi="宋体" w:eastAsia="宋体" w:cs="宋体"/>
          <w:color w:val="auto"/>
          <w:sz w:val="24"/>
          <w:highlight w:val="none"/>
          <w:lang w:val="zh-CN"/>
        </w:rPr>
        <w:t xml:space="preserve">甲方（采购</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rPr>
        <w:t xml:space="preserve">）：合同中明确规定的实际购买货物和服务的法人或其他组织和自然人</w:t>
      </w:r>
      <w:r>
        <w:rPr>
          <w:rFonts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t xml:space="preserve">采购人</w:t>
      </w:r>
      <w:r>
        <w:rPr>
          <w:rFonts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t xml:space="preserve">。</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2.6</w:t>
      </w:r>
      <w:r>
        <w:rPr>
          <w:rFonts w:hint="eastAsia" w:ascii="宋体" w:hAnsi="宋体" w:eastAsia="宋体" w:cs="宋体"/>
          <w:color w:val="auto"/>
          <w:sz w:val="24"/>
          <w:highlight w:val="none"/>
          <w:lang w:val="zh-CN"/>
        </w:rPr>
        <w:t xml:space="preserve">乙方（</w:t>
      </w:r>
      <w:r>
        <w:rPr>
          <w:rFonts w:hint="eastAsia" w:ascii="宋体" w:hAnsi="宋体" w:eastAsia="宋体" w:cs="宋体"/>
          <w:color w:val="auto"/>
          <w:sz w:val="24"/>
          <w:highlight w:val="none"/>
        </w:rPr>
        <w:t xml:space="preserve">中标人</w:t>
      </w:r>
      <w:r>
        <w:rPr>
          <w:rFonts w:hint="eastAsia" w:ascii="宋体" w:hAnsi="宋体" w:eastAsia="宋体" w:cs="宋体"/>
          <w:color w:val="auto"/>
          <w:sz w:val="24"/>
          <w:highlight w:val="none"/>
          <w:lang w:val="zh-CN"/>
        </w:rPr>
        <w:t xml:space="preserve">）：合同中规定的向采购人提供货物和服务的法人或其他组织和自然人</w:t>
      </w:r>
      <w:r>
        <w:rPr>
          <w:rFonts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t xml:space="preserve">中标人</w:t>
      </w:r>
      <w:r>
        <w:rPr>
          <w:rFonts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t xml:space="preserve">。</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2.7</w:t>
      </w:r>
      <w:r>
        <w:rPr>
          <w:rFonts w:hint="eastAsia" w:ascii="宋体" w:hAnsi="宋体" w:eastAsia="宋体" w:cs="宋体"/>
          <w:color w:val="auto"/>
          <w:sz w:val="24"/>
          <w:highlight w:val="none"/>
          <w:lang w:val="zh-CN"/>
        </w:rPr>
        <w:t xml:space="preserve">货物：系指乙方按招标招标文件规定，应向甲方提供的一切设备、备品、备件、工具、手册及其它有关技术资料和材料。</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2.8</w:t>
      </w:r>
      <w:r>
        <w:rPr>
          <w:rFonts w:hint="eastAsia" w:ascii="宋体" w:hAnsi="宋体" w:eastAsia="宋体" w:cs="宋体"/>
          <w:color w:val="auto"/>
          <w:sz w:val="24"/>
          <w:highlight w:val="none"/>
          <w:lang w:val="zh-CN"/>
        </w:rPr>
        <w:t xml:space="preserve">服务：系指本次招标招标文件规定乙方应承担的与提供货物和服务有关的辅助服务，比如运输、保险、安装、调试、提供技术援助、培训、配合措施、维修响应及合同中规定乙方应承担的其它义务。</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2.9</w:t>
      </w:r>
      <w:r>
        <w:rPr>
          <w:rFonts w:hint="eastAsia" w:ascii="宋体" w:hAnsi="宋体" w:eastAsia="宋体" w:cs="宋体"/>
          <w:color w:val="auto"/>
          <w:sz w:val="24"/>
          <w:highlight w:val="none"/>
          <w:lang w:val="zh-CN"/>
        </w:rPr>
        <w:t xml:space="preserve">知识产权：指专利权、商标权、著作权等无形财产专有权的统称。</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2.10</w:t>
      </w:r>
      <w:r>
        <w:rPr>
          <w:rFonts w:hint="eastAsia" w:ascii="宋体" w:hAnsi="宋体" w:eastAsia="宋体" w:cs="宋体"/>
          <w:color w:val="auto"/>
          <w:sz w:val="24"/>
          <w:highlight w:val="none"/>
          <w:lang w:val="zh-CN"/>
        </w:rPr>
        <w:t xml:space="preserve">天：日历日。</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2.11</w:t>
      </w:r>
      <w:r>
        <w:rPr>
          <w:rFonts w:hint="eastAsia" w:ascii="宋体" w:hAnsi="宋体" w:eastAsia="宋体" w:cs="宋体"/>
          <w:color w:val="auto"/>
          <w:sz w:val="24"/>
          <w:highlight w:val="none"/>
          <w:lang w:val="zh-CN"/>
        </w:rPr>
        <w:t xml:space="preserve">交货地点：合同中明确约定的乙方提交的货物和服务最终到达地点。</w:t>
      </w:r>
      <w:r>
        <w:rPr>
          <w:color w:val="auto"/>
          <w:highlight w:val="none"/>
        </w:rPr>
      </w:r>
      <w:r/>
    </w:p>
    <w:p>
      <w:pPr>
        <w:pStyle w:val="758"/>
        <w:ind w:firstLine="480"/>
        <w:spacing w:line="360" w:lineRule="auto"/>
        <w:rPr>
          <w:rFonts w:hint="eastAsia" w:eastAsia="宋体"/>
          <w:color w:val="auto"/>
          <w:szCs w:val="24"/>
          <w:highlight w:val="none"/>
        </w:rPr>
      </w:pPr>
      <w:r>
        <w:rPr>
          <w:rFonts w:eastAsia="宋体" w:cs="宋体"/>
          <w:color w:val="auto"/>
          <w:szCs w:val="24"/>
          <w:highlight w:val="none"/>
          <w:lang w:val="zh-CN"/>
        </w:rPr>
        <w:t xml:space="preserve">2.12</w:t>
      </w:r>
      <w:r>
        <w:rPr>
          <w:rFonts w:hint="eastAsia" w:eastAsia="宋体" w:cs="宋体"/>
          <w:color w:val="auto"/>
          <w:szCs w:val="24"/>
          <w:highlight w:val="none"/>
          <w:lang w:val="zh-CN"/>
        </w:rPr>
        <w:t xml:space="preserve">合同价款：根据合同规定，乙方在正确地履行合同义务后甲方应支付乙方的</w:t>
      </w:r>
      <w:r>
        <w:rPr>
          <w:rFonts w:hint="eastAsia" w:eastAsia="宋体"/>
          <w:color w:val="auto"/>
          <w:szCs w:val="24"/>
          <w:highlight w:val="none"/>
        </w:rPr>
        <w:t xml:space="preserve">价款。</w:t>
      </w:r>
      <w:r>
        <w:rPr>
          <w:color w:val="auto"/>
          <w:highlight w:val="none"/>
        </w:rPr>
      </w:r>
      <w:r/>
    </w:p>
    <w:p>
      <w:pPr>
        <w:pStyle w:val="758"/>
        <w:ind w:firstLine="480"/>
        <w:spacing w:line="360" w:lineRule="auto"/>
        <w:rPr>
          <w:rFonts w:hint="eastAsia" w:eastAsia="宋体"/>
          <w:color w:val="auto"/>
          <w:szCs w:val="24"/>
          <w:highlight w:val="none"/>
        </w:rPr>
      </w:pPr>
      <w:r>
        <w:rPr>
          <w:rFonts w:eastAsia="宋体"/>
          <w:color w:val="auto"/>
          <w:szCs w:val="24"/>
          <w:highlight w:val="none"/>
        </w:rPr>
        <w:t xml:space="preserve">2.13</w:t>
      </w:r>
      <w:r>
        <w:rPr>
          <w:rFonts w:hint="eastAsia" w:eastAsia="宋体"/>
          <w:color w:val="auto"/>
          <w:szCs w:val="24"/>
          <w:highlight w:val="none"/>
        </w:rPr>
        <w:t xml:space="preserve">产地：货物开采、生长、生产、最终制造、加工或提供服务的来源地。</w:t>
      </w:r>
      <w:r>
        <w:rPr>
          <w:color w:val="auto"/>
          <w:highlight w:val="none"/>
        </w:rPr>
      </w:r>
      <w:r/>
    </w:p>
    <w:p>
      <w:pPr>
        <w:pStyle w:val="758"/>
        <w:ind w:firstLine="480"/>
        <w:spacing w:line="360" w:lineRule="auto"/>
        <w:rPr>
          <w:rFonts w:hint="eastAsia" w:eastAsia="宋体"/>
          <w:color w:val="auto"/>
          <w:szCs w:val="24"/>
          <w:highlight w:val="none"/>
        </w:rPr>
      </w:pPr>
      <w:r>
        <w:rPr>
          <w:rFonts w:eastAsia="宋体"/>
          <w:color w:val="auto"/>
          <w:szCs w:val="24"/>
          <w:highlight w:val="none"/>
        </w:rPr>
        <w:t xml:space="preserve">2.14</w:t>
      </w:r>
      <w:r>
        <w:rPr>
          <w:rFonts w:hint="eastAsia" w:eastAsia="宋体"/>
          <w:color w:val="auto"/>
          <w:szCs w:val="24"/>
          <w:highlight w:val="none"/>
        </w:rPr>
        <w:t xml:space="preserve">不可抗力：不能预见、不能避免并且不能克服的客观情况。</w:t>
      </w:r>
      <w:r>
        <w:rPr>
          <w:color w:val="auto"/>
          <w:highlight w:val="none"/>
        </w:rPr>
      </w:r>
      <w:r/>
    </w:p>
    <w:p>
      <w:pPr>
        <w:pStyle w:val="758"/>
        <w:ind w:firstLine="480"/>
        <w:spacing w:line="360" w:lineRule="auto"/>
        <w:rPr>
          <w:rFonts w:hint="eastAsia" w:eastAsia="宋体"/>
          <w:color w:val="auto"/>
          <w:szCs w:val="24"/>
          <w:highlight w:val="none"/>
        </w:rPr>
      </w:pPr>
      <w:r>
        <w:rPr>
          <w:rFonts w:hint="eastAsia" w:eastAsia="宋体"/>
          <w:color w:val="auto"/>
          <w:szCs w:val="24"/>
          <w:highlight w:val="none"/>
        </w:rPr>
        <w:t xml:space="preserve">2.15进口产品：通过中国海关报关验放进入中国境内且产自关境外的产品。</w:t>
      </w:r>
      <w:r>
        <w:rPr>
          <w:color w:val="auto"/>
          <w:highlight w:val="none"/>
        </w:rPr>
      </w:r>
      <w:r/>
    </w:p>
    <w:p>
      <w:pPr>
        <w:pStyle w:val="758"/>
        <w:ind w:firstLine="480"/>
        <w:spacing w:line="360" w:lineRule="auto"/>
        <w:rPr>
          <w:rFonts w:hint="eastAsia" w:eastAsia="宋体"/>
          <w:color w:val="auto"/>
          <w:szCs w:val="24"/>
          <w:highlight w:val="none"/>
        </w:rPr>
      </w:pPr>
      <w:r>
        <w:rPr>
          <w:rFonts w:hint="eastAsia" w:eastAsia="宋体"/>
          <w:color w:val="auto"/>
          <w:szCs w:val="24"/>
          <w:highlight w:val="none"/>
        </w:rPr>
        <w:t xml:space="preserve">2.16书面形式：指书面文字、合同书、信件和传真等可以有形地表现所载内容的形式。</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2.17实质响应：满足</w:t>
      </w:r>
      <w:r>
        <w:rPr>
          <w:rFonts w:ascii="宋体" w:hAnsi="宋体" w:eastAsia="宋体" w:cs="宋体"/>
          <w:color w:val="auto"/>
          <w:sz w:val="24"/>
          <w:highlight w:val="none"/>
        </w:rPr>
        <w:t xml:space="preserve">有关</w:t>
      </w:r>
      <w:r>
        <w:rPr>
          <w:rFonts w:hint="eastAsia" w:ascii="宋体" w:hAnsi="宋体" w:eastAsia="宋体" w:cs="宋体"/>
          <w:color w:val="auto"/>
          <w:sz w:val="24"/>
          <w:highlight w:val="none"/>
        </w:rPr>
        <w:t xml:space="preserve">本次采购</w:t>
      </w:r>
      <w:r>
        <w:rPr>
          <w:rFonts w:ascii="宋体" w:hAnsi="宋体" w:eastAsia="宋体" w:cs="宋体"/>
          <w:color w:val="auto"/>
          <w:sz w:val="24"/>
          <w:highlight w:val="none"/>
        </w:rPr>
        <w:t xml:space="preserve">标的、数量、质量、价款或者报酬、履行期限、履行地点和方式、违约责任和解决争议方法等</w:t>
      </w:r>
      <w:r>
        <w:rPr>
          <w:rFonts w:hint="eastAsia" w:ascii="宋体" w:hAnsi="宋体" w:eastAsia="宋体" w:cs="宋体"/>
          <w:color w:val="auto"/>
          <w:sz w:val="24"/>
          <w:highlight w:val="none"/>
        </w:rPr>
        <w:t xml:space="preserve">要求。</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2.18进口产品：通过中国海关报关验放进入中国境内且产自关境外的产品。</w:t>
      </w:r>
      <w:r>
        <w:rPr>
          <w:color w:val="auto"/>
          <w:highlight w:val="none"/>
        </w:rPr>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2.19</w:t>
      </w:r>
      <w:r>
        <w:rPr>
          <w:rFonts w:ascii="宋体" w:hAnsi="宋体" w:eastAsia="宋体" w:cs="宋体"/>
          <w:color w:val="auto"/>
          <w:sz w:val="24"/>
          <w:highlight w:val="none"/>
        </w:rPr>
        <w:t xml:space="preserve">书面形式：指</w:t>
      </w:r>
      <w:r>
        <w:rPr>
          <w:rFonts w:hint="eastAsia" w:ascii="宋体" w:hAnsi="宋体" w:eastAsia="宋体" w:cs="宋体"/>
          <w:color w:val="auto"/>
          <w:sz w:val="24"/>
          <w:highlight w:val="none"/>
        </w:rPr>
        <w:t xml:space="preserve">书面文字、</w:t>
      </w:r>
      <w:r>
        <w:rPr>
          <w:rFonts w:ascii="宋体" w:hAnsi="宋体" w:eastAsia="宋体" w:cs="宋体"/>
          <w:color w:val="auto"/>
          <w:sz w:val="24"/>
          <w:highlight w:val="none"/>
        </w:rPr>
        <w:t xml:space="preserve">合同书、信件和传真等可以有形地表现所载内容的形式。</w:t>
      </w:r>
      <w:r>
        <w:rPr>
          <w:color w:val="auto"/>
          <w:highlight w:val="none"/>
        </w:rPr>
      </w:r>
      <w:r/>
    </w:p>
    <w:p>
      <w:pPr>
        <w:pStyle w:val="758"/>
        <w:ind w:firstLine="482"/>
        <w:spacing w:line="360" w:lineRule="auto"/>
        <w:rPr>
          <w:rFonts w:hint="eastAsia" w:eastAsia="宋体"/>
          <w:b/>
          <w:color w:val="auto"/>
          <w:szCs w:val="24"/>
          <w:highlight w:val="none"/>
        </w:rPr>
      </w:pPr>
      <w:r>
        <w:rPr>
          <w:rFonts w:hint="eastAsia" w:eastAsia="宋体"/>
          <w:b/>
          <w:color w:val="auto"/>
          <w:szCs w:val="24"/>
          <w:highlight w:val="none"/>
        </w:rPr>
        <w:t xml:space="preserve">3.合格投标人的一般条件：</w:t>
      </w:r>
      <w:r>
        <w:rPr>
          <w:color w:val="auto"/>
          <w:highlight w:val="none"/>
        </w:rPr>
      </w:r>
      <w:r/>
    </w:p>
    <w:p>
      <w:pPr>
        <w:pStyle w:val="758"/>
        <w:ind w:firstLine="480"/>
        <w:spacing w:line="360" w:lineRule="auto"/>
        <w:rPr>
          <w:rFonts w:hint="eastAsia" w:eastAsia="宋体"/>
          <w:color w:val="auto"/>
          <w:szCs w:val="24"/>
          <w:highlight w:val="none"/>
        </w:rPr>
      </w:pPr>
      <w:r>
        <w:rPr>
          <w:rFonts w:hint="eastAsia" w:eastAsia="宋体"/>
          <w:color w:val="auto"/>
          <w:szCs w:val="24"/>
          <w:highlight w:val="none"/>
        </w:rPr>
        <w:t xml:space="preserve">3</w:t>
      </w:r>
      <w:r>
        <w:rPr>
          <w:rFonts w:eastAsia="宋体"/>
          <w:color w:val="auto"/>
          <w:szCs w:val="24"/>
          <w:highlight w:val="none"/>
        </w:rPr>
        <w:t xml:space="preserve">.1</w:t>
      </w:r>
      <w:r>
        <w:rPr>
          <w:rFonts w:hint="eastAsia" w:eastAsia="宋体"/>
          <w:color w:val="auto"/>
          <w:szCs w:val="24"/>
          <w:highlight w:val="none"/>
        </w:rPr>
        <w:t xml:space="preserve">具有独立承担民事责任的能力；</w:t>
      </w:r>
      <w:r>
        <w:rPr>
          <w:color w:val="auto"/>
          <w:highlight w:val="none"/>
        </w:rPr>
      </w:r>
      <w:r/>
    </w:p>
    <w:p>
      <w:pPr>
        <w:pStyle w:val="758"/>
        <w:ind w:firstLine="480"/>
        <w:spacing w:line="360" w:lineRule="auto"/>
        <w:rPr>
          <w:rFonts w:hint="eastAsia" w:eastAsia="宋体"/>
          <w:color w:val="auto"/>
          <w:szCs w:val="24"/>
          <w:highlight w:val="none"/>
        </w:rPr>
      </w:pPr>
      <w:r>
        <w:rPr>
          <w:rFonts w:eastAsia="宋体"/>
          <w:color w:val="auto"/>
          <w:szCs w:val="24"/>
          <w:highlight w:val="none"/>
        </w:rPr>
        <w:t xml:space="preserve">3.2</w:t>
      </w:r>
      <w:r>
        <w:rPr>
          <w:rFonts w:hint="eastAsia" w:eastAsia="宋体"/>
          <w:color w:val="auto"/>
          <w:szCs w:val="24"/>
          <w:highlight w:val="none"/>
        </w:rPr>
        <w:t xml:space="preserve">具有良好的商业信誉和健全的财务会计制度；</w:t>
      </w:r>
      <w:r>
        <w:rPr>
          <w:color w:val="auto"/>
          <w:highlight w:val="none"/>
        </w:rPr>
      </w:r>
      <w:r/>
    </w:p>
    <w:p>
      <w:pPr>
        <w:pStyle w:val="758"/>
        <w:ind w:firstLine="480"/>
        <w:spacing w:line="360" w:lineRule="auto"/>
        <w:rPr>
          <w:rFonts w:hint="eastAsia" w:eastAsia="宋体"/>
          <w:color w:val="auto"/>
          <w:szCs w:val="24"/>
          <w:highlight w:val="none"/>
        </w:rPr>
      </w:pPr>
      <w:r>
        <w:rPr>
          <w:rFonts w:eastAsia="宋体"/>
          <w:color w:val="auto"/>
          <w:szCs w:val="24"/>
          <w:highlight w:val="none"/>
        </w:rPr>
        <w:t xml:space="preserve">3.3</w:t>
      </w:r>
      <w:r>
        <w:rPr>
          <w:rFonts w:hint="eastAsia" w:eastAsia="宋体"/>
          <w:color w:val="auto"/>
          <w:szCs w:val="24"/>
          <w:highlight w:val="none"/>
        </w:rPr>
        <w:t xml:space="preserve">具有履行合同所必需的设备和专业技术能力；</w:t>
      </w:r>
      <w:r>
        <w:rPr>
          <w:color w:val="auto"/>
          <w:highlight w:val="none"/>
        </w:rPr>
      </w:r>
      <w:r/>
    </w:p>
    <w:p>
      <w:pPr>
        <w:pStyle w:val="758"/>
        <w:ind w:firstLine="480"/>
        <w:spacing w:line="360" w:lineRule="auto"/>
        <w:rPr>
          <w:rFonts w:hint="eastAsia" w:eastAsia="宋体"/>
          <w:color w:val="auto"/>
          <w:szCs w:val="24"/>
          <w:highlight w:val="none"/>
        </w:rPr>
      </w:pPr>
      <w:r>
        <w:rPr>
          <w:rFonts w:eastAsia="宋体"/>
          <w:color w:val="auto"/>
          <w:szCs w:val="24"/>
          <w:highlight w:val="none"/>
        </w:rPr>
        <w:t xml:space="preserve">3.4</w:t>
      </w:r>
      <w:r>
        <w:rPr>
          <w:rFonts w:hint="eastAsia" w:eastAsia="宋体"/>
          <w:color w:val="auto"/>
          <w:szCs w:val="24"/>
          <w:highlight w:val="none"/>
        </w:rPr>
        <w:t xml:space="preserve">有依法缴纳税收和社会保障资金的良好记录；</w:t>
      </w:r>
      <w:r>
        <w:rPr>
          <w:color w:val="auto"/>
          <w:highlight w:val="none"/>
        </w:rPr>
      </w:r>
      <w:r/>
    </w:p>
    <w:p>
      <w:pPr>
        <w:pStyle w:val="758"/>
        <w:ind w:firstLine="480"/>
        <w:spacing w:line="360" w:lineRule="auto"/>
        <w:rPr>
          <w:rFonts w:hint="eastAsia" w:eastAsia="宋体"/>
          <w:color w:val="auto"/>
          <w:szCs w:val="24"/>
          <w:highlight w:val="none"/>
        </w:rPr>
      </w:pPr>
      <w:r>
        <w:rPr>
          <w:rFonts w:eastAsia="宋体"/>
          <w:color w:val="auto"/>
          <w:szCs w:val="24"/>
          <w:highlight w:val="none"/>
        </w:rPr>
        <w:t xml:space="preserve">3.5</w:t>
      </w:r>
      <w:r>
        <w:rPr>
          <w:rFonts w:hint="eastAsia" w:eastAsia="宋体"/>
          <w:color w:val="auto"/>
          <w:szCs w:val="24"/>
          <w:highlight w:val="none"/>
        </w:rPr>
        <w:t xml:space="preserve">参加政府采购活动前三年内，在经营活动中没有重大违法记录；</w:t>
      </w:r>
      <w:r>
        <w:rPr>
          <w:color w:val="auto"/>
          <w:highlight w:val="none"/>
        </w:rPr>
      </w:r>
      <w:r/>
    </w:p>
    <w:p>
      <w:pPr>
        <w:pStyle w:val="758"/>
        <w:ind w:firstLine="480"/>
        <w:spacing w:line="360" w:lineRule="auto"/>
        <w:rPr>
          <w:rFonts w:hint="eastAsia" w:eastAsia="宋体"/>
          <w:color w:val="auto"/>
          <w:szCs w:val="24"/>
          <w:highlight w:val="none"/>
        </w:rPr>
      </w:pPr>
      <w:r>
        <w:rPr>
          <w:rFonts w:eastAsia="宋体"/>
          <w:color w:val="auto"/>
          <w:szCs w:val="24"/>
          <w:highlight w:val="none"/>
        </w:rPr>
        <w:t xml:space="preserve">3.</w:t>
      </w:r>
      <w:r>
        <w:rPr>
          <w:rFonts w:hint="eastAsia" w:eastAsia="宋体"/>
          <w:color w:val="auto"/>
          <w:szCs w:val="24"/>
          <w:highlight w:val="none"/>
        </w:rPr>
        <w:t xml:space="preserve">6法律、行政法规规定的其他条件。</w:t>
      </w:r>
      <w:r>
        <w:rPr>
          <w:color w:val="auto"/>
          <w:highlight w:val="none"/>
        </w:rPr>
      </w:r>
      <w:r/>
    </w:p>
    <w:p>
      <w:pPr>
        <w:pStyle w:val="758"/>
        <w:ind w:firstLine="482"/>
        <w:spacing w:line="360" w:lineRule="auto"/>
        <w:rPr>
          <w:rFonts w:hint="eastAsia" w:eastAsia="宋体"/>
          <w:b/>
          <w:color w:val="auto"/>
          <w:szCs w:val="24"/>
          <w:highlight w:val="none"/>
        </w:rPr>
      </w:pPr>
      <w:r>
        <w:rPr>
          <w:rFonts w:hint="eastAsia" w:eastAsia="宋体"/>
          <w:b/>
          <w:color w:val="auto"/>
          <w:szCs w:val="24"/>
          <w:highlight w:val="none"/>
        </w:rPr>
        <w:t xml:space="preserve">4.供应商的特殊条件：</w:t>
      </w:r>
      <w:r>
        <w:rPr>
          <w:color w:val="auto"/>
          <w:highlight w:val="none"/>
        </w:rPr>
      </w:r>
      <w:r/>
    </w:p>
    <w:p>
      <w:pPr>
        <w:ind w:firstLine="480"/>
        <w:spacing w:line="360" w:lineRule="auto"/>
        <w:rPr>
          <w:rFonts w:eastAsia="宋体"/>
          <w:color w:val="auto"/>
          <w:highlight w:val="none"/>
        </w:rPr>
      </w:pPr>
      <w:r>
        <w:rPr>
          <w:rFonts w:hint="eastAsia" w:ascii="宋体" w:hAnsi="宋体" w:eastAsia="宋体" w:cs="Times New Roman"/>
          <w:color w:val="auto"/>
          <w:sz w:val="24"/>
          <w:highlight w:val="none"/>
        </w:rPr>
        <w:t xml:space="preserve">投标单位具有</w:t>
      </w:r>
      <w:r>
        <w:rPr>
          <w:rFonts w:hint="eastAsia" w:ascii="宋体" w:hAnsi="宋体" w:eastAsia="宋体" w:cs="宋体"/>
          <w:color w:val="auto"/>
          <w:sz w:val="24"/>
          <w:highlight w:val="none"/>
        </w:rPr>
        <w:t xml:space="preserve">全自动微生物质谱检测系统、医用冷藏箱、超低温冰箱、</w:t>
      </w:r>
      <w:r>
        <w:rPr>
          <w:rFonts w:hint="eastAsia" w:ascii="宋体" w:hAnsi="宋体" w:eastAsia="宋体" w:cs="宋体"/>
          <w:color w:val="auto"/>
          <w:sz w:val="24"/>
          <w:highlight w:val="none"/>
        </w:rPr>
        <w:t xml:space="preserve">低温保存箱</w:t>
      </w:r>
      <w:r>
        <w:rPr>
          <w:rFonts w:hint="eastAsia" w:ascii="宋体" w:hAnsi="宋体" w:eastAsia="宋体" w:cs="Times New Roman"/>
          <w:color w:val="auto"/>
          <w:sz w:val="24"/>
          <w:highlight w:val="none"/>
        </w:rPr>
        <w:t xml:space="preserve">的医疗器械生产或经营(许可)资格。投标单位为生产企业的，须提供有效期内的《医疗器械生产许可证》复印件，投标单位为经营企业的，须提供有效期内的医疗器械经营资格证书复印件。</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rPr>
        <w:t xml:space="preserve">5</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投标人代表</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5</w:t>
      </w:r>
      <w:r>
        <w:rPr>
          <w:rFonts w:ascii="宋体" w:hAnsi="宋体" w:eastAsia="宋体" w:cs="宋体"/>
          <w:color w:val="auto"/>
          <w:sz w:val="24"/>
          <w:highlight w:val="none"/>
          <w:lang w:val="zh-CN"/>
        </w:rPr>
        <w:t xml:space="preserve">.1</w:t>
      </w:r>
      <w:r>
        <w:rPr>
          <w:rFonts w:hint="eastAsia" w:ascii="宋体" w:hAnsi="宋体" w:eastAsia="宋体" w:cs="宋体"/>
          <w:color w:val="auto"/>
          <w:sz w:val="24"/>
          <w:highlight w:val="none"/>
          <w:lang w:val="zh-CN"/>
        </w:rPr>
        <w:t xml:space="preserve">指全权代表投标人参加投标活动并签署投标文件的人，如果投标人代表不是法定代表人，须持有《法定代表人授权委托书》（格式见第三章）。</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rPr>
        <w:t xml:space="preserve">6</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投标费用</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6</w:t>
      </w:r>
      <w:r>
        <w:rPr>
          <w:rFonts w:ascii="宋体" w:hAnsi="宋体" w:eastAsia="宋体" w:cs="宋体"/>
          <w:color w:val="auto"/>
          <w:sz w:val="24"/>
          <w:highlight w:val="none"/>
          <w:lang w:val="zh-CN"/>
        </w:rPr>
        <w:t xml:space="preserve">.1</w:t>
      </w:r>
      <w:r>
        <w:rPr>
          <w:rFonts w:hint="eastAsia" w:ascii="宋体" w:hAnsi="宋体" w:eastAsia="宋体" w:cs="宋体"/>
          <w:color w:val="auto"/>
          <w:sz w:val="24"/>
          <w:highlight w:val="none"/>
          <w:lang w:val="zh-CN"/>
        </w:rPr>
        <w:t xml:space="preserve">无论投标过程中的做法和结果如何，投标人自行承担所有与参加投标有关的全部费用。</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rPr>
        <w:t xml:space="preserve">7</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联合投标及转包、分包</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.1本项目不接受联合体投标。</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.2本项目不接受转包、分包。</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.3本项目不接受进口产品。</w:t>
      </w:r>
      <w:r>
        <w:rPr>
          <w:color w:val="auto"/>
          <w:highlight w:val="none"/>
        </w:rPr>
      </w:r>
      <w:r/>
    </w:p>
    <w:p>
      <w:pPr>
        <w:ind w:firstLine="482"/>
        <w:jc w:val="left"/>
        <w:spacing w:line="360" w:lineRule="auto"/>
        <w:tabs>
          <w:tab w:val="left" w:pos="630" w:leader="none"/>
        </w:tabs>
        <w:rPr>
          <w:rFonts w:hint="eastAsia" w:ascii="宋体" w:hAnsi="宋体" w:eastAsia="宋体" w:cs="宋体"/>
          <w:b/>
          <w:bCs/>
          <w:color w:val="auto"/>
          <w:sz w:val="24"/>
          <w:highlight w:val="none"/>
        </w:rPr>
      </w:pPr>
      <w:r>
        <w:rPr>
          <w:rFonts w:ascii="宋体" w:hAnsi="宋体" w:eastAsia="宋体" w:cs="宋体"/>
          <w:b/>
          <w:bCs/>
          <w:color w:val="auto"/>
          <w:sz w:val="24"/>
          <w:highlight w:val="none"/>
        </w:rPr>
        <w:t xml:space="preserve">8</w:t>
      </w:r>
      <w:r>
        <w:rPr>
          <w:rFonts w:hint="eastAsia" w:ascii="宋体" w:hAnsi="宋体" w:eastAsia="宋体" w:cs="宋体"/>
          <w:b/>
          <w:bCs/>
          <w:color w:val="auto"/>
          <w:sz w:val="24"/>
          <w:highlight w:val="none"/>
          <w:lang w:val="zh-CN"/>
        </w:rPr>
        <w:t xml:space="preserve">.招标文件的询问</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Arial" w:hAnsi="Arial" w:eastAsia="Arial" w:cs="宋体"/>
          <w:color w:val="auto"/>
          <w:sz w:val="24"/>
          <w:szCs w:val="21"/>
          <w:highlight w:val="none"/>
        </w:rPr>
        <w:t xml:space="preserve">投标人在收到招标文件后，若有问题需要询问，应于下载招标文件后，可通过公告中的联系方式及时提出，采购人或采购代理机构将予以解答。</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w:t>
      </w:r>
      <w:r>
        <w:rPr>
          <w:rFonts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t xml:space="preserve">质疑</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9.1</w:t>
      </w:r>
      <w:r>
        <w:rPr>
          <w:rFonts w:hint="eastAsia" w:ascii="宋体" w:hAnsi="宋体" w:eastAsia="宋体" w:cs="宋体"/>
          <w:color w:val="auto"/>
          <w:sz w:val="24"/>
          <w:highlight w:val="none"/>
        </w:rPr>
        <w:t xml:space="preserve">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9.2</w:t>
      </w:r>
      <w:r>
        <w:rPr>
          <w:rFonts w:hint="eastAsia" w:ascii="宋体" w:hAnsi="宋体" w:eastAsia="宋体" w:cs="宋体"/>
          <w:color w:val="auto"/>
          <w:sz w:val="24"/>
          <w:highlight w:val="none"/>
        </w:rPr>
        <w:t xml:space="preserve">供应商质疑办法具体详见《政府采购质疑和投诉办法》。供应商应在法定质疑期内一次性提出针对同一采购程序环节的质疑。</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9.3根据财政部94号令第十一条规定，提出质疑的供应商应当是参与所质疑项目采购活动的供应商。因此凡是对采购文件提出质疑的供应商，请将符合资格条件的证明材料及</w:t>
      </w:r>
      <w:r>
        <w:rPr>
          <w:rFonts w:hint="eastAsia" w:ascii="宋体" w:hAnsi="宋体" w:eastAsia="宋体" w:cs="宋体"/>
          <w:color w:val="auto"/>
          <w:sz w:val="24"/>
          <w:highlight w:val="none"/>
        </w:rPr>
        <w:t xml:space="preserve">网上获取</w:t>
      </w:r>
      <w:r>
        <w:rPr>
          <w:rFonts w:ascii="宋体" w:hAnsi="宋体" w:eastAsia="宋体" w:cs="宋体"/>
          <w:color w:val="auto"/>
          <w:sz w:val="24"/>
          <w:highlight w:val="none"/>
        </w:rPr>
        <w:t xml:space="preserve">确认单与质疑函一起递交</w:t>
      </w:r>
      <w:r>
        <w:rPr>
          <w:rFonts w:hint="eastAsia" w:ascii="宋体" w:hAnsi="宋体" w:eastAsia="宋体" w:cs="宋体"/>
          <w:color w:val="auto"/>
          <w:sz w:val="24"/>
          <w:highlight w:val="none"/>
        </w:rPr>
        <w:t xml:space="preserve">。供应商对招标文件如有质疑，请质疑以书面形式（当场送达或邮寄方式，不接收到付快递）递交至采购代理单位。</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9.4</w:t>
      </w:r>
      <w:r>
        <w:rPr>
          <w:rFonts w:hint="eastAsia" w:ascii="宋体" w:hAnsi="宋体" w:eastAsia="宋体" w:cs="宋体"/>
          <w:color w:val="auto"/>
          <w:sz w:val="24"/>
          <w:highlight w:val="none"/>
        </w:rPr>
        <w:t xml:space="preserve">对招标文件内容质疑时，需提供在采购交易系统中下载本项目招标文件的《交易文件下载确认单》，未提供的视为未依照招标公告要求获取招标文件，不具备对该政府采购项目提出质疑的法定权利。</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9.5</w:t>
      </w:r>
      <w:r>
        <w:rPr>
          <w:rFonts w:hint="eastAsia" w:ascii="宋体" w:hAnsi="宋体" w:eastAsia="宋体" w:cs="宋体"/>
          <w:color w:val="auto"/>
          <w:sz w:val="24"/>
          <w:highlight w:val="none"/>
        </w:rPr>
        <w:t xml:space="preserve">供应商质疑函范本格式请参照“苏州市政府采购”网站——“下载中心”——“政府采购供应商质疑函范本”。供应商如组成联合体参加投标，则《质疑函范本》中要求签字、盖章、加盖公章之处，联合体各方均须按要求签字、盖章、加盖公章。</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9.6</w:t>
      </w:r>
      <w:r>
        <w:rPr>
          <w:rFonts w:hint="eastAsia" w:ascii="宋体" w:hAnsi="宋体" w:eastAsia="宋体" w:cs="宋体"/>
          <w:color w:val="auto"/>
          <w:sz w:val="24"/>
          <w:highlight w:val="none"/>
        </w:rPr>
        <w:t xml:space="preserve">质疑联系：研佳科技咨询（苏州）有限公司</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联系地址：苏州市相城区高铁新城青龙港路60号苏州港口大厦11层1101室</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联系电话：0512-65729727 </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联系人：曹梦斌、赵正阳</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rPr>
        <w:t xml:space="preserve">10</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招标文件</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w:t>
      </w:r>
      <w:r>
        <w:rPr>
          <w:rFonts w:hint="eastAsia" w:ascii="宋体" w:hAnsi="宋体" w:eastAsia="宋体" w:cs="宋体"/>
          <w:color w:val="auto"/>
          <w:sz w:val="24"/>
          <w:highlight w:val="none"/>
        </w:rPr>
        <w:t xml:space="preserve">作</w:t>
      </w:r>
      <w:r>
        <w:rPr>
          <w:rFonts w:ascii="宋体" w:hAnsi="宋体" w:eastAsia="宋体" w:cs="宋体"/>
          <w:color w:val="auto"/>
          <w:sz w:val="24"/>
          <w:highlight w:val="none"/>
        </w:rPr>
        <w:t xml:space="preserve">出实质性响应，其风险由投标人自行承担，并根据有关条款规定，该电子投标（响应）文件将被视为未实质性响应。</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10.2招标文件及其补充文件为未按规定的方式获得的，采购代理机构对招标文件及其补遗的真实性、完整性不承担任何责任。</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rPr>
        <w:t xml:space="preserve">1</w:t>
      </w:r>
      <w:r>
        <w:rPr>
          <w:rFonts w:hint="eastAsia" w:ascii="宋体" w:hAnsi="宋体" w:eastAsia="宋体" w:cs="宋体"/>
          <w:b/>
          <w:bCs/>
          <w:color w:val="auto"/>
          <w:sz w:val="24"/>
          <w:highlight w:val="none"/>
        </w:rPr>
        <w:t xml:space="preserve">1</w:t>
      </w:r>
      <w:r>
        <w:rPr>
          <w:rFonts w:ascii="宋体" w:hAnsi="宋体" w:eastAsia="宋体" w:cs="宋体"/>
          <w:b/>
          <w:bCs/>
          <w:color w:val="auto"/>
          <w:sz w:val="24"/>
          <w:highlight w:val="none"/>
          <w:lang w:val="zh-CN"/>
        </w:rPr>
        <w:t xml:space="preserve">.</w:t>
      </w:r>
      <w:r>
        <w:rPr>
          <w:rFonts w:ascii="宋体" w:hAnsi="宋体" w:eastAsia="宋体" w:cs="宋体"/>
          <w:b/>
          <w:bCs/>
          <w:color w:val="auto"/>
          <w:sz w:val="24"/>
          <w:highlight w:val="none"/>
        </w:rPr>
        <w:t xml:space="preserve">招标文件的澄清或修改</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对于补充通知（包括更正公告），投标人通过“苏州市政府采购网”的“采购公告”自行查看项目的补充通知（包括更正公告）。补充通知（包括更正公告）将作为招标文件的组成部分，对所有投标人有约束力。</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11.4招标文件的澄清、修改、补充等内容均以苏州市政府采购网上发布的内容为准。</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12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提示与要求</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12.1</w:t>
      </w:r>
      <w:r>
        <w:rPr>
          <w:rFonts w:hint="eastAsia" w:ascii="宋体" w:hAnsi="宋体" w:eastAsia="宋体" w:cs="宋体"/>
          <w:color w:val="auto"/>
          <w:sz w:val="24"/>
          <w:highlight w:val="none"/>
          <w:lang w:val="zh-CN"/>
        </w:rPr>
        <w:t xml:space="preserve">投标人应仔细阅读招标文件的所有内容，按招标文件的要求提供投标文件，并保证所提供的全部资料的真实性，以使其投标对招标文件做出实质性响应，否则，其投标可能被拒绝。</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12.2</w:t>
      </w:r>
      <w:r>
        <w:rPr>
          <w:rFonts w:hint="eastAsia" w:ascii="宋体" w:hAnsi="宋体" w:eastAsia="宋体" w:cs="宋体"/>
          <w:color w:val="auto"/>
          <w:sz w:val="24"/>
          <w:highlight w:val="none"/>
          <w:lang w:val="zh-CN"/>
        </w:rPr>
        <w:t xml:space="preserve">无论是否递交投标文件，投标人都应将招标文件及以后的所有通知、文件等视为保密文件。</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13.</w:t>
      </w:r>
      <w:r>
        <w:rPr>
          <w:rFonts w:hint="eastAsia" w:ascii="宋体" w:hAnsi="宋体" w:eastAsia="宋体" w:cs="宋体"/>
          <w:b/>
          <w:bCs/>
          <w:color w:val="auto"/>
          <w:sz w:val="24"/>
          <w:highlight w:val="none"/>
          <w:lang w:val="zh-CN"/>
        </w:rPr>
        <w:t xml:space="preserve">投标文件计量单位和使用文字</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13.1</w:t>
      </w:r>
      <w:r>
        <w:rPr>
          <w:rFonts w:hint="eastAsia" w:ascii="宋体" w:hAnsi="宋体" w:eastAsia="宋体" w:cs="宋体"/>
          <w:color w:val="auto"/>
          <w:sz w:val="24"/>
          <w:highlight w:val="none"/>
          <w:lang w:val="zh-CN"/>
        </w:rPr>
        <w:t xml:space="preserve">投标文件中所使用的计量单位，除招标文件中有特殊要求外，均应使用中华人民共和国法定计量单位。</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13.2</w:t>
      </w:r>
      <w:r>
        <w:rPr>
          <w:rFonts w:hint="eastAsia" w:ascii="宋体" w:hAnsi="宋体" w:eastAsia="宋体" w:cs="宋体"/>
          <w:color w:val="auto"/>
          <w:sz w:val="24"/>
          <w:highlight w:val="none"/>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14.</w:t>
      </w:r>
      <w:r>
        <w:rPr>
          <w:rFonts w:hint="eastAsia" w:ascii="宋体" w:hAnsi="宋体" w:eastAsia="宋体" w:cs="宋体"/>
          <w:b/>
          <w:bCs/>
          <w:color w:val="auto"/>
          <w:sz w:val="24"/>
          <w:highlight w:val="none"/>
          <w:lang w:val="zh-CN"/>
        </w:rPr>
        <w:t xml:space="preserve">投标文件的组成</w:t>
      </w:r>
      <w:r>
        <w:rPr>
          <w:color w:val="auto"/>
          <w:highlight w:val="none"/>
        </w:rPr>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w:t>
      </w:r>
      <w:r>
        <w:rPr>
          <w:rFonts w:hint="eastAsia" w:ascii="宋体" w:hAnsi="宋体" w:eastAsia="宋体" w:cs="宋体"/>
          <w:b/>
          <w:color w:val="auto"/>
          <w:sz w:val="24"/>
          <w:highlight w:val="none"/>
        </w:rPr>
        <w:t xml:space="preserve">1封面</w:t>
      </w:r>
      <w:r>
        <w:rPr>
          <w:color w:val="auto"/>
          <w:highlight w:val="none"/>
        </w:rPr>
      </w:r>
      <w:r/>
    </w:p>
    <w:p>
      <w:pPr>
        <w:ind w:firstLine="482"/>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w:t>
      </w:r>
      <w:r>
        <w:rPr>
          <w:rFonts w:hint="eastAsia" w:ascii="宋体" w:hAnsi="宋体" w:eastAsia="宋体" w:cs="宋体"/>
          <w:b/>
          <w:color w:val="auto"/>
          <w:sz w:val="24"/>
          <w:highlight w:val="none"/>
        </w:rPr>
        <w:t xml:space="preserve">2开标一览表</w:t>
      </w:r>
      <w:r>
        <w:rPr>
          <w:color w:val="auto"/>
          <w:highlight w:val="none"/>
        </w:rPr>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4.3</w:t>
      </w:r>
      <w:r>
        <w:rPr>
          <w:rFonts w:hint="eastAsia" w:ascii="宋体" w:hAnsi="宋体" w:eastAsia="宋体" w:cs="宋体"/>
          <w:b/>
          <w:color w:val="auto"/>
          <w:sz w:val="24"/>
          <w:highlight w:val="none"/>
        </w:rPr>
        <w:t xml:space="preserve">公开分项报价</w:t>
      </w:r>
      <w:r>
        <w:rPr>
          <w:color w:val="auto"/>
          <w:highlight w:val="none"/>
        </w:rPr>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4.4</w:t>
      </w:r>
      <w:r>
        <w:rPr>
          <w:rFonts w:hint="eastAsia" w:ascii="宋体" w:hAnsi="宋体" w:eastAsia="宋体" w:cs="宋体"/>
          <w:b/>
          <w:color w:val="auto"/>
          <w:sz w:val="24"/>
          <w:highlight w:val="none"/>
        </w:rPr>
        <w:t xml:space="preserve">资格审查文件</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ascii="宋体" w:hAnsi="宋体" w:eastAsia="宋体" w:cs="宋体"/>
          <w:bCs/>
          <w:color w:val="auto"/>
          <w:sz w:val="24"/>
          <w:highlight w:val="none"/>
        </w:rPr>
        <w:t xml:space="preserve">4.4</w:t>
      </w: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具有独立承担民事责任的能力证明（包括法人或者其他组织的营业执照等证明文件，自然人的身份证明）；</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4.4</w:t>
      </w:r>
      <w:r>
        <w:rPr>
          <w:rFonts w:hint="eastAsia" w:ascii="宋体" w:hAnsi="宋体" w:eastAsia="宋体" w:cs="宋体"/>
          <w:color w:val="auto"/>
          <w:sz w:val="24"/>
          <w:highlight w:val="none"/>
        </w:rPr>
        <w:t xml:space="preserve">.2具有良好的商业信誉和健全的财务会计制度证明（包括但不限于最近一期经审计的财务报告复印件或银行出具的资信证明原件的扫描件）；</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14.4.3具备履行合同所必需的设备和专业技术能力的证明材料或承诺；</w:t>
      </w:r>
      <w:r>
        <w:rPr>
          <w:color w:val="auto"/>
          <w:highlight w:val="none"/>
        </w:rPr>
      </w:r>
      <w:r/>
    </w:p>
    <w:p>
      <w:pPr>
        <w:ind w:firstLine="480"/>
        <w:spacing w:line="360" w:lineRule="auto"/>
        <w:widowControl/>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14.4.4依法缴纳税收和社会保障资金的相关资料（投标人应提供提交投标文件截止时间前</w:t>
      </w:r>
      <w:r>
        <w:rPr>
          <w:rFonts w:hint="eastAsia" w:ascii="宋体" w:hAnsi="宋体" w:eastAsia="宋体" w:cs="宋体"/>
          <w:color w:val="auto"/>
          <w:sz w:val="24"/>
          <w:highlight w:val="none"/>
        </w:rPr>
        <w:t xml:space="preserve">6个月内</w:t>
      </w:r>
      <w:r>
        <w:rPr>
          <w:rFonts w:hint="eastAsia" w:ascii="宋体" w:hAnsi="宋体" w:eastAsia="宋体" w:cs="宋体"/>
          <w:color w:val="auto"/>
          <w:sz w:val="24"/>
          <w:highlight w:val="none"/>
        </w:rPr>
        <w:t xml:space="preserve">（至少一个月）依法缴纳税收及缴纳社会保障资金的证明材料（专用收据或社会保险缴纳清单），如相关主管部门证明或银行代扣证明。投标人如依法享受缓缴、免缴税收、社会保障资金的应提供相关主管部门出具的证明材料）；</w:t>
      </w:r>
      <w:r>
        <w:rPr>
          <w:color w:val="auto"/>
          <w:highlight w:val="none"/>
        </w:rPr>
      </w:r>
      <w:r/>
    </w:p>
    <w:p>
      <w:pPr>
        <w:ind w:firstLine="480"/>
        <w:spacing w:line="360" w:lineRule="auto"/>
        <w:widowControl/>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14.4.5</w:t>
      </w:r>
      <w:r>
        <w:rPr>
          <w:rFonts w:ascii="宋体" w:hAnsi="宋体" w:eastAsia="宋体" w:cs="宋体"/>
          <w:color w:val="auto"/>
          <w:sz w:val="24"/>
          <w:highlight w:val="none"/>
        </w:rPr>
        <w:t xml:space="preserve">参加政府采购活动前三年内，在经营活动中没有重大违法记录（提供参加本次政府采购活动前3年内在经营活动中没有重大违法记录的书面声明）（格式自拟）</w:t>
      </w:r>
      <w:r>
        <w:rPr>
          <w:rFonts w:hint="eastAsia" w:ascii="宋体" w:hAnsi="宋体" w:eastAsia="宋体" w:cs="宋体"/>
          <w:color w:val="auto"/>
          <w:sz w:val="24"/>
          <w:highlight w:val="none"/>
        </w:rPr>
        <w:t xml:space="preserve">；</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14.4.6</w:t>
      </w:r>
      <w:r>
        <w:rPr>
          <w:rFonts w:hint="eastAsia" w:ascii="宋体" w:hAnsi="宋体" w:eastAsia="宋体" w:cs="宋体"/>
          <w:color w:val="auto"/>
          <w:sz w:val="24"/>
          <w:highlight w:val="none"/>
        </w:rPr>
        <w:t xml:space="preserve">法律、行政法规规定的其他条件。</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《中小企业声明函》或《残疾人福利性单位声明函》或由省级以上监狱管理局、戒毒管理局（含新疆生产建设兵团）出具的属于监狱企业的证明文件（格式见第三章）；</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14.4.8投标单位具有</w:t>
      </w:r>
      <w:r>
        <w:rPr>
          <w:rFonts w:hint="eastAsia" w:ascii="宋体" w:hAnsi="宋体" w:eastAsia="宋体" w:cs="宋体"/>
          <w:color w:val="auto"/>
          <w:sz w:val="24"/>
          <w:highlight w:val="none"/>
        </w:rPr>
        <w:t xml:space="preserve">全自动微生物质谱检测系统、医用冷藏箱、超低温冰箱、</w:t>
      </w:r>
      <w:r>
        <w:rPr>
          <w:rFonts w:hint="eastAsia" w:ascii="宋体" w:hAnsi="宋体" w:eastAsia="宋体" w:cs="宋体"/>
          <w:color w:val="auto"/>
          <w:sz w:val="24"/>
          <w:highlight w:val="none"/>
        </w:rPr>
        <w:t xml:space="preserve">低温保存箱的医疗器械生产或经营(许可)资格。投标单位为生产企业的，须提供有效期内的《医疗器械生产许可证》复印件，投标单位为经营企业的，须提供有效期内的医疗器械经营资格证书复印件。</w:t>
      </w:r>
      <w:r>
        <w:rPr>
          <w:color w:val="auto"/>
          <w:highlight w:val="none"/>
        </w:rPr>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14.5符合性审查文件</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14.5.1投标人法定代表人身份证扫描件；</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14.5.2法定代表人授权委托书（如有授权，格式见第三章）；</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14.5.3投标人授权代理人身份证扫描件（如有授权）；</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14.5.4投标函（格式见第三章）；</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14.5.5关于资格文件的声明函（格式见第三章）；</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14.5.6投标人基本情况表（格式见第三章）；</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14.5.7商务条款偏离表（格式见第三章）；</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14.5.8技术要求条款偏离表（格式见第三章）；</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14.5.9</w:t>
      </w:r>
      <w:r>
        <w:rPr>
          <w:rFonts w:hint="eastAsia" w:ascii="Times New Roman" w:hAnsi="宋体" w:eastAsia="宋体" w:cs="宋体"/>
          <w:color w:val="auto"/>
          <w:sz w:val="24"/>
          <w:highlight w:val="none"/>
          <w:lang w:val="zh-CN"/>
        </w:rPr>
        <w:t xml:space="preserve">品牌、</w:t>
      </w:r>
      <w:r>
        <w:rPr>
          <w:rFonts w:hint="eastAsia" w:ascii="Times New Roman" w:hAnsi="宋体" w:eastAsia="宋体" w:cs="宋体"/>
          <w:color w:val="auto"/>
          <w:sz w:val="24"/>
          <w:highlight w:val="none"/>
          <w:lang w:val="zh-CN"/>
        </w:rPr>
        <w:t xml:space="preserve">型号</w:t>
      </w:r>
      <w:r>
        <w:rPr>
          <w:rFonts w:hint="eastAsia" w:ascii="Times New Roman" w:hAnsi="宋体" w:eastAsia="宋体" w:cs="宋体"/>
          <w:color w:val="auto"/>
          <w:sz w:val="24"/>
          <w:highlight w:val="none"/>
          <w:lang w:val="zh-CN"/>
        </w:rPr>
        <w:t xml:space="preserve">规格、生产厂家说明</w:t>
      </w:r>
      <w:r>
        <w:rPr>
          <w:rFonts w:hint="eastAsia" w:ascii="宋体" w:hAnsi="宋体" w:eastAsia="宋体" w:cs="宋体"/>
          <w:color w:val="auto"/>
          <w:sz w:val="24"/>
          <w:highlight w:val="none"/>
        </w:rPr>
        <w:t xml:space="preserve">（格式见第三章）；</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14.5.10投标保证承诺书（格式见第三章）；</w:t>
      </w:r>
      <w:r>
        <w:rPr>
          <w:color w:val="auto"/>
          <w:highlight w:val="none"/>
        </w:rPr>
      </w:r>
      <w:r/>
    </w:p>
    <w:p>
      <w:pPr>
        <w:ind w:firstLine="480"/>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14.5.11其他有关符合性证明的文件。</w:t>
      </w:r>
      <w:r>
        <w:rPr>
          <w:color w:val="auto"/>
          <w:highlight w:val="none"/>
        </w:rPr>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14.6综合评审文件</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14.6</w:t>
      </w: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项目实施</w:t>
      </w:r>
      <w:r>
        <w:rPr>
          <w:rFonts w:hint="eastAsia" w:ascii="宋体" w:hAnsi="宋体" w:eastAsia="宋体" w:cs="宋体"/>
          <w:color w:val="auto"/>
          <w:sz w:val="24"/>
          <w:highlight w:val="none"/>
          <w:lang w:val="zh-CN"/>
        </w:rPr>
        <w:t xml:space="preserve">方案</w:t>
      </w:r>
      <w:r>
        <w:rPr>
          <w:rFonts w:hint="eastAsia" w:ascii="宋体" w:hAnsi="宋体" w:cs="宋体"/>
          <w:color w:val="auto"/>
          <w:szCs w:val="21"/>
          <w:highlight w:val="none"/>
        </w:rPr>
        <w:t xml:space="preserve">（包括但不限于质保期承诺、服务响应时间承诺、培训方案、售后人员配备等等）</w:t>
      </w:r>
      <w:r>
        <w:rPr>
          <w:rFonts w:hint="eastAsia" w:ascii="宋体" w:hAnsi="宋体" w:eastAsia="宋体" w:cs="宋体"/>
          <w:color w:val="auto"/>
          <w:sz w:val="24"/>
          <w:highlight w:val="none"/>
          <w:lang w:val="zh-CN"/>
        </w:rPr>
        <w:t xml:space="preserve">；</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14.6</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企业类似业绩一览表（格式见第三章）</w:t>
      </w:r>
      <w:r>
        <w:rPr>
          <w:rFonts w:hint="eastAsia" w:ascii="宋体" w:hAnsi="宋体" w:eastAsia="宋体" w:cs="宋体"/>
          <w:color w:val="auto"/>
          <w:sz w:val="24"/>
          <w:highlight w:val="none"/>
          <w:lang w:val="zh-CN"/>
        </w:rPr>
        <w:t xml:space="preserve">；</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14.6.</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备品备件、易损件清单及报价表（格式见第三章）；</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w:t>
      </w:r>
      <w:r>
        <w:rPr>
          <w:rFonts w:ascii="宋体" w:hAnsi="宋体" w:eastAsia="宋体" w:cs="宋体"/>
          <w:color w:val="auto"/>
          <w:sz w:val="24"/>
          <w:highlight w:val="none"/>
          <w:lang w:val="zh-CN"/>
        </w:rPr>
        <w:t xml:space="preserve">6</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评分标准中所涉及到的其他材料、证明</w:t>
      </w:r>
      <w:r>
        <w:rPr>
          <w:rFonts w:hint="eastAsia" w:ascii="宋体" w:hAnsi="宋体" w:eastAsia="宋体" w:cs="宋体"/>
          <w:color w:val="auto"/>
          <w:sz w:val="24"/>
          <w:highlight w:val="none"/>
          <w:lang w:val="zh-CN"/>
        </w:rPr>
        <w:t xml:space="preserve">。</w:t>
      </w:r>
      <w:r>
        <w:rPr>
          <w:color w:val="auto"/>
          <w:highlight w:val="none"/>
        </w:rPr>
      </w:r>
      <w:r/>
    </w:p>
    <w:p>
      <w:pPr>
        <w:ind w:firstLine="482"/>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注：（1）</w:t>
      </w:r>
      <w:r>
        <w:rPr>
          <w:rFonts w:hint="eastAsia" w:ascii="宋体" w:hAnsi="宋体" w:eastAsia="宋体" w:cs="宋体"/>
          <w:b/>
          <w:bCs/>
          <w:color w:val="auto"/>
          <w:sz w:val="24"/>
          <w:highlight w:val="none"/>
          <w:u w:val="single"/>
          <w:lang w:val="zh-CN"/>
        </w:rPr>
        <w:t xml:space="preserve">以上</w:t>
      </w:r>
      <w:r>
        <w:rPr>
          <w:rFonts w:hint="eastAsia" w:ascii="宋体" w:hAnsi="宋体" w:eastAsia="宋体" w:cs="宋体"/>
          <w:b/>
          <w:bCs/>
          <w:color w:val="auto"/>
          <w:sz w:val="24"/>
          <w:highlight w:val="none"/>
          <w:u w:val="single"/>
          <w:lang w:val="zh-CN"/>
        </w:rPr>
        <w:t xml:space="preserve">14.4.1-14</w:t>
      </w:r>
      <w:r>
        <w:rPr>
          <w:rFonts w:hint="eastAsia" w:ascii="宋体" w:hAnsi="宋体" w:eastAsia="宋体" w:cs="宋体"/>
          <w:b/>
          <w:bCs/>
          <w:color w:val="auto"/>
          <w:sz w:val="24"/>
          <w:highlight w:val="none"/>
          <w:u w:val="single"/>
        </w:rPr>
        <w:t xml:space="preserve">.</w:t>
      </w:r>
      <w:r>
        <w:rPr>
          <w:rFonts w:hint="eastAsia" w:ascii="宋体" w:hAnsi="宋体" w:eastAsia="宋体" w:cs="宋体"/>
          <w:b/>
          <w:bCs/>
          <w:color w:val="auto"/>
          <w:sz w:val="24"/>
          <w:highlight w:val="none"/>
          <w:u w:val="single"/>
          <w:lang w:val="zh-CN"/>
        </w:rPr>
        <w:t xml:space="preserve">4.</w:t>
      </w:r>
      <w:r>
        <w:rPr>
          <w:rFonts w:hint="eastAsia" w:ascii="宋体" w:hAnsi="宋体" w:eastAsia="宋体" w:cs="宋体"/>
          <w:b/>
          <w:bCs/>
          <w:color w:val="auto"/>
          <w:sz w:val="24"/>
          <w:highlight w:val="none"/>
          <w:u w:val="single"/>
        </w:rPr>
        <w:t xml:space="preserve">8</w:t>
      </w:r>
      <w:r>
        <w:rPr>
          <w:rFonts w:hint="eastAsia" w:ascii="宋体" w:hAnsi="宋体" w:eastAsia="宋体" w:cs="宋体"/>
          <w:b/>
          <w:bCs/>
          <w:color w:val="auto"/>
          <w:sz w:val="24"/>
          <w:highlight w:val="none"/>
          <w:u w:val="single"/>
          <w:lang w:val="zh-CN"/>
        </w:rPr>
        <w:t xml:space="preserve">为资格审查要求提供的材料</w:t>
      </w:r>
      <w:r>
        <w:rPr>
          <w:rFonts w:hint="eastAsia" w:ascii="宋体" w:hAnsi="宋体" w:eastAsia="宋体" w:cs="宋体"/>
          <w:b/>
          <w:bCs/>
          <w:color w:val="auto"/>
          <w:sz w:val="24"/>
          <w:highlight w:val="none"/>
          <w:lang w:val="zh-CN"/>
        </w:rPr>
        <w:t xml:space="preserve">，是作为对供应商资格审查的依据，投标人必须提供并加盖电子公章。否则，投标文件将被认定为不符合资格审查要求。</w:t>
      </w:r>
      <w:r>
        <w:rPr>
          <w:color w:val="auto"/>
          <w:highlight w:val="none"/>
        </w:rPr>
      </w:r>
      <w:r/>
    </w:p>
    <w:p>
      <w:pPr>
        <w:ind w:firstLine="482"/>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u w:val="single"/>
          <w:lang w:val="zh-CN"/>
        </w:rPr>
        <w:t xml:space="preserve">以上</w:t>
      </w:r>
      <w:r>
        <w:rPr>
          <w:rFonts w:hint="eastAsia" w:ascii="宋体" w:hAnsi="宋体" w:eastAsia="宋体" w:cs="宋体"/>
          <w:b/>
          <w:bCs/>
          <w:color w:val="auto"/>
          <w:sz w:val="24"/>
          <w:highlight w:val="none"/>
          <w:u w:val="single"/>
          <w:lang w:val="zh-CN"/>
        </w:rPr>
        <w:t xml:space="preserve">14.5.1-14.5.</w:t>
      </w:r>
      <w:r>
        <w:rPr>
          <w:rFonts w:hint="eastAsia" w:ascii="宋体" w:hAnsi="宋体" w:eastAsia="宋体" w:cs="宋体"/>
          <w:b/>
          <w:bCs/>
          <w:color w:val="auto"/>
          <w:sz w:val="24"/>
          <w:highlight w:val="none"/>
          <w:u w:val="single"/>
        </w:rPr>
        <w:t xml:space="preserve">11</w:t>
      </w:r>
      <w:r>
        <w:rPr>
          <w:rFonts w:hint="eastAsia" w:ascii="宋体" w:hAnsi="宋体" w:eastAsia="宋体" w:cs="宋体"/>
          <w:b/>
          <w:bCs/>
          <w:color w:val="auto"/>
          <w:sz w:val="24"/>
          <w:highlight w:val="none"/>
          <w:u w:val="single"/>
          <w:lang w:val="zh-CN"/>
        </w:rPr>
        <w:t xml:space="preserve">为符合性审查须提供的资料</w:t>
      </w:r>
      <w:r>
        <w:rPr>
          <w:rFonts w:hint="eastAsia" w:ascii="宋体" w:hAnsi="宋体" w:eastAsia="宋体" w:cs="宋体"/>
          <w:b/>
          <w:bCs/>
          <w:color w:val="auto"/>
          <w:sz w:val="24"/>
          <w:highlight w:val="none"/>
          <w:lang w:val="zh-CN"/>
        </w:rPr>
        <w:t xml:space="preserve">，投标人必须提供并加盖电子公章。否则，投标文件将被认定为未实质性响应。</w:t>
      </w:r>
      <w:r>
        <w:rPr>
          <w:color w:val="auto"/>
          <w:highlight w:val="none"/>
        </w:rPr>
      </w:r>
      <w:r/>
    </w:p>
    <w:p>
      <w:pPr>
        <w:ind w:firstLine="482"/>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lang w:val="zh-CN"/>
        </w:rPr>
        <w:t xml:space="preserve">（3）</w:t>
      </w:r>
      <w:r>
        <w:rPr>
          <w:rFonts w:hint="eastAsia" w:ascii="宋体" w:hAnsi="宋体" w:eastAsia="宋体" w:cs="宋体"/>
          <w:b/>
          <w:color w:val="auto"/>
          <w:sz w:val="24"/>
          <w:highlight w:val="none"/>
          <w:u w:val="single"/>
          <w:lang w:val="zh-CN"/>
        </w:rPr>
        <w:t xml:space="preserve">“14.4-14.</w:t>
      </w:r>
      <w:r>
        <w:rPr>
          <w:rFonts w:hint="eastAsia" w:ascii="宋体" w:hAnsi="宋体" w:eastAsia="宋体" w:cs="宋体"/>
          <w:b/>
          <w:color w:val="auto"/>
          <w:sz w:val="24"/>
          <w:highlight w:val="none"/>
          <w:u w:val="single"/>
        </w:rPr>
        <w:t xml:space="preserve">6</w:t>
      </w:r>
      <w:r>
        <w:rPr>
          <w:rFonts w:hint="eastAsia" w:ascii="宋体" w:hAnsi="宋体" w:eastAsia="宋体" w:cs="宋体"/>
          <w:b/>
          <w:color w:val="auto"/>
          <w:sz w:val="24"/>
          <w:highlight w:val="none"/>
          <w:u w:val="single"/>
          <w:lang w:val="zh-CN"/>
        </w:rPr>
        <w:t xml:space="preserve">”中不得出现投标报价。</w:t>
      </w:r>
      <w:r>
        <w:rPr>
          <w:rFonts w:hint="eastAsia" w:ascii="宋体" w:hAnsi="宋体" w:eastAsia="宋体" w:cs="宋体"/>
          <w:color w:val="auto"/>
          <w:sz w:val="24"/>
          <w:highlight w:val="none"/>
          <w:lang w:val="zh-CN"/>
        </w:rPr>
        <w:t xml:space="preserve">投标人所提交的资料的完整与否，将直接影响投标人的评分。</w:t>
      </w:r>
      <w:r>
        <w:rPr>
          <w:color w:val="auto"/>
          <w:highlight w:val="none"/>
        </w:rPr>
      </w:r>
      <w:r/>
    </w:p>
    <w:p>
      <w:pPr>
        <w:ind w:firstLine="482"/>
        <w:spacing w:line="360" w:lineRule="auto"/>
        <w:widowControl/>
        <w:rPr>
          <w:rFonts w:hint="eastAsia" w:ascii="宋体" w:hAnsi="宋体" w:eastAsia="宋体" w:cs="宋体"/>
          <w:b/>
          <w:bCs/>
          <w:color w:val="auto"/>
          <w:sz w:val="24"/>
          <w:highlight w:val="none"/>
        </w:rPr>
      </w:pPr>
      <w:r>
        <w:rPr>
          <w:rFonts w:hint="eastAsia" w:ascii="宋体" w:hAnsi="宋体" w:eastAsia="宋体" w:cs="宋体"/>
          <w:b/>
          <w:color w:val="auto"/>
          <w:sz w:val="24"/>
          <w:highlight w:val="none"/>
          <w:lang w:val="zh-CN"/>
        </w:rPr>
        <w:t xml:space="preserve">（4）制作电子投标文件时必须与投标文件制作软件目录一一对应，将相关资料上传至相应模块。</w:t>
      </w:r>
      <w:r>
        <w:rPr>
          <w:color w:val="auto"/>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（5）开评标过程中如有问题采购代理机构工作人员会及时通过《投标供应商确认函》留存的手机号与供应商联系。请供应商确保该手机号通讯畅通，否则导致的不利后果由供应商自行承担。</w:t>
      </w:r>
      <w:r>
        <w:rPr>
          <w:color w:val="auto"/>
          <w:highlight w:val="none"/>
        </w:rPr>
      </w:r>
      <w:r/>
    </w:p>
    <w:p>
      <w:pPr>
        <w:ind w:firstLine="456"/>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（6）</w:t>
      </w:r>
      <w:r>
        <w:rPr>
          <w:rFonts w:ascii="宋体" w:hAnsi="宋体" w:eastAsia="宋体" w:cs="宋体"/>
          <w:b/>
          <w:color w:val="auto"/>
          <w:sz w:val="24"/>
          <w:highlight w:val="none"/>
          <w:lang w:val="zh-CN"/>
        </w:rPr>
        <w:t xml:space="preserve">投标人所提交的</w:t>
      </w:r>
      <w:r>
        <w:rPr>
          <w:rFonts w:hint="eastAsia" w:ascii="宋体" w:hAnsi="宋体" w:eastAsia="宋体" w:cs="宋体"/>
          <w:b/>
          <w:color w:val="auto"/>
          <w:sz w:val="24"/>
          <w:highlight w:val="none"/>
          <w:lang w:val="zh-CN"/>
        </w:rPr>
        <w:t xml:space="preserve">资料</w:t>
      </w:r>
      <w:r>
        <w:rPr>
          <w:rFonts w:ascii="宋体" w:hAnsi="宋体" w:eastAsia="宋体" w:cs="宋体"/>
          <w:b/>
          <w:color w:val="auto"/>
          <w:sz w:val="24"/>
          <w:highlight w:val="none"/>
          <w:lang w:val="zh-CN"/>
        </w:rPr>
        <w:t xml:space="preserve">文件的完整与否，将直接影响投标人的评分。</w:t>
      </w:r>
      <w:r>
        <w:rPr>
          <w:rFonts w:hint="eastAsia" w:ascii="宋体" w:hAnsi="宋体" w:eastAsia="宋体" w:cs="宋体"/>
          <w:b/>
          <w:color w:val="auto"/>
          <w:sz w:val="24"/>
          <w:highlight w:val="none"/>
          <w:lang w:val="zh-CN"/>
        </w:rPr>
        <w:t xml:space="preserve">投标人必须保证全部投标资料的真实性，如有虚假或</w:t>
      </w:r>
      <w:r>
        <w:rPr>
          <w:rFonts w:ascii="宋体" w:hAnsi="宋体" w:eastAsia="宋体" w:cs="宋体"/>
          <w:b/>
          <w:color w:val="auto"/>
          <w:sz w:val="24"/>
          <w:highlight w:val="none"/>
          <w:lang w:val="zh-CN"/>
        </w:rPr>
        <w:t xml:space="preserve">对</w:t>
      </w:r>
      <w:r>
        <w:rPr>
          <w:rFonts w:hint="eastAsia" w:ascii="宋体" w:hAnsi="宋体" w:eastAsia="宋体" w:cs="宋体"/>
          <w:b/>
          <w:color w:val="auto"/>
          <w:sz w:val="24"/>
          <w:highlight w:val="none"/>
          <w:lang w:val="zh-CN"/>
        </w:rPr>
        <w:t xml:space="preserve">招标</w:t>
      </w:r>
      <w:r>
        <w:rPr>
          <w:rFonts w:ascii="宋体" w:hAnsi="宋体" w:eastAsia="宋体" w:cs="宋体"/>
          <w:b/>
          <w:color w:val="auto"/>
          <w:sz w:val="24"/>
          <w:highlight w:val="none"/>
          <w:lang w:val="zh-CN"/>
        </w:rPr>
        <w:t xml:space="preserve">文件所要求说明的情况故意隐瞒或虚报，视为不实质性响应</w:t>
      </w:r>
      <w:r>
        <w:rPr>
          <w:rFonts w:hint="eastAsia" w:ascii="宋体" w:hAnsi="宋体" w:eastAsia="宋体" w:cs="宋体"/>
          <w:b/>
          <w:color w:val="auto"/>
          <w:sz w:val="24"/>
          <w:highlight w:val="none"/>
          <w:lang w:val="zh-CN"/>
        </w:rPr>
        <w:t xml:space="preserve">招标文件</w:t>
      </w:r>
      <w:r>
        <w:rPr>
          <w:rFonts w:ascii="宋体" w:hAnsi="宋体" w:eastAsia="宋体" w:cs="宋体"/>
          <w:b/>
          <w:color w:val="auto"/>
          <w:sz w:val="24"/>
          <w:highlight w:val="none"/>
          <w:lang w:val="zh-CN"/>
        </w:rPr>
        <w:t xml:space="preserve">，为无效投标</w:t>
      </w:r>
      <w:r>
        <w:rPr>
          <w:rFonts w:hint="eastAsia" w:ascii="宋体" w:hAnsi="宋体" w:eastAsia="宋体" w:cs="宋体"/>
          <w:b/>
          <w:color w:val="auto"/>
          <w:sz w:val="24"/>
          <w:highlight w:val="none"/>
          <w:lang w:val="zh-CN"/>
        </w:rPr>
        <w:t xml:space="preserve">，</w:t>
      </w:r>
      <w:r>
        <w:rPr>
          <w:rFonts w:ascii="宋体" w:hAnsi="宋体" w:eastAsia="宋体" w:cs="宋体"/>
          <w:b/>
          <w:color w:val="auto"/>
          <w:sz w:val="24"/>
          <w:highlight w:val="none"/>
          <w:lang w:val="zh-CN"/>
        </w:rPr>
        <w:t xml:space="preserve">已</w:t>
      </w:r>
      <w:r>
        <w:rPr>
          <w:rFonts w:hint="eastAsia" w:ascii="宋体" w:hAnsi="宋体" w:eastAsia="宋体" w:cs="宋体"/>
          <w:b/>
          <w:color w:val="auto"/>
          <w:sz w:val="24"/>
          <w:highlight w:val="none"/>
          <w:lang w:val="zh-CN"/>
        </w:rPr>
        <w:t xml:space="preserve">中标</w:t>
      </w:r>
      <w:r>
        <w:rPr>
          <w:rFonts w:ascii="宋体" w:hAnsi="宋体" w:eastAsia="宋体" w:cs="宋体"/>
          <w:b/>
          <w:color w:val="auto"/>
          <w:sz w:val="24"/>
          <w:highlight w:val="none"/>
          <w:lang w:val="zh-CN"/>
        </w:rPr>
        <w:t xml:space="preserve">的将取消</w:t>
      </w:r>
      <w:r>
        <w:rPr>
          <w:rFonts w:hint="eastAsia" w:ascii="宋体" w:hAnsi="宋体" w:eastAsia="宋体" w:cs="宋体"/>
          <w:b/>
          <w:color w:val="auto"/>
          <w:sz w:val="24"/>
          <w:highlight w:val="none"/>
          <w:lang w:val="zh-CN"/>
        </w:rPr>
        <w:t xml:space="preserve">中标</w:t>
      </w:r>
      <w:r>
        <w:rPr>
          <w:rFonts w:ascii="宋体" w:hAnsi="宋体" w:eastAsia="宋体" w:cs="宋体"/>
          <w:b/>
          <w:color w:val="auto"/>
          <w:sz w:val="24"/>
          <w:highlight w:val="none"/>
          <w:lang w:val="zh-CN"/>
        </w:rPr>
        <w:t xml:space="preserve">资格，并按《中华人民共和国政府采购法》第七十七条“提供虚假材料谋取中标、成交”相关处理办法处理。</w:t>
      </w:r>
      <w:r>
        <w:rPr>
          <w:color w:val="auto"/>
          <w:highlight w:val="none"/>
        </w:rPr>
      </w:r>
      <w:r/>
    </w:p>
    <w:p>
      <w:pPr>
        <w:ind w:firstLine="456"/>
        <w:spacing w:line="360" w:lineRule="auto"/>
        <w:rPr>
          <w:rFonts w:hint="eastAsia" w:ascii="宋体" w:hAnsi="宋体" w:eastAsia="宋体" w:cs="宋体"/>
          <w:b/>
          <w:color w:val="auto"/>
          <w:sz w:val="24"/>
          <w:highlight w:val="none"/>
        </w:rPr>
      </w:pPr>
      <w:r>
        <w:rPr>
          <w:rFonts w:ascii="宋体" w:hAnsi="宋体" w:eastAsia="宋体" w:cs="宋体"/>
          <w:b/>
          <w:color w:val="auto"/>
          <w:sz w:val="24"/>
          <w:highlight w:val="none"/>
          <w:lang w:val="zh-CN"/>
        </w:rPr>
        <w:t xml:space="preserve">1</w:t>
      </w:r>
      <w:r>
        <w:rPr>
          <w:rFonts w:hint="eastAsia" w:ascii="宋体" w:hAnsi="宋体" w:eastAsia="宋体" w:cs="宋体"/>
          <w:b/>
          <w:color w:val="auto"/>
          <w:sz w:val="24"/>
          <w:highlight w:val="none"/>
          <w:lang w:val="zh-CN"/>
        </w:rPr>
        <w:t xml:space="preserve">4</w:t>
      </w:r>
      <w:r>
        <w:rPr>
          <w:rFonts w:ascii="宋体" w:hAnsi="宋体" w:eastAsia="宋体" w:cs="宋体"/>
          <w:b/>
          <w:color w:val="auto"/>
          <w:sz w:val="24"/>
          <w:highlight w:val="none"/>
          <w:lang w:val="zh-CN"/>
        </w:rPr>
        <w:t xml:space="preserve">.</w:t>
      </w:r>
      <w:r>
        <w:rPr>
          <w:rFonts w:hint="eastAsia" w:ascii="宋体" w:hAnsi="宋体" w:eastAsia="宋体" w:cs="宋体"/>
          <w:b/>
          <w:color w:val="auto"/>
          <w:sz w:val="24"/>
          <w:highlight w:val="none"/>
          <w:lang w:val="zh-CN"/>
        </w:rPr>
        <w:t xml:space="preserve">7</w:t>
      </w:r>
      <w:r>
        <w:rPr>
          <w:rFonts w:ascii="宋体" w:hAnsi="宋体" w:eastAsia="宋体" w:cs="宋体"/>
          <w:b/>
          <w:color w:val="auto"/>
          <w:sz w:val="24"/>
          <w:highlight w:val="none"/>
          <w:lang w:val="zh-CN"/>
        </w:rPr>
        <w:t xml:space="preserve">投标文件由1</w:t>
      </w:r>
      <w:r>
        <w:rPr>
          <w:rFonts w:hint="eastAsia" w:ascii="宋体" w:hAnsi="宋体" w:eastAsia="宋体" w:cs="宋体"/>
          <w:b/>
          <w:color w:val="auto"/>
          <w:sz w:val="24"/>
          <w:highlight w:val="none"/>
          <w:lang w:val="zh-CN"/>
        </w:rPr>
        <w:t xml:space="preserve">4</w:t>
      </w:r>
      <w:r>
        <w:rPr>
          <w:rFonts w:ascii="宋体" w:hAnsi="宋体" w:eastAsia="宋体" w:cs="宋体"/>
          <w:b/>
          <w:color w:val="auto"/>
          <w:sz w:val="24"/>
          <w:highlight w:val="none"/>
          <w:lang w:val="zh-CN"/>
        </w:rPr>
        <w:t xml:space="preserve">.1</w:t>
      </w:r>
      <w:r>
        <w:rPr>
          <w:rFonts w:hint="eastAsia" w:ascii="宋体" w:hAnsi="宋体" w:eastAsia="宋体" w:cs="宋体"/>
          <w:b/>
          <w:color w:val="auto"/>
          <w:sz w:val="24"/>
          <w:highlight w:val="none"/>
          <w:lang w:val="zh-CN"/>
        </w:rPr>
        <w:t xml:space="preserve">至</w:t>
      </w:r>
      <w:r>
        <w:rPr>
          <w:rFonts w:ascii="宋体" w:hAnsi="宋体" w:eastAsia="宋体" w:cs="宋体"/>
          <w:b/>
          <w:color w:val="auto"/>
          <w:sz w:val="24"/>
          <w:highlight w:val="none"/>
          <w:lang w:val="zh-CN"/>
        </w:rPr>
        <w:t xml:space="preserve">1</w:t>
      </w:r>
      <w:r>
        <w:rPr>
          <w:rFonts w:hint="eastAsia" w:ascii="宋体" w:hAnsi="宋体" w:eastAsia="宋体" w:cs="宋体"/>
          <w:b/>
          <w:color w:val="auto"/>
          <w:sz w:val="24"/>
          <w:highlight w:val="none"/>
          <w:lang w:val="zh-CN"/>
        </w:rPr>
        <w:t xml:space="preserve">4</w:t>
      </w:r>
      <w:r>
        <w:rPr>
          <w:rFonts w:ascii="宋体" w:hAnsi="宋体" w:eastAsia="宋体" w:cs="宋体"/>
          <w:b/>
          <w:color w:val="auto"/>
          <w:sz w:val="24"/>
          <w:highlight w:val="none"/>
          <w:lang w:val="zh-CN"/>
        </w:rPr>
        <w:t xml:space="preserve">.</w:t>
      </w:r>
      <w:r>
        <w:rPr>
          <w:rFonts w:hint="eastAsia" w:ascii="宋体" w:hAnsi="宋体" w:eastAsia="宋体" w:cs="宋体"/>
          <w:b/>
          <w:color w:val="auto"/>
          <w:sz w:val="24"/>
          <w:highlight w:val="none"/>
          <w:lang w:val="zh-CN"/>
        </w:rPr>
        <w:t xml:space="preserve">6</w:t>
      </w:r>
      <w:r>
        <w:rPr>
          <w:rFonts w:ascii="宋体" w:hAnsi="宋体" w:eastAsia="宋体" w:cs="宋体"/>
          <w:b/>
          <w:color w:val="auto"/>
          <w:sz w:val="24"/>
          <w:highlight w:val="none"/>
          <w:lang w:val="zh-CN"/>
        </w:rPr>
        <w:t xml:space="preserve">款规定的内容共同组成。</w:t>
      </w:r>
      <w:r>
        <w:rPr>
          <w:color w:val="auto"/>
          <w:highlight w:val="none"/>
        </w:rPr>
      </w:r>
      <w:r/>
    </w:p>
    <w:p>
      <w:pPr>
        <w:ind w:firstLine="482"/>
        <w:jc w:val="left"/>
        <w:spacing w:line="360" w:lineRule="auto"/>
        <w:rPr>
          <w:rFonts w:hint="eastAsia" w:ascii="宋体" w:hAnsi="宋体" w:eastAsia="宋体" w:cs="宋体"/>
          <w:b/>
          <w:color w:val="auto"/>
          <w:sz w:val="24"/>
          <w:highlight w:val="none"/>
        </w:rPr>
      </w:pPr>
      <w:r>
        <w:rPr>
          <w:rFonts w:ascii="宋体" w:hAnsi="宋体" w:eastAsia="宋体" w:cs="宋体"/>
          <w:b/>
          <w:color w:val="auto"/>
          <w:sz w:val="24"/>
          <w:highlight w:val="none"/>
          <w:lang w:val="zh-CN"/>
        </w:rPr>
        <w:t xml:space="preserve">15.</w:t>
      </w:r>
      <w:r>
        <w:rPr>
          <w:rFonts w:hint="eastAsia" w:ascii="宋体" w:hAnsi="宋体" w:eastAsia="宋体" w:cs="宋体"/>
          <w:b/>
          <w:color w:val="auto"/>
          <w:sz w:val="24"/>
          <w:highlight w:val="none"/>
          <w:lang w:val="zh-CN"/>
        </w:rPr>
        <w:t xml:space="preserve">电子投标文件的编制与提交</w:t>
      </w:r>
      <w:r>
        <w:rPr>
          <w:color w:val="auto"/>
          <w:highlight w:val="none"/>
        </w:rPr>
      </w:r>
      <w:r/>
    </w:p>
    <w:p>
      <w:pPr>
        <w:ind w:firstLine="489"/>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.1本项目采用电子招投标形式，请供应商按照</w:t>
      </w:r>
      <w:r>
        <w:rPr>
          <w:rFonts w:hint="eastAsia" w:ascii="宋体" w:hAnsi="宋体" w:eastAsia="宋体" w:cs="宋体"/>
          <w:b/>
          <w:color w:val="auto"/>
          <w:sz w:val="24"/>
          <w:highlight w:val="none"/>
          <w:lang w:val="zh-CN"/>
        </w:rPr>
        <w:t xml:space="preserve">《苏采云系统供应商操作手册》</w:t>
      </w:r>
      <w:r>
        <w:rPr>
          <w:rFonts w:hint="eastAsia" w:ascii="宋体" w:hAnsi="宋体" w:eastAsia="宋体" w:cs="宋体"/>
          <w:color w:val="auto"/>
          <w:sz w:val="24"/>
          <w:highlight w:val="none"/>
          <w:lang w:val="zh-CN"/>
        </w:rPr>
        <w:t xml:space="preserve">进行制作、上传电子投标文件。</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.2制作电子投标文件时，应按照招标文件要求加盖投标人电子公章。</w:t>
      </w:r>
      <w:r>
        <w:rPr>
          <w:color w:val="auto"/>
          <w:highlight w:val="none"/>
        </w:rPr>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.3</w:t>
      </w:r>
      <w:r>
        <w:rPr>
          <w:rFonts w:hint="eastAsia" w:ascii="宋体" w:hAnsi="宋体" w:eastAsia="宋体" w:cs="宋体"/>
          <w:b/>
          <w:color w:val="auto"/>
          <w:sz w:val="24"/>
          <w:highlight w:val="none"/>
          <w:lang w:val="zh-CN"/>
        </w:rPr>
        <w:t xml:space="preserve">电子投标文件制作完成后请于投标文件网上提交截止时间前成功上传至“苏采云”系统，否则视为放弃参加该采购项目。</w:t>
      </w:r>
      <w:bookmarkStart w:id="7" w:name="_Toc25608"/>
      <w:r>
        <w:rPr>
          <w:color w:val="auto"/>
          <w:highlight w:val="none"/>
        </w:rPr>
      </w:r>
      <w:bookmarkStart w:id="8" w:name="_Toc31150"/>
      <w:r>
        <w:rPr>
          <w:rFonts w:hint="eastAsia" w:ascii="宋体" w:hAnsi="宋体" w:eastAsia="宋体" w:cs="宋体"/>
          <w:color w:val="auto"/>
          <w:sz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
      <w:r>
        <w:rPr>
          <w:color w:val="auto"/>
          <w:highlight w:val="none"/>
        </w:rPr>
      </w:r>
      <w:bookmarkEnd w:id="8"/>
      <w:r>
        <w:rPr>
          <w:color w:val="auto"/>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w:t>
      </w:r>
      <w:r>
        <w:rPr>
          <w:rFonts w:ascii="宋体" w:hAnsi="宋体" w:eastAsia="宋体" w:cs="宋体"/>
          <w:b/>
          <w:bCs/>
          <w:color w:val="auto"/>
          <w:sz w:val="24"/>
          <w:highlight w:val="none"/>
          <w:lang w:val="zh-CN"/>
        </w:rPr>
        <w:t xml:space="preserve">6.</w:t>
      </w:r>
      <w:r>
        <w:rPr>
          <w:rFonts w:hint="eastAsia" w:ascii="宋体" w:hAnsi="宋体" w:eastAsia="宋体" w:cs="宋体"/>
          <w:b/>
          <w:color w:val="auto"/>
          <w:sz w:val="24"/>
          <w:highlight w:val="none"/>
        </w:rPr>
        <w:t xml:space="preserve">报价（编制）要求说明</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16.1</w:t>
      </w:r>
      <w:r>
        <w:rPr>
          <w:rFonts w:hint="eastAsia" w:ascii="宋体" w:hAnsi="宋体" w:eastAsia="宋体" w:cs="宋体"/>
          <w:color w:val="auto"/>
          <w:sz w:val="24"/>
          <w:highlight w:val="none"/>
        </w:rPr>
        <w:t xml:space="preserve">投标报价包括全部货物和服务的报价，应包括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16.2投标人应对招标文件内所要采购的全部内容进行报价，只投其中部分内容者，其标书将被拒绝。但如果招标文件要求分标段投标的，则投标人可以按招标文件要求有选择地只投其中一个或几个标段，但各标段应分别计算填写单价和总价。</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16.3一项</w:t>
      </w:r>
      <w:r>
        <w:rPr>
          <w:rFonts w:hint="eastAsia" w:ascii="宋体" w:hAnsi="宋体" w:eastAsia="宋体" w:cs="宋体"/>
          <w:color w:val="auto"/>
          <w:sz w:val="24"/>
          <w:highlight w:val="none"/>
        </w:rPr>
        <w:t xml:space="preserve">投标</w:t>
      </w:r>
      <w:r>
        <w:rPr>
          <w:rFonts w:ascii="宋体" w:hAnsi="宋体" w:eastAsia="宋体" w:cs="宋体"/>
          <w:color w:val="auto"/>
          <w:sz w:val="24"/>
          <w:highlight w:val="none"/>
        </w:rPr>
        <w:t xml:space="preserve">内容只允许一个报价，采购人不接受任何有选择性的</w:t>
      </w:r>
      <w:r>
        <w:rPr>
          <w:rFonts w:hint="eastAsia" w:ascii="宋体" w:hAnsi="宋体" w:eastAsia="宋体" w:cs="宋体"/>
          <w:color w:val="auto"/>
          <w:sz w:val="24"/>
          <w:highlight w:val="none"/>
        </w:rPr>
        <w:t xml:space="preserve">投标</w:t>
      </w:r>
      <w:r>
        <w:rPr>
          <w:rFonts w:ascii="宋体" w:hAnsi="宋体" w:eastAsia="宋体" w:cs="宋体"/>
          <w:color w:val="auto"/>
          <w:sz w:val="24"/>
          <w:highlight w:val="none"/>
        </w:rPr>
        <w:t xml:space="preserve">报价。</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16.4</w:t>
      </w:r>
      <w:r>
        <w:rPr>
          <w:rFonts w:hint="eastAsia" w:ascii="宋体" w:hAnsi="宋体" w:eastAsia="宋体" w:cs="宋体"/>
          <w:color w:val="auto"/>
          <w:sz w:val="24"/>
          <w:highlight w:val="none"/>
        </w:rPr>
        <w:t xml:space="preserve">投标</w:t>
      </w:r>
      <w:r>
        <w:rPr>
          <w:rFonts w:ascii="宋体" w:hAnsi="宋体" w:eastAsia="宋体" w:cs="宋体"/>
          <w:color w:val="auto"/>
          <w:sz w:val="24"/>
          <w:highlight w:val="none"/>
        </w:rPr>
        <w:t xml:space="preserve">文件中报价全部采用人民币表示，除非合同的特殊条款另有规定。</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16.5最低报价不能作为中标的保证。</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17.</w:t>
      </w:r>
      <w:r>
        <w:rPr>
          <w:rFonts w:hint="eastAsia" w:ascii="宋体" w:hAnsi="宋体" w:eastAsia="宋体" w:cs="宋体"/>
          <w:b/>
          <w:bCs/>
          <w:color w:val="auto"/>
          <w:sz w:val="24"/>
          <w:highlight w:val="none"/>
          <w:lang w:val="zh-CN"/>
        </w:rPr>
        <w:t xml:space="preserve">投标保证金</w:t>
      </w:r>
      <w:r>
        <w:rPr>
          <w:color w:val="auto"/>
          <w:highlight w:val="none"/>
        </w:rPr>
      </w:r>
      <w:r/>
    </w:p>
    <w:p>
      <w:pPr>
        <w:ind w:firstLine="480"/>
        <w:spacing w:line="360" w:lineRule="auto"/>
        <w:rPr>
          <w:rFonts w:hint="eastAsia" w:ascii="宋体" w:hAnsi="宋体" w:eastAsia="宋体" w:cs="Times New Roman"/>
          <w:b/>
          <w:bCs/>
          <w:color w:val="auto"/>
          <w:sz w:val="24"/>
          <w:highlight w:val="none"/>
        </w:rPr>
      </w:pPr>
      <w:r>
        <w:rPr>
          <w:rFonts w:hint="eastAsia" w:ascii="宋体" w:hAnsi="宋体" w:eastAsia="宋体" w:cs="宋体"/>
          <w:color w:val="auto"/>
          <w:sz w:val="24"/>
          <w:highlight w:val="none"/>
        </w:rPr>
        <w:t xml:space="preserve">本项目不收投标保证金。</w:t>
      </w:r>
      <w:r>
        <w:rPr>
          <w:color w:val="auto"/>
          <w:highlight w:val="none"/>
        </w:rPr>
      </w:r>
      <w:r/>
    </w:p>
    <w:p>
      <w:pPr>
        <w:ind w:firstLine="482"/>
        <w:jc w:val="left"/>
        <w:spacing w:line="360" w:lineRule="auto"/>
        <w:rPr>
          <w:rFonts w:hint="eastAsia" w:ascii="宋体" w:hAnsi="宋体" w:eastAsia="宋体" w:cs="宋体"/>
          <w:color w:val="auto"/>
          <w:sz w:val="24"/>
          <w:highlight w:val="none"/>
        </w:rPr>
      </w:pPr>
      <w:r>
        <w:rPr>
          <w:rFonts w:ascii="宋体" w:hAnsi="宋体" w:eastAsia="宋体" w:cs="宋体"/>
          <w:b/>
          <w:bCs/>
          <w:color w:val="auto"/>
          <w:sz w:val="24"/>
          <w:highlight w:val="none"/>
          <w:lang w:val="zh-CN"/>
        </w:rPr>
        <w:t xml:space="preserve">18.</w:t>
      </w:r>
      <w:r>
        <w:rPr>
          <w:rFonts w:hint="eastAsia" w:ascii="宋体" w:hAnsi="宋体" w:eastAsia="宋体" w:cs="宋体"/>
          <w:b/>
          <w:bCs/>
          <w:color w:val="auto"/>
          <w:sz w:val="24"/>
          <w:highlight w:val="none"/>
          <w:lang w:val="zh-CN"/>
        </w:rPr>
        <w:t xml:space="preserve">投标文件的有效期</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18.1</w:t>
      </w:r>
      <w:r>
        <w:rPr>
          <w:rFonts w:hint="eastAsia" w:ascii="宋体" w:hAnsi="宋体" w:eastAsia="宋体" w:cs="宋体"/>
          <w:color w:val="auto"/>
          <w:sz w:val="24"/>
          <w:highlight w:val="none"/>
          <w:lang w:val="zh-CN"/>
        </w:rPr>
        <w:t xml:space="preserve">自投标截止之日起</w:t>
      </w:r>
      <w:r>
        <w:rPr>
          <w:rFonts w:hint="eastAsia" w:ascii="宋体" w:hAnsi="宋体" w:eastAsia="宋体" w:cs="宋体"/>
          <w:color w:val="auto"/>
          <w:sz w:val="24"/>
          <w:highlight w:val="none"/>
          <w:u w:val="single"/>
        </w:rPr>
        <w:t xml:space="preserve">9</w:t>
      </w:r>
      <w:r>
        <w:rPr>
          <w:rFonts w:hint="eastAsia" w:ascii="宋体" w:hAnsi="宋体" w:eastAsia="宋体" w:cs="宋体"/>
          <w:color w:val="auto"/>
          <w:sz w:val="24"/>
          <w:highlight w:val="none"/>
          <w:u w:val="single"/>
          <w:lang w:val="zh-CN"/>
        </w:rPr>
        <w:t xml:space="preserve">0</w:t>
      </w:r>
      <w:r>
        <w:rPr>
          <w:rFonts w:hint="eastAsia" w:ascii="宋体" w:hAnsi="宋体" w:eastAsia="宋体" w:cs="宋体"/>
          <w:color w:val="auto"/>
          <w:sz w:val="24"/>
          <w:highlight w:val="none"/>
          <w:lang w:val="zh-CN"/>
        </w:rPr>
        <w:t xml:space="preserve">天内，投标书应保持有效。有效期短于这个规定期限的投标，将被拒绝。</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lang w:val="zh-CN"/>
        </w:rPr>
        <w:t xml:space="preserve">18.2</w:t>
      </w:r>
      <w:r>
        <w:rPr>
          <w:rFonts w:hint="eastAsia" w:ascii="宋体" w:hAnsi="宋体" w:eastAsia="宋体" w:cs="宋体"/>
          <w:color w:val="auto"/>
          <w:sz w:val="24"/>
          <w:highlight w:val="none"/>
          <w:lang w:val="zh-CN"/>
        </w:rPr>
        <w:t xml:space="preserve">在特殊情况下，招标代理机构可与投标人协商延长投标书的有效期。这种要求和答复都应以书面的形式进行。同意延长有效期的投标人不能修改投标文件；拒绝延长的，其投标失效。</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19.</w:t>
      </w:r>
      <w:r>
        <w:rPr>
          <w:rFonts w:hint="eastAsia" w:ascii="宋体" w:hAnsi="宋体" w:eastAsia="宋体" w:cs="宋体"/>
          <w:b/>
          <w:bCs/>
          <w:color w:val="auto"/>
          <w:sz w:val="24"/>
          <w:highlight w:val="none"/>
          <w:lang w:val="zh-CN"/>
        </w:rPr>
        <w:t xml:space="preserve">投标截止时间</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.1投标人应当在招标文件要求投标文件网上提交截止时间前，将投标文件完成提交（上传）。逾期提交（上传）的投标文件，采购人和采购代理机构拒绝接收。</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.3在投标截止时间止成功解密的投标文件少于三份，采购代理机构有权宣布本次招标失败。</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0</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投标文件的补充、修改或撤回</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1</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开标</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21.1开标由采购代理机构</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主持，邀请投标人</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参加。投标人应当按照《苏采云系统供应商操作手册》规定，</w:t>
      </w:r>
      <w:r>
        <w:rPr>
          <w:rFonts w:hint="eastAsia" w:ascii="宋体" w:hAnsi="宋体" w:cs="宋体"/>
          <w:b/>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21.2开标时，由采购代理机构</w:t>
      </w:r>
      <w:r>
        <w:rPr>
          <w:rFonts w:hint="eastAsia" w:ascii="宋体" w:hAnsi="宋体" w:cs="宋体"/>
          <w:color w:val="auto"/>
          <w:sz w:val="24"/>
          <w:szCs w:val="24"/>
          <w:highlight w:val="none"/>
          <w:lang w:val="en-US"/>
        </w:rPr>
        <w:t xml:space="preserve">通过“苏采云”系统在线</w:t>
      </w:r>
      <w:r>
        <w:rPr>
          <w:rFonts w:hint="eastAsia" w:ascii="宋体" w:hAnsi="宋体" w:cs="宋体"/>
          <w:color w:val="auto"/>
          <w:sz w:val="24"/>
          <w:szCs w:val="24"/>
          <w:highlight w:val="none"/>
        </w:rPr>
        <w:t xml:space="preserve">宣布投标人名称、投标价格和招标文件规定的需要宣布的其他内容。</w:t>
      </w:r>
      <w:r>
        <w:rPr>
          <w:rFonts w:hint="eastAsia" w:ascii="宋体" w:hAnsi="宋体" w:cs="宋体"/>
          <w:color w:val="auto"/>
          <w:sz w:val="24"/>
          <w:szCs w:val="24"/>
          <w:highlight w:val="none"/>
          <w:lang w:val="en-US"/>
        </w:rPr>
        <w:t xml:space="preserve">投标人在不见面开标系统中确认投标价格，如</w:t>
      </w:r>
      <w:r>
        <w:rPr>
          <w:rFonts w:hint="eastAsia" w:ascii="宋体" w:hAnsi="宋体" w:cs="宋体"/>
          <w:color w:val="auto"/>
          <w:sz w:val="24"/>
          <w:szCs w:val="24"/>
          <w:highlight w:val="none"/>
        </w:rPr>
        <w:t xml:space="preserve">投标人未</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参加开标</w:t>
      </w:r>
      <w:r>
        <w:rPr>
          <w:rFonts w:hint="eastAsia" w:ascii="宋体" w:hAnsi="宋体" w:cs="宋体"/>
          <w:color w:val="auto"/>
          <w:sz w:val="24"/>
          <w:szCs w:val="24"/>
          <w:highlight w:val="none"/>
          <w:lang w:val="en-US"/>
        </w:rPr>
        <w:t xml:space="preserve">或未在规定时间内确认价格</w:t>
      </w:r>
      <w:r>
        <w:rPr>
          <w:rFonts w:hint="eastAsia" w:ascii="宋体" w:hAnsi="宋体" w:cs="宋体"/>
          <w:color w:val="auto"/>
          <w:sz w:val="24"/>
          <w:szCs w:val="24"/>
          <w:highlight w:val="none"/>
        </w:rPr>
        <w:t xml:space="preserve">的，视同认可开标结果。</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21.3资格审查</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21.3.1公开招标采购项目开标结束后，采购人应当依法对投标人的资格进行审查，未通过资格审查的视为无效投标。</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21.3.2根据政府采购法及相关法规，以及苏州市财政局《关于印发苏州市市级政府采购信用记录查询和使用工作试行办法的通知》（苏财购（2017）11号）文件的规定，采购代理机构将对供应商进行信用查询：</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21.3.2.1查询时间：投标文件递交截止时间。</w:t>
      </w:r>
      <w:r>
        <w:rPr>
          <w:color w:val="auto"/>
          <w:highlight w:val="none"/>
        </w:rPr>
      </w:r>
      <w:r/>
    </w:p>
    <w:p>
      <w:pPr>
        <w:pStyle w:val="928"/>
        <w:ind w:firstLine="42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21.3.2.2查询渠道</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auto"/>
          <w:highlight w:val="none"/>
        </w:rPr>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21.3.4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2</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评标委员会或评标小组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22.1评标委员会负责具体评标事务，并独立履行下列职责：</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22.1.1审查、评价投标文件是否符合招标文件的商务、技术等实质性要求；</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22.1.2要求投标人对投标文件有关事项作出澄清或者说明；</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22.1.3对投标文件进行比较和评价；</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22.1.4确定中标候选人名单，以及根据采购人委托直接确定中标人；</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22.1.5向采购人、采购代理机构或者有关部门报告评标中发现的违法行为。</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22.2评标委员会成员应当履行下列义务：</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22.2.1遵纪守法，客观、公正、廉洁地履行职责；</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22.2.2按照招标文件规定的评标办法和评标标准进行评标，对评审意见承担个人责任；</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22.2.3对评标过程和结果，以及投标人的商业秘密保密；</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22.2.4评标委员会根据全体评标成员签字的原始评标记录和评标结果编写评标报告。评标报告应当包括以下内容： </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（一）招标公告刊登的媒体名称、开标日期和地点；</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（二）投标人名单和评标委员会成员名单；</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（三）评标方法和标准；</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（四）开标记录和评标情况及说明，包括无效投标人名单及原因；</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（五）评标结果，确定的中标候选人名单或者经采购人委托直接确定的中标人；</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（六）其他需要说明的情况，包括评标过程中投标人根据评标委员会要求进行的澄清、说明或者补正，评标委员会成员的更换等。</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22.2.5配合相关部门的投诉处理工作；</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22.2.6配合采购人和采购代理机构答复投标人提出的质疑。</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3</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保密</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23.1公开开标后，直到宣布授予中标合同为止，凡属于审查、澄清、评价和比较投标的所有资料，有关授予合同的信息都不应向投标人或与评标无关的其他人泄露。</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23.2在投标文件的审查、澄清、评价和比较以及授予合同的过程中，投标人对采购人、采购代理机构和评标委员会成员施加影响的任何行为，都将取消其中标资格。</w:t>
      </w:r>
      <w:r>
        <w:rPr>
          <w:color w:val="auto"/>
          <w:highlight w:val="none"/>
        </w:rPr>
      </w:r>
      <w:r/>
    </w:p>
    <w:p>
      <w:pPr>
        <w:pStyle w:val="928"/>
        <w:ind w:firstLine="422"/>
        <w:spacing w:line="360" w:lineRule="auto"/>
        <w:rPr>
          <w:rFonts w:hint="eastAsia" w:ascii="宋体" w:hAnsi="宋体" w:cs="宋体"/>
          <w:b/>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rPr>
        <w:t xml:space="preserve">4</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对投标文件初审</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24.1评标委员会应当对符合资格的投标人的投标文件进行符合性审查，以确定其是否满足招标文件的实质性要求。</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投标文件有下列情况之一者评标委员会有权将其拒绝：</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24.1.1投标人的投标文件未按照本须知规定制作的；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24.1.2未按本须知规定提交资格文件；</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24.1.3与招标文件有重大偏离；</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24.1.4投标人拒绝修正错误；</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24.1.5投标人的报价是选择性的；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24.1.6投标人的报价只投了部分内容；</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24.1.7投标人的投标文件出现了评标委员会认为不应当雷同的情况；</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24.1.8其他被评委会认定无效的情况。</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24.3投标文件报价出现前后不一致的，除招标文件另有规定外，按照下列规定修正：</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（一）投标文件中开标一览表（报价表）内容与投标文件中相应内容不一致的，以开标一览表（报价表）为准；</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（二）大写金额和小写金额不一致的，以大写金额为准；</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（三）单价金额小数点或者百分比有明显错位的，以开标一览表的总价为准，并修改单价；</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（四）总价金额与按单价汇总金额不一致的，以单价金额计算结果为准。</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24.5 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5</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投标的澄清</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.1对于投标文件中含义不明确、同类问题表述不一致或者有明显文字和计算错误的内容，评标委员会应当以书面形式要求投标人作出必要的澄清、说明或者补正。</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.2投标人的澄清、说明或者补正应当采用书面形式，并加盖</w:t>
      </w:r>
      <w:r>
        <w:rPr>
          <w:rFonts w:hint="eastAsia" w:ascii="宋体" w:hAnsi="宋体" w:cs="宋体"/>
          <w:color w:val="auto"/>
          <w:sz w:val="24"/>
          <w:szCs w:val="24"/>
          <w:highlight w:val="none"/>
          <w:lang w:val="en-US"/>
        </w:rPr>
        <w:t xml:space="preserve">其单位电子</w:t>
      </w:r>
      <w:r>
        <w:rPr>
          <w:rFonts w:hint="eastAsia" w:ascii="宋体" w:hAnsi="宋体" w:cs="宋体"/>
          <w:color w:val="auto"/>
          <w:sz w:val="24"/>
          <w:szCs w:val="24"/>
          <w:highlight w:val="none"/>
        </w:rPr>
        <w:t xml:space="preserve">公章。投标人的澄清、说明或者补正不得超出投标文件的范围或者改变投标文件的实质性内容。</w:t>
      </w:r>
      <w:r>
        <w:rPr>
          <w:color w:val="auto"/>
          <w:highlight w:val="none"/>
        </w:rPr>
      </w:r>
      <w:r/>
    </w:p>
    <w:p>
      <w:pPr>
        <w:pStyle w:val="928"/>
        <w:ind w:firstLine="422"/>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6.无效投标</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26.1投标人存在下列情况之一的，投标无效:</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一</w:t>
      </w:r>
      <w:r>
        <w:rPr>
          <w:rFonts w:hint="eastAsia" w:ascii="宋体" w:hAnsi="宋体" w:cs="宋体"/>
          <w:color w:val="auto"/>
          <w:sz w:val="24"/>
          <w:szCs w:val="24"/>
          <w:highlight w:val="none"/>
        </w:rPr>
        <w:t xml:space="preserve">）投标文件未按招标文件要求签署、盖章的；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二</w:t>
      </w:r>
      <w:r>
        <w:rPr>
          <w:rFonts w:hint="eastAsia" w:ascii="宋体" w:hAnsi="宋体" w:cs="宋体"/>
          <w:color w:val="auto"/>
          <w:sz w:val="24"/>
          <w:szCs w:val="24"/>
          <w:highlight w:val="none"/>
        </w:rPr>
        <w:t xml:space="preserve">）不具备招标文件中规定的资格要求的；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三</w:t>
      </w:r>
      <w:r>
        <w:rPr>
          <w:rFonts w:hint="eastAsia" w:ascii="宋体" w:hAnsi="宋体" w:cs="宋体"/>
          <w:color w:val="auto"/>
          <w:sz w:val="24"/>
          <w:szCs w:val="24"/>
          <w:highlight w:val="none"/>
        </w:rPr>
        <w:t xml:space="preserve">）报价超过招标文件中规定的预算金额或者最高限价的；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四</w:t>
      </w:r>
      <w:r>
        <w:rPr>
          <w:rFonts w:hint="eastAsia" w:ascii="宋体" w:hAnsi="宋体" w:cs="宋体"/>
          <w:color w:val="auto"/>
          <w:sz w:val="24"/>
          <w:szCs w:val="24"/>
          <w:highlight w:val="none"/>
        </w:rPr>
        <w:t xml:space="preserve">）投标文件含有采购人不能接受的附加条件的；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（五）法律、法规和招标文件规定的其他无效情形；</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机器码一致的。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26.2投标人应当遵循公平竞争的原则，不得恶意串通，不得妨碍其他投标人的竞争行为，不得损害采购人或者其他投标人的合法权益。</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26.3有下列情形之一的，视为投标人串通投标，其投标无效：</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（一）不同投标人的投标文件由同一单位或者个人编制；</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（二）不同投标人委托同一单位或者个人办理投标事宜；</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（三）不同投标人的投标文件载明的项目管理成员或者联系人员为同一人；</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（四）不同投标人的投标文件异常一致或者投标报价呈规律性差异；</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（五）不同投标人的投标文件相互混装。</w:t>
      </w:r>
      <w:r>
        <w:rPr>
          <w:color w:val="auto"/>
          <w:highlight w:val="none"/>
        </w:rPr>
      </w:r>
      <w:r/>
    </w:p>
    <w:p>
      <w:pPr>
        <w:pStyle w:val="928"/>
        <w:ind w:firstLine="42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en-US"/>
        </w:rPr>
        <w:t xml:space="preserve">7</w:t>
      </w:r>
      <w:r>
        <w:rPr>
          <w:rFonts w:hint="eastAsia" w:ascii="宋体" w:hAnsi="宋体" w:cs="宋体"/>
          <w:b/>
          <w:color w:val="auto"/>
          <w:sz w:val="24"/>
          <w:szCs w:val="24"/>
          <w:highlight w:val="none"/>
        </w:rPr>
        <w:t xml:space="preserve">.废标</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.1在招标过程中，出现下列情况之一的，应予废标：</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.1.1符合专业条件的供应商或者对招标文件作实质投标的供应商不足</w:t>
      </w:r>
      <w:r>
        <w:rPr>
          <w:rFonts w:hint="eastAsia" w:ascii="宋体" w:hAnsi="宋体" w:cs="宋体"/>
          <w:color w:val="auto"/>
          <w:sz w:val="24"/>
          <w:szCs w:val="24"/>
          <w:highlight w:val="none"/>
          <w:lang w:val="en-US"/>
        </w:rPr>
        <w:t xml:space="preserve">三</w:t>
      </w:r>
      <w:r>
        <w:rPr>
          <w:rFonts w:hint="eastAsia" w:ascii="宋体" w:hAnsi="宋体" w:cs="宋体"/>
          <w:color w:val="auto"/>
          <w:sz w:val="24"/>
          <w:szCs w:val="24"/>
          <w:highlight w:val="none"/>
        </w:rPr>
        <w:t xml:space="preserve">家的；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.1.2出现影响采购公正的违法、违规行为的；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.1.3投标人的报价均超过了采购预算，采购人不能支付的；</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.1.4因重大变故，采购任务取消的；</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27.2废标后，采购人和采购代理机构将把废标的理由通知所有投标人。</w:t>
      </w:r>
      <w:r>
        <w:rPr>
          <w:color w:val="auto"/>
          <w:highlight w:val="none"/>
        </w:rPr>
      </w:r>
      <w:r/>
    </w:p>
    <w:p>
      <w:pPr>
        <w:pStyle w:val="928"/>
        <w:ind w:firstLine="42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rPr>
        <w:t xml:space="preserve">28.</w:t>
      </w:r>
      <w:r>
        <w:rPr>
          <w:rFonts w:hint="eastAsia" w:ascii="宋体" w:hAnsi="宋体" w:cs="宋体"/>
          <w:b/>
          <w:color w:val="auto"/>
          <w:sz w:val="24"/>
          <w:szCs w:val="24"/>
          <w:highlight w:val="none"/>
        </w:rPr>
        <w:t xml:space="preserve">投标文件的评价和比较</w:t>
      </w:r>
      <w:r>
        <w:rPr>
          <w:color w:val="auto"/>
          <w:highlight w:val="none"/>
        </w:rPr>
      </w:r>
      <w:r/>
    </w:p>
    <w:p>
      <w:pPr>
        <w:pStyle w:val="928"/>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28</w:t>
      </w:r>
      <w:r>
        <w:rPr>
          <w:rFonts w:hint="eastAsia" w:ascii="宋体" w:hAnsi="宋体" w:cs="宋体"/>
          <w:color w:val="auto"/>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auto"/>
          <w:highlight w:val="none"/>
        </w:rPr>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28.2最低的投标报价或最高的折扣比例是中标的重要条件，但不是唯一条件。</w:t>
      </w:r>
      <w:r>
        <w:rPr>
          <w:color w:val="auto"/>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中标人的确认</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评标委员会根据投标人资格审查情况，对投标文件进行评价和比较，按照评标办法和标准进行评标，并按招标采购人的委托向招标采购人推荐中标候选单位。</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经评标委员会评审并确定中标人后，招标代理机构将在规定的时间内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原件</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。招标代理机构将在收到经投标人法定代表人或参加投标的代理人签署和盖公章</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原件</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的书面质疑后七个工作日内，对质疑内容做出答复。如投标人在中标公告公告期届满之日起七个工作日后向招标代理机构提出质疑或质疑未经投标人法定代表人或参加投标的代理人签署和盖公章</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原件</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，招标代理机构有权对该质疑不予答复。</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0</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合同</w:t>
      </w:r>
      <w:r>
        <w:rPr>
          <w:rFonts w:hint="eastAsia" w:ascii="宋体" w:hAnsi="宋体" w:eastAsia="宋体" w:cs="宋体"/>
          <w:b/>
          <w:color w:val="auto"/>
          <w:sz w:val="24"/>
          <w:highlight w:val="none"/>
        </w:rPr>
        <w:t xml:space="preserve">授予标准</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30.1采购人将把合同授予其投标文件在实质上响应投标招标文件要求且按本须知规定评选出的投标人。确定为中标的投标人必须具有实施本合同的能力和资源</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1</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中标通知书</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31.2中标通知书将成为合同的组成部分，对采购人和中标人具有同等法律效力。</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31.3中标通知书发出后，采购人不得违法改变中标结果，中标人无正当理由不得放弃中标。</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32.合同的签订</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内</w:t>
      </w:r>
      <w:r>
        <w:rPr>
          <w:rFonts w:ascii="宋体" w:hAnsi="宋体" w:eastAsia="宋体" w:cs="宋体"/>
          <w:color w:val="auto"/>
          <w:sz w:val="24"/>
          <w:highlight w:val="none"/>
        </w:rPr>
        <w:t xml:space="preserve">，按照招标文件及投标文件</w:t>
      </w:r>
      <w:r>
        <w:rPr>
          <w:rFonts w:hint="eastAsia" w:ascii="宋体" w:hAnsi="宋体" w:eastAsia="宋体" w:cs="宋体"/>
          <w:color w:val="auto"/>
          <w:sz w:val="24"/>
          <w:highlight w:val="none"/>
        </w:rPr>
        <w:t xml:space="preserve">规定与中标人签订书面合同。</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32.2采购人与中标人所签订的合同不得对招标文件确定的事项和中标人投标文件作实质性修改，采购人不得向中标人提出任何不合理的要求作为签订合同的条件。</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w:t>
      </w:r>
      <w:r>
        <w:rPr>
          <w:rFonts w:ascii="宋体" w:hAnsi="宋体" w:eastAsia="宋体" w:cs="宋体"/>
          <w:color w:val="auto"/>
          <w:sz w:val="24"/>
          <w:highlight w:val="none"/>
        </w:rPr>
        <w:t xml:space="preserve">3采购合同的双方当事人不得擅自变更、中止或者终止合同。合同继续履行将损害国家利益和社会</w:t>
      </w:r>
      <w:r>
        <w:rPr>
          <w:rFonts w:hint="eastAsia" w:ascii="宋体" w:hAnsi="宋体" w:eastAsia="宋体" w:cs="宋体"/>
          <w:color w:val="auto"/>
          <w:sz w:val="24"/>
          <w:highlight w:val="none"/>
        </w:rPr>
        <w:t xml:space="preserve">公共利益的，双方当事人应当变更、中止或者终止合同。有过错的一方应当承担赔偿责任，双方都有过错的，各自承担相应责任。</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w:t>
      </w:r>
      <w:r>
        <w:rPr>
          <w:rFonts w:ascii="宋体" w:hAnsi="宋体" w:eastAsia="宋体" w:cs="宋体"/>
          <w:color w:val="auto"/>
          <w:sz w:val="24"/>
          <w:highlight w:val="none"/>
        </w:rPr>
        <w:t xml:space="preserve">4采购合同履行中，采购人需追加与合同标的相同的服务或货物的，在不改变合同其他条款的前提</w:t>
      </w:r>
      <w:r>
        <w:rPr>
          <w:rFonts w:hint="eastAsia" w:ascii="宋体" w:hAnsi="宋体" w:eastAsia="宋体" w:cs="宋体"/>
          <w:color w:val="auto"/>
          <w:sz w:val="24"/>
          <w:highlight w:val="none"/>
        </w:rPr>
        <w:t xml:space="preserve">下，可以与供应商协商签订补充合同，但所有补充合同的采购金额不得超过原合同采购金额的百分之十。</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3</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代理服务费</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3</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中标单位须按前附表的规定计算并支付代理服务费，该费用应在领取合同前付清。</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3</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中标单位如果未按规定缴纳代理服务费，招标代理机构将保留诉讼的权利。</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监督和公证</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4</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政府有关监督部门将对招投标全过程进行监督。</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4</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招标代理机构的招标过程将通过公证机关进行公证。</w:t>
      </w:r>
      <w:r>
        <w:rPr>
          <w:color w:val="auto"/>
          <w:highlight w:val="none"/>
        </w:rPr>
      </w:r>
      <w:r/>
    </w:p>
    <w:p>
      <w:pPr>
        <w:ind w:firstLine="482"/>
        <w:jc w:val="left"/>
        <w:spacing w:line="360" w:lineRule="auto"/>
        <w:rPr>
          <w:rFonts w:hint="eastAsia" w:ascii="宋体" w:hAnsi="宋体" w:eastAsia="宋体" w:cs="宋体"/>
          <w:b/>
          <w:bCs/>
          <w:color w:val="auto"/>
          <w:sz w:val="24"/>
          <w:highlight w:val="none"/>
        </w:rPr>
      </w:pPr>
      <w:r>
        <w:rPr>
          <w:rFonts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5</w:t>
      </w:r>
      <w:r>
        <w:rPr>
          <w:rFonts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未尽事宜</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按《中华人民共和国政府采购法》及其他有关政府采购的法律法规的规定执行。</w:t>
      </w:r>
      <w:r>
        <w:rPr>
          <w:color w:val="auto"/>
          <w:highlight w:val="none"/>
        </w:rPr>
      </w:r>
      <w:r/>
    </w:p>
    <w:p>
      <w:pPr>
        <w:jc w:val="left"/>
        <w:widowControl/>
        <w:rPr>
          <w:rFonts w:hint="eastAsia" w:ascii="宋体" w:hAnsi="宋体" w:eastAsia="宋体" w:cs="宋体"/>
          <w:color w:val="auto"/>
          <w:sz w:val="24"/>
          <w:highlight w:val="none"/>
        </w:rPr>
      </w:pPr>
      <w:r>
        <w:rPr>
          <w:rFonts w:ascii="宋体" w:hAnsi="宋体" w:eastAsia="宋体" w:cs="宋体"/>
          <w:color w:val="auto"/>
          <w:sz w:val="24"/>
          <w:highlight w:val="none"/>
        </w:rPr>
        <w:br w:type="page" w:clear="all"/>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737"/>
        <w:jc w:val="center"/>
        <w:rPr>
          <w:rFonts w:hint="eastAsia" w:ascii="宋体" w:hAnsi="宋体" w:eastAsia="宋体"/>
          <w:b w:val="0"/>
          <w:color w:val="auto"/>
          <w:sz w:val="52"/>
          <w:highlight w:val="none"/>
        </w:rPr>
      </w:pPr>
      <w:r>
        <w:rPr>
          <w:color w:val="auto"/>
          <w:highlight w:val="none"/>
        </w:rPr>
      </w:r>
      <w:bookmarkStart w:id="9" w:name="_Toc520073483"/>
      <w:r>
        <w:rPr>
          <w:rFonts w:hint="eastAsia" w:ascii="宋体" w:hAnsi="宋体" w:eastAsia="宋体"/>
          <w:color w:val="auto"/>
          <w:sz w:val="52"/>
          <w:highlight w:val="none"/>
        </w:rPr>
        <w:t xml:space="preserve">第三章  投标文件格式</w:t>
      </w:r>
      <w:bookmarkEnd w:id="9"/>
      <w:r>
        <w:rPr>
          <w:color w:val="auto"/>
          <w:highlight w:val="none"/>
        </w:rPr>
      </w:r>
      <w:r/>
    </w:p>
    <w:p>
      <w:pPr>
        <w:pStyle w:val="749"/>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说明：</w:t>
      </w:r>
      <w:r>
        <w:rPr>
          <w:color w:val="auto"/>
          <w:highlight w:val="none"/>
        </w:rPr>
      </w:r>
      <w:r/>
    </w:p>
    <w:p>
      <w:pPr>
        <w:pStyle w:val="749"/>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对本章所有的格式，投标人可根据自身情况进行补充和修改，但补充和修改不得造成与本格式内容有实质性的违背。</w:t>
      </w:r>
      <w:r>
        <w:rPr>
          <w:color w:val="auto"/>
          <w:highlight w:val="none"/>
        </w:rPr>
      </w:r>
      <w:r/>
    </w:p>
    <w:p>
      <w:pPr>
        <w:pStyle w:val="749"/>
        <w:ind w:firstLine="260"/>
        <w:jc w:val="both"/>
        <w:spacing w:line="360" w:lineRule="auto"/>
        <w:rPr>
          <w:rFonts w:hint="eastAsia" w:ascii="宋体" w:hAnsi="宋体" w:eastAsia="宋体"/>
          <w:b/>
          <w:color w:val="auto"/>
          <w:szCs w:val="24"/>
          <w:highlight w:val="none"/>
        </w:rPr>
      </w:pPr>
      <w:r>
        <w:rPr>
          <w:b/>
          <w:color w:val="auto"/>
          <w:sz w:val="28"/>
          <w:highlight w:val="none"/>
        </w:rPr>
        <w:br w:type="page" w:clear="all"/>
      </w:r>
      <w:r>
        <w:rPr>
          <w:rFonts w:hint="eastAsia" w:ascii="宋体" w:hAnsi="宋体" w:eastAsia="宋体"/>
          <w:b/>
          <w:color w:val="auto"/>
          <w:highlight w:val="none"/>
        </w:rPr>
        <w:t xml:space="preserve">1</w:t>
      </w:r>
      <w:r>
        <w:rPr>
          <w:rFonts w:hint="eastAsia"/>
          <w:b/>
          <w:color w:val="auto"/>
          <w:highlight w:val="none"/>
        </w:rPr>
        <w:t xml:space="preserve">、</w:t>
      </w:r>
      <w:r>
        <w:rPr>
          <w:rFonts w:hint="eastAsia" w:ascii="宋体" w:hAnsi="宋体" w:eastAsia="宋体"/>
          <w:b/>
          <w:color w:val="auto"/>
          <w:szCs w:val="24"/>
          <w:highlight w:val="none"/>
        </w:rPr>
        <w:t xml:space="preserve">开标一览表</w:t>
      </w:r>
      <w:r>
        <w:rPr>
          <w:color w:val="auto"/>
          <w:highlight w:val="none"/>
        </w:rPr>
      </w:r>
      <w:r/>
    </w:p>
    <w:p>
      <w:pPr>
        <w:jc w:val="cente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开标一览表</w:t>
      </w:r>
      <w:r>
        <w:rPr>
          <w:color w:val="auto"/>
          <w:highlight w:val="none"/>
        </w:rPr>
      </w:r>
      <w:r/>
    </w:p>
    <w:p>
      <w:pPr>
        <w:ind w:firstLine="48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投标人全称（加盖公章）：</w:t>
      </w:r>
      <w:bookmarkStart w:id="10" w:name="TBR"/>
      <w:r>
        <w:rPr>
          <w:color w:val="auto"/>
          <w:highlight w:val="none"/>
        </w:rPr>
      </w:r>
      <w:bookmarkEnd w:id="10"/>
      <w:r>
        <w:rPr>
          <w:color w:val="auto"/>
          <w:highlight w:val="none"/>
        </w:rPr>
      </w:r>
      <w:r/>
    </w:p>
    <w:p>
      <w:pPr>
        <w:ind w:firstLine="48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项目编号：  </w:t>
      </w:r>
      <w:bookmarkStart w:id="11" w:name="XMBH"/>
      <w:r>
        <w:rPr>
          <w:color w:val="auto"/>
          <w:highlight w:val="none"/>
        </w:rPr>
      </w:r>
      <w:bookmarkEnd w:id="11"/>
      <w:r>
        <w:rPr>
          <w:color w:val="auto"/>
          <w:highlight w:val="none"/>
        </w:rPr>
      </w:r>
      <w:r/>
    </w:p>
    <w:tbl>
      <w:tblPr>
        <w:tblStyle w:val="74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hint="eastAsia" w:ascii="宋体" w:hAnsi="宋体" w:eastAsia="宋体" w:cs="宋体"/>
                <w:color w:val="auto"/>
                <w:sz w:val="24"/>
                <w:highlight w:val="none"/>
              </w:rPr>
            </w:pPr>
            <w:r>
              <w:rPr>
                <w:rFonts w:hint="eastAsia" w:ascii="宋体" w:hAnsi="宋体" w:eastAsia="宋体" w:cs="Times New Roman"/>
                <w:color w:val="auto"/>
                <w:sz w:val="24"/>
                <w:highlight w:val="none"/>
              </w:rPr>
              <w:t xml:space="preserve">项目名称</w:t>
            </w:r>
            <w:r>
              <w:rPr>
                <w:color w:val="auto"/>
                <w:highlight w:val="none"/>
              </w:rPr>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jc w:val="center"/>
              <w:spacing w:line="60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投标报价</w:t>
            </w:r>
            <w:r>
              <w:rPr>
                <w:color w:val="auto"/>
                <w:highlight w:val="none"/>
              </w:rPr>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hint="eastAsia" w:ascii="宋体" w:hAnsi="宋体" w:eastAsia="宋体" w:cs="宋体"/>
                <w:color w:val="auto"/>
                <w:sz w:val="24"/>
                <w:highlight w:val="none"/>
              </w:rPr>
            </w:pPr>
            <w:r>
              <w:rPr>
                <w:color w:val="auto"/>
                <w:highlight w:val="none"/>
              </w:rPr>
            </w:r>
            <w:bookmarkStart w:id="12" w:name="XMMC"/>
            <w:r>
              <w:rPr>
                <w:color w:val="auto"/>
                <w:highlight w:val="none"/>
              </w:rPr>
            </w:r>
            <w:bookmarkEnd w:id="12"/>
            <w:r>
              <w:rPr>
                <w:color w:val="auto"/>
                <w:highlight w:val="none"/>
              </w:rPr>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spacing w:line="600" w:lineRule="exact"/>
              <w:widowControl/>
              <w:rPr>
                <w:rFonts w:hint="eastAsia" w:ascii="宋体" w:hAnsi="宋体" w:eastAsia="宋体" w:cs="Times New Roman"/>
                <w:color w:val="auto"/>
                <w:sz w:val="24"/>
                <w:highlight w:val="none"/>
              </w:rPr>
            </w:pPr>
            <w:r>
              <w:rPr>
                <w:rFonts w:hint="eastAsia" w:ascii="宋体" w:hAnsi="宋体" w:eastAsia="宋体" w:cs="宋体"/>
                <w:color w:val="auto"/>
                <w:sz w:val="24"/>
                <w:highlight w:val="none"/>
              </w:rPr>
              <w:t xml:space="preserve">小写：</w:t>
            </w:r>
            <w:bookmarkStart w:id="13" w:name="JEXX"/>
            <w:r>
              <w:rPr>
                <w:color w:val="auto"/>
                <w:highlight w:val="none"/>
              </w:rPr>
            </w:r>
            <w:bookmarkEnd w:id="13"/>
            <w:r>
              <w:rPr>
                <w:rFonts w:hint="eastAsia" w:ascii="宋体" w:hAnsi="宋体" w:eastAsia="宋体" w:cs="宋体"/>
                <w:color w:val="auto"/>
                <w:sz w:val="24"/>
                <w:highlight w:val="none"/>
              </w:rPr>
              <w:t xml:space="preserve">     （元）</w:t>
            </w:r>
            <w:r>
              <w:rPr>
                <w:color w:val="auto"/>
                <w:highlight w:val="none"/>
              </w:rPr>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投标报价大写金额</w:t>
            </w:r>
            <w:r>
              <w:rPr>
                <w:color w:val="auto"/>
                <w:highlight w:val="none"/>
              </w:rPr>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spacing w:line="600" w:lineRule="exact"/>
              <w:widowControl/>
              <w:rPr>
                <w:rFonts w:hint="eastAsia" w:ascii="宋体" w:hAnsi="宋体" w:eastAsia="宋体" w:cs="宋体"/>
                <w:color w:val="auto"/>
                <w:sz w:val="24"/>
                <w:highlight w:val="none"/>
              </w:rPr>
            </w:pPr>
            <w:r>
              <w:rPr>
                <w:color w:val="auto"/>
                <w:highlight w:val="none"/>
              </w:rPr>
            </w:r>
            <w:bookmarkStart w:id="14" w:name="JEDX"/>
            <w:r>
              <w:rPr>
                <w:color w:val="auto"/>
                <w:highlight w:val="none"/>
              </w:rPr>
            </w:r>
            <w:bookmarkEnd w:id="14"/>
            <w:r>
              <w:rPr>
                <w:color w:val="auto"/>
                <w:highlight w:val="none"/>
              </w:rPr>
            </w:r>
            <w:r/>
          </w:p>
        </w:tc>
      </w:tr>
    </w:tbl>
    <w:p>
      <w:pPr>
        <w:ind w:left="1024"/>
        <w:spacing w:line="60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 日期：   </w:t>
      </w:r>
      <w:bookmarkStart w:id="15" w:name="NF"/>
      <w:r>
        <w:rPr>
          <w:color w:val="auto"/>
          <w:highlight w:val="none"/>
        </w:rPr>
      </w:r>
      <w:bookmarkEnd w:id="15"/>
      <w:r>
        <w:rPr>
          <w:rFonts w:hint="eastAsia" w:ascii="宋体" w:hAnsi="宋体" w:eastAsia="宋体" w:cs="宋体"/>
          <w:color w:val="auto"/>
          <w:sz w:val="24"/>
          <w:highlight w:val="none"/>
        </w:rPr>
        <w:t xml:space="preserve"> 年 </w:t>
      </w:r>
      <w:bookmarkStart w:id="16" w:name="YF"/>
      <w:r>
        <w:rPr>
          <w:color w:val="auto"/>
          <w:highlight w:val="none"/>
        </w:rPr>
      </w:r>
      <w:bookmarkEnd w:id="16"/>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月 </w:t>
      </w:r>
      <w:bookmarkStart w:id="17" w:name="RI"/>
      <w:r>
        <w:rPr>
          <w:color w:val="auto"/>
          <w:highlight w:val="none"/>
        </w:rPr>
      </w:r>
      <w:bookmarkEnd w:id="17"/>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 日</w:t>
      </w:r>
      <w:r>
        <w:rPr>
          <w:color w:val="auto"/>
          <w:highlight w:val="none"/>
        </w:rPr>
      </w:r>
      <w:r/>
    </w:p>
    <w:p>
      <w:pPr>
        <w:ind w:firstLine="2560"/>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numPr>
          <w:ilvl w:val="0"/>
          <w:numId w:val="2"/>
        </w:numPr>
        <w:ind w:firstLine="428"/>
        <w:spacing w:line="360" w:lineRule="auto"/>
        <w:widowControl/>
        <w:rPr>
          <w:rFonts w:hint="eastAsia" w:ascii="宋体" w:hAnsi="宋体" w:eastAsia="宋体" w:cs="Times New Roman"/>
          <w:b/>
          <w:color w:val="auto"/>
          <w:sz w:val="24"/>
          <w:highlight w:val="none"/>
        </w:rPr>
      </w:pPr>
      <w:r>
        <w:rPr>
          <w:rFonts w:ascii="宋体" w:hAnsi="宋体" w:eastAsia="宋体" w:cs="宋体"/>
          <w:b/>
          <w:bCs/>
          <w:color w:val="auto"/>
          <w:sz w:val="24"/>
          <w:highlight w:val="none"/>
        </w:rPr>
        <w:br w:type="page" w:clear="all"/>
      </w:r>
      <w:r>
        <w:rPr>
          <w:rFonts w:hint="eastAsia" w:ascii="宋体" w:hAnsi="宋体" w:eastAsia="宋体" w:cs="Times New Roman"/>
          <w:b/>
          <w:color w:val="auto"/>
          <w:sz w:val="24"/>
          <w:highlight w:val="none"/>
        </w:rPr>
        <w:t xml:space="preserve">分项报价明细表</w:t>
      </w:r>
      <w:r>
        <w:rPr>
          <w:color w:val="auto"/>
          <w:highlight w:val="none"/>
        </w:rPr>
      </w:r>
      <w:r/>
    </w:p>
    <w:p>
      <w:pPr>
        <w:jc w:val="center"/>
        <w:spacing w:line="360" w:lineRule="auto"/>
        <w:widowControl/>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分项报价明细表</w:t>
      </w:r>
      <w:r>
        <w:rPr>
          <w:color w:val="auto"/>
          <w:highlight w:val="none"/>
        </w:rPr>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采购编号：</w:t>
      </w:r>
      <w:r>
        <w:rPr>
          <w:color w:val="auto"/>
          <w:highlight w:val="none"/>
        </w:rPr>
      </w:r>
      <w:r/>
    </w:p>
    <w:tbl>
      <w:tblPr>
        <w:tblStyle w:val="747"/>
        <w:tblW w:w="105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4"/>
        <w:gridCol w:w="2755"/>
        <w:gridCol w:w="1350"/>
        <w:gridCol w:w="1383"/>
        <w:gridCol w:w="1383"/>
        <w:gridCol w:w="1797"/>
        <w:gridCol w:w="1011"/>
      </w:tblGrid>
      <w:tr>
        <w:trPr>
          <w:cantSplit/>
          <w:jc w:val="center"/>
        </w:trPr>
        <w:tc>
          <w:tcPr>
            <w:tcW w:w="884" w:type="dxa"/>
            <w:vAlign w:val="center"/>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序号</w:t>
            </w:r>
            <w:r>
              <w:rPr>
                <w:color w:val="auto"/>
                <w:highlight w:val="none"/>
              </w:rPr>
            </w:r>
            <w:r/>
          </w:p>
        </w:tc>
        <w:tc>
          <w:tcPr>
            <w:tcW w:w="2755" w:type="dxa"/>
            <w:vAlign w:val="center"/>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名称</w:t>
            </w:r>
            <w:r>
              <w:rPr>
                <w:color w:val="auto"/>
                <w:highlight w:val="none"/>
              </w:rPr>
            </w:r>
            <w:r/>
          </w:p>
        </w:tc>
        <w:tc>
          <w:tcPr>
            <w:tcW w:w="1350" w:type="dxa"/>
            <w:vAlign w:val="center"/>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单位</w:t>
            </w:r>
            <w:r>
              <w:rPr>
                <w:color w:val="auto"/>
                <w:highlight w:val="none"/>
              </w:rPr>
            </w:r>
            <w:r/>
          </w:p>
        </w:tc>
        <w:tc>
          <w:tcPr>
            <w:tcW w:w="1383" w:type="dxa"/>
            <w:vAlign w:val="center"/>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数量</w:t>
            </w:r>
            <w:r>
              <w:rPr>
                <w:color w:val="auto"/>
                <w:highlight w:val="none"/>
              </w:rPr>
            </w:r>
            <w:r/>
          </w:p>
        </w:tc>
        <w:tc>
          <w:tcPr>
            <w:tcW w:w="1383" w:type="dxa"/>
            <w:vAlign w:val="center"/>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单价（元）</w:t>
            </w:r>
            <w:r>
              <w:rPr>
                <w:color w:val="auto"/>
                <w:highlight w:val="none"/>
              </w:rPr>
            </w:r>
            <w:r/>
          </w:p>
        </w:tc>
        <w:tc>
          <w:tcPr>
            <w:tcW w:w="1797" w:type="dxa"/>
            <w:vAlign w:val="center"/>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合价（元）</w:t>
            </w:r>
            <w:r>
              <w:rPr>
                <w:color w:val="auto"/>
                <w:highlight w:val="none"/>
              </w:rPr>
            </w:r>
            <w:r/>
          </w:p>
        </w:tc>
        <w:tc>
          <w:tcPr>
            <w:tcW w:w="1011" w:type="dxa"/>
            <w:vAlign w:val="center"/>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备注</w:t>
            </w:r>
            <w:r>
              <w:rPr>
                <w:color w:val="auto"/>
                <w:highlight w:val="none"/>
              </w:rPr>
            </w:r>
            <w:r/>
          </w:p>
        </w:tc>
      </w:tr>
      <w:tr>
        <w:trPr>
          <w:cantSplit/>
          <w:jc w:val="center"/>
        </w:trPr>
        <w:tc>
          <w:tcPr>
            <w:tcW w:w="884"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rPr>
                <w:color w:val="auto"/>
                <w:highlight w:val="none"/>
              </w:rPr>
            </w:r>
            <w:r/>
          </w:p>
        </w:tc>
        <w:tc>
          <w:tcPr>
            <w:tcW w:w="2755"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50"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797"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011"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r>
      <w:tr>
        <w:trPr>
          <w:cantSplit/>
          <w:jc w:val="center"/>
        </w:trPr>
        <w:tc>
          <w:tcPr>
            <w:tcW w:w="884"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w:t>
            </w:r>
            <w:r>
              <w:rPr>
                <w:color w:val="auto"/>
                <w:highlight w:val="none"/>
              </w:rPr>
            </w:r>
            <w:r/>
          </w:p>
        </w:tc>
        <w:tc>
          <w:tcPr>
            <w:tcW w:w="2755"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50"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797"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011"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r>
      <w:tr>
        <w:trPr>
          <w:cantSplit/>
          <w:jc w:val="center"/>
        </w:trPr>
        <w:tc>
          <w:tcPr>
            <w:tcW w:w="884"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w:t>
            </w:r>
            <w:r>
              <w:rPr>
                <w:color w:val="auto"/>
                <w:highlight w:val="none"/>
              </w:rPr>
            </w:r>
            <w:r/>
          </w:p>
        </w:tc>
        <w:tc>
          <w:tcPr>
            <w:tcW w:w="2755"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50"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797"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011"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r>
      <w:tr>
        <w:trPr>
          <w:cantSplit/>
          <w:jc w:val="center"/>
        </w:trPr>
        <w:tc>
          <w:tcPr>
            <w:tcW w:w="884"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color w:val="auto"/>
                <w:highlight w:val="none"/>
              </w:rPr>
            </w:r>
            <w:r/>
          </w:p>
        </w:tc>
        <w:tc>
          <w:tcPr>
            <w:tcW w:w="2755"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50"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797"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011"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r>
      <w:tr>
        <w:trPr>
          <w:cantSplit/>
          <w:jc w:val="center"/>
        </w:trPr>
        <w:tc>
          <w:tcPr>
            <w:tcW w:w="884"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w:t>
            </w:r>
            <w:r>
              <w:rPr>
                <w:color w:val="auto"/>
                <w:highlight w:val="none"/>
              </w:rPr>
            </w:r>
            <w:r/>
          </w:p>
        </w:tc>
        <w:tc>
          <w:tcPr>
            <w:tcW w:w="2755"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50"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797"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011"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r>
      <w:tr>
        <w:trPr>
          <w:cantSplit/>
          <w:jc w:val="center"/>
        </w:trPr>
        <w:tc>
          <w:tcPr>
            <w:tcW w:w="884"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w:t>
            </w:r>
            <w:r>
              <w:rPr>
                <w:color w:val="auto"/>
                <w:highlight w:val="none"/>
              </w:rPr>
            </w:r>
            <w:r/>
          </w:p>
        </w:tc>
        <w:tc>
          <w:tcPr>
            <w:tcW w:w="2755"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50"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383"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797"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tcW w:w="1011" w:type="dxa"/>
            <w:textDirection w:val="lrTb"/>
            <w:noWrap w:val="false"/>
          </w:tcPr>
          <w:p>
            <w:pPr>
              <w:pStyle w:val="938"/>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r>
      <w:tr>
        <w:trPr>
          <w:cantSplit/>
          <w:jc w:val="center"/>
          <w:trHeight w:val="564"/>
        </w:trPr>
        <w:tc>
          <w:tcPr>
            <w:gridSpan w:val="3"/>
            <w:tcW w:w="4989" w:type="dxa"/>
            <w:textDirection w:val="lrTb"/>
            <w:noWrap w:val="false"/>
          </w:tcPr>
          <w:p>
            <w:pPr>
              <w:pStyle w:val="938"/>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投标总报价（人民币大写）：</w:t>
            </w:r>
            <w:r>
              <w:rPr>
                <w:color w:val="auto"/>
                <w:highlight w:val="none"/>
              </w:rPr>
            </w:r>
            <w:r/>
          </w:p>
        </w:tc>
        <w:tc>
          <w:tcPr>
            <w:tcW w:w="1383" w:type="dxa"/>
            <w:textDirection w:val="lrTb"/>
            <w:noWrap w:val="false"/>
          </w:tcPr>
          <w:p>
            <w:pPr>
              <w:pStyle w:val="938"/>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rPr>
                <w:color w:val="auto"/>
                <w:highlight w:val="none"/>
              </w:rPr>
            </w:r>
            <w:r/>
          </w:p>
        </w:tc>
        <w:tc>
          <w:tcPr>
            <w:gridSpan w:val="3"/>
            <w:tcW w:w="4191" w:type="dxa"/>
            <w:textDirection w:val="lrTb"/>
            <w:noWrap w:val="false"/>
          </w:tcPr>
          <w:p>
            <w:pPr>
              <w:pStyle w:val="938"/>
              <w:ind w:left="15"/>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小写：¥</w:t>
            </w:r>
            <w:r>
              <w:rPr>
                <w:color w:val="auto"/>
                <w:highlight w:val="none"/>
              </w:rPr>
            </w:r>
            <w:r/>
          </w:p>
        </w:tc>
      </w:tr>
    </w:tbl>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lang w:bidi="ar"/>
        </w:rPr>
      </w:r>
      <w:r>
        <w:rPr>
          <w:color w:val="auto"/>
          <w:highlight w:val="none"/>
        </w:rPr>
      </w:r>
      <w:r/>
    </w:p>
    <w:p>
      <w:pPr>
        <w:ind w:firstLine="408"/>
        <w:jc w:val="left"/>
        <w:spacing w:line="400" w:lineRule="exact"/>
        <w:widowControl/>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注：本表中合计金额与“开标一览表”响应报价须一致。</w:t>
      </w:r>
      <w:r>
        <w:rPr>
          <w:color w:val="auto"/>
          <w:highlight w:val="none"/>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r>
      <w:r>
        <w:rPr>
          <w:color w:val="auto"/>
          <w:highlight w:val="none"/>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r/>
    </w:p>
    <w:p>
      <w:pPr>
        <w:pStyle w:val="937"/>
        <w:ind w:firstLine="480"/>
        <w:jc w:val="both"/>
        <w:spacing w:line="3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磋商响应单位（盖章）：</w:t>
      </w:r>
      <w:r>
        <w:rPr>
          <w:color w:val="auto"/>
          <w:highlight w:val="none"/>
        </w:rPr>
      </w:r>
      <w:r/>
    </w:p>
    <w:p>
      <w:pPr>
        <w:pStyle w:val="937"/>
        <w:ind w:firstLine="480"/>
        <w:jc w:val="both"/>
        <w:spacing w:line="3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法定代表人或代理人（签字或盖章）：</w:t>
      </w:r>
      <w:r>
        <w:rPr>
          <w:color w:val="auto"/>
          <w:highlight w:val="none"/>
        </w:rPr>
      </w:r>
      <w:r/>
    </w:p>
    <w:p>
      <w:pPr>
        <w:pStyle w:val="937"/>
        <w:ind w:firstLine="480"/>
        <w:jc w:val="both"/>
        <w:spacing w:line="36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3、《中小企业声明函》或《残疾人福利性单位声明函》或省级以上监狱管理局、戒毒管理局（含新疆生产建设兵团）出具的属于监狱企业的证明文件</w:t>
      </w:r>
      <w:r>
        <w:rPr>
          <w:color w:val="auto"/>
          <w:highlight w:val="none"/>
        </w:rPr>
      </w:r>
      <w:r/>
    </w:p>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jc w:val="center"/>
        <w:spacing w:line="360" w:lineRule="auto"/>
        <w:rPr>
          <w:rFonts w:ascii="宋体" w:hAnsi="宋体" w:eastAsia="楷体_GB2312" w:cs="Times New Roman"/>
          <w:b/>
          <w:color w:val="auto"/>
          <w:spacing w:val="6"/>
          <w:sz w:val="24"/>
          <w:highlight w:val="none"/>
        </w:rPr>
      </w:pPr>
      <w:r>
        <w:rPr>
          <w:rFonts w:hint="eastAsia" w:ascii="宋体" w:hAnsi="宋体" w:eastAsia="宋体" w:cs="Times New Roman"/>
          <w:b/>
          <w:color w:val="auto"/>
          <w:sz w:val="24"/>
          <w:highlight w:val="none"/>
        </w:rPr>
        <w:t xml:space="preserve">中小企业声明函（货物）</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lang w:val="zh-CN"/>
        </w:rPr>
        <w:t xml:space="preserve">本公司（联合体）郑重声明，根据《政府采购促进中小企业发展管理办法》（财库﹝2020﹞46 号）的规定，本公司（联合体）参加</w:t>
      </w:r>
      <w:r>
        <w:rPr>
          <w:rFonts w:ascii="宋体" w:hAnsi="宋体" w:eastAsia="宋体" w:cs="Times New Roman"/>
          <w:color w:val="auto"/>
          <w:sz w:val="24"/>
          <w:highlight w:val="none"/>
          <w:u w:val="single"/>
          <w:lang w:val="zh-CN"/>
        </w:rPr>
        <w:t xml:space="preserve">（单位名称）</w:t>
      </w:r>
      <w:r>
        <w:rPr>
          <w:rFonts w:ascii="宋体" w:hAnsi="宋体" w:eastAsia="宋体" w:cs="Times New Roman"/>
          <w:color w:val="auto"/>
          <w:sz w:val="24"/>
          <w:highlight w:val="none"/>
          <w:lang w:val="zh-CN"/>
        </w:rPr>
        <w:t xml:space="preserve">的</w:t>
      </w:r>
      <w:r>
        <w:rPr>
          <w:rFonts w:hint="eastAsia" w:ascii="宋体" w:hAnsi="宋体" w:eastAsia="宋体" w:cs="Times New Roman"/>
          <w:bCs/>
          <w:color w:val="auto"/>
          <w:sz w:val="24"/>
          <w:highlight w:val="none"/>
          <w:u w:val="single"/>
        </w:rPr>
        <w:t xml:space="preserve">（项目名称）</w:t>
      </w:r>
      <w:r>
        <w:rPr>
          <w:rFonts w:ascii="宋体" w:hAnsi="宋体" w:eastAsia="宋体" w:cs="Times New Roman"/>
          <w:color w:val="auto"/>
          <w:sz w:val="24"/>
          <w:highlight w:val="none"/>
          <w:lang w:val="zh-CN"/>
        </w:rPr>
        <w:t xml:space="preserve">采购活动，</w:t>
      </w:r>
      <w:r>
        <w:rPr>
          <w:rFonts w:hint="eastAsia" w:ascii="宋体" w:hAnsi="宋体" w:eastAsia="宋体" w:cs="Times New Roman"/>
          <w:color w:val="auto"/>
          <w:sz w:val="24"/>
          <w:highlight w:val="none"/>
        </w:rPr>
        <w:t xml:space="preserve">提供的货物全部由符合政策要求的中小企业制造。</w:t>
      </w:r>
      <w:r>
        <w:rPr>
          <w:rFonts w:ascii="宋体" w:hAnsi="宋体" w:eastAsia="宋体" w:cs="Times New Roman"/>
          <w:color w:val="auto"/>
          <w:sz w:val="24"/>
          <w:highlight w:val="none"/>
          <w:lang w:val="zh-CN"/>
        </w:rPr>
        <w:t xml:space="preserve">相关企业（含联合体中的中小企业、签订分包意向协议的中小企业）的具体情况如下：</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lang w:val="zh-CN"/>
        </w:rPr>
        <w:t xml:space="preserve">1. </w:t>
      </w:r>
      <w:r>
        <w:rPr>
          <w:rFonts w:ascii="宋体" w:hAnsi="宋体" w:eastAsia="宋体" w:cs="Times New Roman"/>
          <w:color w:val="auto"/>
          <w:sz w:val="24"/>
          <w:highlight w:val="none"/>
          <w:u w:val="single"/>
          <w:lang w:val="zh-CN"/>
        </w:rPr>
        <w:t xml:space="preserve">（标的名称）</w:t>
      </w:r>
      <w:r>
        <w:rPr>
          <w:rFonts w:ascii="宋体" w:hAnsi="宋体" w:eastAsia="宋体" w:cs="Times New Roman"/>
          <w:color w:val="auto"/>
          <w:sz w:val="24"/>
          <w:highlight w:val="none"/>
          <w:lang w:val="zh-CN"/>
        </w:rPr>
        <w:t xml:space="preserve">，属于</w:t>
      </w:r>
      <w:r>
        <w:rPr>
          <w:rFonts w:hint="eastAsia" w:ascii="宋体" w:hAnsi="宋体" w:eastAsia="宋体" w:cs="Times New Roman"/>
          <w:color w:val="auto"/>
          <w:sz w:val="24"/>
          <w:highlight w:val="none"/>
          <w:u w:val="single"/>
          <w:lang w:val="zh-CN"/>
        </w:rPr>
        <w:t xml:space="preserve"> 工业 </w:t>
      </w:r>
      <w:r>
        <w:rPr>
          <w:rFonts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制造商</w:t>
      </w:r>
      <w:r>
        <w:rPr>
          <w:rFonts w:ascii="宋体" w:hAnsi="宋体" w:eastAsia="宋体" w:cs="Times New Roman"/>
          <w:color w:val="auto"/>
          <w:sz w:val="24"/>
          <w:highlight w:val="none"/>
          <w:lang w:val="zh-CN"/>
        </w:rPr>
        <w:t xml:space="preserve">为</w:t>
      </w:r>
      <w:r>
        <w:rPr>
          <w:rFonts w:ascii="宋体" w:hAnsi="宋体" w:eastAsia="宋体" w:cs="Times New Roman"/>
          <w:color w:val="auto"/>
          <w:sz w:val="24"/>
          <w:highlight w:val="none"/>
          <w:u w:val="single"/>
          <w:lang w:val="zh-CN"/>
        </w:rPr>
        <w:t xml:space="preserve">（企业名称）</w:t>
      </w:r>
      <w:r>
        <w:rPr>
          <w:rFonts w:ascii="宋体" w:hAnsi="宋体" w:eastAsia="宋体" w:cs="Times New Roman"/>
          <w:color w:val="auto"/>
          <w:sz w:val="24"/>
          <w:highlight w:val="none"/>
          <w:lang w:val="zh-CN"/>
        </w:rPr>
        <w:t xml:space="preserve">，从业人员</w:t>
      </w:r>
      <w:r>
        <w:rPr>
          <w:rFonts w:hint="eastAsia"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人，营业收入为</w:t>
      </w:r>
      <w:r>
        <w:rPr>
          <w:rFonts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万元，资产总额为</w:t>
      </w:r>
      <w:r>
        <w:rPr>
          <w:rFonts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万元，属于</w:t>
      </w:r>
      <w:r>
        <w:rPr>
          <w:rFonts w:ascii="宋体" w:hAnsi="宋体" w:eastAsia="宋体" w:cs="Times New Roman"/>
          <w:color w:val="auto"/>
          <w:sz w:val="24"/>
          <w:highlight w:val="none"/>
          <w:u w:val="single"/>
          <w:lang w:val="zh-CN"/>
        </w:rPr>
        <w:t xml:space="preserve">（中型企业、小型企业、微型企业</w:t>
      </w:r>
      <w:r>
        <w:rPr>
          <w:rFonts w:hint="eastAsia" w:ascii="宋体" w:hAnsi="宋体" w:eastAsia="宋体" w:cs="Times New Roman"/>
          <w:color w:val="auto"/>
          <w:sz w:val="24"/>
          <w:highlight w:val="none"/>
          <w:u w:val="single"/>
          <w:lang w:val="zh-CN"/>
        </w:rPr>
        <w:t xml:space="preserve">，三者选一填写</w:t>
      </w:r>
      <w:r>
        <w:rPr>
          <w:rFonts w:ascii="宋体" w:hAnsi="宋体" w:eastAsia="宋体" w:cs="Times New Roman"/>
          <w:color w:val="auto"/>
          <w:sz w:val="24"/>
          <w:highlight w:val="none"/>
          <w:u w:val="single"/>
          <w:lang w:val="zh-CN"/>
        </w:rPr>
        <w:t xml:space="preserve">）</w:t>
      </w:r>
      <w:r>
        <w:rPr>
          <w:rFonts w:ascii="宋体" w:hAnsi="宋体" w:eastAsia="宋体" w:cs="Times New Roman"/>
          <w:color w:val="auto"/>
          <w:sz w:val="24"/>
          <w:highlight w:val="none"/>
          <w:lang w:val="zh-CN"/>
        </w:rPr>
        <w:t xml:space="preserve">；</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lang w:val="zh-CN"/>
        </w:rPr>
        <w:t xml:space="preserve">2. </w:t>
      </w:r>
      <w:r>
        <w:rPr>
          <w:rFonts w:ascii="宋体" w:hAnsi="宋体" w:eastAsia="宋体" w:cs="Times New Roman"/>
          <w:color w:val="auto"/>
          <w:sz w:val="24"/>
          <w:highlight w:val="none"/>
          <w:u w:val="single"/>
          <w:lang w:val="zh-CN"/>
        </w:rPr>
        <w:t xml:space="preserve">（标的名称）</w:t>
      </w:r>
      <w:r>
        <w:rPr>
          <w:rFonts w:ascii="宋体" w:hAnsi="宋体" w:eastAsia="宋体" w:cs="Times New Roman"/>
          <w:color w:val="auto"/>
          <w:sz w:val="24"/>
          <w:highlight w:val="none"/>
          <w:lang w:val="zh-CN"/>
        </w:rPr>
        <w:t xml:space="preserve">，属于</w:t>
      </w:r>
      <w:r>
        <w:rPr>
          <w:rFonts w:hint="eastAsia" w:ascii="宋体" w:hAnsi="宋体" w:eastAsia="宋体" w:cs="Times New Roman"/>
          <w:color w:val="auto"/>
          <w:sz w:val="24"/>
          <w:highlight w:val="none"/>
          <w:u w:val="single"/>
          <w:lang w:val="zh-CN"/>
        </w:rPr>
        <w:t xml:space="preserve"> 工业 </w:t>
      </w:r>
      <w:r>
        <w:rPr>
          <w:rFonts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制造商</w:t>
      </w:r>
      <w:r>
        <w:rPr>
          <w:rFonts w:ascii="宋体" w:hAnsi="宋体" w:eastAsia="宋体" w:cs="Times New Roman"/>
          <w:color w:val="auto"/>
          <w:sz w:val="24"/>
          <w:highlight w:val="none"/>
          <w:lang w:val="zh-CN"/>
        </w:rPr>
        <w:t xml:space="preserve">为</w:t>
      </w:r>
      <w:r>
        <w:rPr>
          <w:rFonts w:ascii="宋体" w:hAnsi="宋体" w:eastAsia="宋体" w:cs="Times New Roman"/>
          <w:color w:val="auto"/>
          <w:sz w:val="24"/>
          <w:highlight w:val="none"/>
          <w:u w:val="single"/>
          <w:lang w:val="zh-CN"/>
        </w:rPr>
        <w:t xml:space="preserve">（企业名称）</w:t>
      </w:r>
      <w:r>
        <w:rPr>
          <w:rFonts w:ascii="宋体" w:hAnsi="宋体" w:eastAsia="宋体" w:cs="Times New Roman"/>
          <w:color w:val="auto"/>
          <w:sz w:val="24"/>
          <w:highlight w:val="none"/>
          <w:lang w:val="zh-CN"/>
        </w:rPr>
        <w:t xml:space="preserve">，从业人员</w:t>
      </w:r>
      <w:r>
        <w:rPr>
          <w:rFonts w:hint="eastAsia"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人，营业收入为</w:t>
      </w:r>
      <w:r>
        <w:rPr>
          <w:rFonts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万元，资产总额为</w:t>
      </w:r>
      <w:r>
        <w:rPr>
          <w:rFonts w:ascii="宋体" w:hAnsi="宋体" w:eastAsia="宋体" w:cs="Times New Roman"/>
          <w:color w:val="auto"/>
          <w:sz w:val="24"/>
          <w:highlight w:val="none"/>
          <w:u w:val="single"/>
          <w:lang w:val="zh-CN"/>
        </w:rPr>
        <w:t xml:space="preserve">      </w:t>
      </w:r>
      <w:r>
        <w:rPr>
          <w:rFonts w:ascii="宋体" w:hAnsi="宋体" w:eastAsia="宋体" w:cs="Times New Roman"/>
          <w:color w:val="auto"/>
          <w:sz w:val="24"/>
          <w:highlight w:val="none"/>
          <w:lang w:val="zh-CN"/>
        </w:rPr>
        <w:t xml:space="preserve">万元，属于</w:t>
      </w:r>
      <w:r>
        <w:rPr>
          <w:rFonts w:ascii="宋体" w:hAnsi="宋体" w:eastAsia="宋体" w:cs="Times New Roman"/>
          <w:color w:val="auto"/>
          <w:sz w:val="24"/>
          <w:highlight w:val="none"/>
          <w:u w:val="single"/>
          <w:lang w:val="zh-CN"/>
        </w:rPr>
        <w:t xml:space="preserve">（中型企业、小型企业、微型企业</w:t>
      </w:r>
      <w:r>
        <w:rPr>
          <w:rFonts w:hint="eastAsia" w:ascii="宋体" w:hAnsi="宋体" w:eastAsia="宋体" w:cs="Times New Roman"/>
          <w:color w:val="auto"/>
          <w:sz w:val="24"/>
          <w:highlight w:val="none"/>
          <w:u w:val="single"/>
          <w:lang w:val="zh-CN"/>
        </w:rPr>
        <w:t xml:space="preserve">，三者选一填写</w:t>
      </w:r>
      <w:r>
        <w:rPr>
          <w:rFonts w:ascii="宋体" w:hAnsi="宋体" w:eastAsia="宋体" w:cs="Times New Roman"/>
          <w:color w:val="auto"/>
          <w:sz w:val="24"/>
          <w:highlight w:val="none"/>
          <w:u w:val="single"/>
          <w:lang w:val="zh-CN"/>
        </w:rPr>
        <w:t xml:space="preserve">）</w:t>
      </w:r>
      <w:r>
        <w:rPr>
          <w:rFonts w:ascii="宋体" w:hAnsi="宋体" w:eastAsia="宋体" w:cs="Times New Roman"/>
          <w:color w:val="auto"/>
          <w:sz w:val="24"/>
          <w:highlight w:val="none"/>
          <w:lang w:val="zh-CN"/>
        </w:rPr>
        <w:t xml:space="preserve">；</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lang w:val="zh-CN"/>
        </w:rPr>
        <w:t xml:space="preserve">……</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lang w:val="zh-CN"/>
        </w:rPr>
        <w:t xml:space="preserve">以上企业，不属于大企业的分支机构，不存在控股股东为大企业的情形，也不存在与大企业的负责人为同一人的情形。</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lang w:val="zh-CN"/>
        </w:rPr>
        <w:t xml:space="preserve">本企业对上述声明内容的真实性负责。如有虚假，将依法承担相应责任。</w:t>
      </w:r>
      <w:r>
        <w:rPr>
          <w:color w:val="auto"/>
          <w:highlight w:val="none"/>
        </w:rPr>
      </w:r>
      <w:r/>
    </w:p>
    <w:p>
      <w:pPr>
        <w:ind w:firstLine="480"/>
        <w:jc w:val="right"/>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lang w:val="zh-CN"/>
        </w:rPr>
        <w:t xml:space="preserve">企业名称（盖章）：</w:t>
      </w:r>
      <w:r>
        <w:rPr>
          <w:rFonts w:hint="eastAsia" w:ascii="宋体" w:hAnsi="宋体" w:eastAsia="宋体" w:cs="Times New Roman"/>
          <w:color w:val="auto"/>
          <w:sz w:val="24"/>
          <w:highlight w:val="none"/>
          <w:lang w:val="zh-CN"/>
        </w:rPr>
        <w:t xml:space="preserve">          </w:t>
      </w:r>
      <w:r>
        <w:rPr>
          <w:color w:val="auto"/>
          <w:highlight w:val="none"/>
        </w:rPr>
      </w:r>
      <w:r/>
    </w:p>
    <w:p>
      <w:pPr>
        <w:ind w:firstLine="480"/>
        <w:jc w:val="right"/>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lang w:val="zh-CN"/>
        </w:rPr>
        <w:t xml:space="preserve">日期：</w:t>
      </w:r>
      <w:r>
        <w:rPr>
          <w:rFonts w:hint="eastAsia" w:ascii="宋体" w:hAnsi="宋体" w:eastAsia="宋体" w:cs="Times New Roman"/>
          <w:color w:val="auto"/>
          <w:sz w:val="24"/>
          <w:highlight w:val="none"/>
          <w:lang w:val="zh-CN"/>
        </w:rPr>
        <w:t xml:space="preserve">          </w:t>
      </w:r>
      <w:r>
        <w:rPr>
          <w:color w:val="auto"/>
          <w:highlight w:val="none"/>
        </w:rPr>
      </w:r>
      <w:r/>
    </w:p>
    <w:p>
      <w:pPr>
        <w:ind w:firstLine="482"/>
        <w:jc w:val="left"/>
        <w:spacing w:line="360" w:lineRule="auto"/>
        <w:rPr>
          <w:rFonts w:hint="eastAsia" w:ascii="宋体" w:hAnsi="宋体" w:eastAsia="宋体" w:cs="Times New Roman"/>
          <w:b/>
          <w:color w:val="auto"/>
          <w:sz w:val="24"/>
          <w:highlight w:val="none"/>
        </w:rPr>
      </w:pPr>
      <w:r>
        <w:rPr>
          <w:rFonts w:ascii="宋体" w:hAnsi="宋体" w:eastAsia="宋体" w:cs="Times New Roman"/>
          <w:b/>
          <w:color w:val="auto"/>
          <w:sz w:val="24"/>
          <w:highlight w:val="none"/>
        </w:rPr>
        <w:t xml:space="preserve">备注：</w:t>
      </w:r>
      <w:r>
        <w:rPr>
          <w:color w:val="auto"/>
          <w:highlight w:val="none"/>
        </w:rPr>
      </w:r>
      <w:r/>
    </w:p>
    <w:p>
      <w:pPr>
        <w:ind w:firstLine="480"/>
        <w:spacing w:line="276"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zh-CN"/>
        </w:rPr>
        <w:t xml:space="preserve">1.</w:t>
      </w:r>
      <w:r>
        <w:rPr>
          <w:rFonts w:ascii="宋体" w:hAnsi="宋体" w:eastAsia="宋体" w:cs="Times New Roman"/>
          <w:color w:val="auto"/>
          <w:sz w:val="24"/>
          <w:highlight w:val="none"/>
          <w:lang w:val="zh-CN"/>
        </w:rPr>
        <w:t xml:space="preserve">从业人员、营业收入、资产总额填报上一年度数据，无上一年度数据的新成立企业可不填报。</w:t>
      </w:r>
      <w:r>
        <w:rPr>
          <w:color w:val="auto"/>
          <w:highlight w:val="none"/>
        </w:rPr>
      </w:r>
      <w:r/>
    </w:p>
    <w:p>
      <w:pPr>
        <w:ind w:firstLine="482"/>
        <w:spacing w:line="276" w:lineRule="auto"/>
        <w:rPr>
          <w:rFonts w:hint="eastAsia" w:ascii="宋体" w:hAnsi="宋体" w:eastAsia="宋体" w:cs="Times New Roman"/>
          <w:color w:val="auto"/>
          <w:sz w:val="24"/>
          <w:highlight w:val="none"/>
        </w:rPr>
      </w:pPr>
      <w:r>
        <w:rPr>
          <w:rFonts w:ascii="宋体" w:hAnsi="宋体" w:eastAsia="宋体" w:cs="Times New Roman"/>
          <w:b/>
          <w:bCs/>
          <w:color w:val="auto"/>
          <w:sz w:val="24"/>
          <w:highlight w:val="none"/>
          <w:lang w:val="zh-CN"/>
        </w:rPr>
        <w:t xml:space="preserve">2</w:t>
      </w:r>
      <w:r>
        <w:rPr>
          <w:rFonts w:hint="eastAsia" w:ascii="宋体" w:hAnsi="宋体" w:eastAsia="宋体" w:cs="Times New Roman"/>
          <w:b/>
          <w:bCs/>
          <w:color w:val="auto"/>
          <w:sz w:val="24"/>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color w:val="auto"/>
          <w:highlight w:val="none"/>
        </w:rPr>
      </w:r>
      <w:r/>
    </w:p>
    <w:p>
      <w:pPr>
        <w:ind w:firstLine="480"/>
        <w:spacing w:line="276"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zh-CN"/>
        </w:rPr>
        <w:t xml:space="preserve">.</w:t>
      </w:r>
      <w:r>
        <w:rPr>
          <w:rFonts w:ascii="宋体" w:hAnsi="宋体" w:eastAsia="宋体" w:cs="Times New Roman"/>
          <w:color w:val="auto"/>
          <w:sz w:val="24"/>
          <w:highlight w:val="none"/>
          <w:lang w:val="zh-CN"/>
        </w:rPr>
        <w:t xml:space="preserve">若供应商提供的“中小企业声明函”内容不实的，属于提供虚假材料谋取中标、成交，依照《中华人民共和国政府采购法》等国家有关规定追究相应责任。</w:t>
      </w:r>
      <w:r>
        <w:rPr>
          <w:color w:val="auto"/>
          <w:highlight w:val="none"/>
        </w:rPr>
      </w:r>
      <w:r/>
    </w:p>
    <w:p>
      <w:pPr>
        <w:ind w:firstLine="480"/>
        <w:spacing w:line="360" w:lineRule="auto"/>
        <w:rPr>
          <w:rFonts w:hint="eastAsia" w:ascii="宋体" w:hAnsi="宋体" w:eastAsia="宋体" w:cs="宋体"/>
          <w:b/>
          <w:bCs/>
          <w:color w:val="auto"/>
          <w:sz w:val="24"/>
          <w:highlight w:val="none"/>
        </w:rPr>
      </w:pPr>
      <w:r>
        <w:rPr>
          <w:rFonts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zh-CN"/>
        </w:rPr>
        <w:t xml:space="preserve">.</w:t>
      </w:r>
      <w:r>
        <w:rPr>
          <w:rFonts w:ascii="宋体" w:hAnsi="宋体" w:eastAsia="宋体" w:cs="Times New Roman"/>
          <w:color w:val="auto"/>
          <w:sz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auto"/>
          <w:sz w:val="24"/>
          <w:highlight w:val="none"/>
          <w:lang w:val="zh-CN"/>
        </w:rPr>
        <w:t xml:space="preserve">。</w:t>
      </w:r>
      <w:r>
        <w:rPr>
          <w:color w:val="auto"/>
          <w:highlight w:val="none"/>
        </w:rPr>
      </w:r>
      <w:r/>
    </w:p>
    <w:p>
      <w:pPr>
        <w:ind w:firstLine="482"/>
        <w:spacing w:line="360" w:lineRule="auto"/>
        <w:rPr>
          <w:rFonts w:hint="eastAsia" w:ascii="宋体" w:hAnsi="宋体" w:eastAsia="宋体" w:cs="宋体"/>
          <w:b/>
          <w:color w:val="auto"/>
          <w:sz w:val="24"/>
          <w:highlight w:val="none"/>
        </w:rPr>
      </w:pPr>
      <w:r>
        <w:rPr>
          <w:rFonts w:ascii="宋体" w:hAnsi="宋体" w:eastAsia="宋体" w:cs="宋体"/>
          <w:b/>
          <w:color w:val="auto"/>
          <w:sz w:val="24"/>
          <w:highlight w:val="none"/>
        </w:rPr>
        <w:br w:type="page" w:clear="all"/>
      </w:r>
      <w:r>
        <w:rPr>
          <w:color w:val="auto"/>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残疾人福利性单位声明函</w:t>
      </w:r>
      <w:r>
        <w:rPr>
          <w:color w:val="auto"/>
          <w:highlight w:val="none"/>
        </w:rPr>
      </w:r>
      <w:r/>
    </w:p>
    <w:p>
      <w:pPr>
        <w:jc w:val="left"/>
        <w:spacing w:line="360" w:lineRule="auto"/>
        <w:rPr>
          <w:rFonts w:ascii="宋体" w:hAnsi="宋体" w:eastAsia="仿宋_GB2312" w:cs="宋体"/>
          <w:b/>
          <w:color w:val="auto"/>
          <w:spacing w:val="6"/>
          <w:sz w:val="24"/>
          <w:highlight w:val="none"/>
        </w:rPr>
      </w:pPr>
      <w:r>
        <w:rPr>
          <w:rFonts w:ascii="宋体" w:hAnsi="宋体" w:eastAsia="仿宋_GB2312" w:cs="宋体"/>
          <w:b/>
          <w:color w:val="auto"/>
          <w:spacing w:val="6"/>
          <w:sz w:val="24"/>
          <w:highlight w:val="none"/>
        </w:rPr>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本单位对上述声明的真实性负责。如有虚假，将依法承担相应责任。</w:t>
      </w:r>
      <w:r>
        <w:rPr>
          <w:color w:val="auto"/>
          <w:highlight w:val="none"/>
        </w:rPr>
      </w:r>
      <w:r/>
    </w:p>
    <w:p>
      <w:pPr>
        <w:ind w:firstLine="504"/>
        <w:jc w:val="left"/>
        <w:spacing w:line="360" w:lineRule="auto"/>
        <w:rPr>
          <w:rFonts w:ascii="宋体" w:hAnsi="宋体" w:eastAsia="仿宋_GB2312" w:cs="宋体"/>
          <w:color w:val="auto"/>
          <w:spacing w:val="6"/>
          <w:sz w:val="24"/>
          <w:highlight w:val="none"/>
        </w:rPr>
      </w:pPr>
      <w:r>
        <w:rPr>
          <w:rFonts w:ascii="宋体" w:hAnsi="宋体" w:eastAsia="仿宋_GB2312" w:cs="宋体"/>
          <w:color w:val="auto"/>
          <w:spacing w:val="6"/>
          <w:sz w:val="24"/>
          <w:highlight w:val="none"/>
        </w:rPr>
      </w:r>
      <w:r>
        <w:rPr>
          <w:color w:val="auto"/>
          <w:highlight w:val="none"/>
        </w:rPr>
      </w:r>
      <w:r/>
    </w:p>
    <w:p>
      <w:pPr>
        <w:ind w:firstLine="504"/>
        <w:jc w:val="left"/>
        <w:spacing w:line="360" w:lineRule="auto"/>
        <w:rPr>
          <w:rFonts w:ascii="宋体" w:hAnsi="宋体" w:eastAsia="仿宋_GB2312" w:cs="宋体"/>
          <w:color w:val="auto"/>
          <w:spacing w:val="6"/>
          <w:sz w:val="24"/>
          <w:highlight w:val="none"/>
        </w:rPr>
      </w:pPr>
      <w:r>
        <w:rPr>
          <w:rFonts w:ascii="宋体" w:hAnsi="宋体" w:eastAsia="仿宋_GB2312" w:cs="宋体"/>
          <w:color w:val="auto"/>
          <w:spacing w:val="6"/>
          <w:sz w:val="24"/>
          <w:highlight w:val="none"/>
        </w:rPr>
      </w:r>
      <w:r>
        <w:rPr>
          <w:color w:val="auto"/>
          <w:highlight w:val="none"/>
        </w:rPr>
      </w:r>
      <w:r/>
    </w:p>
    <w:p>
      <w:pPr>
        <w:pStyle w:val="931"/>
        <w:ind w:left="3400" w:firstLine="22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单位名称（盖章）：</w:t>
      </w:r>
      <w:r>
        <w:rPr>
          <w:color w:val="auto"/>
          <w:highlight w:val="none"/>
        </w:rPr>
      </w:r>
      <w:r/>
    </w:p>
    <w:p>
      <w:pPr>
        <w:pStyle w:val="931"/>
        <w:ind w:left="3400" w:firstLine="22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日  期：</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930"/>
        <w:jc w:val="left"/>
        <w:spacing w:line="360" w:lineRule="auto"/>
        <w:rPr>
          <w:rFonts w:hint="eastAsia" w:hAnsi="宋体" w:eastAsia="宋体"/>
          <w:b/>
          <w:color w:val="auto"/>
          <w:sz w:val="24"/>
          <w:szCs w:val="24"/>
          <w:highlight w:val="none"/>
        </w:rPr>
      </w:pPr>
      <w:r>
        <w:rPr>
          <w:rFonts w:hint="eastAsia" w:hAnsi="宋体" w:eastAsia="宋体" w:cs="宋体"/>
          <w:color w:val="auto"/>
          <w:sz w:val="24"/>
          <w:szCs w:val="24"/>
          <w:highlight w:val="none"/>
        </w:rPr>
        <w:br w:type="page" w:clear="all"/>
      </w:r>
      <w:r>
        <w:rPr>
          <w:rFonts w:hint="eastAsia" w:hAnsi="宋体" w:eastAsia="宋体" w:cs="宋体"/>
          <w:b/>
          <w:bCs/>
          <w:color w:val="auto"/>
          <w:sz w:val="24"/>
          <w:szCs w:val="24"/>
          <w:highlight w:val="none"/>
        </w:rPr>
        <w:t xml:space="preserve">4</w:t>
      </w:r>
      <w:r>
        <w:rPr>
          <w:rFonts w:hint="eastAsia" w:hAnsi="宋体" w:eastAsia="宋体"/>
          <w:b/>
          <w:color w:val="auto"/>
          <w:sz w:val="24"/>
          <w:szCs w:val="24"/>
          <w:highlight w:val="none"/>
        </w:rPr>
        <w:t xml:space="preserve">、法定代表人授权委托书</w:t>
      </w:r>
      <w:r>
        <w:rPr>
          <w:color w:val="auto"/>
          <w:highlight w:val="none"/>
        </w:rPr>
      </w:r>
      <w:r/>
    </w:p>
    <w:p>
      <w:pPr>
        <w:jc w:val="cente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法定代表人授权委托书</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本授权委托书声明：</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我</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（姓名）系</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（投标人名称）的法定代表人，现授权委托</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（姓名+手机号码）为我公司代理人，以本公司的名义参加</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（采购人名称）组织实施的编号为</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号的采购活动。代理人在投标、开标、评标、合同订立和履行过程中所签署的一切文件和处理与这有关的一切事务，我均予以承认。</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代理人在授权委托书有效期内签署的所有文件不因授权委托的撤销而失效，除非有撤销授权委托的书面通知，本授权委托书自投标开始至合同履行完毕止。</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代理人无转委托权。特此委托。</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w:t>
      </w:r>
      <w:r>
        <w:rPr>
          <w:rFonts w:ascii="宋体" w:hAnsi="宋体" w:eastAsia="宋体" w:cs="Times New Roman"/>
          <w:color w:val="auto"/>
          <w:sz w:val="24"/>
          <w:highlight w:val="none"/>
        </w:rPr>
        <w:t xml:space="preserve">（签字或</w:t>
      </w:r>
      <w:r>
        <w:rPr>
          <w:rFonts w:hint="eastAsia" w:ascii="宋体" w:hAnsi="宋体" w:eastAsia="宋体" w:cs="Times New Roman"/>
          <w:color w:val="auto"/>
          <w:sz w:val="24"/>
          <w:highlight w:val="none"/>
        </w:rPr>
        <w:t xml:space="preserve">签</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rPr>
        <w:t xml:space="preserve">：</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w:t>
      </w:r>
      <w:r>
        <w:rPr>
          <w:rFonts w:ascii="宋体" w:hAnsi="宋体" w:eastAsia="宋体" w:cs="Times New Roman"/>
          <w:color w:val="auto"/>
          <w:sz w:val="24"/>
          <w:highlight w:val="none"/>
        </w:rPr>
        <w:t xml:space="preserve">（签字或</w:t>
      </w:r>
      <w:r>
        <w:rPr>
          <w:rFonts w:hint="eastAsia" w:ascii="宋体" w:hAnsi="宋体" w:eastAsia="宋体" w:cs="Times New Roman"/>
          <w:color w:val="auto"/>
          <w:sz w:val="24"/>
          <w:highlight w:val="none"/>
        </w:rPr>
        <w:t xml:space="preserve">签</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rPr>
        <w:t xml:space="preserve">：</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p>
      <w:pPr>
        <w:pStyle w:val="937"/>
        <w:spacing w:before="75" w:beforeAutospacing="0" w:after="75" w:afterAutospacing="0" w:line="405" w:lineRule="atLeast"/>
        <w:rPr>
          <w:rFonts w:hint="eastAsia" w:ascii="sans-serif" w:hAnsi="sans-serif" w:eastAsia="sans-serif" w:cs="sans-serif"/>
          <w:color w:val="auto"/>
          <w:highlight w:val="none"/>
        </w:rPr>
      </w:pPr>
      <w:r>
        <w:rPr>
          <w:rFonts w:hint="eastAsia" w:cs="宋体"/>
          <w:color w:val="auto"/>
          <w:highlight w:val="none"/>
        </w:rPr>
        <w:t xml:space="preserve">附：</w:t>
      </w:r>
      <w:r>
        <w:rPr>
          <w:rFonts w:hint="eastAsia" w:cs="宋体"/>
          <w:b/>
          <w:bCs/>
          <w:color w:val="auto"/>
          <w:highlight w:val="none"/>
          <w:u w:val="single"/>
        </w:rPr>
        <w:t xml:space="preserve">法定代表人、代理人</w:t>
      </w:r>
      <w:r>
        <w:rPr>
          <w:rFonts w:hint="eastAsia" w:cs="宋体"/>
          <w:color w:val="auto"/>
          <w:highlight w:val="none"/>
        </w:rPr>
        <w:t xml:space="preserve">的身份证正反面扫描件</w:t>
      </w:r>
      <w:r>
        <w:rPr>
          <w:color w:val="auto"/>
          <w:highlight w:val="none"/>
        </w:rPr>
      </w:r>
      <w:r/>
    </w:p>
    <w:tbl>
      <w:tblPr>
        <w:tblStyle w:val="747"/>
        <w:tblW w:w="8313" w:type="dxa"/>
        <w:tblInd w:w="7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313"/>
      </w:tblGrid>
      <w:tr>
        <w:trPr>
          <w:trHeight w:val="2313"/>
        </w:trPr>
        <w:tc>
          <w:tcPr>
            <w:tcMar>
              <w:left w:w="105" w:type="dxa"/>
              <w:top w:w="0" w:type="dxa"/>
              <w:right w:w="105" w:type="dxa"/>
              <w:bottom w:w="0" w:type="dxa"/>
            </w:tcMar>
            <w:tcW w:w="8313" w:type="dxa"/>
            <w:vAlign w:val="center"/>
            <w:textDirection w:val="lrTb"/>
            <w:noWrap w:val="false"/>
          </w:tcPr>
          <w:p>
            <w:pPr>
              <w:pStyle w:val="937"/>
              <w:jc w:val="center"/>
              <w:spacing w:beforeAutospacing="0" w:afterAutospacing="0" w:line="405" w:lineRule="atLeast"/>
              <w:rPr>
                <w:color w:val="auto"/>
                <w:highlight w:val="none"/>
              </w:rPr>
            </w:pPr>
            <w:r>
              <w:rPr>
                <w:color w:val="auto"/>
                <w:highlight w:val="none"/>
              </w:rPr>
            </w:r>
            <w:r>
              <w:rPr>
                <w:color w:val="auto"/>
                <w:highlight w:val="none"/>
              </w:rPr>
            </w:r>
            <w:r/>
          </w:p>
          <w:p>
            <w:pPr>
              <w:pStyle w:val="937"/>
              <w:jc w:val="center"/>
              <w:spacing w:beforeAutospacing="0" w:afterAutospacing="0" w:line="405" w:lineRule="atLeast"/>
              <w:rPr>
                <w:color w:val="auto"/>
                <w:highlight w:val="none"/>
              </w:rPr>
            </w:pPr>
            <w:r>
              <w:rPr>
                <w:rStyle w:val="947"/>
                <w:rFonts w:hint="eastAsia" w:cs="宋体"/>
                <w:color w:val="auto"/>
                <w:highlight w:val="none"/>
              </w:rPr>
              <w:t xml:space="preserve">要求：真实、有效、清晰</w:t>
            </w:r>
            <w:r>
              <w:rPr>
                <w:color w:val="auto"/>
                <w:highlight w:val="none"/>
              </w:rPr>
            </w:r>
            <w:r/>
          </w:p>
          <w:p>
            <w:pPr>
              <w:pStyle w:val="937"/>
              <w:jc w:val="center"/>
              <w:spacing w:beforeAutospacing="0" w:afterAutospacing="0" w:line="405" w:lineRule="atLeast"/>
              <w:rPr>
                <w:color w:val="auto"/>
                <w:highlight w:val="none"/>
              </w:rPr>
            </w:pPr>
            <w:r>
              <w:rPr>
                <w:color w:val="auto"/>
                <w:highlight w:val="none"/>
              </w:rPr>
            </w:r>
            <w:r>
              <w:rPr>
                <w:color w:val="auto"/>
                <w:highlight w:val="none"/>
              </w:rPr>
            </w:r>
            <w:r/>
          </w:p>
        </w:tc>
      </w:tr>
    </w:tbl>
    <w:p>
      <w:pPr>
        <w:ind w:firstLine="480"/>
        <w:spacing w:line="360" w:lineRule="auto"/>
        <w:rPr>
          <w:rFonts w:hint="eastAsia" w:ascii="等线" w:hAnsi="等线" w:eastAsia="等线" w:cs="Times New Roman"/>
          <w:color w:val="auto"/>
          <w:sz w:val="24"/>
          <w:highlight w:val="none"/>
        </w:rPr>
      </w:pPr>
      <w:r>
        <w:rPr>
          <w:rFonts w:hint="eastAsia" w:ascii="等线" w:hAnsi="等线" w:eastAsia="等线" w:cs="Times New Roman"/>
          <w:color w:val="auto"/>
          <w:sz w:val="24"/>
          <w:highlight w:val="none"/>
        </w:rPr>
      </w:r>
      <w:r>
        <w:rPr>
          <w:color w:val="auto"/>
          <w:highlight w:val="none"/>
        </w:rPr>
      </w:r>
      <w:r/>
    </w:p>
    <w:p>
      <w:pPr>
        <w:jc w:val="left"/>
        <w:spacing w:line="27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r/>
    </w:p>
    <w:p>
      <w:pPr>
        <w:jc w:val="left"/>
        <w:widowControl/>
        <w:rPr>
          <w:rFonts w:hint="eastAsia" w:ascii="宋体" w:hAnsi="宋体" w:eastAsia="宋体" w:cs="宋体"/>
          <w:color w:val="auto"/>
          <w:sz w:val="24"/>
          <w:highlight w:val="none"/>
        </w:rPr>
      </w:pPr>
      <w:r>
        <w:rPr>
          <w:rFonts w:ascii="宋体" w:hAnsi="宋体" w:eastAsia="宋体" w:cs="宋体"/>
          <w:b/>
          <w:color w:val="auto"/>
          <w:szCs w:val="21"/>
          <w:highlight w:val="none"/>
        </w:rPr>
        <w:br w:type="page" w:clear="all"/>
      </w:r>
      <w:r>
        <w:rPr>
          <w:rFonts w:hint="eastAsia" w:ascii="宋体" w:hAnsi="宋体" w:eastAsia="宋体" w:cs="宋体"/>
          <w:b/>
          <w:color w:val="auto"/>
          <w:sz w:val="24"/>
          <w:highlight w:val="none"/>
        </w:rPr>
        <w:t xml:space="preserve">5、投标（响应）函</w:t>
      </w:r>
      <w:r>
        <w:rPr>
          <w:color w:val="auto"/>
          <w:highlight w:val="none"/>
        </w:rPr>
      </w:r>
      <w:r/>
    </w:p>
    <w:p>
      <w:pPr>
        <w:jc w:val="center"/>
        <w:spacing w:line="360" w:lineRule="auto"/>
        <w:widowControl/>
        <w:rPr>
          <w:rFonts w:hint="eastAsia" w:ascii="宋体" w:hAnsi="宋体" w:eastAsia="宋体" w:cs="宋体"/>
          <w:b/>
          <w:color w:val="auto"/>
          <w:sz w:val="24"/>
          <w:highlight w:val="none"/>
        </w:rPr>
        <w:outlineLvl w:val="0"/>
      </w:pPr>
      <w:r>
        <w:rPr>
          <w:color w:val="auto"/>
          <w:highlight w:val="none"/>
        </w:rPr>
      </w:r>
      <w:bookmarkStart w:id="18" w:name="_Hlk136550814"/>
      <w:r>
        <w:rPr>
          <w:rFonts w:hint="eastAsia" w:ascii="宋体" w:hAnsi="宋体" w:eastAsia="宋体" w:cs="宋体"/>
          <w:b/>
          <w:color w:val="auto"/>
          <w:sz w:val="24"/>
          <w:highlight w:val="none"/>
          <w:lang w:val="zh-CN"/>
        </w:rPr>
        <w:t xml:space="preserve">投标（响应）函</w:t>
      </w:r>
      <w:r>
        <w:rPr>
          <w:color w:val="auto"/>
          <w:highlight w:val="none"/>
        </w:rPr>
      </w:r>
      <w:r/>
    </w:p>
    <w:p>
      <w:pPr>
        <w:pStyle w:val="770"/>
        <w:ind w:firstLine="480"/>
        <w:jc w:val="both"/>
        <w:spacing w:before="0" w:beforeAutospacing="0" w:after="0" w:afterAutospacing="0" w:line="276" w:lineRule="auto"/>
        <w:widowControl w:val="off"/>
        <w:rPr>
          <w:rFonts w:hint="eastAsia"/>
          <w:color w:val="auto"/>
          <w:highlight w:val="none"/>
          <w:u w:val="single"/>
        </w:rPr>
      </w:pPr>
      <w:r>
        <w:rPr>
          <w:rFonts w:hint="eastAsia"/>
          <w:color w:val="auto"/>
          <w:highlight w:val="none"/>
          <w:u w:val="single"/>
        </w:rPr>
        <w:t xml:space="preserve">                              :</w:t>
      </w:r>
      <w:r>
        <w:rPr>
          <w:color w:val="auto"/>
          <w:highlight w:val="none"/>
        </w:rPr>
      </w:r>
      <w:r/>
    </w:p>
    <w:p>
      <w:pPr>
        <w:ind w:firstLine="480"/>
        <w:jc w:val="left"/>
        <w:spacing w:line="276"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我方收到贵公司</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号招标文件，经仔细阅读和研究，我方决定参加投标。</w:t>
      </w:r>
      <w:r>
        <w:rPr>
          <w:color w:val="auto"/>
          <w:highlight w:val="none"/>
        </w:rPr>
      </w:r>
      <w:r/>
    </w:p>
    <w:p>
      <w:pPr>
        <w:ind w:firstLine="480"/>
        <w:jc w:val="left"/>
        <w:spacing w:line="276" w:lineRule="auto"/>
        <w:rPr>
          <w:rFonts w:hint="eastAsia" w:ascii="宋体" w:hAnsi="宋体" w:eastAsia="宋体" w:cs="宋体"/>
          <w:bCs/>
          <w:color w:val="auto"/>
          <w:sz w:val="24"/>
          <w:highlight w:val="none"/>
        </w:rPr>
      </w:pPr>
      <w:r>
        <w:rPr>
          <w:rFonts w:ascii="宋体" w:hAnsi="宋体" w:eastAsia="宋体" w:cs="宋体"/>
          <w:color w:val="auto"/>
          <w:sz w:val="24"/>
          <w:highlight w:val="none"/>
        </w:rPr>
        <w:t xml:space="preserve">1、我们愿意按照招标文件的一切要求，</w:t>
      </w:r>
      <w:r>
        <w:rPr>
          <w:rFonts w:hint="eastAsia" w:ascii="宋体" w:hAnsi="宋体" w:eastAsia="宋体" w:cs="宋体"/>
          <w:color w:val="auto"/>
          <w:sz w:val="24"/>
          <w:highlight w:val="none"/>
        </w:rPr>
        <w:t xml:space="preserve">提供完成该项目的全部内容，我们的</w:t>
      </w:r>
      <w:r>
        <w:rPr>
          <w:rFonts w:hint="eastAsia" w:ascii="宋体" w:hAnsi="宋体" w:eastAsia="宋体" w:cs="宋体"/>
          <w:bCs/>
          <w:color w:val="auto"/>
          <w:sz w:val="24"/>
          <w:highlight w:val="none"/>
        </w:rPr>
        <w:t xml:space="preserve">报价包括完成本次项目所需的全部货物和服务的报价，应包括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color w:val="auto"/>
          <w:highlight w:val="none"/>
        </w:rPr>
      </w:r>
      <w:r/>
    </w:p>
    <w:p>
      <w:pPr>
        <w:ind w:firstLine="480"/>
        <w:jc w:val="left"/>
        <w:spacing w:line="276"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2、如果我方的投标书被接受，我方将严格履行招标文件中规定的每一项要求，严格履行合同的责任和义务，保证按期、按质履行合同，完成合同内容所规定的全部工作。</w:t>
      </w:r>
      <w:r>
        <w:rPr>
          <w:color w:val="auto"/>
          <w:highlight w:val="none"/>
        </w:rPr>
      </w:r>
      <w:r/>
    </w:p>
    <w:p>
      <w:pPr>
        <w:ind w:firstLine="480"/>
        <w:jc w:val="left"/>
        <w:spacing w:line="276"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3、我方同意按招标文件中的规定，本投标书的有效期限为</w:t>
      </w:r>
      <w:r>
        <w:rPr>
          <w:rFonts w:hint="eastAsia" w:ascii="宋体" w:hAnsi="宋体" w:eastAsia="宋体" w:cs="宋体"/>
          <w:color w:val="auto"/>
          <w:sz w:val="24"/>
          <w:highlight w:val="none"/>
        </w:rPr>
        <w:t xml:space="preserve">投标截止之日起</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天，如果我方在开标后规定的投标有效期内撤回投标，我方</w:t>
      </w:r>
      <w:r>
        <w:rPr>
          <w:rFonts w:hint="eastAsia" w:ascii="宋体" w:hAnsi="宋体" w:eastAsia="宋体" w:cs="宋体"/>
          <w:color w:val="auto"/>
          <w:sz w:val="24"/>
          <w:highlight w:val="none"/>
        </w:rPr>
        <w:t xml:space="preserve">愿接受处罚</w:t>
      </w:r>
      <w:r>
        <w:rPr>
          <w:rFonts w:ascii="宋体" w:hAnsi="宋体" w:eastAsia="宋体" w:cs="宋体"/>
          <w:color w:val="auto"/>
          <w:sz w:val="24"/>
          <w:highlight w:val="none"/>
        </w:rPr>
        <w:t xml:space="preserve">。</w:t>
      </w:r>
      <w:r>
        <w:rPr>
          <w:color w:val="auto"/>
          <w:highlight w:val="none"/>
        </w:rPr>
      </w:r>
      <w:r/>
    </w:p>
    <w:p>
      <w:pPr>
        <w:ind w:firstLine="480"/>
        <w:jc w:val="left"/>
        <w:spacing w:line="276"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color w:val="auto"/>
          <w:highlight w:val="none"/>
        </w:rPr>
      </w:r>
      <w:r/>
    </w:p>
    <w:p>
      <w:pPr>
        <w:ind w:firstLine="480"/>
        <w:jc w:val="left"/>
        <w:spacing w:line="276"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5、我方认为贵方有权决定中标者，还认为贵方有权接受或拒绝所有的投标者。</w:t>
      </w:r>
      <w:r>
        <w:rPr>
          <w:color w:val="auto"/>
          <w:highlight w:val="none"/>
        </w:rPr>
      </w:r>
      <w:r/>
    </w:p>
    <w:p>
      <w:pPr>
        <w:ind w:firstLine="480"/>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ascii="宋体" w:hAnsi="宋体" w:eastAsia="宋体" w:cs="宋体"/>
          <w:color w:val="auto"/>
          <w:sz w:val="24"/>
          <w:highlight w:val="none"/>
        </w:rPr>
        <w:t xml:space="preserve">、我方愿意遵守招标公告及招标文件中所列的收费标准。</w:t>
      </w:r>
      <w:r>
        <w:rPr>
          <w:color w:val="auto"/>
          <w:highlight w:val="none"/>
        </w:rPr>
      </w:r>
      <w:r/>
    </w:p>
    <w:p>
      <w:pPr>
        <w:ind w:firstLine="480"/>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ascii="宋体" w:hAnsi="宋体" w:eastAsia="宋体" w:cs="宋体"/>
          <w:color w:val="auto"/>
          <w:sz w:val="24"/>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color w:val="auto"/>
          <w:highlight w:val="none"/>
        </w:rPr>
      </w:r>
      <w:r/>
    </w:p>
    <w:p>
      <w:pPr>
        <w:ind w:firstLine="480"/>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、我方同意中标方若无法按约定条款履行义务等行为，招标方有权取消我方的中标资格。</w:t>
      </w:r>
      <w:r>
        <w:rPr>
          <w:color w:val="auto"/>
          <w:highlight w:val="none"/>
        </w:rPr>
      </w:r>
      <w:r/>
    </w:p>
    <w:p>
      <w:pPr>
        <w:ind w:firstLine="480"/>
        <w:jc w:val="left"/>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ascii="宋体" w:hAnsi="宋体" w:eastAsia="宋体" w:cs="宋体"/>
          <w:color w:val="auto"/>
          <w:sz w:val="24"/>
          <w:highlight w:val="none"/>
        </w:rPr>
        <w:t xml:space="preserve">、与本投标有关的通讯地址：</w:t>
      </w:r>
      <w:r>
        <w:rPr>
          <w:color w:val="auto"/>
          <w:highlight w:val="none"/>
        </w:rPr>
      </w:r>
      <w:r/>
    </w:p>
    <w:p>
      <w:pPr>
        <w:pStyle w:val="770"/>
        <w:ind w:firstLine="480"/>
        <w:jc w:val="both"/>
        <w:spacing w:before="0" w:beforeAutospacing="0" w:after="0" w:afterAutospacing="0"/>
        <w:widowControl w:val="off"/>
        <w:rPr>
          <w:rFonts w:hint="eastAsia"/>
          <w:color w:val="auto"/>
          <w:highlight w:val="none"/>
          <w:u w:val="single"/>
        </w:rPr>
      </w:pPr>
      <w:r>
        <w:rPr>
          <w:color w:val="auto"/>
          <w:highlight w:val="none"/>
        </w:rPr>
        <w:t xml:space="preserve">单    位：</w:t>
      </w:r>
      <w:r>
        <w:rPr>
          <w:rFonts w:hint="eastAsia"/>
          <w:color w:val="auto"/>
          <w:highlight w:val="none"/>
          <w:u w:val="single"/>
        </w:rPr>
        <w:t xml:space="preserve">                              </w:t>
      </w:r>
      <w:r>
        <w:rPr>
          <w:color w:val="auto"/>
          <w:highlight w:val="none"/>
        </w:rPr>
        <w:t xml:space="preserve">联 系 人：</w:t>
      </w:r>
      <w:r>
        <w:rPr>
          <w:rFonts w:hint="eastAsia"/>
          <w:color w:val="auto"/>
          <w:highlight w:val="none"/>
        </w:rPr>
        <w:t xml:space="preserve">_____________________</w:t>
      </w:r>
      <w:r>
        <w:rPr>
          <w:color w:val="auto"/>
          <w:highlight w:val="none"/>
        </w:rPr>
      </w:r>
      <w:r/>
    </w:p>
    <w:p>
      <w:pPr>
        <w:pStyle w:val="770"/>
        <w:ind w:firstLine="480"/>
        <w:jc w:val="both"/>
        <w:spacing w:before="0" w:beforeAutospacing="0" w:after="0" w:afterAutospacing="0"/>
        <w:widowControl w:val="off"/>
        <w:rPr>
          <w:rFonts w:hint="eastAsia"/>
          <w:color w:val="auto"/>
          <w:highlight w:val="none"/>
          <w:u w:val="single"/>
        </w:rPr>
      </w:pPr>
      <w:r>
        <w:rPr>
          <w:color w:val="auto"/>
          <w:highlight w:val="none"/>
        </w:rPr>
        <w:t xml:space="preserve">地    址：</w:t>
      </w:r>
      <w:r>
        <w:rPr>
          <w:rFonts w:hint="eastAsia"/>
          <w:color w:val="auto"/>
          <w:highlight w:val="none"/>
          <w:u w:val="single"/>
        </w:rPr>
        <w:t xml:space="preserve">                             </w:t>
      </w:r>
      <w:r>
        <w:rPr>
          <w:color w:val="auto"/>
          <w:highlight w:val="none"/>
          <w:u w:val="single"/>
        </w:rPr>
        <w:t xml:space="preserve"> </w:t>
      </w:r>
      <w:r>
        <w:rPr>
          <w:color w:val="auto"/>
          <w:highlight w:val="none"/>
        </w:rPr>
        <w:t xml:space="preserve">邮政编码：</w:t>
      </w:r>
      <w:r>
        <w:rPr>
          <w:rFonts w:hint="eastAsia"/>
          <w:color w:val="auto"/>
          <w:highlight w:val="none"/>
        </w:rPr>
        <w:t xml:space="preserve">_____________________</w:t>
      </w:r>
      <w:r>
        <w:rPr>
          <w:color w:val="auto"/>
          <w:highlight w:val="none"/>
        </w:rPr>
      </w:r>
      <w:r/>
    </w:p>
    <w:p>
      <w:pPr>
        <w:pStyle w:val="770"/>
        <w:ind w:firstLine="480"/>
        <w:jc w:val="both"/>
        <w:spacing w:before="0" w:beforeAutospacing="0" w:after="0" w:afterAutospacing="0"/>
        <w:widowControl w:val="off"/>
        <w:rPr>
          <w:rFonts w:hint="eastAsia"/>
          <w:color w:val="auto"/>
          <w:highlight w:val="none"/>
          <w:u w:val="single"/>
        </w:rPr>
      </w:pPr>
      <w:r>
        <w:rPr>
          <w:color w:val="auto"/>
          <w:highlight w:val="none"/>
        </w:rPr>
        <w:t xml:space="preserve">联系电话：</w:t>
      </w:r>
      <w:r>
        <w:rPr>
          <w:rFonts w:hint="eastAsia"/>
          <w:color w:val="auto"/>
          <w:highlight w:val="none"/>
          <w:u w:val="single"/>
        </w:rPr>
        <w:t xml:space="preserve">                             </w:t>
      </w:r>
      <w:r>
        <w:rPr>
          <w:color w:val="auto"/>
          <w:highlight w:val="none"/>
          <w:u w:val="single"/>
        </w:rPr>
        <w:t xml:space="preserve"> </w:t>
      </w:r>
      <w:r>
        <w:rPr>
          <w:color w:val="auto"/>
          <w:highlight w:val="none"/>
        </w:rPr>
        <w:t xml:space="preserve">传    真：</w:t>
      </w:r>
      <w:r>
        <w:rPr>
          <w:rFonts w:hint="eastAsia"/>
          <w:color w:val="auto"/>
          <w:highlight w:val="none"/>
        </w:rPr>
        <w:t xml:space="preserve">_____________________</w:t>
      </w:r>
      <w:r>
        <w:rPr>
          <w:color w:val="auto"/>
          <w:highlight w:val="none"/>
        </w:rPr>
      </w:r>
      <w:r/>
    </w:p>
    <w:p>
      <w:pPr>
        <w:pStyle w:val="770"/>
        <w:ind w:firstLine="480"/>
        <w:jc w:val="both"/>
        <w:spacing w:before="0" w:beforeAutospacing="0" w:after="0" w:afterAutospacing="0"/>
        <w:widowControl w:val="off"/>
        <w:rPr>
          <w:rFonts w:hint="eastAsia"/>
          <w:color w:val="auto"/>
          <w:highlight w:val="none"/>
          <w:u w:val="single"/>
        </w:rPr>
      </w:pPr>
      <w:r>
        <w:rPr>
          <w:rFonts w:hint="eastAsia"/>
          <w:color w:val="auto"/>
          <w:highlight w:val="none"/>
        </w:rPr>
        <w:t xml:space="preserve">电子邮箱：______________________________</w:t>
      </w:r>
      <w:r>
        <w:rPr>
          <w:color w:val="auto"/>
          <w:highlight w:val="none"/>
        </w:rPr>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bookmarkEnd w:id="18"/>
      <w:r>
        <w:rPr>
          <w:color w:val="auto"/>
          <w:highlight w:val="none"/>
        </w:rPr>
      </w:r>
      <w:r/>
    </w:p>
    <w:p>
      <w:pPr>
        <w:pStyle w:val="930"/>
        <w:jc w:val="right"/>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rPr>
          <w:color w:val="auto"/>
          <w:highlight w:val="none"/>
        </w:rPr>
      </w:r>
      <w:r/>
    </w:p>
    <w:p>
      <w:pPr>
        <w:pStyle w:val="753"/>
        <w:rPr>
          <w:color w:val="auto"/>
          <w:highlight w:val="none"/>
        </w:rPr>
      </w:pPr>
      <w:r>
        <w:rPr>
          <w:color w:val="auto"/>
          <w:highlight w:val="none"/>
        </w:rPr>
      </w:r>
      <w:r>
        <w:rPr>
          <w:color w:val="auto"/>
          <w:highlight w:val="none"/>
        </w:rPr>
      </w:r>
      <w:r/>
    </w:p>
    <w:p>
      <w:pPr>
        <w:pStyle w:val="749"/>
        <w:ind w:firstLine="0"/>
        <w:spacing w:line="360" w:lineRule="auto"/>
        <w:rPr>
          <w:rFonts w:hint="eastAsia" w:ascii="宋体" w:hAnsi="宋体" w:eastAsia="宋体"/>
          <w:b/>
          <w:color w:val="auto"/>
          <w:szCs w:val="24"/>
          <w:highlight w:val="none"/>
        </w:rPr>
      </w:pPr>
      <w:r>
        <w:rPr>
          <w:color w:val="auto"/>
          <w:highlight w:val="none"/>
        </w:rPr>
        <w:br w:type="page" w:clear="all"/>
      </w:r>
      <w:r>
        <w:rPr>
          <w:rFonts w:hint="eastAsia" w:ascii="宋体" w:hAnsi="宋体" w:eastAsia="宋体"/>
          <w:b/>
          <w:color w:val="auto"/>
          <w:szCs w:val="24"/>
          <w:highlight w:val="none"/>
        </w:rPr>
        <w:t xml:space="preserve">6、关于资格文件的声明函</w:t>
      </w:r>
      <w:r>
        <w:rPr>
          <w:color w:val="auto"/>
          <w:highlight w:val="none"/>
        </w:rPr>
      </w:r>
      <w:r/>
    </w:p>
    <w:p>
      <w:pPr>
        <w:pStyle w:val="749"/>
        <w:ind w:firstLine="0"/>
        <w:jc w:val="center"/>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关于资格文件的声明函</w:t>
      </w:r>
      <w:r>
        <w:rPr>
          <w:color w:val="auto"/>
          <w:highlight w:val="none"/>
        </w:rPr>
      </w:r>
      <w:r/>
    </w:p>
    <w:p>
      <w:pPr>
        <w:pStyle w:val="749"/>
        <w:ind w:firstLine="480"/>
        <w:spacing w:line="360" w:lineRule="auto"/>
        <w:rPr>
          <w:rFonts w:hint="eastAsia" w:ascii="宋体" w:hAnsi="宋体" w:eastAsia="宋体"/>
          <w:color w:val="auto"/>
          <w:szCs w:val="24"/>
          <w:highlight w:val="none"/>
        </w:rPr>
      </w:pP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本公司愿就由贵公司组织实施的编号为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auto"/>
          <w:highlight w:val="none"/>
        </w:rPr>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rPr>
          <w:color w:val="auto"/>
          <w:highlight w:val="none"/>
        </w:rPr>
      </w:r>
      <w:r/>
    </w:p>
    <w:p>
      <w:pPr>
        <w:pStyle w:val="930"/>
        <w:jc w:val="right"/>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rPr>
          <w:color w:val="auto"/>
          <w:highlight w:val="none"/>
        </w:rPr>
      </w:r>
      <w:r/>
    </w:p>
    <w:p>
      <w:pPr>
        <w:pStyle w:val="930"/>
        <w:jc w:val="left"/>
        <w:spacing w:line="360" w:lineRule="auto"/>
        <w:rPr>
          <w:rFonts w:hint="eastAsia" w:hAnsi="宋体" w:eastAsia="宋体"/>
          <w:b/>
          <w:bCs/>
          <w:color w:val="auto"/>
          <w:sz w:val="24"/>
          <w:szCs w:val="24"/>
          <w:highlight w:val="none"/>
        </w:rPr>
      </w:pPr>
      <w:r>
        <w:rPr>
          <w:rFonts w:hint="eastAsia" w:hAnsi="宋体" w:eastAsia="宋体"/>
          <w:b/>
          <w:bCs/>
          <w:color w:val="auto"/>
          <w:sz w:val="24"/>
          <w:szCs w:val="24"/>
          <w:highlight w:val="none"/>
        </w:rPr>
      </w:r>
      <w:r>
        <w:rPr>
          <w:color w:val="auto"/>
          <w:highlight w:val="none"/>
        </w:rPr>
      </w:r>
      <w:r/>
    </w:p>
    <w:p>
      <w:pPr>
        <w:pStyle w:val="930"/>
        <w:jc w:val="left"/>
        <w:spacing w:line="360" w:lineRule="auto"/>
        <w:rPr>
          <w:rFonts w:hint="eastAsia" w:hAnsi="宋体" w:eastAsia="宋体"/>
          <w:b/>
          <w:bCs/>
          <w:color w:val="auto"/>
          <w:sz w:val="24"/>
          <w:szCs w:val="24"/>
          <w:highlight w:val="none"/>
        </w:rPr>
      </w:pPr>
      <w:r>
        <w:rPr>
          <w:rFonts w:hint="eastAsia" w:hAnsi="宋体" w:eastAsia="宋体"/>
          <w:b/>
          <w:bCs/>
          <w:color w:val="auto"/>
          <w:sz w:val="24"/>
          <w:szCs w:val="24"/>
          <w:highlight w:val="none"/>
        </w:rPr>
      </w:r>
      <w:r>
        <w:rPr>
          <w:color w:val="auto"/>
          <w:highlight w:val="none"/>
        </w:rPr>
      </w:r>
      <w:r/>
    </w:p>
    <w:p>
      <w:pPr>
        <w:pStyle w:val="749"/>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p>
      <w:pPr>
        <w:pStyle w:val="749"/>
        <w:ind w:firstLine="0"/>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r>
      <w:r>
        <w:rPr>
          <w:color w:val="auto"/>
          <w:highlight w:val="none"/>
        </w:rPr>
      </w:r>
      <w:r/>
    </w:p>
    <w:p>
      <w:pPr>
        <w:pStyle w:val="932"/>
        <w:spacing w:line="360" w:lineRule="auto"/>
        <w:rPr>
          <w:rFonts w:hint="eastAsia" w:hAnsi="宋体" w:eastAsia="宋体"/>
          <w:b/>
          <w:bCs/>
          <w:color w:val="auto"/>
          <w:sz w:val="24"/>
          <w:szCs w:val="24"/>
          <w:highlight w:val="none"/>
        </w:rPr>
        <w:outlineLvl w:val="1"/>
      </w:pPr>
      <w:r>
        <w:rPr>
          <w:color w:val="auto"/>
          <w:highlight w:val="none"/>
        </w:rPr>
        <w:br w:type="page" w:clear="all"/>
      </w:r>
      <w:r>
        <w:rPr>
          <w:rFonts w:hint="eastAsia"/>
          <w:b/>
          <w:bCs/>
          <w:color w:val="auto"/>
          <w:sz w:val="24"/>
          <w:szCs w:val="24"/>
          <w:highlight w:val="none"/>
        </w:rPr>
        <w:t xml:space="preserve">7</w:t>
      </w:r>
      <w:r>
        <w:rPr>
          <w:rFonts w:hint="eastAsia" w:hAnsi="宋体" w:eastAsia="宋体"/>
          <w:b/>
          <w:bCs/>
          <w:color w:val="auto"/>
          <w:sz w:val="24"/>
          <w:szCs w:val="24"/>
          <w:highlight w:val="none"/>
        </w:rPr>
        <w:t xml:space="preserve">、投标人基本情况表</w:t>
      </w:r>
      <w:r>
        <w:rPr>
          <w:color w:val="auto"/>
          <w:highlight w:val="none"/>
        </w:rPr>
      </w:r>
      <w:r/>
    </w:p>
    <w:p>
      <w:pPr>
        <w:pStyle w:val="749"/>
        <w:ind w:firstLine="0"/>
        <w:jc w:val="center"/>
        <w:spacing w:line="360" w:lineRule="auto"/>
        <w:rPr>
          <w:rFonts w:hint="eastAsia" w:ascii="宋体" w:hAnsi="宋体" w:eastAsia="宋体"/>
          <w:b/>
          <w:color w:val="auto"/>
          <w:szCs w:val="24"/>
          <w:highlight w:val="none"/>
        </w:rPr>
      </w:pPr>
      <w:r>
        <w:rPr>
          <w:rFonts w:hint="eastAsia" w:hAnsi="宋体" w:eastAsia="宋体"/>
          <w:b/>
          <w:color w:val="auto"/>
          <w:szCs w:val="24"/>
          <w:highlight w:val="none"/>
        </w:rPr>
        <w:t xml:space="preserve">投标人基本情况表</w:t>
      </w:r>
      <w:r>
        <w:rPr>
          <w:color w:val="auto"/>
          <w:highlight w:val="none"/>
        </w:rPr>
      </w:r>
      <w:r/>
    </w:p>
    <w:tbl>
      <w:tblPr>
        <w:tblStyle w:val="747"/>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法定代表人</w:t>
            </w:r>
            <w:r>
              <w:rPr>
                <w:color w:val="auto"/>
                <w:highlight w:val="none"/>
              </w:rPr>
            </w:r>
            <w:r/>
          </w:p>
        </w:tc>
        <w:tc>
          <w:tcPr>
            <w:tcW w:w="1923"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c>
          <w:tcPr>
            <w:tcW w:w="145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成立日期</w:t>
            </w:r>
            <w:r>
              <w:rPr>
                <w:color w:val="auto"/>
                <w:highlight w:val="none"/>
              </w:rPr>
            </w:r>
            <w:r/>
          </w:p>
        </w:tc>
        <w:tc>
          <w:tcPr>
            <w:gridSpan w:val="2"/>
            <w:tcW w:w="3285"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企业地址</w:t>
            </w:r>
            <w:r>
              <w:rPr>
                <w:color w:val="auto"/>
                <w:highlight w:val="none"/>
              </w:rPr>
            </w:r>
            <w:r/>
          </w:p>
        </w:tc>
        <w:tc>
          <w:tcPr>
            <w:tcW w:w="1923"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c>
          <w:tcPr>
            <w:tcW w:w="145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注册资本</w:t>
            </w:r>
            <w:r>
              <w:rPr>
                <w:color w:val="auto"/>
                <w:highlight w:val="none"/>
              </w:rPr>
            </w:r>
            <w:r/>
          </w:p>
        </w:tc>
        <w:tc>
          <w:tcPr>
            <w:gridSpan w:val="2"/>
            <w:tcW w:w="3285" w:type="dxa"/>
            <w:vAlign w:val="center"/>
            <w:textDirection w:val="lrTb"/>
            <w:noWrap w:val="false"/>
          </w:tcPr>
          <w:p>
            <w:pPr>
              <w:pStyle w:val="749"/>
              <w:ind w:firstLine="216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万元</w:t>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经营范围</w:t>
            </w:r>
            <w:r>
              <w:rPr>
                <w:color w:val="auto"/>
                <w:highlight w:val="none"/>
              </w:rPr>
            </w:r>
            <w:r/>
          </w:p>
        </w:tc>
        <w:tc>
          <w:tcPr>
            <w:gridSpan w:val="4"/>
            <w:tcW w:w="6666"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职工人数</w:t>
            </w:r>
            <w:r>
              <w:rPr>
                <w:color w:val="auto"/>
                <w:highlight w:val="none"/>
              </w:rPr>
            </w:r>
            <w:r/>
          </w:p>
        </w:tc>
        <w:tc>
          <w:tcPr>
            <w:tcW w:w="1923"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c>
          <w:tcPr>
            <w:gridSpan w:val="2"/>
            <w:tcW w:w="3509"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其中：有中高级以上职称的人数</w:t>
            </w:r>
            <w:r>
              <w:rPr>
                <w:color w:val="auto"/>
                <w:highlight w:val="none"/>
              </w:rPr>
            </w:r>
            <w:r/>
          </w:p>
        </w:tc>
        <w:tc>
          <w:tcPr>
            <w:tcW w:w="1234"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资产总计</w:t>
            </w:r>
            <w:r>
              <w:rPr>
                <w:color w:val="auto"/>
                <w:highlight w:val="none"/>
              </w:rPr>
            </w:r>
            <w:r/>
          </w:p>
        </w:tc>
        <w:tc>
          <w:tcPr>
            <w:tcW w:w="1923"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万元</w:t>
            </w:r>
            <w:r>
              <w:rPr>
                <w:color w:val="auto"/>
                <w:highlight w:val="none"/>
              </w:rPr>
            </w:r>
            <w:r/>
          </w:p>
        </w:tc>
        <w:tc>
          <w:tcPr>
            <w:tcW w:w="145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净资产</w:t>
            </w:r>
            <w:r>
              <w:rPr>
                <w:color w:val="auto"/>
                <w:highlight w:val="none"/>
              </w:rPr>
            </w:r>
            <w:r/>
          </w:p>
        </w:tc>
        <w:tc>
          <w:tcPr>
            <w:gridSpan w:val="2"/>
            <w:tcW w:w="3285"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万元</w:t>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股东权益</w:t>
            </w:r>
            <w:r>
              <w:rPr>
                <w:color w:val="auto"/>
                <w:highlight w:val="none"/>
              </w:rPr>
            </w:r>
            <w:r/>
          </w:p>
        </w:tc>
        <w:tc>
          <w:tcPr>
            <w:tcW w:w="1923"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万元</w:t>
            </w:r>
            <w:r>
              <w:rPr>
                <w:color w:val="auto"/>
                <w:highlight w:val="none"/>
              </w:rPr>
            </w:r>
            <w:r/>
          </w:p>
        </w:tc>
        <w:tc>
          <w:tcPr>
            <w:tcW w:w="145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销售收入</w:t>
            </w:r>
            <w:r>
              <w:rPr>
                <w:color w:val="auto"/>
                <w:highlight w:val="none"/>
              </w:rPr>
            </w:r>
            <w:r/>
          </w:p>
        </w:tc>
        <w:tc>
          <w:tcPr>
            <w:gridSpan w:val="2"/>
            <w:tcW w:w="3285"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2024年    万元</w:t>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实现利润</w:t>
            </w:r>
            <w:r>
              <w:rPr>
                <w:color w:val="auto"/>
                <w:highlight w:val="none"/>
              </w:rPr>
            </w:r>
            <w:r/>
          </w:p>
        </w:tc>
        <w:tc>
          <w:tcPr>
            <w:tcW w:w="1923"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2024年   万元</w:t>
            </w:r>
            <w:r>
              <w:rPr>
                <w:color w:val="auto"/>
                <w:highlight w:val="none"/>
              </w:rPr>
            </w:r>
            <w:r/>
          </w:p>
        </w:tc>
        <w:tc>
          <w:tcPr>
            <w:tcW w:w="145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c>
          <w:tcPr>
            <w:gridSpan w:val="2"/>
            <w:tcW w:w="3285"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营业面积（含厂房面积）</w:t>
            </w:r>
            <w:r>
              <w:rPr>
                <w:color w:val="auto"/>
                <w:highlight w:val="none"/>
              </w:rPr>
            </w:r>
            <w:r/>
          </w:p>
        </w:tc>
        <w:tc>
          <w:tcPr>
            <w:tcW w:w="1923"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平方米</w:t>
            </w:r>
            <w:r>
              <w:rPr>
                <w:color w:val="auto"/>
                <w:highlight w:val="none"/>
              </w:rPr>
            </w:r>
            <w:r/>
          </w:p>
        </w:tc>
        <w:tc>
          <w:tcPr>
            <w:tcW w:w="145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其中：</w:t>
            </w:r>
            <w:r>
              <w:rPr>
                <w:color w:val="auto"/>
                <w:highlight w:val="none"/>
              </w:rPr>
            </w:r>
            <w:r/>
          </w:p>
        </w:tc>
        <w:tc>
          <w:tcPr>
            <w:gridSpan w:val="2"/>
            <w:tcW w:w="3285"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自有面积平方米</w:t>
            </w:r>
            <w:r>
              <w:rPr>
                <w:color w:val="auto"/>
                <w:highlight w:val="none"/>
              </w:rPr>
            </w:r>
            <w:r/>
          </w:p>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承租面积平方米</w:t>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单位简历及内设机构情况</w:t>
            </w:r>
            <w:r>
              <w:rPr>
                <w:color w:val="auto"/>
                <w:highlight w:val="none"/>
              </w:rPr>
            </w:r>
            <w:r/>
          </w:p>
        </w:tc>
        <w:tc>
          <w:tcPr>
            <w:gridSpan w:val="4"/>
            <w:tcW w:w="6666"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单位优势及特长</w:t>
            </w:r>
            <w:r>
              <w:rPr>
                <w:color w:val="auto"/>
                <w:highlight w:val="none"/>
              </w:rPr>
            </w:r>
            <w:r/>
          </w:p>
        </w:tc>
        <w:tc>
          <w:tcPr>
            <w:gridSpan w:val="4"/>
            <w:tcW w:w="6666"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近三年来完成或正在履行的重大合同情况</w:t>
            </w:r>
            <w:r>
              <w:rPr>
                <w:color w:val="auto"/>
                <w:highlight w:val="none"/>
              </w:rPr>
            </w:r>
            <w:r/>
          </w:p>
        </w:tc>
        <w:tc>
          <w:tcPr>
            <w:gridSpan w:val="4"/>
            <w:tcW w:w="6666"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年内在经营过程中受到何种奖励或处分</w:t>
            </w:r>
            <w:r>
              <w:rPr>
                <w:color w:val="auto"/>
                <w:highlight w:val="none"/>
              </w:rPr>
            </w:r>
            <w:r/>
          </w:p>
        </w:tc>
        <w:tc>
          <w:tcPr>
            <w:gridSpan w:val="4"/>
            <w:tcW w:w="6666"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年内有无因售假、售劣或是其他原因被消费者投诉或起诉的情况及说明</w:t>
            </w:r>
            <w:r>
              <w:rPr>
                <w:color w:val="auto"/>
                <w:highlight w:val="none"/>
              </w:rPr>
            </w:r>
            <w:r/>
          </w:p>
        </w:tc>
        <w:tc>
          <w:tcPr>
            <w:gridSpan w:val="4"/>
            <w:tcW w:w="6666"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年内主要负责人有无因经济犯罪被司法机关追究的情况及说明</w:t>
            </w:r>
            <w:r>
              <w:rPr>
                <w:color w:val="auto"/>
                <w:highlight w:val="none"/>
              </w:rPr>
            </w:r>
            <w:r/>
          </w:p>
        </w:tc>
        <w:tc>
          <w:tcPr>
            <w:gridSpan w:val="4"/>
            <w:tcW w:w="6666"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获得技术认证的工程师及简介</w:t>
            </w:r>
            <w:r>
              <w:rPr>
                <w:color w:val="auto"/>
                <w:highlight w:val="none"/>
              </w:rPr>
            </w:r>
            <w:r/>
          </w:p>
        </w:tc>
        <w:tc>
          <w:tcPr>
            <w:gridSpan w:val="4"/>
            <w:tcW w:w="6666"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r>
        <w:trPr>
          <w:cantSplit/>
          <w:trHeight w:val="510"/>
        </w:trPr>
        <w:tc>
          <w:tcPr>
            <w:tcW w:w="2898"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其他需要说明的情况</w:t>
            </w:r>
            <w:r>
              <w:rPr>
                <w:color w:val="auto"/>
                <w:highlight w:val="none"/>
              </w:rPr>
            </w:r>
            <w:r/>
          </w:p>
        </w:tc>
        <w:tc>
          <w:tcPr>
            <w:gridSpan w:val="4"/>
            <w:tcW w:w="6666" w:type="dxa"/>
            <w:vAlign w:val="center"/>
            <w:textDirection w:val="lrTb"/>
            <w:noWrap w:val="false"/>
          </w:tcPr>
          <w:p>
            <w:pPr>
              <w:pStyle w:val="749"/>
              <w:ind w:firstLine="0"/>
              <w:jc w:val="center"/>
              <w:rPr>
                <w:rFonts w:hint="eastAsia" w:ascii="宋体" w:hAnsi="宋体" w:eastAsia="宋体"/>
                <w:color w:val="auto"/>
                <w:szCs w:val="24"/>
                <w:highlight w:val="none"/>
              </w:rPr>
            </w:pPr>
            <w:r>
              <w:rPr>
                <w:rFonts w:hint="eastAsia" w:ascii="宋体" w:hAnsi="宋体" w:eastAsia="宋体"/>
                <w:color w:val="auto"/>
                <w:szCs w:val="24"/>
                <w:highlight w:val="none"/>
              </w:rPr>
            </w:r>
            <w:r>
              <w:rPr>
                <w:color w:val="auto"/>
                <w:highlight w:val="none"/>
              </w:rPr>
            </w:r>
            <w:r/>
          </w:p>
        </w:tc>
      </w:tr>
    </w:tbl>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rPr>
          <w:color w:val="auto"/>
          <w:highlight w:val="none"/>
        </w:rPr>
      </w:r>
      <w:r/>
    </w:p>
    <w:p>
      <w:pPr>
        <w:pStyle w:val="749"/>
        <w:ind w:firstLine="0"/>
        <w:jc w:val="both"/>
        <w:spacing w:line="360" w:lineRule="auto"/>
        <w:rPr>
          <w:color w:val="auto"/>
          <w:sz w:val="26"/>
          <w:szCs w:val="24"/>
          <w:highlight w:val="none"/>
        </w:rPr>
        <w:outlineLvl w:val="1"/>
      </w:pPr>
      <w:r>
        <w:rPr>
          <w:rFonts w:hint="eastAsia" w:ascii="宋体" w:hAnsi="宋体" w:eastAsia="宋体"/>
          <w:b/>
          <w:color w:val="auto"/>
          <w:highlight w:val="none"/>
        </w:rPr>
        <w:br w:type="page" w:clear="all"/>
      </w:r>
      <w:bookmarkStart w:id="19" w:name="_Hlk136550733"/>
      <w:r>
        <w:rPr>
          <w:rFonts w:hint="eastAsia" w:ascii="宋体" w:hAnsi="宋体" w:eastAsia="宋体" w:cs="宋体"/>
          <w:b/>
          <w:bCs/>
          <w:color w:val="auto"/>
          <w:szCs w:val="24"/>
          <w:highlight w:val="none"/>
        </w:rPr>
        <w:t xml:space="preserve">8、商务条款偏离表</w:t>
      </w:r>
      <w:r>
        <w:rPr>
          <w:color w:val="auto"/>
          <w:highlight w:val="none"/>
        </w:rPr>
      </w:r>
      <w:r/>
    </w:p>
    <w:p>
      <w:pPr>
        <w:pStyle w:val="749"/>
        <w:ind w:firstLine="0"/>
        <w:jc w:val="center"/>
        <w:spacing w:line="360" w:lineRule="auto"/>
        <w:rPr>
          <w:rFonts w:hint="eastAsia" w:ascii="宋体" w:hAnsi="宋体" w:eastAsia="宋体"/>
          <w:b/>
          <w:color w:val="auto"/>
          <w:szCs w:val="24"/>
          <w:highlight w:val="none"/>
        </w:rPr>
        <w:outlineLvl w:val="1"/>
      </w:pPr>
      <w:r>
        <w:rPr>
          <w:rFonts w:hint="eastAsia" w:ascii="宋体" w:hAnsi="宋体" w:eastAsia="宋体"/>
          <w:b/>
          <w:color w:val="auto"/>
          <w:szCs w:val="24"/>
          <w:highlight w:val="none"/>
        </w:rPr>
        <w:t xml:space="preserve">商务条款偏离表</w:t>
      </w:r>
      <w:r>
        <w:rPr>
          <w:color w:val="auto"/>
          <w:highlight w:val="none"/>
        </w:rPr>
      </w:r>
      <w:r/>
    </w:p>
    <w:tbl>
      <w:tblPr>
        <w:tblStyle w:val="7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41"/>
        <w:gridCol w:w="2675"/>
        <w:gridCol w:w="2675"/>
        <w:gridCol w:w="1913"/>
      </w:tblGrid>
      <w:tr>
        <w:trPr/>
        <w:tc>
          <w:tcPr>
            <w:tcW w:w="387" w:type="pct"/>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rPr>
                <w:color w:val="auto"/>
                <w:highlight w:val="none"/>
              </w:rPr>
            </w:r>
            <w:r/>
          </w:p>
        </w:tc>
        <w:tc>
          <w:tcPr>
            <w:tcW w:w="1050" w:type="pct"/>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商务内容</w:t>
            </w:r>
            <w:r>
              <w:rPr>
                <w:color w:val="auto"/>
                <w:highlight w:val="none"/>
              </w:rPr>
            </w:r>
            <w:r/>
          </w:p>
        </w:tc>
        <w:tc>
          <w:tcPr>
            <w:tcW w:w="1312" w:type="pct"/>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招标文件的商务条款</w:t>
            </w:r>
            <w:r>
              <w:rPr>
                <w:color w:val="auto"/>
                <w:highlight w:val="none"/>
              </w:rPr>
            </w:r>
            <w:r/>
          </w:p>
        </w:tc>
        <w:tc>
          <w:tcPr>
            <w:tcW w:w="1312" w:type="pct"/>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rPr>
                <w:color w:val="auto"/>
                <w:highlight w:val="none"/>
              </w:rPr>
            </w:r>
            <w:r/>
          </w:p>
        </w:tc>
        <w:tc>
          <w:tcPr>
            <w:tcW w:w="938" w:type="pct"/>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rPr>
                <w:color w:val="auto"/>
                <w:highlight w:val="none"/>
              </w:rPr>
            </w:r>
            <w:r/>
          </w:p>
        </w:tc>
      </w:tr>
      <w:tr>
        <w:trPr/>
        <w:tc>
          <w:tcPr>
            <w:tcW w:w="387"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50"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38"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c>
          <w:tcPr>
            <w:tcW w:w="387"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50"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38"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c>
          <w:tcPr>
            <w:tcW w:w="387"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50"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38"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c>
          <w:tcPr>
            <w:tcW w:w="387"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50"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38"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c>
          <w:tcPr>
            <w:tcW w:w="387"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50"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38"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c>
          <w:tcPr>
            <w:tcW w:w="387"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50"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38"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c>
          <w:tcPr>
            <w:tcW w:w="387"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50"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38"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c>
          <w:tcPr>
            <w:tcW w:w="387"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50"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38"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c>
          <w:tcPr>
            <w:tcW w:w="387"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50"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312"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38" w:type="pct"/>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bl>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bookmarkEnd w:id="19"/>
      <w:r>
        <w:rPr>
          <w:color w:val="auto"/>
          <w:highlight w:val="none"/>
        </w:rPr>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rPr>
          <w:color w:val="auto"/>
          <w:highlight w:val="none"/>
        </w:rPr>
      </w:r>
      <w:r/>
    </w:p>
    <w:p>
      <w:pPr>
        <w:pStyle w:val="932"/>
        <w:spacing w:line="360" w:lineRule="auto"/>
        <w:rPr>
          <w:b/>
          <w:color w:val="auto"/>
          <w:highlight w:val="none"/>
        </w:rPr>
        <w:outlineLvl w:val="1"/>
      </w:pPr>
      <w:r>
        <w:rPr>
          <w:rFonts w:hAnsi="宋体" w:eastAsia="宋体"/>
          <w:b/>
          <w:color w:val="auto"/>
          <w:szCs w:val="24"/>
          <w:highlight w:val="none"/>
        </w:rPr>
        <w:br w:type="page" w:clear="all"/>
      </w:r>
      <w:r>
        <w:rPr>
          <w:rFonts w:hint="eastAsia" w:hAnsi="宋体" w:eastAsia="宋体" w:cs="宋体"/>
          <w:b/>
          <w:color w:val="auto"/>
          <w:sz w:val="24"/>
          <w:szCs w:val="24"/>
          <w:highlight w:val="none"/>
        </w:rPr>
        <w:t xml:space="preserve">9、技术要求条款偏离表</w:t>
      </w:r>
      <w:r>
        <w:rPr>
          <w:color w:val="auto"/>
          <w:highlight w:val="none"/>
        </w:rPr>
      </w:r>
      <w:r/>
    </w:p>
    <w:p>
      <w:pPr>
        <w:pStyle w:val="749"/>
        <w:ind w:firstLine="0"/>
        <w:jc w:val="center"/>
        <w:spacing w:line="360" w:lineRule="auto"/>
        <w:tabs>
          <w:tab w:val="left" w:pos="900" w:leader="none"/>
        </w:tabs>
        <w:rPr>
          <w:rFonts w:hint="eastAsia" w:ascii="宋体" w:hAnsi="宋体" w:eastAsia="宋体"/>
          <w:b/>
          <w:color w:val="auto"/>
          <w:szCs w:val="24"/>
          <w:highlight w:val="none"/>
        </w:rPr>
      </w:pPr>
      <w:r>
        <w:rPr>
          <w:rFonts w:hint="eastAsia" w:ascii="宋体" w:hAnsi="宋体" w:eastAsia="宋体"/>
          <w:b/>
          <w:color w:val="auto"/>
          <w:szCs w:val="24"/>
          <w:highlight w:val="none"/>
        </w:rPr>
      </w:r>
      <w:r>
        <w:rPr>
          <w:color w:val="auto"/>
          <w:highlight w:val="none"/>
        </w:rPr>
      </w:r>
      <w:r/>
    </w:p>
    <w:p>
      <w:pPr>
        <w:pStyle w:val="749"/>
        <w:ind w:firstLine="0"/>
        <w:jc w:val="center"/>
        <w:spacing w:line="360" w:lineRule="auto"/>
        <w:tabs>
          <w:tab w:val="left" w:pos="900" w:leader="none"/>
        </w:tabs>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技术要求条款偏离表</w:t>
      </w:r>
      <w:r>
        <w:rPr>
          <w:color w:val="auto"/>
          <w:highlight w:val="none"/>
        </w:rPr>
      </w:r>
      <w:r/>
    </w:p>
    <w:tbl>
      <w:tblPr>
        <w:tblStyle w:val="747"/>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42"/>
        <w:gridCol w:w="2299"/>
        <w:gridCol w:w="2268"/>
        <w:gridCol w:w="1559"/>
        <w:gridCol w:w="1238"/>
      </w:tblGrid>
      <w:tr>
        <w:trPr>
          <w:jc w:val="center"/>
        </w:trPr>
        <w:tc>
          <w:tcPr>
            <w:tcW w:w="719"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rPr>
                <w:color w:val="auto"/>
                <w:highlight w:val="none"/>
              </w:rPr>
            </w:r>
            <w:r/>
          </w:p>
        </w:tc>
        <w:tc>
          <w:tcPr>
            <w:tcW w:w="1942"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技术内容</w:t>
            </w:r>
            <w:r>
              <w:rPr>
                <w:color w:val="auto"/>
                <w:highlight w:val="none"/>
              </w:rPr>
            </w:r>
            <w:r/>
          </w:p>
        </w:tc>
        <w:tc>
          <w:tcPr>
            <w:tcW w:w="2299"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招标文件技术要求条款</w:t>
            </w:r>
            <w:r>
              <w:rPr>
                <w:color w:val="auto"/>
                <w:highlight w:val="none"/>
              </w:rPr>
            </w:r>
            <w:r/>
          </w:p>
        </w:tc>
        <w:tc>
          <w:tcPr>
            <w:tcW w:w="226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投标文件技术要求条款</w:t>
            </w:r>
            <w:r>
              <w:rPr>
                <w:color w:val="auto"/>
                <w:highlight w:val="none"/>
              </w:rPr>
            </w:r>
            <w:r/>
          </w:p>
        </w:tc>
        <w:tc>
          <w:tcPr>
            <w:tcW w:w="1559" w:type="dxa"/>
            <w:vAlign w:val="center"/>
            <w:textDirection w:val="lrTb"/>
            <w:noWrap w:val="false"/>
          </w:tcPr>
          <w:p>
            <w:pPr>
              <w:jc w:val="center"/>
              <w:widowControl/>
              <w:rPr>
                <w:rFonts w:hint="eastAsia" w:ascii="宋体" w:hAnsi="宋体" w:eastAsia="宋体" w:cs="宋体"/>
                <w:color w:val="auto"/>
                <w:sz w:val="24"/>
                <w:highlight w:val="none"/>
              </w:rPr>
            </w:pPr>
            <w:r>
              <w:rPr>
                <w:rStyle w:val="933"/>
                <w:rFonts w:hint="default" w:cs="宋体"/>
                <w:color w:val="auto"/>
                <w:highlight w:val="none"/>
              </w:rPr>
              <w:t xml:space="preserve">偏离/响应</w:t>
            </w:r>
            <w:r>
              <w:rPr>
                <w:color w:val="auto"/>
                <w:highlight w:val="none"/>
              </w:rPr>
            </w:r>
            <w:r/>
          </w:p>
        </w:tc>
        <w:tc>
          <w:tcPr>
            <w:tcW w:w="123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rPr>
                <w:color w:val="auto"/>
                <w:highlight w:val="none"/>
              </w:rPr>
            </w:r>
            <w:r/>
          </w:p>
        </w:tc>
      </w:tr>
      <w:tr>
        <w:trPr>
          <w:jc w:val="center"/>
        </w:trPr>
        <w:tc>
          <w:tcPr>
            <w:tcW w:w="71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942"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9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6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559"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3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jc w:val="center"/>
        </w:trPr>
        <w:tc>
          <w:tcPr>
            <w:tcW w:w="71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942"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9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6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559"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3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jc w:val="center"/>
        </w:trPr>
        <w:tc>
          <w:tcPr>
            <w:tcW w:w="71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942"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9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6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559"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3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jc w:val="center"/>
        </w:trPr>
        <w:tc>
          <w:tcPr>
            <w:tcW w:w="71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942"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9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6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559"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3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jc w:val="center"/>
        </w:trPr>
        <w:tc>
          <w:tcPr>
            <w:tcW w:w="71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942"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9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6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559"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3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jc w:val="center"/>
        </w:trPr>
        <w:tc>
          <w:tcPr>
            <w:tcW w:w="71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942"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99"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26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559"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38" w:type="dxa"/>
            <w:textDirection w:val="lrTb"/>
            <w:noWrap w:val="false"/>
          </w:tcPr>
          <w:p>
            <w:pPr>
              <w:jc w:val="left"/>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bl>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注：1、投标人应对照招标文件技术要求等要求，所投标的物与招标文件的规定有偏离的，应在此表中申明与技术要求条文的偏差和例外。</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color w:val="auto"/>
          <w:highlight w:val="none"/>
        </w:rPr>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rPr>
          <w:color w:val="auto"/>
          <w:highlight w:val="none"/>
        </w:rPr>
      </w:r>
      <w:r/>
    </w:p>
    <w:p>
      <w:pPr>
        <w:ind w:firstLine="480"/>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rPr>
          <w:color w:val="auto"/>
          <w:highlight w:val="none"/>
        </w:rPr>
      </w:r>
      <w:r/>
    </w:p>
    <w:p>
      <w:pPr>
        <w:pStyle w:val="932"/>
        <w:spacing w:line="360" w:lineRule="auto"/>
        <w:rPr>
          <w:rFonts w:hint="eastAsia" w:hAnsi="宋体" w:eastAsia="宋体"/>
          <w:b/>
          <w:color w:val="auto"/>
          <w:sz w:val="24"/>
          <w:szCs w:val="24"/>
          <w:highlight w:val="none"/>
        </w:rPr>
        <w:outlineLvl w:val="1"/>
      </w:pPr>
      <w:r>
        <w:rPr>
          <w:color w:val="auto"/>
          <w:szCs w:val="24"/>
          <w:highlight w:val="none"/>
        </w:rPr>
        <w:br w:type="page" w:clear="all"/>
      </w:r>
      <w:r>
        <w:rPr>
          <w:rFonts w:hint="eastAsia" w:hAnsi="宋体" w:eastAsia="宋体"/>
          <w:b/>
          <w:color w:val="auto"/>
          <w:sz w:val="24"/>
          <w:szCs w:val="24"/>
          <w:highlight w:val="none"/>
        </w:rPr>
        <w:t xml:space="preserve">10、品牌、</w:t>
      </w:r>
      <w:r>
        <w:rPr>
          <w:rFonts w:hint="eastAsia" w:hAnsi="宋体" w:eastAsia="宋体"/>
          <w:b/>
          <w:color w:val="auto"/>
          <w:sz w:val="24"/>
          <w:szCs w:val="24"/>
          <w:highlight w:val="none"/>
        </w:rPr>
        <w:t xml:space="preserve">型号规格</w:t>
      </w:r>
      <w:r>
        <w:rPr>
          <w:rFonts w:hint="eastAsia" w:hAnsi="宋体" w:eastAsia="宋体"/>
          <w:b/>
          <w:color w:val="auto"/>
          <w:sz w:val="24"/>
          <w:szCs w:val="24"/>
          <w:highlight w:val="none"/>
        </w:rPr>
        <w:t xml:space="preserve">、生产厂家说明</w:t>
      </w:r>
      <w:r>
        <w:rPr>
          <w:color w:val="auto"/>
          <w:highlight w:val="none"/>
        </w:rPr>
      </w:r>
      <w:r/>
    </w:p>
    <w:p>
      <w:pPr>
        <w:pStyle w:val="932"/>
        <w:spacing w:line="360" w:lineRule="auto"/>
        <w:rPr>
          <w:rFonts w:hint="eastAsia" w:hAnsi="宋体" w:eastAsia="宋体"/>
          <w:b/>
          <w:color w:val="auto"/>
          <w:sz w:val="24"/>
          <w:szCs w:val="24"/>
          <w:highlight w:val="none"/>
        </w:rPr>
        <w:outlineLvl w:val="1"/>
      </w:pPr>
      <w:r>
        <w:rPr>
          <w:rFonts w:hint="eastAsia" w:hAnsi="宋体" w:eastAsia="宋体"/>
          <w:b/>
          <w:color w:val="auto"/>
          <w:sz w:val="24"/>
          <w:szCs w:val="24"/>
          <w:highlight w:val="none"/>
        </w:rPr>
      </w:r>
      <w:r>
        <w:rPr>
          <w:color w:val="auto"/>
          <w:highlight w:val="none"/>
        </w:rPr>
      </w:r>
      <w:r/>
    </w:p>
    <w:p>
      <w:pPr>
        <w:pStyle w:val="932"/>
        <w:jc w:val="center"/>
        <w:spacing w:line="360" w:lineRule="auto"/>
        <w:rPr>
          <w:rFonts w:hint="eastAsia" w:hAnsi="宋体" w:eastAsia="宋体"/>
          <w:b/>
          <w:color w:val="auto"/>
          <w:sz w:val="24"/>
          <w:szCs w:val="24"/>
          <w:highlight w:val="none"/>
        </w:rPr>
        <w:outlineLvl w:val="1"/>
      </w:pPr>
      <w:r>
        <w:rPr>
          <w:rFonts w:hint="eastAsia" w:hAnsi="宋体" w:eastAsia="宋体"/>
          <w:b/>
          <w:color w:val="auto"/>
          <w:sz w:val="24"/>
          <w:szCs w:val="24"/>
          <w:highlight w:val="none"/>
        </w:rPr>
        <w:t xml:space="preserve">品牌、</w:t>
      </w:r>
      <w:r>
        <w:rPr>
          <w:rFonts w:hint="eastAsia" w:hAnsi="宋体" w:eastAsia="宋体"/>
          <w:b/>
          <w:color w:val="auto"/>
          <w:sz w:val="24"/>
          <w:szCs w:val="24"/>
          <w:highlight w:val="none"/>
        </w:rPr>
        <w:t xml:space="preserve">型号规格</w:t>
      </w:r>
      <w:r>
        <w:rPr>
          <w:rFonts w:hint="eastAsia" w:hAnsi="宋体" w:eastAsia="宋体"/>
          <w:b/>
          <w:color w:val="auto"/>
          <w:sz w:val="24"/>
          <w:szCs w:val="24"/>
          <w:highlight w:val="none"/>
        </w:rPr>
        <w:t xml:space="preserve">、生产厂家说明</w:t>
      </w:r>
      <w:r>
        <w:rPr>
          <w:color w:val="auto"/>
          <w:highlight w:val="none"/>
        </w:rPr>
      </w:r>
      <w:r/>
    </w:p>
    <w:tbl>
      <w:tblPr>
        <w:tblStyle w:val="7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441"/>
        <w:gridCol w:w="1740"/>
        <w:gridCol w:w="1294"/>
        <w:gridCol w:w="1559"/>
        <w:gridCol w:w="2254"/>
        <w:gridCol w:w="1025"/>
      </w:tblGrid>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编号</w:t>
            </w:r>
            <w:r>
              <w:rPr>
                <w:color w:val="auto"/>
                <w:highlight w:val="none"/>
              </w:rPr>
            </w:r>
            <w:r/>
          </w:p>
        </w:tc>
        <w:tc>
          <w:tcPr>
            <w:tcW w:w="707"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品名</w:t>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品牌</w:t>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型号规格</w:t>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生产厂家</w:t>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交付时间</w:t>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备注</w:t>
            </w:r>
            <w:r>
              <w:rPr>
                <w:color w:val="auto"/>
                <w:highlight w:val="none"/>
              </w:rPr>
            </w:r>
            <w:r/>
          </w:p>
        </w:tc>
      </w:tr>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07" w:type="pct"/>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r>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07" w:type="pct"/>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r>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07" w:type="pct"/>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r>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07" w:type="pct"/>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r>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07" w:type="pct"/>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r>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07" w:type="pct"/>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r>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07" w:type="pct"/>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r>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07" w:type="pct"/>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r>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07" w:type="pct"/>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r>
      <w:tr>
        <w:trPr>
          <w:jc w:val="center"/>
          <w:trHeight w:val="454"/>
        </w:trPr>
        <w:tc>
          <w:tcPr>
            <w:tcW w:w="430"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07" w:type="pct"/>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854"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63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765"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1106"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c>
          <w:tcPr>
            <w:tcW w:w="503" w:type="pct"/>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rPr>
                <w:color w:val="auto"/>
                <w:highlight w:val="none"/>
              </w:rPr>
            </w:r>
            <w:r/>
          </w:p>
        </w:tc>
      </w:tr>
    </w:tbl>
    <w:p>
      <w:pPr>
        <w:pStyle w:val="932"/>
        <w:spacing w:line="360" w:lineRule="auto"/>
        <w:rPr>
          <w:rFonts w:hint="eastAsia" w:hAnsi="宋体" w:eastAsia="宋体"/>
          <w:b/>
          <w:color w:val="auto"/>
          <w:highlight w:val="none"/>
        </w:rPr>
        <w:outlineLvl w:val="1"/>
      </w:pPr>
      <w:r>
        <w:rPr>
          <w:rFonts w:hint="eastAsia" w:hAnsi="宋体" w:eastAsia="宋体"/>
          <w:b/>
          <w:color w:val="auto"/>
          <w:highlight w:val="none"/>
        </w:rPr>
      </w:r>
      <w:r>
        <w:rPr>
          <w:color w:val="auto"/>
          <w:highlight w:val="none"/>
        </w:rPr>
      </w:r>
      <w:r/>
    </w:p>
    <w:p>
      <w:pPr>
        <w:pStyle w:val="932"/>
        <w:spacing w:line="360" w:lineRule="auto"/>
        <w:rPr>
          <w:rFonts w:hint="eastAsia" w:hAnsi="宋体" w:eastAsia="宋体"/>
          <w:b/>
          <w:color w:val="auto"/>
          <w:highlight w:val="none"/>
        </w:rPr>
        <w:outlineLvl w:val="1"/>
      </w:pPr>
      <w:r>
        <w:rPr>
          <w:rFonts w:hint="eastAsia" w:hAnsi="宋体" w:eastAsia="宋体"/>
          <w:b/>
          <w:color w:val="auto"/>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rPr>
          <w:color w:val="auto"/>
          <w:highlight w:val="none"/>
        </w:rPr>
      </w:r>
      <w:r/>
    </w:p>
    <w:p>
      <w:pPr>
        <w:pStyle w:val="932"/>
        <w:spacing w:line="360" w:lineRule="auto"/>
        <w:rPr>
          <w:rFonts w:hint="eastAsia" w:hAnsi="宋体" w:eastAsia="宋体"/>
          <w:b/>
          <w:color w:val="auto"/>
          <w:highlight w:val="none"/>
        </w:rPr>
        <w:outlineLvl w:val="1"/>
      </w:pPr>
      <w:r>
        <w:rPr>
          <w:rFonts w:hint="eastAsia" w:hAnsi="宋体" w:eastAsia="宋体"/>
          <w:b/>
          <w:color w:val="auto"/>
          <w:highlight w:val="none"/>
        </w:rPr>
      </w:r>
      <w:r>
        <w:rPr>
          <w:color w:val="auto"/>
          <w:highlight w:val="none"/>
        </w:rPr>
      </w:r>
      <w:r/>
    </w:p>
    <w:p>
      <w:pPr>
        <w:pStyle w:val="932"/>
        <w:spacing w:line="360" w:lineRule="auto"/>
        <w:rPr>
          <w:rFonts w:hint="eastAsia" w:hAnsi="宋体" w:eastAsia="宋体"/>
          <w:b/>
          <w:color w:val="auto"/>
          <w:highlight w:val="none"/>
        </w:rPr>
        <w:outlineLvl w:val="1"/>
      </w:pPr>
      <w:r>
        <w:rPr>
          <w:rFonts w:hint="eastAsia" w:hAnsi="宋体" w:eastAsia="宋体"/>
          <w:b/>
          <w:color w:val="auto"/>
          <w:highlight w:val="none"/>
        </w:rPr>
      </w:r>
      <w:r>
        <w:rPr>
          <w:color w:val="auto"/>
          <w:highlight w:val="none"/>
        </w:rPr>
      </w:r>
      <w:r/>
    </w:p>
    <w:p>
      <w:pPr>
        <w:pStyle w:val="749"/>
        <w:ind w:firstLine="0"/>
        <w:spacing w:line="360" w:lineRule="auto"/>
        <w:rPr>
          <w:rFonts w:hint="eastAsia" w:ascii="宋体" w:hAnsi="宋体" w:eastAsia="宋体"/>
          <w:b/>
          <w:color w:val="auto"/>
          <w:szCs w:val="24"/>
          <w:highlight w:val="none"/>
        </w:rPr>
      </w:pPr>
      <w:r>
        <w:rPr>
          <w:rFonts w:hint="eastAsia"/>
          <w:b/>
          <w:color w:val="auto"/>
          <w:sz w:val="21"/>
          <w:szCs w:val="21"/>
          <w:highlight w:val="none"/>
        </w:rPr>
        <w:br w:type="page" w:clear="all"/>
      </w:r>
      <w:r>
        <w:rPr>
          <w:color w:val="auto"/>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11、企业类似业绩一览表</w:t>
      </w:r>
      <w:r>
        <w:rPr>
          <w:color w:val="auto"/>
          <w:highlight w:val="none"/>
        </w:rPr>
      </w:r>
      <w:r/>
    </w:p>
    <w:p>
      <w:pPr>
        <w:pStyle w:val="756"/>
        <w:spacing w:line="360" w:lineRule="auto"/>
        <w:rPr>
          <w:rFonts w:hint="eastAsia" w:hAnsi="宋体" w:eastAsia="宋体"/>
          <w:b/>
          <w:color w:val="auto"/>
          <w:sz w:val="24"/>
          <w:szCs w:val="24"/>
          <w:highlight w:val="none"/>
        </w:rPr>
        <w:outlineLvl w:val="1"/>
      </w:pPr>
      <w:r>
        <w:rPr>
          <w:rFonts w:hint="eastAsia" w:hAnsi="宋体" w:eastAsia="宋体"/>
          <w:b/>
          <w:color w:val="auto"/>
          <w:sz w:val="24"/>
          <w:szCs w:val="24"/>
          <w:highlight w:val="none"/>
        </w:rPr>
      </w:r>
      <w:r>
        <w:rPr>
          <w:color w:val="auto"/>
          <w:highlight w:val="none"/>
        </w:rPr>
      </w:r>
      <w:r/>
    </w:p>
    <w:p>
      <w:pPr>
        <w:jc w:val="center"/>
        <w:widowControl/>
        <w:rPr>
          <w:rFonts w:hint="eastAsia" w:ascii="宋体" w:hAnsi="宋体" w:eastAsia="宋体" w:cs="宋体"/>
          <w:b/>
          <w:color w:val="auto"/>
          <w:sz w:val="24"/>
          <w:highlight w:val="none"/>
        </w:rPr>
      </w:pPr>
      <w:r>
        <w:rPr>
          <w:color w:val="auto"/>
          <w:highlight w:val="none"/>
        </w:rPr>
      </w:r>
      <w:bookmarkStart w:id="20" w:name="_Toc13642115"/>
      <w:r>
        <w:rPr>
          <w:rFonts w:hint="eastAsia" w:ascii="宋体" w:hAnsi="宋体" w:eastAsia="宋体" w:cs="宋体"/>
          <w:b/>
          <w:color w:val="auto"/>
          <w:sz w:val="24"/>
          <w:highlight w:val="none"/>
        </w:rPr>
        <w:t xml:space="preserve">企业类似业绩一览表</w:t>
      </w:r>
      <w:r>
        <w:rPr>
          <w:color w:val="auto"/>
          <w:highlight w:val="none"/>
        </w:rPr>
      </w:r>
      <w:r/>
    </w:p>
    <w:tbl>
      <w:tblPr>
        <w:tblStyle w:val="747"/>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317"/>
        <w:gridCol w:w="2127"/>
        <w:gridCol w:w="2127"/>
        <w:gridCol w:w="2533"/>
        <w:gridCol w:w="1925"/>
      </w:tblGrid>
      <w:tr>
        <w:trPr>
          <w:cantSplit/>
          <w:jc w:val="center"/>
          <w:trHeight w:val="740"/>
        </w:trPr>
        <w:tc>
          <w:tcPr>
            <w:tcW w:w="656"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合同期</w:t>
            </w:r>
            <w:r>
              <w:rPr>
                <w:color w:val="auto"/>
                <w:highlight w:val="none"/>
              </w:rPr>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rPr>
                <w:color w:val="auto"/>
                <w:highlight w:val="none"/>
              </w:rPr>
            </w:r>
            <w:r/>
          </w:p>
        </w:tc>
        <w:tc>
          <w:tcPr>
            <w:tcW w:w="959"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rPr>
                <w:color w:val="auto"/>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59"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59"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59"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59"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59"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59"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59"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060"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959"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ascii="宋体" w:hAnsi="宋体" w:eastAsia="宋体" w:cs="宋体"/>
          <w:color w:val="auto"/>
          <w:sz w:val="24"/>
          <w:highlight w:val="none"/>
        </w:rPr>
        <w:t xml:space="preserve">若事项较多，投标人可根据投标内容的实际情况另纸说明</w:t>
      </w:r>
      <w:r>
        <w:rPr>
          <w:rFonts w:hint="eastAsia" w:ascii="宋体" w:hAnsi="宋体" w:eastAsia="宋体" w:cs="宋体"/>
          <w:color w:val="auto"/>
          <w:sz w:val="24"/>
          <w:highlight w:val="none"/>
        </w:rPr>
        <w:t xml:space="preserve">。</w:t>
      </w:r>
      <w:r>
        <w:rPr>
          <w:color w:val="auto"/>
          <w:highlight w:val="none"/>
        </w:rPr>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rPr>
          <w:color w:val="auto"/>
          <w:highlight w:val="none"/>
        </w:rPr>
      </w:r>
      <w:r/>
    </w:p>
    <w:p>
      <w:pPr>
        <w:pStyle w:val="930"/>
        <w:jc w:val="right"/>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rPr>
          <w:color w:val="auto"/>
          <w:highlight w:val="none"/>
        </w:rPr>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rPr>
          <w:color w:val="auto"/>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12、备品备件、易损件清单及报价表</w:t>
      </w:r>
      <w:r>
        <w:rPr>
          <w:color w:val="auto"/>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备品备件、易损件清单及报价表</w:t>
      </w:r>
      <w:r>
        <w:rPr>
          <w:color w:val="auto"/>
          <w:highlight w:val="none"/>
        </w:rPr>
      </w:r>
      <w:r/>
    </w:p>
    <w:tbl>
      <w:tblPr>
        <w:tblStyle w:val="747"/>
        <w:tblW w:w="9430"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7"/>
        <w:gridCol w:w="1843"/>
        <w:gridCol w:w="2780"/>
        <w:gridCol w:w="993"/>
        <w:gridCol w:w="1173"/>
        <w:gridCol w:w="1824"/>
      </w:tblGrid>
      <w:tr>
        <w:trPr>
          <w:cantSplit/>
          <w:trHeight w:val="602" w:hRule="exact"/>
        </w:trPr>
        <w:tc>
          <w:tcPr>
            <w:tcW w:w="8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rPr>
                <w:color w:val="auto"/>
                <w:highlight w:val="none"/>
              </w:rPr>
            </w:r>
            <w:r/>
          </w:p>
        </w:tc>
        <w:tc>
          <w:tcPr>
            <w:tcW w:w="18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名称</w:t>
            </w:r>
            <w:r>
              <w:rPr>
                <w:color w:val="auto"/>
                <w:highlight w:val="none"/>
              </w:rPr>
            </w:r>
            <w:r/>
          </w:p>
        </w:tc>
        <w:tc>
          <w:tcPr>
            <w:tcW w:w="278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生产厂家、品牌、规格</w:t>
            </w:r>
            <w:r>
              <w:rPr>
                <w:color w:val="auto"/>
                <w:highlight w:val="none"/>
              </w:rPr>
            </w:r>
            <w:r/>
          </w:p>
        </w:tc>
        <w:tc>
          <w:tcPr>
            <w:tcW w:w="99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单位</w:t>
            </w:r>
            <w:r>
              <w:rPr>
                <w:color w:val="auto"/>
                <w:highlight w:val="none"/>
              </w:rPr>
            </w:r>
            <w:r/>
          </w:p>
        </w:tc>
        <w:tc>
          <w:tcPr>
            <w:tcW w:w="117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数量</w:t>
            </w:r>
            <w:r>
              <w:rPr>
                <w:color w:val="auto"/>
                <w:highlight w:val="none"/>
              </w:rPr>
            </w:r>
            <w:r/>
          </w:p>
        </w:tc>
        <w:tc>
          <w:tcPr>
            <w:tcW w:w="18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单价（元）</w:t>
            </w:r>
            <w:r>
              <w:rPr>
                <w:color w:val="auto"/>
                <w:highlight w:val="none"/>
              </w:rPr>
            </w:r>
            <w:r/>
          </w:p>
        </w:tc>
      </w:tr>
      <w:tr>
        <w:trPr>
          <w:cantSplit/>
          <w:trHeight w:val="446"/>
        </w:trPr>
        <w:tc>
          <w:tcPr>
            <w:tcW w:w="8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278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99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17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r>
      <w:tr>
        <w:trPr>
          <w:cantSplit/>
          <w:trHeight w:val="446"/>
        </w:trPr>
        <w:tc>
          <w:tcPr>
            <w:tcW w:w="8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278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99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17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r>
      <w:tr>
        <w:trPr>
          <w:cantSplit/>
          <w:trHeight w:val="446"/>
        </w:trPr>
        <w:tc>
          <w:tcPr>
            <w:tcW w:w="8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278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99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17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r>
      <w:tr>
        <w:trPr>
          <w:cantSplit/>
          <w:trHeight w:val="446"/>
        </w:trPr>
        <w:tc>
          <w:tcPr>
            <w:tcW w:w="8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278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99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17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r>
      <w:tr>
        <w:trPr>
          <w:cantSplit/>
          <w:trHeight w:val="446"/>
        </w:trPr>
        <w:tc>
          <w:tcPr>
            <w:tcW w:w="8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278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99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17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r>
      <w:tr>
        <w:trPr>
          <w:cantSplit/>
          <w:trHeight w:val="446"/>
        </w:trPr>
        <w:tc>
          <w:tcPr>
            <w:tcW w:w="8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278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99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17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r>
      <w:tr>
        <w:trPr>
          <w:cantSplit/>
          <w:trHeight w:val="446"/>
        </w:trPr>
        <w:tc>
          <w:tcPr>
            <w:tcW w:w="8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278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99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17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c>
          <w:tcPr>
            <w:tcW w:w="18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c>
      </w:tr>
    </w:tbl>
    <w:p>
      <w:pPr>
        <w:spacing w:line="360" w:lineRule="auto"/>
        <w:rPr>
          <w:color w:val="auto"/>
          <w:highlight w:val="none"/>
        </w:rPr>
      </w:pPr>
      <w:r>
        <w:rPr>
          <w:color w:val="auto"/>
          <w:highlight w:val="none"/>
          <w:lang w:val="zh-CN"/>
        </w:rPr>
      </w:r>
      <w:r>
        <w:rPr>
          <w:color w:val="auto"/>
          <w:highlight w:val="none"/>
        </w:rPr>
      </w:r>
      <w:r/>
    </w:p>
    <w:p>
      <w:pPr>
        <w:spacing w:line="360" w:lineRule="auto"/>
        <w:rPr>
          <w:color w:val="auto"/>
          <w:highlight w:val="none"/>
        </w:rPr>
      </w:pPr>
      <w:r>
        <w:rPr>
          <w:rFonts w:hint="eastAsia"/>
          <w:color w:val="auto"/>
          <w:highlight w:val="none"/>
          <w:lang w:val="zh-CN"/>
        </w:rPr>
        <w:t xml:space="preserve">注：上述备品备件为该项目免费质保期内所需的。</w:t>
      </w:r>
      <w:r>
        <w:rPr>
          <w:color w:val="auto"/>
          <w:highlight w:val="none"/>
        </w:rPr>
      </w:r>
      <w:r/>
    </w:p>
    <w:p>
      <w:pPr>
        <w:spacing w:line="360" w:lineRule="auto"/>
        <w:rPr>
          <w:color w:val="auto"/>
          <w:highlight w:val="none"/>
        </w:rPr>
      </w:pPr>
      <w:r>
        <w:rPr>
          <w:color w:val="auto"/>
          <w:highlight w:val="none"/>
          <w:lang w:val="zh-CN"/>
        </w:rPr>
      </w:r>
      <w:r>
        <w:rPr>
          <w:color w:val="auto"/>
          <w:highlight w:val="none"/>
        </w:rPr>
      </w:r>
      <w:r/>
    </w:p>
    <w:p>
      <w:pPr>
        <w:spacing w:line="360" w:lineRule="auto"/>
        <w:rPr>
          <w:color w:val="auto"/>
          <w:highlight w:val="none"/>
        </w:rPr>
      </w:pPr>
      <w:r>
        <w:rPr>
          <w:color w:val="auto"/>
          <w:highlight w:val="none"/>
          <w:lang w:val="zh-CN"/>
        </w:rPr>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rPr>
          <w:color w:val="auto"/>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13、投标保证承诺书</w:t>
      </w:r>
      <w:r>
        <w:rPr>
          <w:color w:val="auto"/>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pStyle w:val="927"/>
        <w:jc w:val="center"/>
        <w:spacing w:after="156"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投标保证承诺书</w:t>
      </w:r>
      <w:r>
        <w:rPr>
          <w:color w:val="auto"/>
          <w:highlight w:val="none"/>
        </w:rPr>
      </w:r>
      <w:r/>
    </w:p>
    <w:p>
      <w:pPr>
        <w:pStyle w:val="937"/>
        <w:spacing w:beforeAutospacing="0" w:afterAutospacing="0" w:line="360" w:lineRule="auto"/>
        <w:rPr>
          <w:rFonts w:hint="eastAsia" w:ascii="宋体" w:hAnsi="宋体" w:eastAsia="宋体"/>
          <w:color w:val="auto"/>
          <w:highlight w:val="none"/>
        </w:rPr>
      </w:pPr>
      <w:r>
        <w:rPr>
          <w:rFonts w:hint="eastAsia" w:ascii="宋体" w:hAnsi="宋体" w:eastAsia="宋体"/>
          <w:color w:val="auto"/>
          <w:highlight w:val="none"/>
        </w:rPr>
        <w:t xml:space="preserve">致：</w:t>
      </w:r>
      <w:r>
        <w:rPr>
          <w:rFonts w:ascii="宋体" w:hAnsi="宋体" w:eastAsia="宋体" w:cs="Calibri"/>
          <w:color w:val="auto"/>
          <w:highlight w:val="none"/>
          <w:u w:val="single"/>
        </w:rPr>
        <w:t xml:space="preserve"> </w:t>
      </w:r>
      <w:r>
        <w:rPr>
          <w:rFonts w:hint="eastAsia" w:ascii="宋体" w:hAnsi="宋体" w:eastAsia="宋体"/>
          <w:color w:val="auto"/>
          <w:highlight w:val="none"/>
          <w:u w:val="single"/>
        </w:rPr>
        <w:t xml:space="preserve">研佳科技咨询（苏州）有限公司 </w:t>
      </w:r>
      <w:r>
        <w:rPr>
          <w:color w:val="auto"/>
          <w:highlight w:val="none"/>
        </w:rPr>
      </w:r>
      <w:r/>
    </w:p>
    <w:p>
      <w:pPr>
        <w:pStyle w:val="937"/>
        <w:ind w:firstLine="600"/>
        <w:spacing w:beforeAutospacing="0" w:afterAutospacing="0" w:line="360" w:lineRule="auto"/>
        <w:rPr>
          <w:rFonts w:hint="eastAsia" w:ascii="宋体" w:hAnsi="宋体" w:eastAsia="宋体"/>
          <w:color w:val="auto"/>
          <w:highlight w:val="none"/>
        </w:rPr>
      </w:pPr>
      <w:r>
        <w:rPr>
          <w:rFonts w:hint="eastAsia" w:ascii="宋体" w:hAnsi="宋体" w:eastAsia="宋体"/>
          <w:color w:val="auto"/>
          <w:highlight w:val="none"/>
        </w:rPr>
        <w:t xml:space="preserve">我（单位/本人，以下统称我单位）自愿参加</w:t>
      </w:r>
      <w:r>
        <w:rPr>
          <w:rFonts w:ascii="宋体" w:hAnsi="宋体" w:eastAsia="宋体" w:cs="Calibri"/>
          <w:color w:val="auto"/>
          <w:highlight w:val="none"/>
          <w:u w:val="single"/>
        </w:rPr>
        <w:t xml:space="preserve"> </w:t>
      </w:r>
      <w:r>
        <w:rPr>
          <w:rFonts w:hint="eastAsia" w:ascii="宋体" w:hAnsi="宋体" w:eastAsia="宋体" w:cs="Calibri"/>
          <w:color w:val="auto"/>
          <w:highlight w:val="none"/>
          <w:u w:val="single"/>
        </w:rPr>
        <w:t xml:space="preserve">     </w:t>
      </w:r>
      <w:r>
        <w:rPr>
          <w:rFonts w:hint="eastAsia" w:ascii="宋体" w:hAnsi="宋体" w:eastAsia="宋体"/>
          <w:color w:val="auto"/>
          <w:highlight w:val="none"/>
          <w:u w:val="single"/>
        </w:rPr>
        <w:t xml:space="preserve">（项目名称、项目编号）</w:t>
      </w:r>
      <w:r>
        <w:rPr>
          <w:rFonts w:hint="eastAsia" w:ascii="宋体" w:hAnsi="宋体" w:eastAsia="宋体"/>
          <w:color w:val="auto"/>
          <w:highlight w:val="none"/>
        </w:rPr>
        <w:t xml:space="preserve">的投标,并做出如下承诺：</w:t>
      </w:r>
      <w:r>
        <w:rPr>
          <w:color w:val="auto"/>
          <w:highlight w:val="none"/>
        </w:rPr>
      </w:r>
      <w:r/>
    </w:p>
    <w:p>
      <w:pPr>
        <w:pStyle w:val="942"/>
        <w:rPr>
          <w:rFonts w:hint="eastAsia"/>
          <w:color w:val="auto"/>
          <w:highlight w:val="none"/>
        </w:rPr>
      </w:pPr>
      <w:r>
        <w:rPr>
          <w:rFonts w:hint="eastAsia"/>
          <w:color w:val="auto"/>
          <w:highlight w:val="none"/>
        </w:rPr>
        <w:t xml:space="preserve">一、除不可抗力外，我单位如果发生以下行为，将在行为发生的10个工作日内，向贵方</w:t>
      </w:r>
      <w:r>
        <w:rPr>
          <w:rFonts w:hint="eastAsia"/>
          <w:color w:val="auto"/>
          <w:highlight w:val="none"/>
          <w:u w:val="single"/>
        </w:rPr>
        <w:t xml:space="preserve">（或采购人）</w:t>
      </w:r>
      <w:r>
        <w:rPr>
          <w:rFonts w:hint="eastAsia"/>
          <w:color w:val="auto"/>
          <w:highlight w:val="none"/>
        </w:rPr>
        <w:t xml:space="preserve">支付本采购文件公布的预算金额（或最高限价）的2%作为违约赔偿金。</w:t>
      </w:r>
      <w:r>
        <w:rPr>
          <w:color w:val="auto"/>
          <w:highlight w:val="none"/>
        </w:rPr>
      </w:r>
      <w:r/>
    </w:p>
    <w:p>
      <w:pPr>
        <w:pStyle w:val="942"/>
        <w:rPr>
          <w:rFonts w:hint="eastAsia"/>
          <w:color w:val="auto"/>
          <w:highlight w:val="none"/>
        </w:rPr>
      </w:pPr>
      <w:r>
        <w:rPr>
          <w:rFonts w:hint="eastAsia"/>
          <w:color w:val="auto"/>
          <w:highlight w:val="none"/>
        </w:rPr>
        <w:t xml:space="preserve">1.自投标截止时间至本项目发布中标公告为止，撤销投标；</w:t>
      </w:r>
      <w:r>
        <w:rPr>
          <w:color w:val="auto"/>
          <w:highlight w:val="none"/>
        </w:rPr>
      </w:r>
      <w:r/>
    </w:p>
    <w:p>
      <w:pPr>
        <w:pStyle w:val="942"/>
        <w:rPr>
          <w:rFonts w:hint="eastAsia"/>
          <w:color w:val="auto"/>
          <w:highlight w:val="none"/>
        </w:rPr>
      </w:pPr>
      <w:r>
        <w:rPr>
          <w:rFonts w:hint="eastAsia"/>
          <w:color w:val="auto"/>
          <w:highlight w:val="none"/>
        </w:rPr>
        <w:t xml:space="preserve">2.中标后不依法与采购人签订合同；</w:t>
      </w:r>
      <w:r>
        <w:rPr>
          <w:color w:val="auto"/>
          <w:highlight w:val="none"/>
        </w:rPr>
      </w:r>
      <w:r/>
    </w:p>
    <w:p>
      <w:pPr>
        <w:pStyle w:val="942"/>
        <w:rPr>
          <w:rFonts w:hint="eastAsia"/>
          <w:color w:val="auto"/>
          <w:highlight w:val="none"/>
        </w:rPr>
      </w:pPr>
      <w:r>
        <w:rPr>
          <w:rFonts w:hint="eastAsia"/>
          <w:color w:val="auto"/>
          <w:highlight w:val="none"/>
        </w:rPr>
        <w:t xml:space="preserve">3.中标后不按本采购文件规定向采购人提交履约保证金；</w:t>
      </w:r>
      <w:r>
        <w:rPr>
          <w:color w:val="auto"/>
          <w:highlight w:val="none"/>
        </w:rPr>
      </w:r>
      <w:r/>
    </w:p>
    <w:p>
      <w:pPr>
        <w:pStyle w:val="942"/>
        <w:rPr>
          <w:rFonts w:hint="eastAsia"/>
          <w:color w:val="auto"/>
          <w:highlight w:val="none"/>
        </w:rPr>
      </w:pPr>
      <w:r>
        <w:rPr>
          <w:rFonts w:hint="eastAsia"/>
          <w:color w:val="auto"/>
          <w:highlight w:val="none"/>
        </w:rPr>
        <w:t xml:space="preserve">4.中标后不按本采购文件规定向贵方缴纳采购代理费。</w:t>
      </w:r>
      <w:r>
        <w:rPr>
          <w:color w:val="auto"/>
          <w:highlight w:val="none"/>
        </w:rPr>
      </w:r>
      <w:r/>
    </w:p>
    <w:p>
      <w:pPr>
        <w:pStyle w:val="942"/>
        <w:rPr>
          <w:rFonts w:hint="eastAsia"/>
          <w:color w:val="auto"/>
          <w:highlight w:val="none"/>
        </w:rPr>
      </w:pPr>
      <w:r>
        <w:rPr>
          <w:rFonts w:hint="eastAsia"/>
          <w:color w:val="auto"/>
          <w:highlight w:val="none"/>
        </w:rPr>
        <w:t xml:space="preserve">二、我单位知晓上述行为的法律后果，承认本承诺书作为贵方</w:t>
      </w:r>
      <w:r>
        <w:rPr>
          <w:rFonts w:hint="eastAsia"/>
          <w:color w:val="auto"/>
          <w:highlight w:val="none"/>
          <w:u w:val="single"/>
        </w:rPr>
        <w:t xml:space="preserve">（或采购人）</w:t>
      </w:r>
      <w:r>
        <w:rPr>
          <w:rFonts w:hint="eastAsia"/>
          <w:color w:val="auto"/>
          <w:highlight w:val="none"/>
        </w:rPr>
        <w:t xml:space="preserve">要求我单位履行违约赔偿义务的依据作用。</w:t>
      </w:r>
      <w:r>
        <w:rPr>
          <w:color w:val="auto"/>
          <w:highlight w:val="none"/>
        </w:rPr>
      </w:r>
      <w:r/>
    </w:p>
    <w:p>
      <w:pPr>
        <w:pStyle w:val="937"/>
        <w:ind w:left="1560"/>
        <w:spacing w:beforeAutospacing="0" w:afterAutospacing="0" w:line="360" w:lineRule="auto"/>
        <w:rPr>
          <w:rFonts w:hint="eastAsia" w:ascii="宋体" w:hAnsi="宋体" w:eastAsia="宋体"/>
          <w:color w:val="auto"/>
          <w:highlight w:val="none"/>
        </w:rPr>
      </w:pPr>
      <w:r>
        <w:rPr>
          <w:rFonts w:hint="eastAsia" w:ascii="宋体" w:hAnsi="宋体" w:eastAsia="宋体"/>
          <w:color w:val="auto"/>
          <w:highlight w:val="none"/>
        </w:rPr>
      </w:r>
      <w:r>
        <w:rPr>
          <w:color w:val="auto"/>
          <w:highlight w:val="none"/>
        </w:rPr>
      </w:r>
      <w:r/>
    </w:p>
    <w:p>
      <w:pPr>
        <w:pStyle w:val="937"/>
        <w:ind w:left="1560"/>
        <w:spacing w:beforeAutospacing="0" w:afterAutospacing="0" w:line="360" w:lineRule="auto"/>
        <w:rPr>
          <w:rFonts w:hint="eastAsia" w:ascii="宋体" w:hAnsi="宋体" w:eastAsia="宋体"/>
          <w:color w:val="auto"/>
          <w:highlight w:val="none"/>
        </w:rPr>
      </w:pPr>
      <w:r>
        <w:rPr>
          <w:rFonts w:hint="eastAsia" w:ascii="宋体" w:hAnsi="宋体" w:eastAsia="宋体"/>
          <w:color w:val="auto"/>
          <w:highlight w:val="none"/>
        </w:rPr>
      </w:r>
      <w:r>
        <w:rPr>
          <w:color w:val="auto"/>
          <w:highlight w:val="none"/>
        </w:rPr>
      </w:r>
      <w:r/>
    </w:p>
    <w:p>
      <w:pPr>
        <w:pStyle w:val="937"/>
        <w:ind w:left="1560" w:firstLine="120"/>
        <w:spacing w:beforeAutospacing="0" w:afterAutospacing="0" w:line="360" w:lineRule="auto"/>
        <w:rPr>
          <w:rFonts w:hint="eastAsia" w:ascii="宋体" w:hAnsi="宋体" w:eastAsia="宋体"/>
          <w:color w:val="auto"/>
          <w:highlight w:val="none"/>
        </w:rPr>
      </w:pPr>
      <w:r>
        <w:rPr>
          <w:rFonts w:hint="eastAsia" w:ascii="宋体" w:hAnsi="宋体" w:eastAsia="宋体"/>
          <w:color w:val="auto"/>
          <w:highlight w:val="none"/>
        </w:rPr>
        <w:t xml:space="preserve">投标人</w:t>
      </w:r>
      <w:r>
        <w:rPr>
          <w:rFonts w:hint="eastAsia" w:ascii="宋体" w:hAnsi="宋体" w:eastAsia="宋体" w:cs="宋体"/>
          <w:color w:val="auto"/>
          <w:highlight w:val="none"/>
        </w:rPr>
        <w:t xml:space="preserve">（盖章）</w:t>
      </w:r>
      <w:r>
        <w:rPr>
          <w:rFonts w:hint="eastAsia" w:ascii="宋体" w:hAnsi="宋体" w:eastAsia="宋体"/>
          <w:color w:val="auto"/>
          <w:highlight w:val="none"/>
        </w:rPr>
        <w:t xml:space="preserve">：</w:t>
      </w:r>
      <w:r>
        <w:rPr>
          <w:rFonts w:ascii="宋体" w:hAnsi="宋体" w:eastAsia="宋体" w:cs="Calibri"/>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s="Calibri"/>
          <w:color w:val="auto"/>
          <w:highlight w:val="none"/>
          <w:u w:val="single"/>
        </w:rPr>
        <w:t xml:space="preserve"> </w:t>
      </w:r>
      <w:r>
        <w:rPr>
          <w:color w:val="auto"/>
          <w:highlight w:val="none"/>
        </w:rPr>
      </w:r>
      <w:r/>
    </w:p>
    <w:p>
      <w:pPr>
        <w:pStyle w:val="937"/>
        <w:ind w:left="1620"/>
        <w:spacing w:beforeAutospacing="0" w:afterAutospacing="0" w:line="360" w:lineRule="auto"/>
        <w:rPr>
          <w:rFonts w:hint="eastAsia" w:ascii="宋体" w:hAnsi="宋体" w:eastAsia="宋体"/>
          <w:color w:val="auto"/>
          <w:highlight w:val="none"/>
        </w:rPr>
      </w:pPr>
      <w:r>
        <w:rPr>
          <w:rFonts w:hint="eastAsia" w:ascii="宋体" w:hAnsi="宋体" w:eastAsia="宋体"/>
          <w:color w:val="auto"/>
          <w:highlight w:val="none"/>
        </w:rPr>
        <w:t xml:space="preserve">地址：</w:t>
      </w:r>
      <w:r>
        <w:rPr>
          <w:rFonts w:ascii="宋体" w:hAnsi="宋体" w:eastAsia="宋体" w:cs="Calibri"/>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s="Calibri"/>
          <w:color w:val="auto"/>
          <w:highlight w:val="none"/>
          <w:u w:val="single"/>
        </w:rPr>
        <w:t xml:space="preserve">         </w:t>
      </w:r>
      <w:r>
        <w:rPr>
          <w:color w:val="auto"/>
          <w:highlight w:val="none"/>
        </w:rPr>
      </w:r>
      <w:r/>
    </w:p>
    <w:p>
      <w:pPr>
        <w:pStyle w:val="937"/>
        <w:ind w:left="1620"/>
        <w:spacing w:beforeAutospacing="0" w:afterAutospacing="0" w:line="360" w:lineRule="auto"/>
        <w:rPr>
          <w:rFonts w:hint="eastAsia" w:ascii="宋体" w:hAnsi="宋体" w:eastAsia="宋体"/>
          <w:color w:val="auto"/>
          <w:highlight w:val="none"/>
        </w:rPr>
      </w:pPr>
      <w:r>
        <w:rPr>
          <w:rFonts w:hint="eastAsia" w:ascii="宋体" w:hAnsi="宋体" w:eastAsia="宋体"/>
          <w:color w:val="auto"/>
          <w:highlight w:val="none"/>
        </w:rPr>
        <w:t xml:space="preserve">电话：</w:t>
      </w:r>
      <w:r>
        <w:rPr>
          <w:rFonts w:ascii="宋体" w:hAnsi="宋体" w:eastAsia="宋体" w:cs="Calibri"/>
          <w:color w:val="auto"/>
          <w:highlight w:val="none"/>
          <w:u w:val="single"/>
        </w:rPr>
        <w:t xml:space="preserve">       </w:t>
      </w:r>
      <w:r>
        <w:rPr>
          <w:rFonts w:hint="eastAsia" w:ascii="宋体" w:hAnsi="宋体" w:eastAsia="宋体"/>
          <w:color w:val="auto"/>
          <w:highlight w:val="none"/>
        </w:rPr>
        <w:t xml:space="preserve"> 传真：</w:t>
      </w:r>
      <w:r>
        <w:rPr>
          <w:rFonts w:ascii="宋体" w:hAnsi="宋体" w:eastAsia="宋体" w:cs="Calibri"/>
          <w:color w:val="auto"/>
          <w:highlight w:val="none"/>
          <w:u w:val="single"/>
        </w:rPr>
        <w:t xml:space="preserve">       </w:t>
      </w:r>
      <w:r>
        <w:rPr>
          <w:color w:val="auto"/>
          <w:highlight w:val="none"/>
        </w:rPr>
      </w:r>
      <w:r/>
    </w:p>
    <w:p>
      <w:pPr>
        <w:pStyle w:val="937"/>
        <w:ind w:left="1620"/>
        <w:spacing w:beforeAutospacing="0" w:afterAutospacing="0" w:line="360" w:lineRule="auto"/>
        <w:rPr>
          <w:rFonts w:hint="eastAsia" w:ascii="宋体" w:hAnsi="宋体" w:eastAsia="宋体"/>
          <w:color w:val="auto"/>
          <w:highlight w:val="none"/>
        </w:rPr>
      </w:pPr>
      <w:r>
        <w:rPr>
          <w:rFonts w:hint="eastAsia" w:ascii="宋体" w:hAnsi="宋体" w:eastAsia="宋体"/>
          <w:color w:val="auto"/>
          <w:highlight w:val="none"/>
        </w:rPr>
        <w:t xml:space="preserve">电子邮件：</w:t>
      </w:r>
      <w:r>
        <w:rPr>
          <w:rFonts w:ascii="宋体" w:hAnsi="宋体" w:eastAsia="宋体" w:cs="Calibri"/>
          <w:color w:val="auto"/>
          <w:highlight w:val="none"/>
          <w:u w:val="single"/>
        </w:rPr>
        <w:t xml:space="preserve">      </w:t>
      </w:r>
      <w:r>
        <w:rPr>
          <w:rFonts w:ascii="宋体" w:hAnsi="宋体" w:eastAsia="宋体" w:cs="Calibri"/>
          <w:color w:val="auto"/>
          <w:highlight w:val="none"/>
        </w:rPr>
        <w:t xml:space="preserve">   </w:t>
      </w:r>
      <w:r>
        <w:rPr>
          <w:rFonts w:hint="eastAsia" w:ascii="宋体" w:hAnsi="宋体" w:eastAsia="宋体"/>
          <w:color w:val="auto"/>
          <w:highlight w:val="none"/>
        </w:rPr>
        <w:t xml:space="preserve"> 邮编：</w:t>
      </w:r>
      <w:r>
        <w:rPr>
          <w:rFonts w:ascii="宋体" w:hAnsi="宋体" w:eastAsia="宋体" w:cs="Calibri"/>
          <w:color w:val="auto"/>
          <w:highlight w:val="none"/>
          <w:u w:val="single"/>
        </w:rPr>
        <w:t xml:space="preserve">     </w:t>
      </w:r>
      <w:r>
        <w:rPr>
          <w:color w:val="auto"/>
          <w:highlight w:val="none"/>
        </w:rPr>
      </w:r>
      <w:r/>
    </w:p>
    <w:p>
      <w:pPr>
        <w:pStyle w:val="937"/>
        <w:ind w:left="1620"/>
        <w:spacing w:beforeAutospacing="0" w:afterAutospacing="0" w:line="360" w:lineRule="auto"/>
        <w:rPr>
          <w:rFonts w:hint="eastAsia" w:ascii="宋体" w:hAnsi="宋体" w:eastAsia="宋体"/>
          <w:color w:val="auto"/>
          <w:highlight w:val="none"/>
        </w:rPr>
      </w:pPr>
      <w:r>
        <w:rPr>
          <w:rFonts w:hint="eastAsia" w:ascii="宋体" w:hAnsi="宋体" w:eastAsia="宋体" w:cs="宋体"/>
          <w:color w:val="auto"/>
          <w:highlight w:val="none"/>
        </w:rPr>
        <w:t xml:space="preserve">法定代表人或代理人（签字或盖章）</w:t>
      </w:r>
      <w:r>
        <w:rPr>
          <w:rFonts w:hint="eastAsia" w:ascii="宋体" w:hAnsi="宋体" w:eastAsia="宋体"/>
          <w:color w:val="auto"/>
          <w:highlight w:val="none"/>
        </w:rPr>
        <w:t xml:space="preserve">：</w:t>
      </w:r>
      <w:r>
        <w:rPr>
          <w:rFonts w:ascii="宋体" w:hAnsi="宋体" w:eastAsia="宋体" w:cs="Calibri"/>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s="Calibri"/>
          <w:color w:val="auto"/>
          <w:highlight w:val="none"/>
          <w:u w:val="single"/>
        </w:rPr>
        <w:t xml:space="preserve"> </w:t>
      </w:r>
      <w:r>
        <w:rPr>
          <w:color w:val="auto"/>
          <w:highlight w:val="none"/>
        </w:rPr>
      </w:r>
      <w:r/>
    </w:p>
    <w:p>
      <w:pPr>
        <w:pStyle w:val="937"/>
        <w:ind w:left="1620"/>
        <w:spacing w:beforeAutospacing="0" w:afterAutospacing="0" w:line="360" w:lineRule="auto"/>
        <w:rPr>
          <w:color w:val="auto"/>
          <w:highlight w:val="none"/>
        </w:rPr>
      </w:pPr>
      <w:r>
        <w:rPr>
          <w:rFonts w:hint="eastAsia"/>
          <w:color w:val="auto"/>
          <w:highlight w:val="none"/>
        </w:rPr>
        <w:t xml:space="preserve">日期：</w:t>
      </w:r>
      <w:r>
        <w:rPr>
          <w:rFonts w:hint="eastAsia"/>
          <w:color w:val="auto"/>
          <w:highlight w:val="none"/>
          <w:u w:val="single"/>
        </w:rPr>
        <w:t xml:space="preserve">                     </w:t>
      </w:r>
      <w:r>
        <w:rPr>
          <w:color w:val="auto"/>
          <w:highlight w:val="none"/>
        </w:rPr>
      </w:r>
      <w:r/>
    </w:p>
    <w:p>
      <w:pPr>
        <w:spacing w:line="360" w:lineRule="auto"/>
        <w:rPr>
          <w:b/>
          <w:bCs/>
          <w:color w:val="auto"/>
          <w:szCs w:val="21"/>
          <w:highlight w:val="none"/>
        </w:rPr>
      </w:pPr>
      <w:r>
        <w:rPr>
          <w:b/>
          <w:bCs/>
          <w:color w:val="auto"/>
          <w:szCs w:val="21"/>
          <w:highlight w:val="none"/>
        </w:rPr>
      </w:r>
      <w:r>
        <w:rPr>
          <w:color w:val="auto"/>
          <w:highlight w:val="none"/>
        </w:rPr>
      </w:r>
      <w:r/>
    </w:p>
    <w:p>
      <w:pPr>
        <w:spacing w:line="360" w:lineRule="auto"/>
        <w:rPr>
          <w:color w:val="auto"/>
          <w:highlight w:val="none"/>
        </w:rPr>
      </w:pPr>
      <w:r>
        <w:rPr>
          <w:color w:val="auto"/>
          <w:highlight w:val="none"/>
          <w:lang w:val="zh-CN"/>
        </w:rPr>
      </w:r>
      <w:r>
        <w:rPr>
          <w:color w:val="auto"/>
          <w:highlight w:val="none"/>
        </w:rPr>
      </w:r>
      <w:r/>
    </w:p>
    <w:p>
      <w:pPr>
        <w:jc w:val="center"/>
        <w:widowControl/>
        <w:rPr>
          <w:rFonts w:hint="eastAsia" w:ascii="宋体" w:hAnsi="宋体" w:eastAsia="宋体" w:cs="宋体"/>
          <w:b/>
          <w:color w:val="auto"/>
          <w:sz w:val="24"/>
          <w:highlight w:val="none"/>
        </w:rPr>
      </w:pPr>
      <w:r>
        <w:rPr>
          <w:color w:val="auto"/>
          <w:sz w:val="30"/>
          <w:szCs w:val="30"/>
          <w:highlight w:val="none"/>
        </w:rPr>
        <w:br w:type="page" w:clear="all"/>
      </w:r>
      <w:r>
        <w:rPr>
          <w:color w:val="auto"/>
          <w:highlight w:val="none"/>
        </w:rPr>
      </w:r>
      <w:r/>
    </w:p>
    <w:p>
      <w:pPr>
        <w:pStyle w:val="737"/>
        <w:jc w:val="center"/>
        <w:rPr>
          <w:rFonts w:hint="eastAsia" w:ascii="宋体" w:hAnsi="宋体" w:eastAsia="宋体"/>
          <w:color w:val="auto"/>
          <w:sz w:val="52"/>
          <w:szCs w:val="52"/>
          <w:highlight w:val="none"/>
        </w:rPr>
      </w:pPr>
      <w:r>
        <w:rPr>
          <w:color w:val="auto"/>
          <w:highlight w:val="none"/>
        </w:rPr>
      </w:r>
      <w:bookmarkStart w:id="21" w:name="_Toc520073484"/>
      <w:r>
        <w:rPr>
          <w:color w:val="auto"/>
          <w:highlight w:val="none"/>
        </w:rPr>
      </w:r>
      <w:r/>
    </w:p>
    <w:p>
      <w:pPr>
        <w:pStyle w:val="737"/>
        <w:jc w:val="center"/>
        <w:rPr>
          <w:rFonts w:hint="eastAsia" w:ascii="宋体" w:hAnsi="宋体" w:eastAsia="宋体"/>
          <w:color w:val="auto"/>
          <w:sz w:val="52"/>
          <w:szCs w:val="52"/>
          <w:highlight w:val="none"/>
        </w:rPr>
      </w:pPr>
      <w:r>
        <w:rPr>
          <w:rFonts w:hint="eastAsia" w:ascii="宋体" w:hAnsi="宋体" w:eastAsia="宋体"/>
          <w:color w:val="auto"/>
          <w:sz w:val="52"/>
          <w:szCs w:val="52"/>
          <w:highlight w:val="none"/>
        </w:rPr>
      </w:r>
      <w:r>
        <w:rPr>
          <w:color w:val="auto"/>
          <w:highlight w:val="none"/>
        </w:rPr>
      </w:r>
      <w:r/>
    </w:p>
    <w:p>
      <w:pPr>
        <w:pStyle w:val="737"/>
        <w:jc w:val="center"/>
        <w:rPr>
          <w:rFonts w:hint="eastAsia" w:ascii="宋体" w:hAnsi="宋体" w:eastAsia="宋体"/>
          <w:color w:val="auto"/>
          <w:sz w:val="52"/>
          <w:szCs w:val="52"/>
          <w:highlight w:val="none"/>
        </w:rPr>
      </w:pPr>
      <w:r>
        <w:rPr>
          <w:rFonts w:hint="eastAsia" w:ascii="宋体" w:hAnsi="宋体" w:eastAsia="宋体"/>
          <w:color w:val="auto"/>
          <w:sz w:val="52"/>
          <w:szCs w:val="52"/>
          <w:highlight w:val="none"/>
        </w:rPr>
        <w:t xml:space="preserve">第四章 </w:t>
      </w:r>
      <w:bookmarkEnd w:id="20"/>
      <w:r>
        <w:rPr>
          <w:rFonts w:hint="eastAsia" w:ascii="宋体" w:hAnsi="宋体" w:eastAsia="宋体"/>
          <w:color w:val="auto"/>
          <w:sz w:val="52"/>
          <w:szCs w:val="52"/>
          <w:highlight w:val="none"/>
        </w:rPr>
        <w:t xml:space="preserve"> 招标书</w:t>
      </w:r>
      <w:bookmarkEnd w:id="21"/>
      <w:r>
        <w:rPr>
          <w:color w:val="auto"/>
          <w:highlight w:val="none"/>
        </w:rPr>
      </w:r>
      <w:r/>
    </w:p>
    <w:p>
      <w:pPr>
        <w:jc w:val="left"/>
        <w:widowControl/>
        <w:rPr>
          <w:rFonts w:hint="eastAsia" w:ascii="宋体" w:hAnsi="宋体" w:eastAsia="宋体" w:cs="宋体"/>
          <w:color w:val="auto"/>
          <w:sz w:val="24"/>
          <w:highlight w:val="none"/>
        </w:rPr>
      </w:pPr>
      <w:r>
        <w:rPr>
          <w:color w:val="auto"/>
          <w:highlight w:val="none"/>
        </w:rPr>
      </w:r>
      <w:bookmarkStart w:id="22" w:name="_Toc13543212"/>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招标书</w:t>
      </w:r>
      <w:bookmarkEnd w:id="22"/>
      <w:r>
        <w:rPr>
          <w:color w:val="auto"/>
          <w:highlight w:val="none"/>
        </w:rPr>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苏州市相城区区级机关事务管理中心关于相城区疾控中心检测设备采购的潜在投标人应在“苏采云”系统获取招标文件，并于</w:t>
      </w:r>
      <w:r>
        <w:rPr>
          <w:rFonts w:hint="eastAsia" w:ascii="宋体" w:hAnsi="宋体" w:eastAsia="宋体" w:cs="宋体"/>
          <w:color w:val="auto"/>
          <w:sz w:val="24"/>
          <w:highlight w:val="none"/>
        </w:rPr>
        <w:t xml:space="preserve">2025年</w:t>
      </w:r>
      <w:r>
        <w:rPr>
          <w:rFonts w:hint="eastAsia" w:ascii="宋体" w:hAnsi="宋体" w:eastAsia="宋体" w:cs="宋体"/>
          <w:color w:val="auto"/>
          <w:sz w:val="24"/>
          <w:highlight w:val="none"/>
          <w:lang w:val="en-US" w:eastAsia="zh-CN"/>
        </w:rPr>
        <w:t xml:space="preserve">08</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09</w:t>
      </w:r>
      <w:r>
        <w:rPr>
          <w:rFonts w:hint="eastAsia" w:ascii="宋体" w:hAnsi="宋体" w:eastAsia="宋体" w:cs="宋体"/>
          <w:color w:val="auto"/>
          <w:sz w:val="24"/>
          <w:highlight w:val="none"/>
        </w:rPr>
        <w:t xml:space="preserve">点</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rPr>
        <w:t xml:space="preserve">（北京时间）前递交投标文件。</w:t>
      </w:r>
      <w:r>
        <w:rPr>
          <w:color w:val="auto"/>
          <w:highlight w:val="none"/>
        </w:rPr>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一、招标编号：</w:t>
      </w:r>
      <w:r>
        <w:rPr>
          <w:rFonts w:hint="eastAsia" w:ascii="宋体" w:hAnsi="宋体" w:eastAsia="宋体" w:cs="宋体"/>
          <w:bCs/>
          <w:color w:val="auto"/>
          <w:sz w:val="24"/>
          <w:highlight w:val="none"/>
        </w:rPr>
        <w:t xml:space="preserve">JSZC-320507-YJKJ-G2025-0015</w:t>
      </w:r>
      <w:r>
        <w:rPr>
          <w:color w:val="auto"/>
          <w:highlight w:val="none"/>
        </w:rPr>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二、项目名称：</w:t>
      </w:r>
      <w:r>
        <w:rPr>
          <w:rFonts w:hint="eastAsia" w:ascii="宋体" w:hAnsi="宋体" w:eastAsia="宋体" w:cs="宋体"/>
          <w:bCs/>
          <w:color w:val="auto"/>
          <w:sz w:val="24"/>
          <w:highlight w:val="none"/>
        </w:rPr>
        <w:t xml:space="preserve">相城区疾控中心检测设备采购</w:t>
      </w:r>
      <w:r>
        <w:rPr>
          <w:color w:val="auto"/>
          <w:highlight w:val="none"/>
        </w:rPr>
      </w:r>
      <w:r/>
    </w:p>
    <w:p>
      <w:pPr>
        <w:ind w:firstLine="482"/>
        <w:jc w:val="left"/>
        <w:spacing w:line="360" w:lineRule="auto"/>
        <w:widowControl/>
        <w:tabs>
          <w:tab w:val="left" w:pos="3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三、项目预算：</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总金额：人民币柒佰肆拾肆万零陆佰元整（￥7440600.00）；</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最高限价：人民币柒佰肆拾肆万零陆佰元整（￥7440600.00）</w:t>
      </w:r>
      <w:r>
        <w:rPr>
          <w:rFonts w:hint="eastAsia" w:ascii="宋体" w:hAnsi="宋体" w:eastAsia="宋体" w:cs="宋体"/>
          <w:color w:val="auto"/>
          <w:sz w:val="24"/>
          <w:highlight w:val="none"/>
          <w:lang w:eastAsia="zh-CN"/>
        </w:rPr>
        <w:t xml:space="preserve">；</w:t>
      </w:r>
      <w:r>
        <w:rPr>
          <w:color w:val="auto"/>
          <w:highlight w:val="none"/>
        </w:rPr>
      </w:r>
      <w:r/>
    </w:p>
    <w:p>
      <w:pPr>
        <w:ind w:firstLine="482"/>
        <w:jc w:val="left"/>
        <w:spacing w:line="360" w:lineRule="auto"/>
        <w:widowControl/>
        <w:tabs>
          <w:tab w:val="left" w:pos="3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四、项目需求：</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ascii="宋体" w:hAnsi="宋体" w:eastAsia="宋体" w:cs="宋体"/>
          <w:bCs/>
          <w:color w:val="auto"/>
          <w:sz w:val="24"/>
          <w:highlight w:val="none"/>
        </w:rPr>
        <w:t xml:space="preserve">采购</w:t>
      </w:r>
      <w:r>
        <w:rPr>
          <w:rFonts w:hint="eastAsia" w:ascii="宋体" w:hAnsi="宋体" w:eastAsia="宋体" w:cs="宋体"/>
          <w:bCs/>
          <w:color w:val="auto"/>
          <w:sz w:val="24"/>
          <w:highlight w:val="none"/>
        </w:rPr>
        <w:t xml:space="preserve">清单</w:t>
      </w:r>
      <w:r>
        <w:rPr>
          <w:rFonts w:ascii="宋体" w:hAnsi="宋体" w:eastAsia="宋体" w:cs="宋体"/>
          <w:bCs/>
          <w:color w:val="auto"/>
          <w:sz w:val="24"/>
          <w:highlight w:val="none"/>
        </w:rPr>
        <w:t xml:space="preserve">：</w:t>
      </w:r>
      <w:r>
        <w:rPr>
          <w:color w:val="auto"/>
          <w:highlight w:val="none"/>
        </w:rPr>
      </w:r>
      <w:r/>
    </w:p>
    <w:tbl>
      <w:tblPr>
        <w:tblStyle w:val="747"/>
        <w:tblW w:w="7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3894"/>
        <w:gridCol w:w="1556"/>
        <w:gridCol w:w="1675"/>
      </w:tblGrid>
      <w:tr>
        <w:trPr>
          <w:jc w:val="center"/>
          <w:trHeight w:val="90"/>
        </w:trPr>
        <w:tc>
          <w:tcPr>
            <w:tcW w:w="712" w:type="dxa"/>
            <w:vAlign w:val="center"/>
            <w:textDirection w:val="lrTb"/>
            <w:noWrap w:val="false"/>
          </w:tcPr>
          <w:p>
            <w:pPr>
              <w:jc w:val="center"/>
              <w:spacing w:line="480" w:lineRule="auto"/>
              <w:rPr>
                <w:rFonts w:hint="eastAsia" w:ascii="宋体" w:hAnsi="宋体" w:eastAsia="宋体" w:cs="宋体"/>
                <w:color w:val="auto"/>
                <w:szCs w:val="21"/>
                <w:highlight w:val="none"/>
              </w:rPr>
            </w:pPr>
            <w:r>
              <w:rPr>
                <w:color w:val="auto"/>
                <w:highlight w:val="none"/>
              </w:rPr>
            </w:r>
            <w:bookmarkStart w:id="23" w:name="_Toc291668811"/>
            <w:r>
              <w:rPr>
                <w:color w:val="auto"/>
                <w:highlight w:val="none"/>
              </w:rPr>
            </w:r>
            <w:bookmarkStart w:id="24" w:name="_Toc13642116"/>
            <w:r>
              <w:rPr>
                <w:rFonts w:hint="eastAsia" w:ascii="宋体" w:hAnsi="宋体" w:eastAsia="宋体" w:cs="宋体"/>
                <w:color w:val="auto"/>
                <w:szCs w:val="21"/>
                <w:highlight w:val="none"/>
              </w:rPr>
              <w:t xml:space="preserve">序号</w:t>
            </w:r>
            <w:r>
              <w:rPr>
                <w:color w:val="auto"/>
                <w:highlight w:val="none"/>
              </w:rPr>
            </w:r>
            <w:r/>
          </w:p>
        </w:tc>
        <w:tc>
          <w:tcPr>
            <w:tcW w:w="3894" w:type="dxa"/>
            <w:vAlign w:val="center"/>
            <w:textDirection w:val="lrTb"/>
            <w:noWrap w:val="false"/>
          </w:tcPr>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产品名称</w:t>
            </w:r>
            <w:r>
              <w:rPr>
                <w:color w:val="auto"/>
                <w:highlight w:val="none"/>
              </w:rPr>
            </w:r>
            <w:r/>
          </w:p>
        </w:tc>
        <w:tc>
          <w:tcPr>
            <w:tcW w:w="1556" w:type="dxa"/>
            <w:vAlign w:val="center"/>
            <w:textDirection w:val="lrTb"/>
            <w:noWrap w:val="false"/>
          </w:tcPr>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rPr>
                <w:color w:val="auto"/>
                <w:highlight w:val="none"/>
              </w:rPr>
            </w:r>
            <w:r/>
          </w:p>
        </w:tc>
        <w:tc>
          <w:tcPr>
            <w:tcW w:w="1675" w:type="dxa"/>
            <w:vAlign w:val="center"/>
            <w:textDirection w:val="lrTb"/>
            <w:noWrap w:val="false"/>
          </w:tcPr>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多病原核酸快速检测系统</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color w:val="auto"/>
                <w:highlight w:val="none"/>
              </w:rPr>
            </w:r>
            <w:bookmarkStart w:id="25" w:name="OLE_LINK5"/>
            <w:r>
              <w:rPr>
                <w:rFonts w:hint="eastAsia" w:ascii="宋体" w:hAnsi="宋体" w:eastAsia="宋体" w:cs="宋体"/>
                <w:color w:val="auto"/>
                <w:sz w:val="20"/>
                <w:szCs w:val="20"/>
                <w:highlight w:val="none"/>
                <w:lang w:bidi="ar"/>
              </w:rPr>
              <w:t xml:space="preserve">全自动微生物质谱检测系统</w:t>
            </w:r>
            <w:bookmarkEnd w:id="25"/>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大容量台式离心机</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医用冷藏箱</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超低温冰箱</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低温保存箱</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相差显微镜</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恒温水浴槽</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鼓风干燥箱</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隔水式恒温培养箱</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气相色谱仪I</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2</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气相色谱仪II</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3</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Style w:val="934"/>
                <w:rFonts w:hint="default"/>
                <w:color w:val="auto"/>
                <w:highlight w:val="none"/>
                <w:lang w:bidi="ar"/>
              </w:rPr>
              <w:t xml:space="preserve">气相色谱</w:t>
            </w:r>
            <w:r>
              <w:rPr>
                <w:rStyle w:val="935"/>
                <w:rFonts w:eastAsia="宋体"/>
                <w:color w:val="auto"/>
                <w:highlight w:val="none"/>
                <w:lang w:bidi="ar"/>
              </w:rPr>
              <w:t xml:space="preserve">-</w:t>
            </w:r>
            <w:r>
              <w:rPr>
                <w:rStyle w:val="936"/>
                <w:rFonts w:hint="default"/>
                <w:color w:val="auto"/>
                <w:highlight w:val="none"/>
                <w:lang w:bidi="ar"/>
              </w:rPr>
              <w:t xml:space="preserve">质谱联用仪</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4</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离子色谱仪</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火焰原子吸收光谱仪</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6</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原子荧光光度计</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7</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全自动游离二氧化硅前处理仪</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8</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全自动热脱附仪</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9</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气体发生器一体机</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10</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超纯水仪</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11</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紫外分光光度计</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12</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洗瓶机</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13</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分析天平（1/10000）</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14</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分析天平（1/100000）</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15</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外置活塞式移液器</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16</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马弗炉</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17</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医用冷藏箱</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3</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18</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无管式净化型储药柜（PP材质）</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2</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19</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超声波清洗机</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20</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铂金坩埚</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个</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3</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color w:val="auto"/>
                <w:highlight w:val="none"/>
              </w:rPr>
            </w:r>
            <w:bookmarkStart w:id="26" w:name="_Hlk204554222"/>
            <w:r>
              <w:rPr>
                <w:rFonts w:hint="eastAsia" w:ascii="宋体" w:hAnsi="宋体" w:eastAsia="宋体" w:cs="宋体"/>
                <w:color w:val="auto"/>
                <w:sz w:val="20"/>
                <w:szCs w:val="20"/>
                <w:highlight w:val="none"/>
                <w:lang w:bidi="ar"/>
              </w:rPr>
              <w:t xml:space="preserve">1</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个体（定点）防爆采样器I</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个体（定点）防爆采样器II</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bookmarkEnd w:id="26"/>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大气采样器</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strike/>
                <w:color w:val="auto"/>
                <w:sz w:val="20"/>
                <w:szCs w:val="20"/>
                <w:highlight w:val="none"/>
              </w:rPr>
            </w:pPr>
            <w:r>
              <w:rPr>
                <w:rFonts w:hint="eastAsia" w:ascii="宋体" w:hAnsi="宋体" w:eastAsia="宋体" w:cs="宋体"/>
                <w:color w:val="auto"/>
                <w:sz w:val="20"/>
                <w:szCs w:val="20"/>
                <w:highlight w:val="none"/>
                <w:lang w:bidi="ar"/>
              </w:rPr>
              <w:t xml:space="preserve">4</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strike/>
                <w:color w:val="auto"/>
                <w:sz w:val="20"/>
                <w:szCs w:val="20"/>
                <w:highlight w:val="none"/>
              </w:rPr>
            </w:pPr>
            <w:r>
              <w:rPr>
                <w:rFonts w:hint="eastAsia" w:ascii="宋体" w:hAnsi="宋体" w:eastAsia="宋体" w:cs="宋体"/>
                <w:color w:val="auto"/>
                <w:sz w:val="20"/>
                <w:szCs w:val="20"/>
                <w:highlight w:val="none"/>
                <w:lang w:bidi="ar"/>
              </w:rPr>
              <w:t xml:space="preserve">手动有毒有害气体采集系统</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strike/>
                <w:color w:val="auto"/>
                <w:sz w:val="20"/>
                <w:szCs w:val="20"/>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strike/>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干式流量计</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粉尘滤膜除静电器</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r>
        <w:trPr>
          <w:jc w:val="center"/>
          <w:trHeight w:val="459"/>
        </w:trPr>
        <w:tc>
          <w:tcPr>
            <w:tcW w:w="71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rPr>
                <w:color w:val="auto"/>
                <w:highlight w:val="none"/>
              </w:rPr>
            </w:r>
            <w:r/>
          </w:p>
        </w:tc>
        <w:tc>
          <w:tcPr>
            <w:tcW w:w="38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大气压力表</w:t>
            </w:r>
            <w:r>
              <w:rPr>
                <w:color w:val="auto"/>
                <w:highlight w:val="none"/>
              </w:rPr>
            </w:r>
            <w:r/>
          </w:p>
        </w:tc>
        <w:tc>
          <w:tcPr>
            <w:tcW w:w="155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rPr>
                <w:color w:val="auto"/>
                <w:highlight w:val="none"/>
              </w:rPr>
            </w:r>
            <w:r/>
          </w:p>
        </w:tc>
        <w:tc>
          <w:tcPr>
            <w:tcW w:w="167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color w:val="auto"/>
                <w:highlight w:val="none"/>
              </w:rPr>
            </w:r>
            <w:r/>
          </w:p>
        </w:tc>
      </w:tr>
    </w:tbl>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rPr>
          <w:color w:val="auto"/>
          <w:highlight w:val="none"/>
        </w:rPr>
      </w:r>
      <w:r/>
    </w:p>
    <w:p>
      <w:pPr>
        <w:pStyle w:val="788"/>
        <w:numPr>
          <w:ilvl w:val="0"/>
          <w:numId w:val="3"/>
        </w:num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技术参数：</w:t>
      </w:r>
      <w:r>
        <w:rPr>
          <w:color w:val="auto"/>
          <w:highlight w:val="none"/>
        </w:rPr>
      </w:r>
      <w:r/>
    </w:p>
    <w:p>
      <w:pPr>
        <w:ind w:firstLine="904"/>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微生物仪器</w:t>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（一）多病原核酸快速检测系统</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1、主要用途：</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系统包括仪器与试剂测试条相互作用，在系统内纯化核酸，并通过PCR特异性扩增病原体靶序列，通过专业软件分析PCR产物，报告检测结果。</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系统搭配配套试剂测试条可用于包括新冠病毒在内的呼吸道感染症候群、腹泻病症候群、脑膜炎症候群和病毒性水泡症候群等项目检测。</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2.1只需要一台仪器, 即可同时完成核酸提取、核酸纯化、PCR扩增、信号检测与结果分析；</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★2.2核酸提取采用柱膜法的方式，保证疑难样本类型的提取纯度。并通过荧光定量PCR方式进行检测；</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★2.3一体化的试剂盒，将核酸提取试剂以及PCR扩增试剂等整合到一个试剂盒中，加入样本即可上机检测；</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★2.4每种试剂都采用统一的微流控全封闭式设计，生物安全性好; 避免传统开放式PCR方法中交叉污染的问题，无需PCR分区实验室；</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2.5所有检测从原始样本到出报告结果可以在80分钟内完成；</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2.6操作简便, 手工操作时间少于1分钟，且检测过程中无需额外操作；</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2.7机器可串联1-8个分析模块，每个分析模块可各自独立处理1个样本，互不干扰；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★2.8配套剂盒中包含所有所需干湿试剂，机器可自动重溶干粉试剂，不需要手工加溶解液，且支持干拭子类型样本直接上机，不需要其他处理步骤；</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★2.9具有≥22种病原体靶标呼吸道感染性病原体核酸检测试剂盒（多重实时荧光定量PCR法），可进行新冠病毒、博卡病毒、肺炎衣原体和嗜肺性军团病杆菌等检测；</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★2.10具有≥22种病原体靶标的胃肠道感染测试试剂盒（多重实时荧光定量PCR法），且能够区分GI和GII型诺如病毒；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★2.11具有≥15种病原体靶标脑膜炎感染性病原体核酸检测试剂盒；</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★2.12具有≥5种病原体靶标的病毒性水泡感染检测试剂盒，且包括猴痘病毒（MPXV）的检测；</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2.14可同时完成病原体DNA与RNA的检测, 可同时检测病毒,细菌,寄生虫等, 无需分开处理；</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★2.15对于检出的病原体能够提供原始的扩增曲线和Ct值，便于进行样本质控及排除可能存在的污染和假阳性结果，控制实验结果的准确性；（需提供原厂盖章的证明材料）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 PCR扩增前自动进行荧光染料质控测试，测试染料信号强度是否达到预期，不需要人工目测试剂重溶是否充分，确保试验结果的可靠性；</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2.17所有试剂及耗材常温储存, 方便储存及运输；</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2.18能够自动检测试剂盒是否在有效期内并拒绝使用过期的试剂盒，能够识别并阻止用过的试剂盒，确保检测结果的准确性；</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2.19具有内质控，同一个内质控可用于监控测试条内所有实验过程，包括样品重悬/均质化，裂解，核酸纯化，逆转录和PCR；</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2.20可单个样本检测，不会浪费任何耗材和试剂；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2.21报告可存储至USB存储设备，可设置自动打印, 简单易读, 无需人工进行判读；</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2.22数据库：软件具有数据库管理功能，数据系统可存储不少于10000个测试信息。</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3.1操作模块1台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3.2分析模块 1 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3.3操作模块和分析模块连接器1套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USB存储器（内包含操作手册）1套</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4、售后服务要求：</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质保期：不少于2年（质保期自验收合格之日起计算）。</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服务响应：接到维修通知后有专职的技术服务人员上门服务，保证维修响应时间2小时</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提供详细的培训计划，保证使用人员正常操作设备。</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零配件应保证不少于8年的供应期。</w:t>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（二）全自动微生物质谱检测系统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用于样品中微生物（细菌，丝状真菌，酵母，分枝杆菌等）的快速鉴定。</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2.1质谱仪硬件指标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★2.1.1激光斑点：</w:t>
      </w:r>
      <w:r>
        <w:rPr>
          <w:rFonts w:hint="eastAsia" w:cs="宋体"/>
          <w:color w:val="auto"/>
          <w:highlight w:val="none"/>
          <w:lang w:bidi="ar"/>
        </w:rPr>
        <w:t xml:space="preserve">至少包含</w:t>
      </w:r>
      <w:r>
        <w:rPr>
          <w:rFonts w:hint="eastAsia" w:ascii="宋体" w:hAnsi="宋体" w:eastAsia="宋体" w:cs="宋体"/>
          <w:color w:val="auto"/>
          <w:sz w:val="24"/>
          <w:highlight w:val="none"/>
        </w:rPr>
        <w:t xml:space="preserve">50μm~120μm可调，可针对直径≤0.8mm的样品靶精准激发，可满足更多样品及样品靶种类的需求。</w:t>
      </w:r>
      <w:r>
        <w:rPr>
          <w:rFonts w:hint="eastAsia" w:ascii="宋体" w:hAnsi="宋体" w:eastAsia="宋体" w:cs="宋体"/>
          <w:color w:val="auto"/>
          <w:sz w:val="24"/>
          <w:highlight w:val="none"/>
        </w:rPr>
        <w:t xml:space="preserve">（投标文件中提供</w:t>
      </w:r>
      <w:r>
        <w:rPr>
          <w:rFonts w:hint="eastAsia" w:ascii="宋体" w:hAnsi="宋体" w:eastAsia="宋体" w:cs="宋体"/>
          <w:color w:val="auto"/>
          <w:sz w:val="24"/>
          <w:highlight w:val="none"/>
          <w:lang w:val="en-US" w:eastAsia="zh-CN"/>
        </w:rPr>
        <w:t xml:space="preserve">具有国家认可的第三方机构出具的检测报告证明材料</w:t>
      </w:r>
      <w:r>
        <w:rPr>
          <w:rFonts w:hint="eastAsia" w:ascii="宋体" w:hAnsi="宋体" w:eastAsia="宋体" w:cs="宋体"/>
          <w:color w:val="auto"/>
          <w:sz w:val="24"/>
          <w:highlight w:val="none"/>
        </w:rPr>
        <w:t xml:space="preserve">）</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 飞行管采用钛金属飞行时间管，提高离子通道准确性和稳定性，技术含量高。（投标文件中提供厂家盖章的相关</w:t>
      </w:r>
      <w:bookmarkStart w:id="27" w:name="OLE_LINK8"/>
      <w:r>
        <w:rPr>
          <w:rFonts w:hint="eastAsia" w:ascii="宋体" w:hAnsi="宋体" w:eastAsia="宋体" w:cs="宋体"/>
          <w:color w:val="auto"/>
          <w:sz w:val="24"/>
          <w:highlight w:val="none"/>
        </w:rPr>
        <w:t xml:space="preserve">证明材料</w:t>
      </w:r>
      <w:bookmarkEnd w:id="27"/>
      <w:r>
        <w:rPr>
          <w:rFonts w:hint="eastAsia" w:ascii="宋体" w:hAnsi="宋体" w:eastAsia="宋体" w:cs="宋体"/>
          <w:color w:val="auto"/>
          <w:sz w:val="24"/>
          <w:highlight w:val="none"/>
        </w:rPr>
        <w:t xml:space="preserve">）</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2.1.3离子源：真空管路系统的设计要保证离子源无需拆卸清洗，机器自动清洗，无需人工参与操作清洗，避免因残留而需要清洗的情况发生，方便日常维护。</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2.1.4检测器：电子倍增器或微通道板，最大暗电流＜1pA，以实现极低的谱图噪声,最大增益可达10^7倍，无需额外加装前置放大器。</w:t>
      </w:r>
      <w:r>
        <w:rPr>
          <w:rFonts w:hint="eastAsia" w:ascii="宋体" w:hAnsi="宋体" w:eastAsia="宋体" w:cs="宋体"/>
          <w:color w:val="auto"/>
          <w:sz w:val="24"/>
          <w:highlight w:val="none"/>
        </w:rPr>
        <w:t xml:space="preserve">（投标文件中提供</w:t>
      </w:r>
      <w:r>
        <w:rPr>
          <w:rFonts w:hint="eastAsia" w:ascii="宋体" w:hAnsi="宋体" w:eastAsia="宋体" w:cs="宋体"/>
          <w:color w:val="auto"/>
          <w:sz w:val="24"/>
          <w:highlight w:val="none"/>
          <w:lang w:val="en-US" w:eastAsia="zh-CN"/>
        </w:rPr>
        <w:t xml:space="preserve">具有国家认可的第三方机构出具的检测报告证明材料</w:t>
      </w:r>
      <w:r>
        <w:rPr>
          <w:rFonts w:hint="eastAsia" w:ascii="宋体" w:hAnsi="宋体" w:eastAsia="宋体" w:cs="宋体"/>
          <w:color w:val="auto"/>
          <w:sz w:val="24"/>
          <w:highlight w:val="none"/>
        </w:rPr>
        <w:t xml:space="preserve">）</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2.1.5真空泵：前级泵抽速≥4.0m³/h，前级真空度≥10-2mbar，保障应急检测。</w:t>
      </w:r>
      <w:r>
        <w:rPr>
          <w:rFonts w:hint="eastAsia" w:ascii="宋体" w:hAnsi="宋体" w:eastAsia="宋体" w:cs="宋体"/>
          <w:color w:val="auto"/>
          <w:sz w:val="24"/>
          <w:highlight w:val="none"/>
        </w:rPr>
        <w:t xml:space="preserve">（投标文件中提供</w:t>
      </w:r>
      <w:r>
        <w:rPr>
          <w:rFonts w:hint="eastAsia" w:ascii="宋体" w:hAnsi="宋体" w:eastAsia="宋体" w:cs="宋体"/>
          <w:color w:val="auto"/>
          <w:sz w:val="24"/>
          <w:highlight w:val="none"/>
          <w:lang w:val="en-US" w:eastAsia="zh-CN"/>
        </w:rPr>
        <w:t xml:space="preserve">具有国家认可的第三方机构出具的检测报告证明材料</w:t>
      </w:r>
      <w:r>
        <w:rPr>
          <w:rFonts w:hint="eastAsia" w:ascii="宋体" w:hAnsi="宋体" w:eastAsia="宋体" w:cs="宋体"/>
          <w:color w:val="auto"/>
          <w:sz w:val="24"/>
          <w:highlight w:val="none"/>
        </w:rPr>
        <w:t xml:space="preserve">）</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★2.1.6软件装配质谱仪同品牌微生物实验室管理系统，可以与同品牌的药敏、质谱、血培养等仪器的连接、数据统计等。（投标文件中提供厂家盖章的相关证明材料）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★2.1.7飞行管：长度≥1050mm，保证质谱分辨率。（投标文件中提供厂家盖章彩页或官网证明资料）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2.1.8质谱仪的真空泄复压采用专用机电一体化系统，可实现自动调节泄复压时间及压力值，节省操作时间，大幅提高真空安全性和可靠性。</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 质谱仪配置有热平衡系统，确保质谱仪的热循环稳定，降低温漂，极大提升系统稳定性和重复性，同时提升仪器可靠性及寿命。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★2.1.10采集卡：采用高精度采集卡，精度≥12bit，提高检测准确。</w:t>
      </w:r>
      <w:r>
        <w:rPr>
          <w:rFonts w:hint="eastAsia" w:ascii="宋体" w:hAnsi="宋体" w:eastAsia="宋体" w:cs="宋体"/>
          <w:color w:val="auto"/>
          <w:sz w:val="24"/>
          <w:highlight w:val="none"/>
        </w:rPr>
        <w:t xml:space="preserve">（投标文件中提供</w:t>
      </w:r>
      <w:r>
        <w:rPr>
          <w:rFonts w:hint="eastAsia" w:ascii="宋体" w:hAnsi="宋体" w:eastAsia="宋体" w:cs="宋体"/>
          <w:color w:val="auto"/>
          <w:sz w:val="24"/>
          <w:highlight w:val="none"/>
          <w:lang w:val="en-US" w:eastAsia="zh-CN"/>
        </w:rPr>
        <w:t xml:space="preserve">具有国家认可的第三方机构出具的检测报告证明材料</w:t>
      </w:r>
      <w:r>
        <w:rPr>
          <w:rFonts w:hint="eastAsia" w:ascii="宋体" w:hAnsi="宋体" w:eastAsia="宋体" w:cs="宋体"/>
          <w:color w:val="auto"/>
          <w:sz w:val="24"/>
          <w:highlight w:val="none"/>
        </w:rPr>
        <w:t xml:space="preserve">）</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2.2质谱仪软件指标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软件具备仪器控制、数据采集、数据处理及微生物鉴定分析的全套功能，软件不超过2个，软件具有中文界面，方便实验人员使用鉴定和分析功能具有蛋白、核酸等检测功能，可进行聚类分析、多重性分析、自建库等功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2.3质谱仪已取得用于微生物鉴定的医疗器械注册证，提供的权威数据可对医疗机构鉴定数据进行符合确认。（投标文件中提供注册证材料）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2.4检测性能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检测范围：1-500kd；</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分辨率：&gt;3500FWHM（血管紧张素，Angiotensin）；</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2.4.3质量准确度：&lt;60ppm（内部校正误差）；&lt;100ppm（外部校正误差）；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2.4.4质量重复性：变异系数&lt;0.015%；</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2.5数据库及功能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标配与质谱仪同品牌的数据库，数据库具有自主知识产权，数据库中包含可鉴定微生物的数量大于5000种、500个属，数据库可在线及时终生免费升级，并确保以上内容可在现场验证。数据库支持用户自行扩增数据库或是自建数据库，自建库与主库采用相同的建库原理和算法，以便确保自建库的可靠性。可进行聚类分析分型、溯源、多重性分析、菌株蛋白对比、蛋白胶图分析等功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增强罕见菌和新发病原体微生物的鉴定能力，鉴定数据库需包含不限于炭疽、霍乱弧菌、伤寒沙门菌、肺炎链球菌、牛布鲁氏菌、羊布鲁氏菌、犬布鲁氏菌、军团菌属、白喉棒状杆菌、产气荚膜梭菌等高致病性菌株数据。</w:t>
      </w:r>
      <w:r>
        <w:rPr>
          <w:color w:val="auto"/>
          <w:highlight w:val="none"/>
        </w:rPr>
      </w:r>
      <w:r/>
    </w:p>
    <w:p>
      <w:pPr>
        <w:rPr>
          <w:rFonts w:hint="eastAsia" w:ascii="宋体" w:hAnsi="宋体" w:eastAsia="宋体" w:cs="宋体"/>
          <w:color w:val="auto"/>
          <w:sz w:val="24"/>
          <w:highlight w:val="none"/>
        </w:rPr>
      </w:pPr>
      <w:r>
        <w:rPr>
          <w:color w:val="auto"/>
          <w:highlight w:val="none"/>
        </w:rPr>
      </w:r>
      <w:bookmarkStart w:id="28" w:name="OLE_LINK7"/>
      <w:r>
        <w:rPr>
          <w:rFonts w:hint="eastAsia" w:ascii="宋体" w:hAnsi="宋体" w:eastAsia="宋体" w:cs="宋体"/>
          <w:color w:val="auto"/>
          <w:sz w:val="24"/>
          <w:highlight w:val="none"/>
        </w:rPr>
        <w:t xml:space="preserve">★</w:t>
      </w:r>
      <w:bookmarkEnd w:id="28"/>
      <w:r>
        <w:rPr>
          <w:rFonts w:hint="eastAsia" w:ascii="宋体" w:hAnsi="宋体" w:eastAsia="宋体" w:cs="宋体"/>
          <w:color w:val="auto"/>
          <w:sz w:val="24"/>
          <w:highlight w:val="none"/>
        </w:rPr>
        <w:t xml:space="preserve">2.5.3丝状真菌数据库数量≥450种，且包含白色红曲、冠突曲霉、黄曲霉、短孢弯孢、草酸青霉、橙色红曲、蜂蜜曲霉、黑根霉、酱油曲霉、燕麦镰刀菌、纸葡萄穗霉等真菌。</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 分枝杆菌数据库数量≥170种。确保验收时可现场验证通过；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★2.5.5提供微生物数据云，用于查询菌种的形态学、药敏、基因序列等信息。（投标文件中提供网址及互联网备案信息资料）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★2.5.6具备非接触手势识别进出靶功能，并在外壳上有明确手势识别动作标志，提供外壳上标志照片。</w:t>
      </w:r>
      <w:r>
        <w:rPr>
          <w:rFonts w:hint="eastAsia" w:ascii="宋体" w:hAnsi="宋体" w:eastAsia="宋体" w:cs="宋体"/>
          <w:color w:val="auto"/>
          <w:sz w:val="24"/>
          <w:highlight w:val="none"/>
        </w:rPr>
        <w:t xml:space="preserve">（投标文件中提供</w:t>
      </w:r>
      <w:r>
        <w:rPr>
          <w:rFonts w:hint="eastAsia" w:ascii="宋体" w:hAnsi="宋体" w:eastAsia="宋体" w:cs="宋体"/>
          <w:color w:val="auto"/>
          <w:sz w:val="24"/>
          <w:highlight w:val="none"/>
          <w:lang w:val="en-US" w:eastAsia="zh-CN"/>
        </w:rPr>
        <w:t xml:space="preserve">具有国家认可的第三方机构出具的检测报告证明材料</w:t>
      </w:r>
      <w:r>
        <w:rPr>
          <w:rFonts w:hint="eastAsia" w:ascii="宋体" w:hAnsi="宋体" w:eastAsia="宋体" w:cs="宋体"/>
          <w:color w:val="auto"/>
          <w:sz w:val="24"/>
          <w:highlight w:val="none"/>
        </w:rPr>
        <w:t xml:space="preserve">）</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★2.5.7可进行质谱药敏检测分析，提供同品牌质谱药敏板和试剂盒照片。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★2.5.8可升级同品牌核酸质谱前处理加样仪进行适配，以实现质谱核酸检测分析功能，提供核酸前处理仪器照片。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2.6质谱仪配套试剂消耗品</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2.6.1可提供与质谱仪同品牌的样本预处理试剂（包含基质及前处理试剂），已取得医疗器械注册证。既取即用，无需用户配制，避免配制带来的误差。（投标文件中提供注册证材料）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★2.6.2可提供与质谱仪同品牌的质控品，已取得医疗器械注册证。（投标文件中提供注册证材料）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可提供与质谱仪同品牌的标本板（靶托），90孔以上靶板，带有条形码，可进行追溯；</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3.1台式MALDI-TOF微生物质谱鉴定仪（包含激光器、离子源、检测器、飞行管和真空系统）1台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3.2数据库及软件（包含微生物数据库，微生物采集与分析软件，IVD版本软件）1套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3.3数据处理系统（配置要求：不低于Windows7以上操作系统，3.0GHz CPU处理器，16GB内存，1TB硬盘，24寸液晶显示屏）1套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3.4条码扫描器1个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3.5标本板（靶托）1包</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3.6样本预处理试剂1套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3.7激光打印机1台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6KVA UPS 电源1台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3.9超声波清洗机1台</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4、售后服务要求：</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质保期：不少于2年（质保期自验收合格之日起计算）。</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服务响应：接到维修通知后有专职的技术服务人员上门服务，保证维修响应时间2小时</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提供详细的培训计划，保证使用人员正常操作设备。</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可提供不少于2-3名厂家国内培训中心免费培训名额。</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 数据库及软件免费升级。</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 零配件应保证不少于8年的供应期。</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（三）大容量台式离心机</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用于真空采血管等离心浓缩。</w:t>
      </w:r>
      <w:r>
        <w:rPr>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2.1最高转速：≥5500r/min；</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2.2转速精度：≤±10r/min；</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2.3最大相对离心力：≥4900xg；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2.4可以直接设置离心力或转速，能以1或10或100三种步进任意选取一种递增；</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★2.5最大容量：≥4×750ml，一次性可分离不少于28支50ml、76支15ml尖底离心管、152支5/7ml采血管，120孔自动脱帽适配器；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2.6定时范围：1 s-99min59s、1 min-99h59min；具有启动计时、到转速计时、连续计时三种计时模式；</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2.7加/减速曲线：10档加速曲线、11档减速曲线，可根据实验需求，自定义升速、降速时间曲线，使分离效果达到最佳状态；</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2.8驱动系统：交流变频电机驱动；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★2.9控制系统：7寸高灵敏度（可戴手套直接操作）高清触摸屏控制；可快速设置转速或离心力，设置参数与运行参数同屏显示，直观、易懂；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2.10可以设置不少于100组程序，并可对每组程序进行简易命名，更方便使用时调取与区分不同的实验，方便实现实验的可重复性；</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2.11可选中不少于五组程序，实现阶梯离心，使实验可以多元化、多步骤一次执行；</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2.12自动保存运行记录、故障记录，可以有效的查看仪器的运行情况与每批样品的分离情况；</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2.13材质：离心腔采用316L不锈钢；转子、吊篮采用7075-T6航空级锻造铝合金；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★2.14可配备经第三方认证的气密性圆杯/方杯、角转子,</w:t>
      </w:r>
      <w:bookmarkStart w:id="29" w:name="_Hlk136353812"/>
      <w:r>
        <w:rPr>
          <w:rFonts w:hint="eastAsia" w:ascii="宋体" w:hAnsi="宋体" w:eastAsia="宋体" w:cs="宋体"/>
          <w:color w:val="auto"/>
          <w:sz w:val="24"/>
          <w:highlight w:val="none"/>
        </w:rPr>
        <w:t xml:space="preserve">有效防止气溶胶及液体外泄</w:t>
      </w:r>
      <w:bookmarkEnd w:id="29"/>
      <w:r>
        <w:rPr>
          <w:rFonts w:hint="eastAsia" w:ascii="宋体" w:hAnsi="宋体" w:eastAsia="宋体" w:cs="宋体"/>
          <w:color w:val="auto"/>
          <w:sz w:val="24"/>
          <w:highlight w:val="none"/>
        </w:rPr>
        <w:t xml:space="preserve">，并可高温高压灭菌；</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2.15点动功能：有；</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2.16转子识别：有；</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2.17外形尺寸（长×宽×高）：≤520*650*400mm；</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2.18净重：≤80kg；</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3.1主机1台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3.2自动脱盖水平转子1个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3.3适配器1套</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4.3零配件应保证不少于8年的供应期。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（四）医用冷藏箱</w:t>
      </w:r>
      <w:r>
        <w:rPr>
          <w:color w:val="auto"/>
          <w:highlight w:val="none"/>
        </w:rPr>
      </w:r>
      <w:r/>
    </w:p>
    <w:p>
      <w:pPr>
        <w:ind w:left="482" w:hanging="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1、技术性能要求：</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1.1立式对开门设计，有效容积≥760L；</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1.2采用微电脑控制器，箱内温度范围2℃~8℃；LED温度显示，控制&amp;显示精度0.1℃；</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★1.3风冷设计，设定温度默认5℃（用户可调整为4℃），温度均匀度±1.5℃；</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1.4整机配备2个测试孔，满足用户根据实际需要检测箱内温度；</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1.5标配12个蘸塑搁架，充分利用空间，满足用户存放要求；标配10个价目条； </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★1.6采用三层钢化镀膜玻璃，边框电加热结构，智感除露（受环温控制），32℃、80%湿</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度下无凝露；</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1.7全角度自关门设计，解除用户开门后忘记关门的后顾之忧；</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1.8具备4种报警方式：声音蜂鸣报警、灯光闪烁报警、远程报警、云平台报警；报警功能</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齐全：高温报警、低温报警、高环温报警、开门报警、断电报警、传感器故障报警、电池故</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障报警、冷凝器脏堵报警、通讯故障报警；</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★1.9智能变频压缩机，碳氢制冷剂；直流静音冷凝风机；整机噪音低至39dB(A)，日能耗</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低至2.6kW·h；</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1.10标配后备电池，满足断电后报警并继续显示箱内温度24小时需求；</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6路传感器：控制、上温、下温、化霜、冷凝器、环温；有效保证温控的准确性；</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1.12箱内标配LED照明灯，开门灯自动亮起，关门自动关闭，也可外部通过独立灯开关控</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制，更加方便用户使用；</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1.13标配USB模块，输出PDF格式文件；可记录十年的温度数据，方便追溯查询；</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★1.14标配WIFI物联模块，可通过手机APP远程监控设备状态，查看温度情况及报警情况；</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1.15选配RS485，可实现多台设备组网，随时监控设备运行状态；</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1.16选配针式打印机，多种打印方式，记录间隔可调；</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1.17标配门锁，用户可自行加装锁具，实现双锁管理，更安全、更放心；</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1.18四个万向脚轮，配备两个固定底角，搬运、摆放设备更方便；</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1.19产品具有医疗器械注册证；（提供注册证材料）</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1.20产品具备第三方性能检测报告和CQC节能环保认证；（提供检测报告及认证证书）</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1.21产品外部尺寸</w:t>
      </w:r>
      <w:r>
        <w:rPr>
          <w:rFonts w:hint="eastAsia" w:ascii="宋体" w:hAnsi="宋体" w:eastAsia="宋体" w:cs="宋体"/>
          <w:color w:val="auto"/>
          <w:sz w:val="24"/>
          <w:highlight w:val="none"/>
        </w:rPr>
        <w:t xml:space="preserve">（宽*深*高）：≤</w:t>
      </w:r>
      <w:r>
        <w:rPr>
          <w:rFonts w:hint="eastAsia" w:ascii="宋体" w:hAnsi="宋体" w:eastAsia="宋体" w:cs="宋体"/>
          <w:color w:val="auto"/>
          <w:sz w:val="24"/>
          <w:highlight w:val="none"/>
        </w:rPr>
        <w:t xml:space="preserve">995*810*1810mm；</w:t>
      </w:r>
      <w:r>
        <w:rPr>
          <w:color w:val="auto"/>
          <w:highlight w:val="none"/>
        </w:rPr>
      </w:r>
      <w:r/>
    </w:p>
    <w:p>
      <w:pPr>
        <w:ind w:left="482" w:hanging="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2、配置要求：</w:t>
      </w:r>
      <w:r>
        <w:rPr>
          <w:rFonts w:hint="eastAsia" w:ascii="宋体" w:hAnsi="宋体" w:eastAsia="宋体" w:cs="宋体"/>
          <w:color w:val="auto"/>
          <w:sz w:val="24"/>
          <w:highlight w:val="none"/>
        </w:rPr>
        <w:t xml:space="preserve">整机1台；冷链监测仪1个；</w:t>
      </w:r>
      <w:r>
        <w:rPr>
          <w:color w:val="auto"/>
          <w:highlight w:val="none"/>
        </w:rPr>
      </w:r>
      <w:r/>
    </w:p>
    <w:p>
      <w:pPr>
        <w:ind w:left="482" w:hanging="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3、售后服务要求：</w:t>
      </w:r>
      <w:r>
        <w:rPr>
          <w:color w:val="auto"/>
          <w:highlight w:val="none"/>
        </w:rPr>
      </w:r>
      <w:r/>
    </w:p>
    <w:p>
      <w:pPr>
        <w:pStyle w:val="939"/>
        <w:rPr>
          <w:rFonts w:hint="eastAsia"/>
          <w:color w:val="auto"/>
          <w:highlight w:val="none"/>
        </w:rPr>
      </w:pPr>
      <w:r>
        <w:rPr>
          <w:rFonts w:hint="eastAsia"/>
          <w:color w:val="auto"/>
          <w:highlight w:val="none"/>
        </w:rPr>
        <w:t xml:space="preserve">3.1 质保期：不少于3年（质保期自验收合格之日起计算）。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3.2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3.3零配件应保证不少于8年的供应期。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（五）超低温冰箱</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1.1箱内温度：-40℃~-86℃可调；</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★1.2有效容积：≥330L，整机装箱量（2ml冻存管容量）不少于21600份样本；</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1.3微电脑控制， LED 显示屏，可显示环温及输入电压。并配置大容量存储空间，实时保存箱内设定温度、实际温度、高、低温报警温度、输入电压、环温等数据，数据可永久保存；</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1.4采用HC环保制冷剂，制冷效率高，节能环保；</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1.5采用双级复叠制冷系统，高温级压机和低温级压机配合制冷，制冷效率高；</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1.6根据低温保存箱国家标准GB/T 20154要求，低温保存箱铭牌或标签上要标注制冷剂的详细名称及装入量；</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★1.7符合《低温保存箱节能环保认证技术规范》要求，并获取节能、环保报告及证书；（ 提供中国质量中心节能证书和环保证书，并提供CQC网站截图及网址备查）</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1.8进口品牌压缩机2个，功率≤900W ；</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 25℃环温时，耗电量应小于9 Kw.h/24h；（</w:t>
      </w:r>
      <w:r>
        <w:rPr>
          <w:rFonts w:hint="eastAsia" w:ascii="宋体" w:hAnsi="宋体" w:eastAsia="宋体" w:cs="宋体"/>
          <w:color w:val="auto"/>
          <w:sz w:val="24"/>
          <w:highlight w:val="none"/>
        </w:rPr>
        <w:t xml:space="preserve">提供实验室符合CNAS、ILAC资格的第三方机构报告）</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1.10标配USB接口，可导出全部数据，实现数据的可追溯性；</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多种故障报警（高低温报警、传感器报警、冷凝器散热差报警、环温超标报警、断电报警、门开报警、电池电量低报警），两种报警方式（声音蜂鸣报警、灯光闪烁报警）；多重保护功能；（开机延时保护可设定时间、显示面板密码锁功能、断电记忆功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1.12具有内置5V冷链供电系统，确保用电安全，减少外部布线，降低故障风险；</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1.13可选配RS485，选配同品牌智能温度记录仪、冷链安全监控系统，全程监控并记录冷链设备运行状态；</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1.14一体式手把门锁设计，单手实现开关门。可同时使用暗锁及双挂锁；</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 2个发泡内门并带密封条设计，外门4层密封。整机共计5层密封，保温效果好；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1.16内胆为电锌板喷粉，防腐蚀，导热快；</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1.17使用航空真空隔热材料VIP，厚度≥15mm，箱体发泡层厚度≥130mm，保温效果好；</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1.18具有可加热平衡孔模块，可满足短时间内连续开门；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1.19箱体后背</w:t>
      </w:r>
      <w:bookmarkStart w:id="30" w:name="OLE_LINK30"/>
      <w:r>
        <w:rPr>
          <w:color w:val="auto"/>
          <w:highlight w:val="none"/>
        </w:rPr>
      </w:r>
      <w:bookmarkStart w:id="31" w:name="OLE_LINK31"/>
      <w:r>
        <w:rPr>
          <w:rFonts w:hint="eastAsia" w:ascii="宋体" w:hAnsi="宋体" w:eastAsia="宋体" w:cs="宋体"/>
          <w:color w:val="auto"/>
          <w:sz w:val="24"/>
          <w:highlight w:val="none"/>
        </w:rPr>
        <w:t xml:space="preserve">≥2个测试孔</w:t>
      </w:r>
      <w:bookmarkEnd w:id="30"/>
      <w:r>
        <w:rPr>
          <w:color w:val="auto"/>
          <w:highlight w:val="none"/>
        </w:rPr>
      </w:r>
      <w:bookmarkEnd w:id="31"/>
      <w:r>
        <w:rPr>
          <w:rFonts w:hint="eastAsia" w:ascii="宋体" w:hAnsi="宋体" w:eastAsia="宋体" w:cs="宋体"/>
          <w:color w:val="auto"/>
          <w:sz w:val="24"/>
          <w:highlight w:val="none"/>
        </w:rPr>
        <w:t xml:space="preserve">设计，方便用户实验使用和监控箱内温度；</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★1.20具有医疗器械注册证，证书上产品型号要求与投标型号完全符合；（提供注册证材料）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1.21外部尺寸</w:t>
      </w:r>
      <w:bookmarkStart w:id="32" w:name="OLE_LINK6"/>
      <w:r>
        <w:rPr>
          <w:rFonts w:hint="eastAsia" w:ascii="宋体" w:hAnsi="宋体" w:eastAsia="宋体" w:cs="宋体"/>
          <w:color w:val="auto"/>
          <w:sz w:val="24"/>
          <w:highlight w:val="none"/>
        </w:rPr>
        <w:t xml:space="preserve">（宽x深x高）</w:t>
      </w:r>
      <w:bookmarkEnd w:id="32"/>
      <w:r>
        <w:rPr>
          <w:rFonts w:hint="eastAsia" w:ascii="宋体" w:hAnsi="宋体" w:eastAsia="宋体" w:cs="宋体"/>
          <w:color w:val="auto"/>
          <w:sz w:val="24"/>
          <w:highlight w:val="none"/>
        </w:rPr>
        <w:t xml:space="preserve">：≤850*900*1850mm；</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1.22内部尺寸（宽x深x高）：≥460*630*1160mm；</w:t>
      </w:r>
      <w:r>
        <w:rPr>
          <w:color w:val="auto"/>
          <w:highlight w:val="none"/>
        </w:rPr>
      </w:r>
      <w:r/>
    </w:p>
    <w:p>
      <w:pPr>
        <w:rPr>
          <w:rFonts w:hint="eastAsia" w:ascii="宋体" w:hAnsi="宋体" w:eastAsia="宋体" w:cs="宋体"/>
          <w:color w:val="auto"/>
          <w:sz w:val="24"/>
          <w:highlight w:val="none"/>
          <w:vertAlign w:val="subscript"/>
        </w:rPr>
      </w:pPr>
      <w:r>
        <w:rPr>
          <w:rFonts w:hint="eastAsia" w:ascii="宋体" w:hAnsi="宋体" w:eastAsia="宋体" w:cs="宋体"/>
          <w:color w:val="auto"/>
          <w:sz w:val="24"/>
          <w:highlight w:val="none"/>
        </w:rPr>
        <w:t xml:space="preserve">1.23净重：≤238±3% kg；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2、配置要求：</w:t>
      </w:r>
      <w:r>
        <w:rPr>
          <w:rFonts w:hint="eastAsia" w:ascii="宋体" w:hAnsi="宋体" w:eastAsia="宋体" w:cs="宋体"/>
          <w:color w:val="auto"/>
          <w:sz w:val="24"/>
          <w:highlight w:val="none"/>
        </w:rPr>
        <w:t xml:space="preserve">整机1台；冷链监测仪1个；</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3、售后服务要求：</w:t>
      </w:r>
      <w:r>
        <w:rPr>
          <w:color w:val="auto"/>
          <w:highlight w:val="none"/>
        </w:rPr>
      </w:r>
      <w:r/>
    </w:p>
    <w:p>
      <w:pPr>
        <w:pStyle w:val="939"/>
        <w:rPr>
          <w:rFonts w:hint="eastAsia"/>
          <w:color w:val="auto"/>
          <w:highlight w:val="none"/>
        </w:rPr>
      </w:pPr>
      <w:r>
        <w:rPr>
          <w:rFonts w:hint="eastAsia"/>
          <w:color w:val="auto"/>
          <w:highlight w:val="none"/>
        </w:rPr>
        <w:t xml:space="preserve">3.1 质保期：不少于5年（质保期自验收合格之日起计算）。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3.2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3.3零配件应保证不少于8年的供应期。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（六）低温保存箱</w:t>
      </w:r>
      <w:r>
        <w:rPr>
          <w:color w:val="auto"/>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1、技术性能要求：</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1.1温度范围：-20°C～-40°C可调节；</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1.2微电脑控制，LED大数码管显示箱内温度，显示精度</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0.1℃；</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bookmarkStart w:id="33" w:name="OLE_LINK46"/>
      <w:r>
        <w:rPr>
          <w:color w:val="auto"/>
          <w:highlight w:val="none"/>
        </w:rPr>
      </w:r>
      <w:bookmarkStart w:id="34" w:name="OLE_LINK45"/>
      <w:r>
        <w:rPr>
          <w:rFonts w:hint="eastAsia" w:ascii="宋体" w:hAnsi="宋体" w:eastAsia="宋体" w:cs="宋体"/>
          <w:color w:val="auto"/>
          <w:sz w:val="24"/>
          <w:highlight w:val="none"/>
        </w:rPr>
        <w:t xml:space="preserve">具有多种故障报警：高温报警、低温报警、传感器故障报警、环温高报警、断电报警、门开报警、电池报警</w:t>
      </w:r>
      <w:bookmarkEnd w:id="33"/>
      <w:r>
        <w:rPr>
          <w:color w:val="auto"/>
          <w:highlight w:val="none"/>
        </w:rPr>
      </w:r>
      <w:bookmarkEnd w:id="34"/>
      <w:r>
        <w:rPr>
          <w:rFonts w:hint="eastAsia" w:ascii="宋体" w:hAnsi="宋体" w:eastAsia="宋体" w:cs="宋体"/>
          <w:color w:val="auto"/>
          <w:sz w:val="24"/>
          <w:highlight w:val="none"/>
        </w:rPr>
        <w:t xml:space="preserve">；</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1.4具有多种报警方式：声音蜂鸣报警、灯光闪烁报警，远程报警接口；</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1.5多重保护功能：开机延时保护、停机间隔保护、显示面板密码保护、断电记忆数据保护、传感器故障保护运行； </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1.6后备电池设计，断电后持续报警并显示箱内实时温度24小时以上；</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1.7采用HC环保制冷剂和制冷系统，明确制冷剂用量，制冷剂用量符合国家安全标准,可燃制冷剂不能高于150g；</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1.8根据低温保存箱国家标准GB/T 20154要求，低温保存箱铭牌上要标注制冷剂的详细名称及装入量；</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w:t>
      </w:r>
      <w:bookmarkStart w:id="35" w:name="OLE_LINK42"/>
      <w:r>
        <w:rPr>
          <w:color w:val="auto"/>
          <w:highlight w:val="none"/>
        </w:rPr>
      </w:r>
      <w:bookmarkStart w:id="36" w:name="OLE_LINK41"/>
      <w:r>
        <w:rPr>
          <w:rFonts w:hint="eastAsia" w:ascii="宋体" w:hAnsi="宋体" w:eastAsia="宋体" w:cs="宋体"/>
          <w:color w:val="auto"/>
          <w:sz w:val="24"/>
          <w:highlight w:val="none"/>
        </w:rPr>
        <w:t xml:space="preserve">采用碳氢节能压缩机</w:t>
      </w:r>
      <w:bookmarkEnd w:id="35"/>
      <w:r>
        <w:rPr>
          <w:color w:val="auto"/>
          <w:highlight w:val="none"/>
        </w:rPr>
      </w:r>
      <w:bookmarkEnd w:id="36"/>
      <w:r>
        <w:rPr>
          <w:rFonts w:hint="eastAsia" w:ascii="宋体" w:hAnsi="宋体" w:eastAsia="宋体" w:cs="宋体"/>
          <w:color w:val="auto"/>
          <w:sz w:val="24"/>
          <w:highlight w:val="none"/>
        </w:rPr>
        <w:t xml:space="preserve">，更节能环保；</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1.10进口品牌风机，高效制冷，使用寿命更长；</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1.11设定-40℃的特性点温度均匀性±3℃，全温区温度均匀性±5℃以内；</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1.12立式单门+双内门结构，优化嵌入式双密封条设计，三层密封，</w:t>
      </w:r>
      <w:bookmarkStart w:id="37" w:name="OLE_LINK24"/>
      <w:r>
        <w:rPr>
          <w:color w:val="auto"/>
          <w:highlight w:val="none"/>
        </w:rPr>
      </w:r>
      <w:bookmarkStart w:id="38" w:name="OLE_LINK25"/>
      <w:r>
        <w:rPr>
          <w:color w:val="auto"/>
          <w:highlight w:val="none"/>
        </w:rPr>
      </w:r>
      <w:bookmarkStart w:id="39" w:name="OLE_LINK26"/>
      <w:r>
        <w:rPr>
          <w:color w:val="auto"/>
          <w:highlight w:val="none"/>
        </w:rPr>
      </w:r>
      <w:bookmarkStart w:id="40" w:name="OLE_LINK27"/>
      <w:r>
        <w:rPr>
          <w:rFonts w:hint="eastAsia" w:ascii="宋体" w:hAnsi="宋体" w:eastAsia="宋体" w:cs="宋体"/>
          <w:color w:val="auto"/>
          <w:sz w:val="24"/>
          <w:highlight w:val="none"/>
        </w:rPr>
        <w:t xml:space="preserve">密封保温效果好</w:t>
      </w:r>
      <w:bookmarkEnd w:id="37"/>
      <w:r>
        <w:rPr>
          <w:color w:val="auto"/>
          <w:highlight w:val="none"/>
        </w:rPr>
      </w:r>
      <w:bookmarkEnd w:id="38"/>
      <w:r>
        <w:rPr>
          <w:color w:val="auto"/>
          <w:highlight w:val="none"/>
        </w:rPr>
      </w:r>
      <w:bookmarkEnd w:id="39"/>
      <w:r>
        <w:rPr>
          <w:color w:val="auto"/>
          <w:highlight w:val="none"/>
        </w:rPr>
      </w:r>
      <w:bookmarkEnd w:id="40"/>
      <w:r>
        <w:rPr>
          <w:rFonts w:hint="eastAsia" w:ascii="宋体" w:hAnsi="宋体" w:eastAsia="宋体" w:cs="宋体"/>
          <w:color w:val="auto"/>
          <w:sz w:val="24"/>
          <w:highlight w:val="none"/>
        </w:rPr>
        <w:t xml:space="preserve">，环保节能；</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1.13内藏式蒸发器设计，金属喷粉内胆，防腐蚀，制冷快；</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1.14箱内大空间，搁架间距上下可调，便于存放不同尺寸的物品；</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1.15门锁+锁鼻一体式手把门锁设计，即可一把钥匙一把锁，又可外加挂锁，可随意配置任意挂锁，实现多人管理；</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1.16具有不少于2个测试孔，方便实验使用和监控箱内温度；</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1.17脚轮+底脚设计，便于移动和锁定；</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1.18可选配圆盘式温度记录仪，USB接口，打印机，RS485或WIFI模块（二选一）；</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1.20有效容积：</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296L；</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1.21外部尺寸：</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780*710*1830mm；</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1.22内部尺寸：</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540*440*1215mm，内胆材质为电锌板喷粉；</w:t>
      </w:r>
      <w:r>
        <w:rPr>
          <w:color w:val="auto"/>
          <w:highlight w:val="none"/>
        </w:rPr>
      </w:r>
      <w:r/>
    </w:p>
    <w:p>
      <w:pPr>
        <w:ind w:left="480" w:hanging="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w:t>
      </w:r>
      <w:r>
        <w:rPr>
          <w:rFonts w:hint="eastAsia" w:ascii="宋体" w:hAnsi="宋体" w:eastAsia="宋体" w:cs="宋体"/>
          <w:color w:val="auto"/>
          <w:sz w:val="24"/>
          <w:highlight w:val="none"/>
        </w:rPr>
        <w:t xml:space="preserve">产品具有医疗器械注册证；（提供注册证材料）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2、配置要求：</w:t>
      </w:r>
      <w:r>
        <w:rPr>
          <w:rFonts w:hint="eastAsia" w:ascii="宋体" w:hAnsi="宋体" w:eastAsia="宋体" w:cs="宋体"/>
          <w:color w:val="auto"/>
          <w:sz w:val="24"/>
          <w:highlight w:val="none"/>
        </w:rPr>
        <w:t xml:space="preserve">整机1台；冷链监测仪1个；</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3、售后服务要求：</w:t>
      </w:r>
      <w:r>
        <w:rPr>
          <w:color w:val="auto"/>
          <w:highlight w:val="none"/>
        </w:rPr>
      </w:r>
      <w:r/>
    </w:p>
    <w:p>
      <w:pPr>
        <w:pStyle w:val="939"/>
        <w:rPr>
          <w:rFonts w:hint="eastAsia"/>
          <w:color w:val="auto"/>
          <w:highlight w:val="none"/>
        </w:rPr>
      </w:pPr>
      <w:r>
        <w:rPr>
          <w:rFonts w:hint="eastAsia"/>
          <w:color w:val="auto"/>
          <w:highlight w:val="none"/>
        </w:rPr>
        <w:t xml:space="preserve">3.1 质保期：不少于</w:t>
      </w:r>
      <w:r>
        <w:rPr>
          <w:rFonts w:hint="eastAsia"/>
          <w:color w:val="auto"/>
          <w:highlight w:val="none"/>
        </w:rPr>
        <w:t xml:space="preserve">3年</w:t>
      </w:r>
      <w:r>
        <w:rPr>
          <w:rFonts w:hint="eastAsia"/>
          <w:color w:val="auto"/>
          <w:highlight w:val="none"/>
        </w:rPr>
        <w:t xml:space="preserve">（质保期自验收合格之日起计算）。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3.2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3.3零配件应保证不少于8年的供应期。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（七）相差显微镜</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用于观察活细胞和透明样本。</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2.1目镜：高眼点平场目镜PL10X/22mm，带视度调节；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★2.2观察筒：铰链式观察筒，30°倾斜，视度可调，±5屈光度；瞳距调节范围48-76mm。铰链组可360°旋转，用于改变眼点高度。眼点调节高度375—428.5mm；</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2.3物镜转换器：内倾式5孔物镜编码转换器，能够记忆每个物镜的照明亮度、物镜切换时，亮度自动调整和适应；</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2.4调焦机构：粗微调同轴，粗调行程≥27mm，微调精度≥2um，全金属齿轮齿条调焦机构，带可调式平台上限位装置；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2.5物镜：无限远平场消色差物镜:</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4X/NA≥0.1/WD≥15mm， 10X/NA≥0.25/WD≥10.8mm，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40X/NA≥0.65/WD≥0.8mm，100X/NA≥1.25/WD≥0.21mm；</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★2.6照明系统：LED照明，光强连续可调，内置智能感应装置，连续30分钟无操作，ECO系统将自动关闭电源进入待机状态，可通过调光旋钮自动唤醒灯源；</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2.7储物盒：机身自带储物盒，可以放置电源线、镜油、工具等物品；以免丢失同时保持桌面整洁；</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★2.8载物台：双层机械移动平台，低手位X、Y方向同轴调节，线轨传动，X方向无齿条伸出。载物台面积≥210×170mm，移动范围≥78×50mm，台面采用陶瓷工艺制作；</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★2.9充电接口：机身背后有Type-C和USB接口，可以支持充电宝供电（Type-C接口输入），可以支持显微镜给手机、平板供电（USB接口输出）；</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2.10产品的所采用零部件和生产过程，需对有害物质进行严格控制，符合《电器电子产品有害物质限制使用管理办法》（令第32号）环保要求，提供专业机构出具的证明材料（复印件加盖生产企业公章）；</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成像系统：≥630万像素。传感器尺寸：≥1/1.8”。最大帧率及最大分辨率：≥30fps@3072x2048，逐行扫描，具有自动曝光、自动白平衡功能；USB3.0线纯数码输出。配套显微镜原厂图像分析软件；提供正版软件；（提供国家版权局出具的软件著作权证书）</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3.1主机1台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3.2目镜1套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3.3无限远平场消色差物镜10X/0.25、40X/0.65、60X/0.85、100X/1.25各1个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3.4聚光镜1个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3.5成像系统1套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3.6分析软件1套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3.7电脑工作站1套（(配置不低于：处理器Intel i5，10核、硬盘512GB SSD、内存8G 、21寸液晶显示器)</w:t>
      </w:r>
      <w:r>
        <w:rPr>
          <w:color w:val="auto"/>
          <w:highlight w:val="none"/>
        </w:rPr>
      </w:r>
      <w:r/>
    </w:p>
    <w:p>
      <w:pPr>
        <w:pStyle w:val="939"/>
        <w:rPr>
          <w:rFonts w:hint="eastAsia"/>
          <w:b/>
          <w:bCs w:val="0"/>
          <w:color w:val="auto"/>
          <w:highlight w:val="none"/>
        </w:rPr>
      </w:pPr>
      <w:r>
        <w:rPr>
          <w:rFonts w:hint="eastAsia"/>
          <w:b/>
          <w:bCs w:val="0"/>
          <w:color w:val="auto"/>
          <w:highlight w:val="none"/>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pStyle w:val="939"/>
        <w:rPr>
          <w:rFonts w:hint="eastAsia"/>
          <w:color w:val="auto"/>
          <w:highlight w:val="none"/>
        </w:rPr>
      </w:pPr>
      <w:r>
        <w:rPr>
          <w:rFonts w:hint="eastAsia"/>
          <w:color w:val="auto"/>
          <w:highlight w:val="none"/>
        </w:rPr>
        <w:t xml:space="preserve">4.3提供详细的培训计划，保证使用人员正常操作设备。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4.4零配件应保证不少于8年的供应期。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（八）恒温水浴槽</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1、主要用途：</w:t>
      </w:r>
      <w:r>
        <w:rPr>
          <w:rFonts w:hint="eastAsia" w:ascii="宋体" w:hAnsi="宋体" w:eastAsia="宋体" w:cs="宋体"/>
          <w:bCs/>
          <w:color w:val="auto"/>
          <w:sz w:val="24"/>
          <w:highlight w:val="none"/>
        </w:rPr>
        <w:t xml:space="preserve">用于</w:t>
      </w:r>
      <w:r>
        <w:rPr>
          <w:rFonts w:hint="eastAsia" w:ascii="宋体" w:hAnsi="宋体" w:eastAsia="宋体" w:cs="宋体"/>
          <w:color w:val="auto"/>
          <w:sz w:val="24"/>
          <w:highlight w:val="none"/>
        </w:rPr>
        <w:t xml:space="preserve">细胞生物培养，食品检测，药物检测，材料测试，腐蚀试验等。</w:t>
      </w:r>
      <w:r>
        <w:rPr>
          <w:color w:val="auto"/>
          <w:highlight w:val="none"/>
        </w:rPr>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2、技术性能要求：</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2.1无缝镶嵌的防水控制面板及电源开关，允许操作者湿手进行开关机及设置，并可防止意外液体喷溅损伤电路；</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★2.2具备防干烧功能，低液位声光报警功能和自动断电功能；</w:t>
      </w:r>
      <w:r>
        <w:rPr>
          <w:color w:val="auto"/>
          <w:highlight w:val="none"/>
        </w:rPr>
      </w:r>
      <w:r/>
    </w:p>
    <w:p>
      <w:pPr>
        <w:ind w:right="-27"/>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2.2高亮白光LED显示，可以显示实际温度值和设定值；</w:t>
      </w:r>
      <w:r>
        <w:rPr>
          <w:color w:val="auto"/>
          <w:highlight w:val="none"/>
        </w:rPr>
      </w:r>
      <w:r/>
    </w:p>
    <w:p>
      <w:pPr>
        <w:ind w:right="-27"/>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2.3高品质不锈钢内槽，浴槽底部平整，没有加热盘管，无卫生死角；</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2.4最高温度上限报警保护功能，因任何情况浴槽温度超过105℃时自动报警并切断电源；</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2.5设备带有内嵌式搬运把手，不占用空间，正面配有底部放水阀，方便放液操作；</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2.6标配计时功能，倒计时结束后报警通知，可选继续运行或自动关机；</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2.7浴槽上边缘特殊的倾斜设计有利于冷凝水回流入槽；</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2.8温度范围：室温 +5～+99.9℃，温度稳定性：≤±0.15℃；</w:t>
      </w:r>
      <w:r>
        <w:rPr>
          <w:color w:val="auto"/>
          <w:highlight w:val="none"/>
        </w:rPr>
      </w:r>
      <w:r/>
    </w:p>
    <w:p>
      <w:pPr>
        <w:ind w:right="-27"/>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★2.9配备透明浴槽弧形盖，易于观察样品，同时防止冷凝水滴落污染样品，开盖把手置于侧面，防止开盖时蒸汽烫伤实验人员；</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2.10温度范围：室温+5－99.9ºC；</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2.11显示精度：</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0.1℃；</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2.12加热功率：≥2.0kw；</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2.13温度稳定性：≤±0.15℃；</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2.14开口尺寸（W×L/D）：≥55×25/18cm；</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2.15内充容积：3.4-25.5L。</w:t>
      </w:r>
      <w:r>
        <w:rPr>
          <w:color w:val="auto"/>
          <w:highlight w:val="none"/>
        </w:rPr>
      </w:r>
      <w:r/>
    </w:p>
    <w:p>
      <w:pPr>
        <w:pStyle w:val="788"/>
        <w:numPr>
          <w:ilvl w:val="0"/>
          <w:numId w:val="4"/>
        </w:num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配置要求：</w:t>
      </w:r>
      <w:r>
        <w:rPr>
          <w:color w:val="auto"/>
          <w:highlight w:val="none"/>
        </w:rPr>
      </w:r>
      <w:r/>
    </w:p>
    <w:p>
      <w:pPr>
        <w:jc w:val="left"/>
        <w:tabs>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3.1主机1台</w:t>
      </w:r>
      <w:r>
        <w:rPr>
          <w:color w:val="auto"/>
          <w:highlight w:val="none"/>
        </w:rPr>
      </w:r>
      <w:r/>
    </w:p>
    <w:p>
      <w:pPr>
        <w:jc w:val="left"/>
        <w:tabs>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3.2不锈钢双列8孔盖1个</w:t>
      </w:r>
      <w:r>
        <w:rPr>
          <w:color w:val="auto"/>
          <w:highlight w:val="none"/>
        </w:rPr>
      </w:r>
      <w:r/>
    </w:p>
    <w:p>
      <w:pPr>
        <w:jc w:val="left"/>
        <w:tabs>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3.3单面冷凝管支架（含夹具）4个</w:t>
      </w:r>
      <w:r>
        <w:rPr>
          <w:color w:val="auto"/>
          <w:highlight w:val="none"/>
        </w:rPr>
      </w:r>
      <w:r/>
    </w:p>
    <w:p>
      <w:pPr>
        <w:pStyle w:val="939"/>
        <w:rPr>
          <w:rFonts w:hint="eastAsia"/>
          <w:b/>
          <w:bCs w:val="0"/>
          <w:color w:val="auto"/>
          <w:highlight w:val="none"/>
        </w:rPr>
      </w:pPr>
      <w:r>
        <w:rPr>
          <w:rFonts w:hint="eastAsia"/>
          <w:b/>
          <w:bCs w:val="0"/>
          <w:color w:val="auto"/>
          <w:highlight w:val="none"/>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4.3零配件应保证不少于8年的供应期。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（九）鼓风干燥箱</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1、主要用途：</w:t>
      </w:r>
      <w:r>
        <w:rPr>
          <w:rFonts w:hint="eastAsia" w:ascii="宋体" w:hAnsi="宋体" w:eastAsia="宋体" w:cs="宋体"/>
          <w:bCs/>
          <w:color w:val="auto"/>
          <w:sz w:val="24"/>
          <w:highlight w:val="none"/>
        </w:rPr>
        <w:t xml:space="preserve">用于实验用具</w:t>
      </w:r>
      <w:r>
        <w:rPr>
          <w:rFonts w:hint="eastAsia" w:ascii="宋体" w:hAnsi="宋体" w:eastAsia="宋体" w:cs="宋体"/>
          <w:color w:val="auto"/>
          <w:sz w:val="24"/>
          <w:highlight w:val="none"/>
        </w:rPr>
        <w:t xml:space="preserve">干燥、烘焙熔蜡、灭菌用。</w:t>
      </w:r>
      <w:r>
        <w:rPr>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2、技术性能要求：</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2.1箱体内均采用镜面不锈钢氩弧焊制作而成，箱体外采用钢板，造型美观、新颖；</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2.2采用具有超温偏差保护、数字显示的微电脑P.I.D温度控制器，带有定时功能，控温精确可靠；</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2.3热风循环系统由能在高温下连续运转的风机和合适风道组成，提高工作室内温度均匀度；</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2.4采用新型的合成硅密封条，能长期高温运行，使用寿命长，便于更换；</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2.5可以从控温面板上调节箱内进风和排气量大小；</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2.6独立限温报警系统，超过限制温度即自动中断，保证实验安全运行不发生意外；(选配)</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2.7可配打印机或RS485接口，用于连接打印机或计算机，能记录温度参数的变化状况；(选配)</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2.8控温范围：RT+10～250℃；</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2.9温度波动度：</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±1.0℃；</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2.10温度分辨率：</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0.1℃；</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2.11温度均匀度：</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±3%（测试点为100℃）；</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2.12输入功率：</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2450W；</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2.13容积：≥220L；</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2.14载物托架（标配）：2块；</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2.15定时范围：0～9999min；</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2.16内胆尺寸（mm）W*D*H：≥600*500*750；</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2.17外形尺寸（mm）W*D*H：</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880*650*950；</w:t>
      </w:r>
      <w:r>
        <w:rPr>
          <w:color w:val="auto"/>
          <w:highlight w:val="none"/>
        </w:rPr>
      </w:r>
      <w:r/>
    </w:p>
    <w:p>
      <w:pPr>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3、配置要求：</w:t>
      </w:r>
      <w:r>
        <w:rPr>
          <w:rFonts w:hint="eastAsia" w:ascii="宋体" w:hAnsi="宋体" w:eastAsia="宋体" w:cs="宋体"/>
          <w:bCs/>
          <w:color w:val="auto"/>
          <w:sz w:val="24"/>
          <w:highlight w:val="none"/>
        </w:rPr>
        <w:t xml:space="preserve">整机1台；</w:t>
      </w:r>
      <w:r>
        <w:rPr>
          <w:color w:val="auto"/>
          <w:highlight w:val="none"/>
        </w:rPr>
      </w:r>
      <w:r/>
    </w:p>
    <w:p>
      <w:pPr>
        <w:pStyle w:val="939"/>
        <w:rPr>
          <w:rFonts w:hint="eastAsia"/>
          <w:b/>
          <w:bCs w:val="0"/>
          <w:color w:val="auto"/>
          <w:highlight w:val="none"/>
        </w:rPr>
      </w:pPr>
      <w:r>
        <w:rPr>
          <w:rFonts w:hint="eastAsia"/>
          <w:b/>
          <w:bCs w:val="0"/>
          <w:color w:val="auto"/>
          <w:highlight w:val="none"/>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4.3零配件应保证不少于8年的供应期。</w:t>
      </w:r>
      <w:r>
        <w:rPr>
          <w:color w:val="auto"/>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（十）隔水式恒温培养箱</w:t>
      </w:r>
      <w:r>
        <w:rPr>
          <w:color w:val="auto"/>
          <w:highlight w:val="none"/>
        </w:rPr>
      </w:r>
      <w:r/>
    </w:p>
    <w:p>
      <w:pPr>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1、主要用途：</w:t>
      </w:r>
      <w:r>
        <w:rPr>
          <w:rFonts w:hint="eastAsia" w:ascii="宋体" w:hAnsi="宋体" w:eastAsia="宋体" w:cs="宋体"/>
          <w:bCs/>
          <w:color w:val="auto"/>
          <w:sz w:val="24"/>
          <w:highlight w:val="none"/>
        </w:rPr>
        <w:t xml:space="preserve">用于样本中细菌培养。</w:t>
      </w:r>
      <w:r>
        <w:rPr>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2、技术性能要求：</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拉丝不锈钢内胆，四角半圈弧过渡，搁板可以自由装卸，便于工作室清洁；</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rPr>
          <w:rFonts w:hint="eastAsia" w:ascii="宋体" w:hAnsi="宋体" w:eastAsia="宋体" w:cs="宋体"/>
          <w:color w:val="auto"/>
          <w:sz w:val="24"/>
          <w:highlight w:val="none"/>
          <w:lang w:val="zh-CN"/>
        </w:rPr>
        <w:t xml:space="preserve">隔水式加热方式，保证工作室温度均匀，在断电状态，仍能保持较长时间恒温；</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w:t>
      </w:r>
      <w:r>
        <w:rPr>
          <w:rFonts w:hint="eastAsia" w:ascii="宋体" w:hAnsi="宋体" w:eastAsia="宋体" w:cs="宋体"/>
          <w:color w:val="auto"/>
          <w:sz w:val="24"/>
          <w:highlight w:val="none"/>
          <w:lang w:val="zh-CN"/>
        </w:rPr>
        <w:t xml:space="preserve">箱内有便于观察玻璃门，在工作状态，用户可以随时打开玻璃门，培养箱会自动暂停工作，并切断加热与循环风机；</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w:t>
      </w:r>
      <w:r>
        <w:rPr>
          <w:rFonts w:hint="eastAsia" w:ascii="宋体" w:hAnsi="宋体" w:eastAsia="宋体" w:cs="宋体"/>
          <w:color w:val="auto"/>
          <w:sz w:val="24"/>
          <w:highlight w:val="none"/>
          <w:lang w:val="zh-CN"/>
        </w:rPr>
        <w:t xml:space="preserve">微电脑控制器；自整定PID技术，不会形成温度过冲；具有温度、水位和开门报警等人性化设计功能，能避免温度突变对实验样品的破坏；</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w:t>
      </w:r>
      <w:r>
        <w:rPr>
          <w:rFonts w:hint="eastAsia" w:ascii="宋体" w:hAnsi="宋体" w:eastAsia="宋体" w:cs="宋体"/>
          <w:color w:val="auto"/>
          <w:sz w:val="24"/>
          <w:highlight w:val="none"/>
          <w:lang w:val="zh-CN"/>
        </w:rPr>
        <w:t xml:space="preserve">循环风扇速度大小可自动控制，当箱内温度处于恒温状态时，速度会减小，循环风速会调整到适宜细胞成长的风速，避免试验过程中由于风量过大造成样品的挥发；</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w:t>
      </w:r>
      <w:r>
        <w:rPr>
          <w:rFonts w:hint="eastAsia" w:ascii="宋体" w:hAnsi="宋体" w:eastAsia="宋体" w:cs="宋体"/>
          <w:color w:val="auto"/>
          <w:sz w:val="24"/>
          <w:highlight w:val="none"/>
          <w:lang w:val="zh-CN"/>
        </w:rPr>
        <w:t xml:space="preserve">多段液晶可编程控制器，多种参数一屏显示，菜单式操作界面，可以简化复杂的试验过程，真正实现自动控制与运行；</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w:t>
      </w:r>
      <w:r>
        <w:rPr>
          <w:rFonts w:hint="eastAsia" w:ascii="宋体" w:hAnsi="宋体" w:eastAsia="宋体" w:cs="宋体"/>
          <w:color w:val="auto"/>
          <w:sz w:val="24"/>
          <w:highlight w:val="none"/>
          <w:lang w:val="zh-CN"/>
        </w:rPr>
        <w:t xml:space="preserve">多段温度、循环风速、时间和升温速率等参数能同时设置与编程，可以进行温度上升的梯度控制，从箱内初始温度缓慢升温等功能，也可预设自动开机、待机与关机等功能；</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w:t>
      </w:r>
      <w:r>
        <w:rPr>
          <w:rFonts w:hint="eastAsia" w:ascii="宋体" w:hAnsi="宋体" w:eastAsia="宋体" w:cs="宋体"/>
          <w:color w:val="auto"/>
          <w:sz w:val="24"/>
          <w:highlight w:val="none"/>
          <w:lang w:val="zh-CN"/>
        </w:rPr>
        <w:t xml:space="preserve">独立限温报警系统、能声光报警提示操作者，保证实验安全运行不发生意外；（选配）</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w:t>
      </w:r>
      <w:r>
        <w:rPr>
          <w:rFonts w:hint="eastAsia" w:ascii="宋体" w:hAnsi="宋体" w:eastAsia="宋体" w:cs="宋体"/>
          <w:color w:val="auto"/>
          <w:sz w:val="24"/>
          <w:highlight w:val="none"/>
          <w:lang w:val="zh-CN"/>
        </w:rPr>
        <w:t xml:space="preserve">具有温度偏高、超温和缺水等报警；</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w:t>
      </w:r>
      <w:r>
        <w:rPr>
          <w:rFonts w:hint="eastAsia" w:ascii="宋体" w:hAnsi="宋体" w:eastAsia="宋体" w:cs="宋体"/>
          <w:color w:val="auto"/>
          <w:sz w:val="24"/>
          <w:highlight w:val="none"/>
          <w:lang w:val="zh-CN"/>
        </w:rPr>
        <w:t xml:space="preserve">具有开门时间过长报警；</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2.12加热方式：水套式；</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2.13控温范围：RT+5～65℃；</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2.14温度分辨率/波动度：</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0.1℃/±0.3℃；</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2.15温度均匀度：</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±0.5℃（测试点为37℃）；</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2.17输入功率：</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1350W；</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2.18容积：≥270L；</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2.19载物托架：2块；</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2.20定时范围：0～9999min；</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2.21内胆尺寸（mm）W*D*H：≥600*600*730；</w:t>
      </w:r>
      <w:r>
        <w:rPr>
          <w:color w:val="auto"/>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2.22外形尺寸（mm）W*D*H：</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750*750*1050；</w:t>
      </w:r>
      <w:r>
        <w:rPr>
          <w:color w:val="auto"/>
          <w:highlight w:val="none"/>
        </w:rPr>
      </w:r>
      <w:r/>
    </w:p>
    <w:p>
      <w:pPr>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3、配置要求：</w:t>
      </w:r>
      <w:r>
        <w:rPr>
          <w:rFonts w:hint="eastAsia" w:ascii="宋体" w:hAnsi="宋体" w:eastAsia="宋体" w:cs="宋体"/>
          <w:bCs/>
          <w:color w:val="auto"/>
          <w:sz w:val="24"/>
          <w:highlight w:val="none"/>
        </w:rPr>
        <w:t xml:space="preserve">整机1台；</w:t>
      </w:r>
      <w:r>
        <w:rPr>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4.3零配件应保证不少于8年的供应期。</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highlight w:val="none"/>
        </w:rPr>
      </w:r>
      <w:r/>
    </w:p>
    <w:p>
      <w:p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理化仪器</w:t>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（一）气相色谱仪I</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用于环境、水质、职业卫生样品的定性定量分析。</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2.1柱箱</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2.1.1操作温度：室温以上4˚C-450˚C；</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2.1.2温度分辨：1˚C温度设定，0.1˚C程序设定；</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 最大运行时间：</w:t>
      </w:r>
      <w:bookmarkStart w:id="41" w:name="OLE_LINK17"/>
      <w:r>
        <w:rPr>
          <w:rFonts w:hint="eastAsia" w:cs="宋体"/>
          <w:color w:val="auto"/>
          <w:highlight w:val="none"/>
          <w:lang w:bidi="ar"/>
        </w:rPr>
        <w:t xml:space="preserve">≥</w:t>
      </w:r>
      <w:bookmarkEnd w:id="41"/>
      <w:r>
        <w:rPr>
          <w:rFonts w:hint="eastAsia" w:ascii="宋体" w:hAnsi="宋体" w:eastAsia="宋体" w:cs="宋体"/>
          <w:color w:val="auto"/>
          <w:sz w:val="24"/>
          <w:highlight w:val="none"/>
        </w:rPr>
        <w:t xml:space="preserve">999.99分钟；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 温度稳定性：</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0.01˚C/1˚C环境变化；</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 峰面积重现性： </w:t>
      </w:r>
      <w:bookmarkStart w:id="42" w:name="OLE_LINK11"/>
      <w:r>
        <w:rPr>
          <w:rFonts w:hint="eastAsia" w:ascii="宋体" w:hAnsi="宋体" w:cs="宋体"/>
          <w:color w:val="auto"/>
          <w:highlight w:val="none"/>
          <w:lang w:bidi="ar"/>
        </w:rPr>
        <w:t xml:space="preserve">＜</w:t>
      </w:r>
      <w:bookmarkEnd w:id="42"/>
      <w:r>
        <w:rPr>
          <w:rFonts w:hint="eastAsia" w:ascii="宋体" w:hAnsi="宋体" w:eastAsia="宋体" w:cs="宋体"/>
          <w:color w:val="auto"/>
          <w:sz w:val="24"/>
          <w:highlight w:val="none"/>
        </w:rPr>
        <w:t xml:space="preserve">0.5% RSD；</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2.1.6具有不少于六个气相色谱柱智能钥匙；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2.2毛细柱分流/无分流进样口（带电子流量控制）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2.2.1最高使用温度：</w:t>
      </w:r>
      <w:r>
        <w:rPr>
          <w:rFonts w:hint="eastAsia" w:cs="宋体"/>
          <w:color w:val="auto"/>
          <w:highlight w:val="none"/>
          <w:lang w:bidi="ar"/>
        </w:rPr>
        <w:t xml:space="preserve">≥</w:t>
      </w:r>
      <w:r>
        <w:rPr>
          <w:rFonts w:hint="eastAsia" w:ascii="宋体" w:hAnsi="宋体" w:eastAsia="宋体" w:cs="宋体"/>
          <w:color w:val="auto"/>
          <w:sz w:val="24"/>
          <w:highlight w:val="none"/>
        </w:rPr>
        <w:t xml:space="preserve">400˚C；</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2.2.2电子参数设定压力，流速和分流比；</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2.2.3压力设定范围：0-100psi；</w:t>
      </w:r>
      <w:r>
        <w:rPr>
          <w:color w:val="auto"/>
          <w:highlight w:val="none"/>
        </w:rPr>
      </w:r>
      <w:r/>
    </w:p>
    <w:p>
      <w:pPr>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2.2.4电子气路流量/压力控制精度可达0.001psi；</w:t>
      </w:r>
      <w:r>
        <w:rPr>
          <w:rFonts w:hint="eastAsia" w:ascii="宋体" w:hAnsi="宋体" w:eastAsia="宋体" w:cs="宋体"/>
          <w:strike/>
          <w:color w:val="auto"/>
          <w:sz w:val="24"/>
          <w:highlight w:val="none"/>
        </w:rPr>
        <w:t xml:space="preserve">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★2.2.5流量范围：0-500Ml/min N</w:t>
      </w:r>
      <w:r>
        <w:rPr>
          <w:rFonts w:hint="eastAsia" w:ascii="宋体" w:hAnsi="宋体" w:eastAsia="宋体" w:cs="宋体"/>
          <w:color w:val="auto"/>
          <w:sz w:val="24"/>
          <w:highlight w:val="none"/>
          <w:vertAlign w:val="subscript"/>
        </w:rPr>
        <w:t xml:space="preserve">2</w:t>
      </w:r>
      <w:r>
        <w:rPr>
          <w:rFonts w:hint="eastAsia" w:ascii="宋体" w:hAnsi="宋体" w:eastAsia="宋体" w:cs="宋体"/>
          <w:color w:val="auto"/>
          <w:sz w:val="24"/>
          <w:highlight w:val="none"/>
        </w:rPr>
        <w:t xml:space="preserve">；0-1250mL/min H</w:t>
      </w:r>
      <w:r>
        <w:rPr>
          <w:rFonts w:hint="eastAsia" w:ascii="宋体" w:hAnsi="宋体" w:eastAsia="宋体" w:cs="宋体"/>
          <w:color w:val="auto"/>
          <w:sz w:val="24"/>
          <w:highlight w:val="none"/>
          <w:vertAlign w:val="subscript"/>
        </w:rPr>
        <w:t xml:space="preserve">2</w:t>
      </w:r>
      <w:r>
        <w:rPr>
          <w:rFonts w:hint="eastAsia" w:ascii="宋体" w:hAnsi="宋体" w:eastAsia="宋体" w:cs="宋体"/>
          <w:color w:val="auto"/>
          <w:sz w:val="24"/>
          <w:highlight w:val="none"/>
        </w:rPr>
        <w:t xml:space="preserve"> 或 He；0-200ml/min Ar 或 CH4；</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 扳转式进样口设计，更换衬管等消耗品无需使用工具拆卸螺帽，有助于快速、轻松地更换进样器衬管；（提供原厂盖章的官方发行的证明材料及实物图片）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2.2.7 EPC的设计基于微通道架构基础上，可以防止颗粒、水、汽和油等污染物，可靠性和使用寿命有显著提高，最大程度保证低维护成本；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★2.2.8 分流比：≥12500:1；</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氢火焰检测器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2.3.1最高使用温度：</w:t>
      </w:r>
      <w:r>
        <w:rPr>
          <w:rFonts w:hint="eastAsia" w:cs="宋体"/>
          <w:color w:val="auto"/>
          <w:highlight w:val="none"/>
          <w:lang w:bidi="ar"/>
        </w:rPr>
        <w:t xml:space="preserve">≥</w:t>
      </w:r>
      <w:r>
        <w:rPr>
          <w:rFonts w:hint="eastAsia" w:ascii="宋体" w:hAnsi="宋体" w:eastAsia="宋体" w:cs="宋体"/>
          <w:color w:val="auto"/>
          <w:sz w:val="24"/>
          <w:highlight w:val="none"/>
        </w:rPr>
        <w:t xml:space="preserve">450˚C；</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2.3.2具有自动点火装置，自动调节点火气流，具有自动灭火检测功能；</w:t>
      </w:r>
      <w:r>
        <w:rPr>
          <w:color w:val="auto"/>
          <w:highlight w:val="none"/>
        </w:rPr>
      </w:r>
      <w:r/>
    </w:p>
    <w:p>
      <w:pPr>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2.3.3最低检测限：</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1.2 pg碳/秒(十三烷)；</w:t>
      </w:r>
      <w:r>
        <w:rPr>
          <w:rFonts w:hint="eastAsia" w:ascii="宋体" w:hAnsi="宋体" w:eastAsia="宋体" w:cs="宋体"/>
          <w:strike/>
          <w:color w:val="auto"/>
          <w:sz w:val="24"/>
          <w:highlight w:val="none"/>
        </w:rPr>
        <w:t xml:space="preserve">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2.3.4线性动态范围：≥10</w:t>
      </w:r>
      <w:r>
        <w:rPr>
          <w:rFonts w:hint="eastAsia" w:ascii="宋体" w:hAnsi="宋体" w:eastAsia="宋体" w:cs="宋体"/>
          <w:color w:val="auto"/>
          <w:sz w:val="24"/>
          <w:highlight w:val="none"/>
          <w:vertAlign w:val="superscript"/>
        </w:rPr>
        <w:t xml:space="preserve">7</w:t>
      </w:r>
      <w:r>
        <w:rPr>
          <w:rFonts w:hint="eastAsia" w:ascii="宋体" w:hAnsi="宋体" w:eastAsia="宋体" w:cs="宋体"/>
          <w:color w:val="auto"/>
          <w:sz w:val="24"/>
          <w:highlight w:val="none"/>
        </w:rPr>
        <w:t xml:space="preserve">；</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★2.3.5数据采样速率：1000Hz；</w:t>
      </w:r>
      <w:bookmarkStart w:id="43" w:name="OLE_LINK12"/>
      <w:r>
        <w:rPr>
          <w:rFonts w:hint="eastAsia" w:ascii="宋体" w:hAnsi="宋体" w:eastAsia="宋体" w:cs="宋体"/>
          <w:color w:val="auto"/>
          <w:sz w:val="24"/>
          <w:highlight w:val="none"/>
        </w:rPr>
        <w:t xml:space="preserve">（提供原厂盖章的官方彩页或公开发行的技术规格书作为证明材料）</w:t>
      </w:r>
      <w:bookmarkEnd w:id="43"/>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微池电子捕获检测器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★2.4.1最低检测限</w:t>
      </w:r>
      <w:bookmarkStart w:id="44" w:name="OLE_LINK2"/>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3.8fg/ml</w:t>
      </w:r>
      <w:bookmarkEnd w:id="44"/>
      <w:r>
        <w:rPr>
          <w:rFonts w:hint="eastAsia" w:ascii="宋体" w:hAnsi="宋体" w:eastAsia="宋体" w:cs="宋体"/>
          <w:color w:val="auto"/>
          <w:sz w:val="24"/>
          <w:highlight w:val="none"/>
        </w:rPr>
        <w:t xml:space="preserve">（林丹在标准条件下）；（提供原厂盖章的官方彩页或公开发行的技术规格书作为证明材料）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★2.4.2线性动态范围：＞5*10</w:t>
      </w:r>
      <w:r>
        <w:rPr>
          <w:rFonts w:hint="eastAsia" w:ascii="宋体" w:hAnsi="宋体" w:eastAsia="宋体" w:cs="宋体"/>
          <w:color w:val="auto"/>
          <w:sz w:val="24"/>
          <w:highlight w:val="none"/>
          <w:vertAlign w:val="superscript"/>
        </w:rPr>
        <w:t xml:space="preserve">4</w:t>
      </w:r>
      <w:r>
        <w:rPr>
          <w:rFonts w:hint="eastAsia" w:ascii="宋体" w:hAnsi="宋体" w:eastAsia="宋体" w:cs="宋体"/>
          <w:color w:val="auto"/>
          <w:sz w:val="24"/>
          <w:highlight w:val="none"/>
        </w:rPr>
        <w:t xml:space="preserve">；（提供原厂盖章的官方彩页或公开发行的技术规格书作为证明材料）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2.4.3放射源：</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15mCi的63Ni的β射线；</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2.4.4最高使用温度：</w:t>
      </w:r>
      <w:r>
        <w:rPr>
          <w:rFonts w:hint="eastAsia" w:cs="宋体"/>
          <w:color w:val="auto"/>
          <w:highlight w:val="none"/>
          <w:lang w:bidi="ar"/>
        </w:rPr>
        <w:t xml:space="preserve">≥</w:t>
      </w:r>
      <w:r>
        <w:rPr>
          <w:rFonts w:hint="eastAsia" w:ascii="宋体" w:hAnsi="宋体" w:eastAsia="宋体" w:cs="宋体"/>
          <w:color w:val="auto"/>
          <w:sz w:val="24"/>
          <w:highlight w:val="none"/>
        </w:rPr>
        <w:t xml:space="preserve">400℃；</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2.4.5安装隐含阳极和大体积流速，防止污染；</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液体自动进样器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进样方式：进样塔+扩展托盘；</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 样品位数：≥165位；</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2.5.3进样量范围 ：0.1~50ul；</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2.5.4进样量线性 ：≥99%；</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全自动顶空进样器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色谱性能指标：面积重复性：＜1%RSD；</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样品加热位：≥12位，样品瓶位：≥48位；</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采用自适应算法自动进行样品重叠加热，以便获得最大的分析效率；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 进样方法：顶空进样系统采用阀和定量管的进样方式；</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 气路控制：标配的全电子气路技术，使用户可以采用软件对仪器进行全面控制（顶空瓶压 GC柱头压可以独立控制）压力设定点可以调节的增量为0.001psi，在0.000到75.000psi之间的控制精度为0.001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 电脑工作站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软件：操作环境：Windows 10，英文版或中文版专业版或企业版；</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2.7.2气相色谱数据传输全部由内置的网卡实现；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 具有保留时间锁定（RTL）功能, 此功能通过软件自动调整仪器工作参数，在五个不同条件下进样，分析锁定目标化合物而实现，非保留时间调整功能；</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3.1气相色谱主机1套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毛细进样口2套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FID检测器1套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ECD微池电子捕获检测器1套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16位液体进样塔 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3.6 150位进样器扩展托盘 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48位顶空进样器 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3.8配套耗材：进样隔垫50个，柱螺母10个，分流不分流衬管5支，衬管O型圈10个，石墨密封垫10个，水氧捕集阱1个，20 mL顶空钳口样品瓶100个， DB-624色谱柱（60 m, 0.25 mm, 1.40 µm）1根，HP-5色谱柱（30m, 0.32mm, 0.25um ）1根，DB-FFAP柱（30m，0.32mm，0.50um，7英寸柱架）1根</w:t>
      </w:r>
      <w:r>
        <w:rPr>
          <w:rFonts w:hint="eastAsia" w:ascii="宋体" w:hAnsi="宋体" w:eastAsia="宋体" w:cs="宋体"/>
          <w:color w:val="auto"/>
          <w:sz w:val="24"/>
          <w:highlight w:val="none"/>
        </w:rPr>
        <w:tab/>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电脑工作站1套(配置不低于：处理器Intel Xeon E3，3.2GHz，8MB Smart Cache 4核、硬盘500GB SSD+500GB SATA、内存16G、光盘驱动器DVD-ROM 、21寸液晶显示器)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激光打印机1台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3.10 气瓶连接不锈钢气路管1套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气瓶连接阀门1套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3.12装机配套试剂标准物质1套</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4、售后服务要求：</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质保期：不少于2年（质保期自验收合格之日起计算）。</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服务响应：接到维修通知后有专职的技术服务人员上门服务，保证维修响应时间2小时</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提供详细的培训计划，保证使用人员正常操作设备。</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4.4可提供不少于2名厂家国内培训中心免费培训名额。</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 协助客户完成职业卫生方法项目扩展。</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 零配件应保证不少于8年的供应期。</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（二）气相色谱仪II</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：用于环境、水质、职业卫生样品的定性定量分析。</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2.1柱箱</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2.1.1操作温度：室温以上4˚C-450˚C；</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2.1.2温度分辨：1˚C温度设定，0.1˚C程序设定；</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 最大运行时间：</w:t>
      </w:r>
      <w:r>
        <w:rPr>
          <w:rFonts w:hint="eastAsia" w:cs="宋体"/>
          <w:color w:val="auto"/>
          <w:highlight w:val="none"/>
          <w:lang w:bidi="ar"/>
        </w:rPr>
        <w:t xml:space="preserve">≥</w:t>
      </w:r>
      <w:r>
        <w:rPr>
          <w:rFonts w:hint="eastAsia" w:ascii="宋体" w:hAnsi="宋体" w:eastAsia="宋体" w:cs="宋体"/>
          <w:color w:val="auto"/>
          <w:sz w:val="24"/>
          <w:highlight w:val="none"/>
        </w:rPr>
        <w:t xml:space="preserve">999.99分钟；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 温度稳定性：</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0.01˚C/1˚C环境变化；</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 峰面积重现性：</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0.5% RSD；</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2.1.6具有不少于六个气相色谱柱智能钥匙；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2.2毛细柱分流/无分流进样口（带电子流量控制）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2.2.1最高使用温度：</w:t>
      </w:r>
      <w:r>
        <w:rPr>
          <w:rFonts w:hint="eastAsia" w:cs="宋体"/>
          <w:color w:val="auto"/>
          <w:highlight w:val="none"/>
          <w:lang w:bidi="ar"/>
        </w:rPr>
        <w:t xml:space="preserve">≥</w:t>
      </w:r>
      <w:r>
        <w:rPr>
          <w:rFonts w:hint="eastAsia" w:ascii="宋体" w:hAnsi="宋体" w:eastAsia="宋体" w:cs="宋体"/>
          <w:color w:val="auto"/>
          <w:sz w:val="24"/>
          <w:highlight w:val="none"/>
        </w:rPr>
        <w:t xml:space="preserve">400˚C；</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2.2.2电子参数设定压力，流速和分流比；</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2.2.3压力设定范围：0-100psi；</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2.2.4电子气路流量/压力控制精度可达0.001psi；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2.2.5流量范围：0-500Ml/min N</w:t>
      </w:r>
      <w:r>
        <w:rPr>
          <w:rFonts w:hint="eastAsia" w:ascii="宋体" w:hAnsi="宋体" w:eastAsia="宋体" w:cs="宋体"/>
          <w:color w:val="auto"/>
          <w:sz w:val="24"/>
          <w:highlight w:val="none"/>
          <w:vertAlign w:val="subscript"/>
        </w:rPr>
        <w:t xml:space="preserve">2</w:t>
      </w:r>
      <w:r>
        <w:rPr>
          <w:rFonts w:hint="eastAsia" w:ascii="宋体" w:hAnsi="宋体" w:eastAsia="宋体" w:cs="宋体"/>
          <w:color w:val="auto"/>
          <w:sz w:val="24"/>
          <w:highlight w:val="none"/>
        </w:rPr>
        <w:t xml:space="preserve">；0-1250mL/min H</w:t>
      </w:r>
      <w:r>
        <w:rPr>
          <w:rFonts w:hint="eastAsia" w:ascii="宋体" w:hAnsi="宋体" w:eastAsia="宋体" w:cs="宋体"/>
          <w:color w:val="auto"/>
          <w:sz w:val="24"/>
          <w:highlight w:val="none"/>
          <w:vertAlign w:val="subscript"/>
        </w:rPr>
        <w:t xml:space="preserve">2</w:t>
      </w:r>
      <w:r>
        <w:rPr>
          <w:rFonts w:hint="eastAsia" w:ascii="宋体" w:hAnsi="宋体" w:eastAsia="宋体" w:cs="宋体"/>
          <w:color w:val="auto"/>
          <w:sz w:val="24"/>
          <w:highlight w:val="none"/>
        </w:rPr>
        <w:t xml:space="preserve"> 或 He；0-200ml/min Ar 或 CH</w:t>
      </w:r>
      <w:r>
        <w:rPr>
          <w:rFonts w:hint="eastAsia" w:ascii="宋体" w:hAnsi="宋体" w:eastAsia="宋体" w:cs="宋体"/>
          <w:color w:val="auto"/>
          <w:sz w:val="24"/>
          <w:highlight w:val="none"/>
          <w:vertAlign w:val="subscript"/>
        </w:rPr>
        <w:t xml:space="preserve">4</w:t>
      </w:r>
      <w:r>
        <w:rPr>
          <w:rFonts w:hint="eastAsia" w:ascii="宋体" w:hAnsi="宋体" w:eastAsia="宋体" w:cs="宋体"/>
          <w:color w:val="auto"/>
          <w:sz w:val="24"/>
          <w:highlight w:val="none"/>
        </w:rPr>
        <w:t xml:space="preserve">；</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 </w:t>
      </w:r>
      <w:bookmarkStart w:id="45" w:name="_Hlk2726496"/>
      <w:r>
        <w:rPr>
          <w:rFonts w:hint="eastAsia" w:ascii="宋体" w:hAnsi="宋体" w:eastAsia="宋体" w:cs="宋体"/>
          <w:color w:val="auto"/>
          <w:sz w:val="24"/>
          <w:highlight w:val="none"/>
        </w:rPr>
        <w:t xml:space="preserve">扳转式进样口设计，更换衬管等消耗品无需使用工具拆卸螺帽，有助于快速、轻松地更换进样器衬管</w:t>
      </w:r>
      <w:bookmarkEnd w:id="45"/>
      <w:r>
        <w:rPr>
          <w:rFonts w:hint="eastAsia" w:ascii="宋体" w:hAnsi="宋体" w:eastAsia="宋体" w:cs="宋体"/>
          <w:color w:val="auto"/>
          <w:sz w:val="24"/>
          <w:highlight w:val="none"/>
        </w:rPr>
        <w:t xml:space="preserve">；（提供原厂盖章的证明材料及实物图片）</w:t>
      </w:r>
      <w:r>
        <w:rPr>
          <w:color w:val="auto"/>
          <w:highlight w:val="none"/>
        </w:rPr>
      </w:r>
      <w:r/>
    </w:p>
    <w:p>
      <w:pPr>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2.2.7 EPC的设计基于微通道架构基础上，可以防止颗粒、水、汽和油等污染物，可靠性和使用寿命有显著提高，最大程度保证低维护成本；</w:t>
      </w:r>
      <w:r>
        <w:rPr>
          <w:rFonts w:hint="eastAsia" w:ascii="宋体" w:hAnsi="宋体" w:eastAsia="宋体" w:cs="宋体"/>
          <w:strike/>
          <w:color w:val="auto"/>
          <w:sz w:val="24"/>
          <w:highlight w:val="none"/>
        </w:rPr>
        <w:t xml:space="preserve">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★2.2.8 分流比：≥12500:1；</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氢火焰检测器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2.3.1最高使用温度：</w:t>
      </w:r>
      <w:r>
        <w:rPr>
          <w:rFonts w:hint="eastAsia" w:cs="宋体"/>
          <w:color w:val="auto"/>
          <w:highlight w:val="none"/>
          <w:lang w:bidi="ar"/>
        </w:rPr>
        <w:t xml:space="preserve">≥</w:t>
      </w:r>
      <w:r>
        <w:rPr>
          <w:rFonts w:hint="eastAsia" w:ascii="宋体" w:hAnsi="宋体" w:eastAsia="宋体" w:cs="宋体"/>
          <w:color w:val="auto"/>
          <w:sz w:val="24"/>
          <w:highlight w:val="none"/>
        </w:rPr>
        <w:t xml:space="preserve">450˚C；</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2.3.2具有自动点火装置，自动调节点火气流; 具有自动灭火检测功能；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★2.3.3最低检测限：</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1.2 pg碳/秒(十三烷) ；（提供原厂盖章的官方彩页或公开发行的技术规格书作为证明材料）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2.3.4线性动态范围：≥10</w:t>
      </w:r>
      <w:r>
        <w:rPr>
          <w:rFonts w:hint="eastAsia" w:ascii="宋体" w:hAnsi="宋体" w:eastAsia="宋体" w:cs="宋体"/>
          <w:color w:val="auto"/>
          <w:sz w:val="24"/>
          <w:highlight w:val="none"/>
          <w:vertAlign w:val="superscript"/>
        </w:rPr>
        <w:t xml:space="preserve">7</w:t>
      </w:r>
      <w:r>
        <w:rPr>
          <w:rFonts w:hint="eastAsia" w:ascii="宋体" w:hAnsi="宋体" w:eastAsia="宋体" w:cs="宋体"/>
          <w:color w:val="auto"/>
          <w:sz w:val="24"/>
          <w:highlight w:val="none"/>
        </w:rPr>
        <w:t xml:space="preserve">；</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★2.3.5数据采样速率:1000Hz；（提供原厂盖章的官方彩页或公开发行的技术规格书作为证明材料）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火焰光度检测器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2.4.1最高使用温度：</w:t>
      </w:r>
      <w:r>
        <w:rPr>
          <w:rFonts w:hint="eastAsia" w:cs="宋体"/>
          <w:color w:val="auto"/>
          <w:highlight w:val="none"/>
          <w:lang w:bidi="ar"/>
        </w:rPr>
        <w:t xml:space="preserve">≥</w:t>
      </w:r>
      <w:r>
        <w:rPr>
          <w:rFonts w:hint="eastAsia" w:ascii="宋体" w:hAnsi="宋体" w:eastAsia="宋体" w:cs="宋体"/>
          <w:color w:val="auto"/>
          <w:sz w:val="24"/>
          <w:highlight w:val="none"/>
        </w:rPr>
        <w:t xml:space="preserve">400˚C；</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★2.4.2最低检测器限：</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45fg P/sec,</w:t>
      </w:r>
      <w:r>
        <w:rPr>
          <w:rFonts w:hint="eastAsia" w:ascii="宋体" w:hAnsi="宋体" w:cs="宋体"/>
          <w:color w:val="auto"/>
          <w:highlight w:val="none"/>
          <w:lang w:bidi="ar"/>
        </w:rPr>
        <w:t xml:space="preserve"> ＜</w:t>
      </w:r>
      <w:r>
        <w:rPr>
          <w:rFonts w:hint="eastAsia" w:ascii="宋体" w:hAnsi="宋体" w:eastAsia="宋体" w:cs="宋体"/>
          <w:color w:val="auto"/>
          <w:sz w:val="24"/>
          <w:highlight w:val="none"/>
        </w:rPr>
        <w:t xml:space="preserve">2.5pg S/sec；</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★2.4.3动态范围: ＞10</w:t>
      </w:r>
      <w:r>
        <w:rPr>
          <w:rFonts w:hint="eastAsia" w:ascii="宋体" w:hAnsi="宋体" w:eastAsia="宋体" w:cs="宋体"/>
          <w:color w:val="auto"/>
          <w:sz w:val="24"/>
          <w:highlight w:val="none"/>
          <w:vertAlign w:val="superscript"/>
        </w:rPr>
        <w:t xml:space="preserve">3</w:t>
      </w:r>
      <w:r>
        <w:rPr>
          <w:rFonts w:hint="eastAsia" w:ascii="宋体" w:hAnsi="宋体" w:eastAsia="宋体" w:cs="宋体"/>
          <w:color w:val="auto"/>
          <w:sz w:val="24"/>
          <w:highlight w:val="none"/>
        </w:rPr>
        <w:t xml:space="preserve"> S, ＞10</w:t>
      </w:r>
      <w:r>
        <w:rPr>
          <w:rFonts w:hint="eastAsia" w:ascii="宋体" w:hAnsi="宋体" w:eastAsia="宋体" w:cs="宋体"/>
          <w:color w:val="auto"/>
          <w:sz w:val="24"/>
          <w:highlight w:val="none"/>
          <w:vertAlign w:val="superscript"/>
        </w:rPr>
        <w:t xml:space="preserve">4</w:t>
      </w:r>
      <w:r>
        <w:rPr>
          <w:rFonts w:hint="eastAsia" w:ascii="宋体" w:hAnsi="宋体" w:eastAsia="宋体" w:cs="宋体"/>
          <w:color w:val="auto"/>
          <w:sz w:val="24"/>
          <w:highlight w:val="none"/>
        </w:rPr>
        <w:t xml:space="preserve"> P；</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液体自动进样器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样品位数：≥165位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2.5.2进样量范围 ：0.1~50ul；</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2.5.3进样量线性 ：≥99%；</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电脑工作站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2.6.1软件：操作环境：Windows 10，英文版或中文版专业版或企业版；</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气相色谱数据传输全部由内置的网卡实现；</w:t>
      </w:r>
      <w:r>
        <w:rPr>
          <w:color w:val="auto"/>
          <w:highlight w:val="none"/>
        </w:rPr>
      </w:r>
      <w:r/>
    </w:p>
    <w:p>
      <w:pPr>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★2.6.3 具有保留时间锁定（RTL）功能, 此功能通过软件自动调整仪器工作参数，在五个不同条件下进样，分析锁定目标化合物而实现，非保留时间调整功能；</w:t>
      </w:r>
      <w:r>
        <w:rPr>
          <w:rFonts w:hint="eastAsia" w:ascii="宋体" w:hAnsi="宋体" w:eastAsia="宋体" w:cs="宋体"/>
          <w:strike/>
          <w:color w:val="auto"/>
          <w:sz w:val="24"/>
          <w:highlight w:val="none"/>
        </w:rPr>
        <w:t xml:space="preserve"> </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3.1气相色谱主机1套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毛细进样口2套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FID检测器1套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FPD检测器1套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16位液体进样塔 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3.6 150位进样器扩展托盘 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配套耗材：进样隔垫50个，柱螺母2个，分流不分流衬管5支，衬管O型圈10个，石墨密封垫10个，水氧捕集阱1个，启动工具包1套2ml样品瓶100个，HP-5色谱柱（30m, 0.32mm, 0.25um ）1根，DB-1 柱（30 m, 0.32 mm, 0.5 um，7 英寸柱架）1根</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电脑工作站1套(配置不低于：处理器Intel Xeon E3，3.2GHz，8MB Smart Cache 4核、硬盘500GB SSD+500GB SATA、内存16G、光盘驱动器DVD-ROM 、21寸液晶显示器)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激光打印机1台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3.10 气瓶连接不锈钢气路管1套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气瓶连接阀门1套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装机配套试剂标准物质1套</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4、售后服务要求：</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质保期：不少于2年（质保期自验收合格之日起计算）。</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服务响应：接到维修通知后有专职的技术服务人员上门服务，保证维修响应时间2小时</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提供详细的培训计划，保证使用人员正常操作设备。</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可提供不少于2名厂家国内培训中心免费培训名额。</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 协助客户完成职业卫生方法项目扩展。</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 零配件应保证不少于8年的供应期。</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（三）气相色谱-质谱联用仪</w:t>
      </w:r>
      <w:r>
        <w:rPr>
          <w:color w:val="auto"/>
          <w:highlight w:val="none"/>
        </w:rPr>
      </w:r>
      <w:r/>
    </w:p>
    <w:p>
      <w:pPr>
        <w:pStyle w:val="77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1、主要用途：</w:t>
      </w:r>
      <w:r>
        <w:rPr>
          <w:rFonts w:hint="eastAsia" w:ascii="宋体" w:hAnsi="宋体" w:eastAsia="宋体" w:cs="宋体"/>
          <w:color w:val="auto"/>
          <w:sz w:val="24"/>
          <w:szCs w:val="24"/>
          <w:highlight w:val="none"/>
        </w:rPr>
        <w:t xml:space="preserve">用于气体、液体和固体样品中微量或痕量挥发性和半挥发性有机物的定性和定量分析，可用于有机物的确认。</w:t>
      </w:r>
      <w:r>
        <w:rPr>
          <w:color w:val="auto"/>
          <w:highlight w:val="none"/>
        </w:rPr>
      </w:r>
      <w:r/>
    </w:p>
    <w:p>
      <w:pPr>
        <w:tabs>
          <w:tab w:val="left" w:pos="851"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2、气相色谱部分</w:t>
      </w:r>
      <w:r>
        <w:rPr>
          <w:color w:val="auto"/>
          <w:highlight w:val="none"/>
        </w:rPr>
      </w:r>
      <w:r/>
    </w:p>
    <w:p>
      <w:pPr>
        <w:tabs>
          <w:tab w:val="left" w:pos="85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系统性能指标</w:t>
      </w:r>
      <w:r>
        <w:rPr>
          <w:color w:val="auto"/>
          <w:highlight w:val="none"/>
        </w:rPr>
      </w:r>
      <w:r/>
    </w:p>
    <w:p>
      <w:pPr>
        <w:tabs>
          <w:tab w:val="left" w:pos="85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2.1.1 保留时间重现性：</w:t>
      </w:r>
      <w:r>
        <w:rPr>
          <w:rFonts w:hint="eastAsia" w:ascii="宋体" w:hAnsi="宋体" w:cs="宋体"/>
          <w:bCs/>
          <w:color w:val="auto"/>
          <w:highlight w:val="none"/>
          <w:lang w:bidi="ar"/>
        </w:rPr>
        <w:t xml:space="preserve">＜</w:t>
      </w:r>
      <w:r>
        <w:rPr>
          <w:rFonts w:hint="eastAsia" w:ascii="宋体" w:hAnsi="宋体" w:eastAsia="宋体" w:cs="宋体"/>
          <w:bCs/>
          <w:color w:val="auto"/>
          <w:sz w:val="24"/>
          <w:highlight w:val="none"/>
        </w:rPr>
        <w:t xml:space="preserve">0.0008min；</w:t>
      </w:r>
      <w:r>
        <w:rPr>
          <w:color w:val="auto"/>
          <w:highlight w:val="none"/>
        </w:rPr>
      </w:r>
      <w:r/>
    </w:p>
    <w:p>
      <w:pPr>
        <w:tabs>
          <w:tab w:val="left" w:pos="85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2.1.2 峰面积重现性：</w:t>
      </w:r>
      <w:r>
        <w:rPr>
          <w:rFonts w:hint="eastAsia" w:ascii="宋体" w:hAnsi="宋体" w:cs="宋体"/>
          <w:bCs/>
          <w:color w:val="auto"/>
          <w:highlight w:val="none"/>
          <w:lang w:bidi="ar"/>
        </w:rPr>
        <w:t xml:space="preserve">＜</w:t>
      </w:r>
      <w:r>
        <w:rPr>
          <w:rFonts w:hint="eastAsia" w:ascii="宋体" w:hAnsi="宋体" w:eastAsia="宋体" w:cs="宋体"/>
          <w:bCs/>
          <w:color w:val="auto"/>
          <w:sz w:val="24"/>
          <w:highlight w:val="none"/>
        </w:rPr>
        <w:t xml:space="preserve">0.5% RSD；</w:t>
      </w:r>
      <w:r>
        <w:rPr>
          <w:color w:val="auto"/>
          <w:highlight w:val="none"/>
        </w:rPr>
      </w:r>
      <w:r/>
    </w:p>
    <w:p>
      <w:pPr>
        <w:tabs>
          <w:tab w:val="left" w:pos="85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 柱温箱</w:t>
      </w:r>
      <w:r>
        <w:rPr>
          <w:color w:val="auto"/>
          <w:highlight w:val="none"/>
        </w:rPr>
      </w:r>
      <w:r/>
    </w:p>
    <w:p>
      <w:pPr>
        <w:tabs>
          <w:tab w:val="left" w:pos="85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2.2.1 操作温度范围：室温以上4℃到450℃；</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2.2.2温度控制精度：≤0.1℃；</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 程序升温：不少于25阶／26平台；</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2.2.4最高升温速率≥125℃／min；</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2.2.5柱温箱冷却时间：从450℃降温至50℃，小于4min；</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 温度稳定性：0.01℃/1℃；</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★2.2.7 配置柱温箱照明灯，柱温箱门打开自动自动点亮，方便色谱柱日常维护；（提供原厂盖章的实物图照片或彩页）</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电子压力控制器</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压力范围：不少于0～150psi；</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2.3.2最大分流比：≥12000:1；全程压力控制精度：</w:t>
      </w:r>
      <w:r>
        <w:rPr>
          <w:rFonts w:hint="eastAsia" w:cs="宋体"/>
          <w:color w:val="auto"/>
          <w:highlight w:val="none"/>
          <w:lang w:bidi="ar"/>
        </w:rPr>
        <w:t xml:space="preserve">≤</w:t>
      </w:r>
      <w:r>
        <w:rPr>
          <w:rFonts w:hint="eastAsia" w:ascii="宋体" w:hAnsi="宋体" w:eastAsia="宋体" w:cs="宋体"/>
          <w:color w:val="auto"/>
          <w:sz w:val="24"/>
          <w:highlight w:val="none"/>
        </w:rPr>
        <w:t xml:space="preserve">0.001psi；</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分流不分流进样口 </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2.4.1进样口即时联接模块设计，无需任何工具用户可在2min之内更换进样口模块，无需任何工具即可快速维护进样口，更换隔垫及衬管；（提供结构图彩页）</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最高操作温度：</w:t>
      </w:r>
      <w:r>
        <w:rPr>
          <w:rFonts w:hint="eastAsia" w:cs="宋体"/>
          <w:color w:val="auto"/>
          <w:highlight w:val="none"/>
          <w:lang w:bidi="ar"/>
        </w:rPr>
        <w:t xml:space="preserve">≥</w:t>
      </w:r>
      <w:r>
        <w:rPr>
          <w:rFonts w:hint="eastAsia" w:ascii="宋体" w:hAnsi="宋体" w:eastAsia="宋体" w:cs="宋体"/>
          <w:color w:val="auto"/>
          <w:sz w:val="24"/>
          <w:highlight w:val="none"/>
        </w:rPr>
        <w:t xml:space="preserve">400℃；</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配置有即时连接锁扣，免工具即可完成色谱柱的连接；</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液体自动进样器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2.5.1样品位：2mL样品位100位以上；</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2.5.2进样精度：RSD</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0.3%；</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2.5.3进样体积：0.01-5µl；</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★2.5.4进样器不占进样口位置，更换进样口隔垫、衬管或执行手动进样无需搬动进样器；（提供原厂盖章的自动进样器安装的照片）</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2.5.5 配置状态指示灯和前置放大镜，方便观测进样器和进样针的工作状态；</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顶空自动进样器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2.6.1峰面积重复性：</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0.8%RSD；</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样品瓶容量：</w:t>
      </w:r>
      <w:r>
        <w:rPr>
          <w:rFonts w:hint="eastAsia" w:cs="宋体"/>
          <w:color w:val="auto"/>
          <w:highlight w:val="none"/>
          <w:lang w:bidi="ar"/>
        </w:rPr>
        <w:t xml:space="preserve">≥</w:t>
      </w:r>
      <w:r>
        <w:rPr>
          <w:rFonts w:hint="eastAsia" w:ascii="宋体" w:hAnsi="宋体" w:eastAsia="宋体" w:cs="宋体"/>
          <w:color w:val="auto"/>
          <w:sz w:val="24"/>
          <w:highlight w:val="none"/>
        </w:rPr>
        <w:t xml:space="preserve">120位样品瓶位，12位孵化箱位数；12位自动重叠位，支持不连续的样品瓶位；</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样品流路：阀-定量环技术；</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2.6.4孵化箱温度：关闭或室温 +5 至 300 ℃，增量设置为 1 ℃，读取精度为0.01 ℃；</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定量环/样品流路温度：关闭或室温 +5 至 225 ℃，或 150 至 300 ℃，增量设置为 1 ℃，读取精度为0.01 ℃；</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 压力平衡时间：0.00 至 5.00 min；定量环平衡时间：0.00 至 5.00 min；进样时间：0.00 至 999.99 min；</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2.6.6 重叠进样：无需在顶空仪器方法中设置GC循环时间/Cycle Time，顶空进样器能直接读取GC运行时间；</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2.6.7 可通过GC面板交互界面直接控制顶空进样器，实时设置顶空参数，实时显示运行状态；</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2.6.8 进样模式：标准模式；</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多次顶空萃取（MHE），每个样品瓶高达100次萃取；</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多次顶空进样（MHI），每个样品瓶高达100次萃取；</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2.6.9载气：兼容氢气、氦气、氮气、氩气；辅助气：兼容氦气、氮气、氩气；</w:t>
      </w:r>
      <w:r>
        <w:rPr>
          <w:color w:val="auto"/>
          <w:highlight w:val="none"/>
        </w:rPr>
      </w:r>
      <w:r/>
    </w:p>
    <w:p>
      <w:pPr>
        <w:pStyle w:val="940"/>
        <w:rPr>
          <w:rFonts w:hint="eastAsia" w:ascii="宋体" w:hAnsi="宋体" w:cs="宋体"/>
          <w:color w:val="auto"/>
          <w:highlight w:val="none"/>
        </w:rPr>
      </w:pPr>
      <w:r>
        <w:rPr>
          <w:rFonts w:hint="eastAsia" w:ascii="宋体" w:hAnsi="宋体" w:cs="宋体"/>
          <w:color w:val="auto"/>
          <w:highlight w:val="none"/>
        </w:rPr>
        <w:t xml:space="preserve">2.6.10压力范围：最大进样口压力：550kPa，最大样品瓶压力：500kPa；</w:t>
      </w:r>
      <w:r>
        <w:rPr>
          <w:color w:val="auto"/>
          <w:highlight w:val="none"/>
        </w:rPr>
      </w:r>
      <w:r/>
    </w:p>
    <w:p>
      <w:pPr>
        <w:tabs>
          <w:tab w:val="left" w:pos="851"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3.质谱部分</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3.1基本性能</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3.1.1质谱与气相色谱须相同品牌；</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★3.1.2质量范围：不少于1.5–1100u；（提供原厂盖章的官方指标参数）</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★3.1.3灵敏度: 1EI全扫描，1pg/µL八氟萘 进样1µL，扫描范围50-300u，S/N≥3000:1 (mass 272，RMS)；仪器检出限（IDL）≤2fg，（10 fg OFN 八次连续不分流进样，监测 m/z 272 离子的峰面积，置信区间为 99％）；（提供原厂盖章的官方指标参数）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3.1.4分辨率：全质量范围内单位质量分辨；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3.1.5最大扫描速度：≥20,000 u/sec</w:t>
      </w:r>
      <w:r>
        <w:rPr>
          <w:rFonts w:hint="eastAsia" w:ascii="宋体" w:hAnsi="宋体" w:eastAsia="宋体" w:cs="宋体"/>
          <w:b/>
          <w:bCs/>
          <w:color w:val="auto"/>
          <w:sz w:val="24"/>
          <w:highlight w:val="none"/>
        </w:rPr>
        <w:t xml:space="preserve">；</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离子源</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采用一体化无线式超惰性离子源，整体拆卸无需停泵卸真空；若为有线式，须提供5个离子源备用（提供原厂盖章的离子源实物图）</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无镀层的惰性材料，离子源独立加热控制，温度可到350℃；</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 精确调节的灯丝发射电流最大可到350µA；</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为方便仪器操作和维护，须具有无需放真空更换离子源和更换色谱柱，5分钟内完成离子源和色谱柱的更换；（提供原厂盖章的设计图彩页）</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 一体化同方向并有灯丝透镜保护的双灯丝组件设计，灯丝发射电流≥350µA；</w:t>
      </w:r>
      <w:r>
        <w:rPr>
          <w:color w:val="auto"/>
          <w:highlight w:val="none"/>
        </w:rPr>
      </w:r>
      <w:r/>
    </w:p>
    <w:p>
      <w:pPr>
        <w:tabs>
          <w:tab w:val="left" w:pos="851" w:leader="none"/>
        </w:tabs>
        <w:rPr>
          <w:rFonts w:hint="eastAsia" w:ascii="宋体" w:hAnsi="宋体" w:eastAsia="宋体" w:cs="宋体"/>
          <w:color w:val="auto"/>
          <w:sz w:val="24"/>
          <w:highlight w:val="none"/>
        </w:rPr>
      </w:pPr>
      <w:r>
        <w:rPr>
          <w:color w:val="auto"/>
          <w:highlight w:val="none"/>
        </w:rPr>
      </w:r>
      <w:bookmarkStart w:id="46" w:name="OLE_LINK20"/>
      <w:r>
        <w:rPr>
          <w:rFonts w:hint="eastAsia" w:ascii="宋体" w:hAnsi="宋体" w:eastAsia="宋体" w:cs="宋体"/>
          <w:color w:val="auto"/>
          <w:sz w:val="24"/>
          <w:highlight w:val="none"/>
        </w:rPr>
        <w:t xml:space="preserve">★</w:t>
      </w:r>
      <w:bookmarkEnd w:id="46"/>
      <w:r>
        <w:rPr>
          <w:rFonts w:hint="eastAsia" w:ascii="宋体" w:hAnsi="宋体" w:eastAsia="宋体" w:cs="宋体"/>
          <w:color w:val="auto"/>
          <w:sz w:val="24"/>
          <w:highlight w:val="none"/>
        </w:rPr>
        <w:t xml:space="preserve">3.3须配置可加热预四级杆：在离子源和四极杆之间必须配备弯曲型的离子轨道，采用离轴式光学设计以提升低浓度检测定量，同时能够保护主四极杆不受污染；（提供原厂盖章的原理图彩页）</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四极杆质量分析器：全金属钼主四极杆，无需加热免维护；若配置非金属或带涂层型四级杆须提供至少4套四级杆作为备用件；（提供原厂盖章四级杆说明或彩页说明）</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检测器系统：≥10</w:t>
      </w:r>
      <w:r>
        <w:rPr>
          <w:rFonts w:hint="eastAsia" w:ascii="宋体" w:hAnsi="宋体" w:eastAsia="宋体" w:cs="宋体"/>
          <w:color w:val="auto"/>
          <w:sz w:val="24"/>
          <w:highlight w:val="none"/>
          <w:vertAlign w:val="superscript"/>
        </w:rPr>
        <w:t xml:space="preserve">8</w:t>
      </w:r>
      <w:r>
        <w:rPr>
          <w:rFonts w:hint="eastAsia" w:ascii="宋体" w:hAnsi="宋体" w:eastAsia="宋体" w:cs="宋体"/>
          <w:color w:val="auto"/>
          <w:sz w:val="24"/>
          <w:highlight w:val="none"/>
        </w:rPr>
        <w:t xml:space="preserve">的线性动态范围；</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真空系统：分子涡轮泵抽速≥300L/s(He)；前级机械泵抽速≥3.0 m</w:t>
      </w:r>
      <w:r>
        <w:rPr>
          <w:rFonts w:hint="eastAsia" w:ascii="宋体" w:hAnsi="宋体" w:eastAsia="宋体" w:cs="宋体"/>
          <w:color w:val="auto"/>
          <w:sz w:val="24"/>
          <w:highlight w:val="none"/>
          <w:vertAlign w:val="superscript"/>
        </w:rPr>
        <w:t xml:space="preserve">3</w:t>
      </w:r>
      <w:r>
        <w:rPr>
          <w:rFonts w:hint="eastAsia" w:ascii="宋体" w:hAnsi="宋体" w:eastAsia="宋体" w:cs="宋体"/>
          <w:color w:val="auto"/>
          <w:sz w:val="24"/>
          <w:highlight w:val="none"/>
        </w:rPr>
        <w:t xml:space="preserve">/h；</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质谱数据采集和数据处理</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3.7.1 具有棒状图和轮廓图数据采集能力；</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3.7.2 提供全扫描、选择离子扫描和全扫描/选择离子扫描交替扫描 (&gt;100组)；</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3.7.3 可对每段扫描的扫描速度、扫描范围、离子极性、棒状图或轮廓图的采集、发射电流、检测器增益、化学源气体流速，指定调谐文件进行控制；</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3.7.4 具有AutoSIM和t-SIM功能（即根据全扫描自动生成SIM定量离子和保留时间的方法，并根据每个分析物的保留时间自动分配以该化合物保留时间为中心的SIM片段采集方法）；</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具有审计追踪功能：打开色谱数据时，可在同一窗口中查看色谱图与进样时的仪器工作日志，记录仪器的每一个执行的参数；符合cGMP/GLP和21 CFR Part 11等相关法规的要求；</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具有使用单一文件一键式方法转移功能：只需从制造商软件官网免费下载方法包文件导入到用户软件工作站中，即可得到自动生成的样品分析序列，点击提交序列即得分析结果；（提供原厂盖章的软件截图和官网方法包截图及链接）</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3.10 数据处理系统: 智能/自动/手动调谐，数据采集，数据检索，分析结果报告，定量分及谱库检索功能；</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谱库：NIST 23谱库，支持自建谱库，客户根据自身应用建立自己需求的谱库；</w:t>
      </w:r>
      <w:r>
        <w:rPr>
          <w:color w:val="auto"/>
          <w:highlight w:val="none"/>
        </w:rPr>
      </w:r>
      <w:r/>
    </w:p>
    <w:p>
      <w:pPr>
        <w:tabs>
          <w:tab w:val="left" w:pos="851"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4、配置要求：</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气相色谱仪主机（带质谱接口）1台</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分流不分流进样口2套</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质谱仪主机（带分子涡轮泵和机械泵、惰性EI源）1台</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气相气质软件1套、NIST 23谱库1套</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 液体自动进样器1套</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 顶空自动进样器1套</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4.7 耗材1批（进样口隔垫50个、O型圈10个、石墨垫片1包、螺母5个；分流/不分流衬管10根、气质分析柱1根）</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4.8 电脑工作站1套(配置不低于：处理器Intel i7，十二核、硬盘512GB SSD+2TB HDD、内存32G 、4G独显、21寸液晶显示器)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4.9 激光打印机1台</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4.10 6KVA UPS电源1台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 气瓶连接不锈钢气路管1套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4.12 气瓶连接阀门1套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4.13装机配套试剂标准物质1套</w:t>
      </w:r>
      <w:r>
        <w:rPr>
          <w:color w:val="auto"/>
          <w:highlight w:val="none"/>
        </w:rPr>
      </w:r>
      <w:r/>
    </w:p>
    <w:p>
      <w:pPr>
        <w:rPr>
          <w:rFonts w:hint="eastAsia" w:ascii="宋体" w:hAnsi="宋体" w:eastAsia="宋体" w:cs="宋体"/>
          <w:b/>
          <w:bCs/>
          <w:color w:val="auto"/>
          <w:sz w:val="24"/>
          <w:highlight w:val="none"/>
        </w:rPr>
      </w:pPr>
      <w:r>
        <w:rPr>
          <w:color w:val="auto"/>
          <w:highlight w:val="none"/>
        </w:rPr>
      </w:r>
      <w:bookmarkStart w:id="47" w:name="_Hlk201341307"/>
      <w:r>
        <w:rPr>
          <w:rFonts w:hint="eastAsia" w:ascii="宋体" w:hAnsi="宋体" w:eastAsia="宋体" w:cs="宋体"/>
          <w:b/>
          <w:bCs/>
          <w:color w:val="auto"/>
          <w:sz w:val="24"/>
          <w:highlight w:val="none"/>
        </w:rPr>
        <w:t xml:space="preserve">5、售后服务要求：</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质保期：不少于2年（质保期自验收合格之日起计算）。</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服务响应：接到维修通知后有专职的技术服务人员上门服务，保证维修响应时间2小时</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 提供详细的培训计划，保证使用人员正常操作设备。</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可提供不少于2名厂家国内培训中心免费培训名额。</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 协助客户完成职业卫生方法项目扩展。</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 零配件应保证不少于8年的供应期。</w:t>
      </w:r>
      <w:bookmarkEnd w:id="47"/>
      <w:r>
        <w:rPr>
          <w:color w:val="auto"/>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（四）离子色谱仪</w:t>
      </w:r>
      <w:r>
        <w:rPr>
          <w:color w:val="auto"/>
          <w:highlight w:val="none"/>
        </w:rPr>
      </w:r>
      <w:r/>
    </w:p>
    <w:p>
      <w:pPr>
        <w:ind w:left="1687" w:hanging="1687"/>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适用于水质样品中阴阳离子、有机酸及有机胺类物质的分析。</w:t>
      </w:r>
      <w:r>
        <w:rPr>
          <w:color w:val="auto"/>
          <w:highlight w:val="none"/>
        </w:rPr>
      </w:r>
      <w:r/>
    </w:p>
    <w:p>
      <w:pPr>
        <w:pStyle w:val="941"/>
        <w:rPr>
          <w:rFonts w:hint="eastAsia"/>
          <w:b/>
          <w:bCs/>
          <w:color w:val="auto"/>
          <w:highlight w:val="none"/>
        </w:rPr>
      </w:pPr>
      <w:r>
        <w:rPr>
          <w:rFonts w:hint="eastAsia"/>
          <w:b/>
          <w:bCs/>
          <w:color w:val="auto"/>
          <w:highlight w:val="none"/>
        </w:rPr>
        <w:t xml:space="preserve">2、技术性能要求：</w:t>
      </w:r>
      <w:r>
        <w:rPr>
          <w:color w:val="auto"/>
          <w:highlight w:val="none"/>
        </w:rPr>
      </w:r>
      <w:r/>
    </w:p>
    <w:p>
      <w:pPr>
        <w:pStyle w:val="941"/>
        <w:rPr>
          <w:rFonts w:hint="eastAsia"/>
          <w:bCs/>
          <w:color w:val="auto"/>
          <w:highlight w:val="none"/>
        </w:rPr>
      </w:pPr>
      <w:r>
        <w:rPr>
          <w:color w:val="auto"/>
          <w:highlight w:val="none"/>
        </w:rPr>
      </w:r>
      <w:bookmarkStart w:id="48" w:name="_Toc16167"/>
      <w:r>
        <w:rPr>
          <w:color w:val="auto"/>
          <w:highlight w:val="none"/>
        </w:rPr>
      </w:r>
      <w:bookmarkStart w:id="49" w:name="_Toc16841"/>
      <w:r>
        <w:rPr>
          <w:rFonts w:hint="eastAsia"/>
          <w:color w:val="auto"/>
          <w:highlight w:val="none"/>
        </w:rPr>
        <w:t xml:space="preserve">2.1泵</w:t>
      </w:r>
      <w:r>
        <w:rPr>
          <w:rFonts w:hint="eastAsia"/>
          <w:color w:val="auto"/>
          <w:highlight w:val="none"/>
        </w:rPr>
        <w:t xml:space="preserve">：高性能/低脉冲高压双柱塞泵，</w:t>
      </w:r>
      <w:bookmarkStart w:id="50" w:name="OLE_LINK22"/>
      <w:r>
        <w:rPr>
          <w:color w:val="auto"/>
          <w:highlight w:val="none"/>
        </w:rPr>
      </w:r>
      <w:bookmarkStart w:id="51" w:name="OLE_LINK21"/>
      <w:r>
        <w:rPr>
          <w:rFonts w:hint="eastAsia"/>
          <w:color w:val="auto"/>
          <w:highlight w:val="none"/>
        </w:rPr>
        <w:t xml:space="preserve">泵头及管路均为化学惰性非金属PEEK材质，适合于pH为0～14的淋洗液及反相有机溶剂</w:t>
      </w:r>
      <w:bookmarkEnd w:id="48"/>
      <w:r>
        <w:rPr>
          <w:color w:val="auto"/>
          <w:highlight w:val="none"/>
        </w:rPr>
      </w:r>
      <w:bookmarkEnd w:id="49"/>
      <w:r>
        <w:rPr>
          <w:color w:val="auto"/>
          <w:highlight w:val="none"/>
        </w:rPr>
      </w:r>
      <w:bookmarkEnd w:id="50"/>
      <w:r>
        <w:rPr>
          <w:color w:val="auto"/>
          <w:highlight w:val="none"/>
        </w:rPr>
      </w:r>
      <w:bookmarkEnd w:id="51"/>
      <w:r>
        <w:rPr>
          <w:rFonts w:hint="eastAsia"/>
          <w:color w:val="auto"/>
          <w:highlight w:val="none"/>
        </w:rPr>
        <w:t xml:space="preserve">；</w:t>
      </w:r>
      <w:r>
        <w:rPr>
          <w:color w:val="auto"/>
          <w:highlight w:val="none"/>
        </w:rPr>
      </w:r>
      <w:r/>
    </w:p>
    <w:p>
      <w:pPr>
        <w:pStyle w:val="941"/>
        <w:rPr>
          <w:rFonts w:hint="eastAsia"/>
          <w:bCs/>
          <w:color w:val="auto"/>
          <w:highlight w:val="none"/>
        </w:rPr>
      </w:pPr>
      <w:r>
        <w:rPr>
          <w:color w:val="auto"/>
          <w:highlight w:val="none"/>
        </w:rPr>
      </w:r>
      <w:bookmarkStart w:id="52" w:name="_Toc17454"/>
      <w:r>
        <w:rPr>
          <w:color w:val="auto"/>
          <w:highlight w:val="none"/>
        </w:rPr>
      </w:r>
      <w:bookmarkStart w:id="53" w:name="_Toc8144"/>
      <w:r>
        <w:rPr>
          <w:rFonts w:hint="eastAsia"/>
          <w:color w:val="auto"/>
          <w:highlight w:val="none"/>
        </w:rPr>
        <w:t xml:space="preserve">2.1.1流速范围：0.00-5.00 mL/mi</w:t>
      </w:r>
      <w:bookmarkEnd w:id="52"/>
      <w:r>
        <w:rPr>
          <w:color w:val="auto"/>
          <w:highlight w:val="none"/>
        </w:rPr>
      </w:r>
      <w:bookmarkEnd w:id="53"/>
      <w:r>
        <w:rPr>
          <w:rFonts w:hint="eastAsia"/>
          <w:color w:val="auto"/>
          <w:highlight w:val="none"/>
        </w:rPr>
        <w:t xml:space="preserve">n；</w:t>
      </w:r>
      <w:r>
        <w:rPr>
          <w:color w:val="auto"/>
          <w:highlight w:val="none"/>
        </w:rPr>
      </w:r>
      <w:r/>
    </w:p>
    <w:p>
      <w:pPr>
        <w:pStyle w:val="941"/>
        <w:rPr>
          <w:rFonts w:hint="eastAsia"/>
          <w:bCs/>
          <w:color w:val="auto"/>
          <w:highlight w:val="none"/>
        </w:rPr>
      </w:pPr>
      <w:r>
        <w:rPr>
          <w:color w:val="auto"/>
          <w:highlight w:val="none"/>
        </w:rPr>
      </w:r>
      <w:bookmarkStart w:id="54" w:name="_Toc7498"/>
      <w:r>
        <w:rPr>
          <w:color w:val="auto"/>
          <w:highlight w:val="none"/>
        </w:rPr>
      </w:r>
      <w:bookmarkStart w:id="55" w:name="_Toc2542"/>
      <w:r>
        <w:rPr>
          <w:rFonts w:hint="eastAsia"/>
          <w:color w:val="auto"/>
          <w:highlight w:val="none"/>
        </w:rPr>
        <w:t xml:space="preserve">2.1.2最大耐压：</w:t>
      </w:r>
      <w:r>
        <w:rPr>
          <w:rFonts w:hint="eastAsia"/>
          <w:color w:val="auto"/>
          <w:highlight w:val="none"/>
          <w:lang w:bidi="ar"/>
        </w:rPr>
        <w:t xml:space="preserve">≥</w:t>
      </w:r>
      <w:r>
        <w:rPr>
          <w:rFonts w:hint="eastAsia"/>
          <w:color w:val="auto"/>
          <w:highlight w:val="none"/>
        </w:rPr>
        <w:t xml:space="preserve">35MPa（5000psi</w:t>
      </w:r>
      <w:bookmarkEnd w:id="54"/>
      <w:r>
        <w:rPr>
          <w:color w:val="auto"/>
          <w:highlight w:val="none"/>
        </w:rPr>
      </w:r>
      <w:bookmarkEnd w:id="55"/>
      <w:r>
        <w:rPr>
          <w:rFonts w:hint="eastAsia"/>
          <w:color w:val="auto"/>
          <w:highlight w:val="none"/>
        </w:rPr>
        <w:t xml:space="preserve">）；</w:t>
      </w:r>
      <w:r>
        <w:rPr>
          <w:color w:val="auto"/>
          <w:highlight w:val="none"/>
        </w:rPr>
      </w:r>
      <w:r/>
    </w:p>
    <w:p>
      <w:pPr>
        <w:pStyle w:val="941"/>
        <w:rPr>
          <w:rFonts w:hint="eastAsia"/>
          <w:bCs/>
          <w:color w:val="auto"/>
          <w:highlight w:val="none"/>
        </w:rPr>
      </w:pPr>
      <w:r>
        <w:rPr>
          <w:color w:val="auto"/>
          <w:highlight w:val="none"/>
        </w:rPr>
      </w:r>
      <w:bookmarkStart w:id="56" w:name="_Toc23208"/>
      <w:r>
        <w:rPr>
          <w:color w:val="auto"/>
          <w:highlight w:val="none"/>
        </w:rPr>
      </w:r>
      <w:bookmarkStart w:id="57" w:name="_Toc11221"/>
      <w:r>
        <w:rPr>
          <w:rFonts w:hint="eastAsia"/>
          <w:color w:val="auto"/>
          <w:highlight w:val="none"/>
        </w:rPr>
        <w:t xml:space="preserve">2.1.3</w:t>
      </w:r>
      <w:bookmarkEnd w:id="56"/>
      <w:r>
        <w:rPr>
          <w:color w:val="auto"/>
          <w:highlight w:val="none"/>
        </w:rPr>
      </w:r>
      <w:bookmarkEnd w:id="57"/>
      <w:r>
        <w:rPr>
          <w:rFonts w:hint="eastAsia"/>
          <w:color w:val="auto"/>
          <w:highlight w:val="none"/>
        </w:rPr>
        <w:t xml:space="preserve">流量设定值误差：</w:t>
      </w:r>
      <w:bookmarkStart w:id="58" w:name="OLE_LINK23"/>
      <w:r>
        <w:rPr>
          <w:rFonts w:hint="eastAsia"/>
          <w:color w:val="auto"/>
          <w:highlight w:val="none"/>
          <w:lang w:bidi="ar"/>
        </w:rPr>
        <w:t xml:space="preserve">＜</w:t>
      </w:r>
      <w:bookmarkEnd w:id="58"/>
      <w:r>
        <w:rPr>
          <w:rFonts w:hint="eastAsia"/>
          <w:color w:val="auto"/>
          <w:highlight w:val="none"/>
        </w:rPr>
        <w:t xml:space="preserve">0.1%；</w:t>
      </w:r>
      <w:r>
        <w:rPr>
          <w:color w:val="auto"/>
          <w:highlight w:val="none"/>
        </w:rPr>
      </w:r>
      <w:r/>
    </w:p>
    <w:p>
      <w:pPr>
        <w:pStyle w:val="939"/>
        <w:rPr>
          <w:rFonts w:hint="eastAsia"/>
          <w:color w:val="auto"/>
          <w:highlight w:val="none"/>
        </w:rPr>
      </w:pPr>
      <w:r>
        <w:rPr>
          <w:rFonts w:hint="eastAsia"/>
          <w:color w:val="auto"/>
          <w:highlight w:val="none"/>
        </w:rPr>
        <w:t xml:space="preserve">2.1.4</w:t>
      </w:r>
      <w:r>
        <w:rPr>
          <w:rFonts w:hint="eastAsia"/>
          <w:color w:val="auto"/>
          <w:highlight w:val="none"/>
        </w:rPr>
        <w:t xml:space="preserve">流量稳定性：</w:t>
      </w:r>
      <w:r>
        <w:rPr>
          <w:rFonts w:hint="eastAsia"/>
          <w:color w:val="auto"/>
          <w:highlight w:val="none"/>
          <w:lang w:bidi="ar"/>
        </w:rPr>
        <w:t xml:space="preserve">＜</w:t>
      </w:r>
      <w:r>
        <w:rPr>
          <w:rFonts w:hint="eastAsia"/>
          <w:color w:val="auto"/>
          <w:highlight w:val="none"/>
        </w:rPr>
        <w:t xml:space="preserve">0.1%；</w:t>
      </w:r>
      <w:r>
        <w:rPr>
          <w:color w:val="auto"/>
          <w:highlight w:val="none"/>
        </w:rPr>
      </w:r>
      <w:r/>
    </w:p>
    <w:p>
      <w:pPr>
        <w:pStyle w:val="939"/>
        <w:rPr>
          <w:rFonts w:hint="eastAsia"/>
          <w:color w:val="auto"/>
          <w:highlight w:val="none"/>
        </w:rPr>
      </w:pPr>
      <w:r>
        <w:rPr>
          <w:rFonts w:hint="eastAsia"/>
          <w:color w:val="auto"/>
          <w:highlight w:val="none"/>
        </w:rPr>
        <w:t xml:space="preserve">★</w:t>
      </w:r>
      <w:r>
        <w:rPr>
          <w:rFonts w:hint="eastAsia"/>
          <w:color w:val="auto"/>
          <w:highlight w:val="none"/>
        </w:rPr>
        <w:t xml:space="preserve">2.1.5标配流动相截止阀、漏液传感器和</w:t>
      </w:r>
      <w:r>
        <w:rPr>
          <w:rFonts w:hint="eastAsia"/>
          <w:color w:val="auto"/>
          <w:highlight w:val="none"/>
        </w:rPr>
        <w:t xml:space="preserve">独立的在线密封圈清洗室，密封圈自动清洗，与分析同步进行，减少密封圈的磨损，方便仪器维护；（提供原厂盖章的实物图照片和密封圈自动清洗的软件截图）</w:t>
      </w:r>
      <w:r>
        <w:rPr>
          <w:color w:val="auto"/>
          <w:highlight w:val="none"/>
        </w:rPr>
      </w:r>
      <w:r/>
    </w:p>
    <w:p>
      <w:pPr>
        <w:pStyle w:val="939"/>
        <w:rPr>
          <w:rFonts w:hint="eastAsia"/>
          <w:color w:val="auto"/>
          <w:highlight w:val="none"/>
        </w:rPr>
      </w:pPr>
      <w:r>
        <w:rPr>
          <w:color w:val="auto"/>
          <w:highlight w:val="none"/>
        </w:rPr>
      </w:r>
      <w:bookmarkStart w:id="59" w:name="_Toc7901"/>
      <w:r>
        <w:rPr>
          <w:color w:val="auto"/>
          <w:highlight w:val="none"/>
        </w:rPr>
      </w:r>
      <w:bookmarkStart w:id="60" w:name="_Toc1183"/>
      <w:r>
        <w:rPr>
          <w:rFonts w:hint="eastAsia"/>
          <w:color w:val="auto"/>
          <w:highlight w:val="none"/>
        </w:rPr>
        <w:t xml:space="preserve">2.2 色谱分析柱</w:t>
      </w:r>
      <w:bookmarkEnd w:id="59"/>
      <w:r>
        <w:rPr>
          <w:color w:val="auto"/>
          <w:highlight w:val="none"/>
        </w:rPr>
      </w:r>
      <w:bookmarkEnd w:id="60"/>
      <w:r>
        <w:rPr>
          <w:color w:val="auto"/>
          <w:highlight w:val="none"/>
        </w:rPr>
      </w:r>
      <w:r/>
    </w:p>
    <w:p>
      <w:pPr>
        <w:pStyle w:val="939"/>
        <w:rPr>
          <w:rFonts w:hint="eastAsia"/>
          <w:color w:val="auto"/>
          <w:highlight w:val="none"/>
        </w:rPr>
      </w:pPr>
      <w:r>
        <w:rPr>
          <w:color w:val="auto"/>
          <w:highlight w:val="none"/>
        </w:rPr>
      </w:r>
      <w:bookmarkStart w:id="61" w:name="OLE_LINK13"/>
      <w:r>
        <w:rPr>
          <w:color w:val="auto"/>
          <w:highlight w:val="none"/>
        </w:rPr>
      </w:r>
      <w:bookmarkStart w:id="62" w:name="OLE_LINK16"/>
      <w:r>
        <w:rPr>
          <w:rFonts w:hint="eastAsia"/>
          <w:color w:val="auto"/>
          <w:highlight w:val="none"/>
        </w:rPr>
        <w:t xml:space="preserve">★</w:t>
      </w:r>
      <w:r>
        <w:rPr>
          <w:rFonts w:hint="eastAsia"/>
          <w:color w:val="auto"/>
          <w:highlight w:val="none"/>
        </w:rPr>
        <w:t xml:space="preserve">2.2.1</w:t>
      </w:r>
      <w:r>
        <w:rPr>
          <w:rFonts w:hint="eastAsia"/>
          <w:color w:val="auto"/>
          <w:highlight w:val="none"/>
        </w:rPr>
        <w:t xml:space="preserve">和仪器同品牌的高效高容量阴离子分离柱及保护柱，耐受0-14的pH工作范围，最大耐压不小于3000psi，柱交换量不小于240μeq/根，耐受2.0mL/min及以上的流速；阴离子柱的Cl-：NO2-的分离能力可达到100000:1，可适用于高氯基体样品中痕量亚硝酸盐的分析；（提供原厂盖章的色谱柱官网参数截图和分离能力图谱）</w:t>
      </w:r>
      <w:bookmarkEnd w:id="61"/>
      <w:r>
        <w:rPr>
          <w:color w:val="auto"/>
        </w:rPr>
      </w:r>
      <w:bookmarkEnd w:id="62"/>
      <w:r>
        <w:rPr>
          <w:color w:val="auto"/>
          <w:highlight w:val="none"/>
        </w:rPr>
      </w:r>
      <w:r/>
    </w:p>
    <w:p>
      <w:pPr>
        <w:pStyle w:val="939"/>
        <w:rPr>
          <w:rFonts w:hint="eastAsia"/>
          <w:color w:val="auto"/>
          <w:highlight w:val="none"/>
        </w:rPr>
      </w:pPr>
      <w:r>
        <w:rPr>
          <w:rFonts w:hint="eastAsia"/>
          <w:color w:val="auto"/>
          <w:highlight w:val="none"/>
        </w:rPr>
        <w:t xml:space="preserve">2.3柱温箱</w:t>
      </w:r>
      <w:r>
        <w:rPr>
          <w:color w:val="auto"/>
          <w:highlight w:val="none"/>
        </w:rPr>
      </w:r>
      <w:r/>
    </w:p>
    <w:p>
      <w:pPr>
        <w:pStyle w:val="939"/>
        <w:rPr>
          <w:rFonts w:hint="eastAsia"/>
          <w:color w:val="auto"/>
          <w:highlight w:val="none"/>
        </w:rPr>
      </w:pPr>
      <w:r>
        <w:rPr>
          <w:rFonts w:hint="eastAsia"/>
          <w:color w:val="auto"/>
          <w:highlight w:val="none"/>
        </w:rPr>
        <w:t xml:space="preserve">2.3.1种类：原装内置柱温控模块，减少系统死体积；</w:t>
      </w:r>
      <w:r>
        <w:rPr>
          <w:color w:val="auto"/>
          <w:highlight w:val="none"/>
        </w:rPr>
      </w:r>
      <w:r/>
    </w:p>
    <w:p>
      <w:pPr>
        <w:pStyle w:val="939"/>
        <w:rPr>
          <w:rFonts w:hint="eastAsia"/>
          <w:color w:val="auto"/>
          <w:highlight w:val="none"/>
        </w:rPr>
      </w:pPr>
      <w:r>
        <w:rPr>
          <w:rFonts w:hint="eastAsia"/>
          <w:color w:val="auto"/>
          <w:highlight w:val="none"/>
        </w:rPr>
        <w:t xml:space="preserve">2.3.2温控范围：30℃-60℃，温度稳定性：</w:t>
      </w:r>
      <w:r>
        <w:rPr>
          <w:rFonts w:hint="eastAsia"/>
          <w:color w:val="auto"/>
          <w:highlight w:val="none"/>
          <w:lang w:bidi="ar"/>
        </w:rPr>
        <w:t xml:space="preserve">＜</w:t>
      </w:r>
      <w:r>
        <w:rPr>
          <w:rFonts w:hint="eastAsia"/>
          <w:color w:val="auto"/>
          <w:highlight w:val="none"/>
        </w:rPr>
        <w:t xml:space="preserve">0.1℃；</w:t>
      </w:r>
      <w:r>
        <w:rPr>
          <w:color w:val="auto"/>
          <w:highlight w:val="none"/>
        </w:rPr>
      </w:r>
      <w:r/>
    </w:p>
    <w:p>
      <w:pPr>
        <w:pStyle w:val="941"/>
        <w:rPr>
          <w:rFonts w:hint="eastAsia"/>
          <w:color w:val="auto"/>
          <w:highlight w:val="none"/>
        </w:rPr>
      </w:pPr>
      <w:r>
        <w:rPr>
          <w:color w:val="auto"/>
          <w:highlight w:val="none"/>
        </w:rPr>
      </w:r>
      <w:bookmarkStart w:id="63" w:name="_Toc5684"/>
      <w:r>
        <w:rPr>
          <w:color w:val="auto"/>
          <w:highlight w:val="none"/>
        </w:rPr>
      </w:r>
      <w:bookmarkStart w:id="64" w:name="_Toc25857"/>
      <w:r>
        <w:rPr>
          <w:rFonts w:hint="eastAsia"/>
          <w:color w:val="auto"/>
          <w:highlight w:val="none"/>
        </w:rPr>
        <w:t xml:space="preserve">2.4 自动电解连续再生微膜抑制器</w:t>
      </w:r>
      <w:bookmarkEnd w:id="63"/>
      <w:r>
        <w:rPr>
          <w:color w:val="auto"/>
          <w:highlight w:val="none"/>
        </w:rPr>
      </w:r>
      <w:bookmarkEnd w:id="64"/>
      <w:r>
        <w:rPr>
          <w:color w:val="auto"/>
          <w:highlight w:val="none"/>
        </w:rPr>
      </w:r>
      <w:r/>
    </w:p>
    <w:p>
      <w:pPr>
        <w:pStyle w:val="939"/>
        <w:rPr>
          <w:rFonts w:hint="eastAsia"/>
          <w:color w:val="auto"/>
          <w:highlight w:val="none"/>
        </w:rPr>
      </w:pPr>
      <w:r>
        <w:rPr>
          <w:rFonts w:hint="eastAsia"/>
          <w:color w:val="auto"/>
          <w:highlight w:val="none"/>
        </w:rPr>
        <w:t xml:space="preserve">2.4.1原厂生产阴离子自动电解连续再生微膜抑制器，无需外加酸或者再生液进行化学再生，无需使用蠕动泵或其他任何加液装置进行清洗和再生，无需转子切换，所有样品和标样均通过同一抑制器；</w:t>
      </w:r>
      <w:r>
        <w:rPr>
          <w:color w:val="auto"/>
          <w:highlight w:val="none"/>
        </w:rPr>
      </w:r>
      <w:r/>
    </w:p>
    <w:p>
      <w:pPr>
        <w:pStyle w:val="939"/>
        <w:rPr>
          <w:rFonts w:hint="eastAsia"/>
          <w:color w:val="auto"/>
          <w:highlight w:val="none"/>
        </w:rPr>
      </w:pPr>
      <w:r>
        <w:rPr>
          <w:rFonts w:hint="eastAsia"/>
          <w:color w:val="auto"/>
          <w:highlight w:val="none"/>
        </w:rPr>
        <w:t xml:space="preserve">2.4.2抑制背景总电导小于5.0μS，阴离子抑制容量200mM氢氧化钠或氢氧化钾，1.0mL/min流速至少持续30min；</w:t>
      </w:r>
      <w:r>
        <w:rPr>
          <w:color w:val="auto"/>
          <w:highlight w:val="none"/>
        </w:rPr>
      </w:r>
      <w:r/>
    </w:p>
    <w:p>
      <w:pPr>
        <w:pStyle w:val="941"/>
        <w:rPr>
          <w:rFonts w:hint="eastAsia"/>
          <w:bCs/>
          <w:color w:val="auto"/>
          <w:highlight w:val="none"/>
        </w:rPr>
      </w:pPr>
      <w:r>
        <w:rPr>
          <w:color w:val="auto"/>
          <w:highlight w:val="none"/>
        </w:rPr>
      </w:r>
      <w:bookmarkStart w:id="65" w:name="_Toc20980"/>
      <w:r>
        <w:rPr>
          <w:color w:val="auto"/>
          <w:highlight w:val="none"/>
        </w:rPr>
      </w:r>
      <w:bookmarkStart w:id="66" w:name="_Toc30862"/>
      <w:r>
        <w:rPr>
          <w:rFonts w:hint="eastAsia"/>
          <w:color w:val="auto"/>
          <w:highlight w:val="none"/>
        </w:rPr>
        <w:t xml:space="preserve">2.5电导检测器：</w:t>
      </w:r>
      <w:bookmarkEnd w:id="65"/>
      <w:r>
        <w:rPr>
          <w:color w:val="auto"/>
          <w:highlight w:val="none"/>
        </w:rPr>
      </w:r>
      <w:bookmarkEnd w:id="66"/>
      <w:r>
        <w:rPr>
          <w:color w:val="auto"/>
          <w:highlight w:val="none"/>
        </w:rPr>
      </w:r>
      <w:r/>
    </w:p>
    <w:p>
      <w:pPr>
        <w:pStyle w:val="939"/>
        <w:rPr>
          <w:rFonts w:hint="eastAsia"/>
          <w:color w:val="auto"/>
          <w:highlight w:val="none"/>
        </w:rPr>
      </w:pPr>
      <w:r>
        <w:rPr>
          <w:rFonts w:hint="eastAsia"/>
          <w:color w:val="auto"/>
          <w:highlight w:val="none"/>
        </w:rPr>
        <w:t xml:space="preserve">2.5.1类型：数字信号控制处理器，当检测μg/L级到g/L级不同浓度的离子时，输出信号可直接数字拓展，无需调整量程，输出值应为直接的电导信号；</w:t>
      </w:r>
      <w:r>
        <w:rPr>
          <w:color w:val="auto"/>
          <w:highlight w:val="none"/>
        </w:rPr>
      </w:r>
      <w:r/>
    </w:p>
    <w:p>
      <w:pPr>
        <w:pStyle w:val="939"/>
        <w:rPr>
          <w:rFonts w:hint="eastAsia"/>
          <w:color w:val="auto"/>
          <w:highlight w:val="none"/>
        </w:rPr>
      </w:pPr>
      <w:r>
        <w:rPr>
          <w:rFonts w:hint="eastAsia"/>
          <w:color w:val="auto"/>
          <w:highlight w:val="none"/>
        </w:rPr>
        <w:t xml:space="preserve">2.5.2全程信号输出范围：不小于0-18000μS/cm；</w:t>
      </w:r>
      <w:r>
        <w:rPr>
          <w:color w:val="auto"/>
          <w:highlight w:val="none"/>
        </w:rPr>
      </w:r>
      <w:r/>
    </w:p>
    <w:p>
      <w:pPr>
        <w:pStyle w:val="939"/>
        <w:rPr>
          <w:rFonts w:hint="eastAsia"/>
          <w:color w:val="auto"/>
          <w:highlight w:val="none"/>
        </w:rPr>
      </w:pPr>
      <w:r>
        <w:rPr>
          <w:rFonts w:hint="eastAsia"/>
          <w:color w:val="auto"/>
          <w:highlight w:val="none"/>
        </w:rPr>
        <w:t xml:space="preserve">2.5.3检测器分辨率：≤0.002nS/cm；</w:t>
      </w:r>
      <w:r>
        <w:rPr>
          <w:color w:val="auto"/>
          <w:highlight w:val="none"/>
        </w:rPr>
      </w:r>
      <w:r/>
    </w:p>
    <w:p>
      <w:pPr>
        <w:pStyle w:val="939"/>
        <w:rPr>
          <w:rFonts w:hint="eastAsia"/>
          <w:color w:val="auto"/>
          <w:highlight w:val="none"/>
        </w:rPr>
      </w:pPr>
      <w:r>
        <w:rPr>
          <w:rFonts w:hint="eastAsia"/>
          <w:color w:val="auto"/>
          <w:highlight w:val="none"/>
        </w:rPr>
        <w:t xml:space="preserve">2.5.4检测器耐受最大压力≥10Mpa；</w:t>
      </w:r>
      <w:r>
        <w:rPr>
          <w:color w:val="auto"/>
          <w:highlight w:val="none"/>
        </w:rPr>
      </w:r>
      <w:r/>
    </w:p>
    <w:p>
      <w:pPr>
        <w:pStyle w:val="939"/>
        <w:rPr>
          <w:rFonts w:hint="eastAsia"/>
          <w:strike/>
          <w:color w:val="auto"/>
          <w:highlight w:val="none"/>
        </w:rPr>
      </w:pPr>
      <w:r>
        <w:rPr>
          <w:rFonts w:hint="eastAsia"/>
          <w:color w:val="auto"/>
          <w:highlight w:val="none"/>
        </w:rPr>
        <w:t xml:space="preserve">2.5.5信号采集频率≥90Hz；</w:t>
      </w:r>
      <w:r>
        <w:rPr>
          <w:rFonts w:hint="eastAsia"/>
          <w:strike/>
          <w:color w:val="auto"/>
          <w:highlight w:val="none"/>
        </w:rPr>
        <w:t xml:space="preserve"> </w:t>
      </w:r>
      <w:r>
        <w:rPr>
          <w:color w:val="auto"/>
          <w:highlight w:val="none"/>
        </w:rPr>
      </w:r>
      <w:r/>
    </w:p>
    <w:p>
      <w:pPr>
        <w:pStyle w:val="941"/>
        <w:rPr>
          <w:rFonts w:hint="eastAsia"/>
          <w:color w:val="auto"/>
          <w:highlight w:val="none"/>
        </w:rPr>
      </w:pPr>
      <w:r>
        <w:rPr>
          <w:rFonts w:hint="eastAsia"/>
          <w:color w:val="auto"/>
          <w:highlight w:val="none"/>
        </w:rPr>
        <w:t xml:space="preserve">★2.6 在线电解淋洗液发生器：利用电解产生的H+或OH-在线生成酸性或碱性淋洗液，而非通过加液单元进行不同溶液间的在线混合或稀释产生；提供等度和高压多步梯度，梯度产生曲率1-9任意数值可选，梯度精度≤0.2%，梯度准确度≤0.2%，在软件中直接输入所需淋洗液浓度；</w:t>
      </w:r>
      <w:r>
        <w:rPr>
          <w:rFonts w:hint="eastAsia"/>
          <w:color w:val="auto"/>
          <w:szCs w:val="21"/>
          <w:highlight w:val="none"/>
        </w:rPr>
        <w:t xml:space="preserve">（提供软件功能截图）</w:t>
      </w:r>
      <w:r>
        <w:rPr>
          <w:color w:val="auto"/>
          <w:highlight w:val="none"/>
        </w:rPr>
      </w:r>
      <w:r/>
    </w:p>
    <w:p>
      <w:pPr>
        <w:pStyle w:val="939"/>
        <w:rPr>
          <w:rFonts w:hint="eastAsia"/>
          <w:color w:val="auto"/>
          <w:highlight w:val="none"/>
        </w:rPr>
      </w:pPr>
      <w:r>
        <w:rPr>
          <w:color w:val="auto"/>
          <w:highlight w:val="none"/>
        </w:rPr>
      </w:r>
      <w:bookmarkStart w:id="67" w:name="OLE_LINK47"/>
      <w:r>
        <w:rPr>
          <w:color w:val="auto"/>
          <w:highlight w:val="none"/>
        </w:rPr>
      </w:r>
      <w:bookmarkStart w:id="68" w:name="OLE_LINK15"/>
      <w:r>
        <w:rPr>
          <w:color w:val="auto"/>
          <w:highlight w:val="none"/>
        </w:rPr>
      </w:r>
      <w:bookmarkStart w:id="69" w:name="OLE_LINK14"/>
      <w:r>
        <w:rPr>
          <w:rFonts w:hint="eastAsia"/>
          <w:color w:val="auto"/>
          <w:highlight w:val="none"/>
        </w:rPr>
        <w:t xml:space="preserve">2.7操作软件</w:t>
      </w:r>
      <w:r>
        <w:rPr>
          <w:color w:val="auto"/>
          <w:highlight w:val="none"/>
        </w:rPr>
      </w:r>
      <w:r/>
    </w:p>
    <w:p>
      <w:pPr>
        <w:pStyle w:val="939"/>
        <w:rPr>
          <w:rFonts w:hint="eastAsia"/>
          <w:color w:val="auto"/>
          <w:highlight w:val="none"/>
        </w:rPr>
      </w:pPr>
      <w:r>
        <w:rPr>
          <w:rFonts w:hint="eastAsia"/>
          <w:color w:val="auto"/>
          <w:highlight w:val="none"/>
        </w:rPr>
        <w:t xml:space="preserve">2.7.1操作界面模拟Microsoft®office操作系统，易于学习和操作；</w:t>
      </w:r>
      <w:r>
        <w:rPr>
          <w:color w:val="auto"/>
          <w:highlight w:val="none"/>
        </w:rPr>
      </w:r>
      <w:r/>
    </w:p>
    <w:p>
      <w:pPr>
        <w:pStyle w:val="939"/>
        <w:rPr>
          <w:rFonts w:hint="eastAsia"/>
          <w:color w:val="auto"/>
          <w:highlight w:val="none"/>
        </w:rPr>
      </w:pPr>
      <w:r>
        <w:rPr>
          <w:rFonts w:hint="eastAsia"/>
          <w:color w:val="auto"/>
          <w:highlight w:val="none"/>
        </w:rPr>
        <w:t xml:space="preserve">2.7.2基于数据库设计的数据处理功能，修改色谱图、校正曲线后即可实时动态数据更新；可以对样品信息进行自定义搜索，快速查询数据； </w:t>
      </w:r>
      <w:r>
        <w:rPr>
          <w:color w:val="auto"/>
          <w:highlight w:val="none"/>
        </w:rPr>
      </w:r>
      <w:r/>
    </w:p>
    <w:p>
      <w:pPr>
        <w:pStyle w:val="939"/>
        <w:rPr>
          <w:rFonts w:hint="eastAsia"/>
          <w:color w:val="auto"/>
          <w:highlight w:val="none"/>
        </w:rPr>
      </w:pPr>
      <w:r>
        <w:rPr>
          <w:rFonts w:hint="eastAsia"/>
          <w:color w:val="auto"/>
          <w:highlight w:val="none"/>
        </w:rPr>
        <w:t xml:space="preserve">2.7.3可升级至网络版软件，操控第三方气相色谱和液相色谱仪器，无需借助第三方软件即可完全符合FDA 21CFR Part 11中有关电子签名以及电子记录的规定，能够完全满足GxP中有关计算机化系统的要求；</w:t>
      </w:r>
      <w:r>
        <w:rPr>
          <w:color w:val="auto"/>
          <w:highlight w:val="none"/>
        </w:rPr>
      </w:r>
      <w:r/>
    </w:p>
    <w:p>
      <w:pPr>
        <w:pStyle w:val="939"/>
        <w:rPr>
          <w:rFonts w:hint="eastAsia"/>
          <w:color w:val="auto"/>
          <w:highlight w:val="none"/>
        </w:rPr>
      </w:pPr>
      <w:r>
        <w:rPr>
          <w:rFonts w:hint="eastAsia"/>
          <w:color w:val="auto"/>
          <w:highlight w:val="none"/>
        </w:rPr>
        <w:t xml:space="preserve">2.7.4可导出txt格式原始数据，以满足国外期刊用专门画图软件绘制谱图的需求。可输出ASCⅡ码格式数据，方便数据读取和传输；</w:t>
      </w:r>
      <w:r>
        <w:rPr>
          <w:color w:val="auto"/>
          <w:highlight w:val="none"/>
        </w:rPr>
      </w:r>
      <w:r/>
    </w:p>
    <w:p>
      <w:pPr>
        <w:pStyle w:val="939"/>
        <w:rPr>
          <w:rFonts w:hint="eastAsia"/>
          <w:color w:val="auto"/>
          <w:highlight w:val="none"/>
        </w:rPr>
      </w:pPr>
      <w:r>
        <w:rPr>
          <w:rFonts w:hint="eastAsia"/>
          <w:color w:val="auto"/>
          <w:highlight w:val="none"/>
        </w:rPr>
        <w:t xml:space="preserve">2.7.5具备系统适应性测试（SST）和智能运行控制功能（IRC）功能；</w:t>
      </w:r>
      <w:r>
        <w:rPr>
          <w:color w:val="auto"/>
          <w:highlight w:val="none"/>
        </w:rPr>
      </w:r>
      <w:r/>
    </w:p>
    <w:p>
      <w:pPr>
        <w:pStyle w:val="939"/>
        <w:rPr>
          <w:rFonts w:hint="eastAsia"/>
          <w:color w:val="auto"/>
          <w:highlight w:val="none"/>
        </w:rPr>
      </w:pPr>
      <w:r>
        <w:rPr>
          <w:rFonts w:hint="eastAsia"/>
          <w:color w:val="auto"/>
          <w:highlight w:val="none"/>
        </w:rPr>
        <w:t xml:space="preserve">★2.7.6配置虚拟柱软件技术，模拟本公司不同阴离子色谱柱对30种以上阴离子和有机酸的分离效果；不同阳离子色谱柱对20种以上阳离子和有机胺的分离效果；糖分析色谱柱对20种以上糖的分离效果，可帮助进行快速方法开发及辅助未知物定性；（提供原厂盖章的虚拟柱软件截图）</w:t>
      </w:r>
      <w:bookmarkEnd w:id="67"/>
      <w:r>
        <w:rPr>
          <w:color w:val="auto"/>
        </w:rPr>
      </w:r>
      <w:bookmarkEnd w:id="68"/>
      <w:r>
        <w:rPr>
          <w:color w:val="auto"/>
        </w:rPr>
      </w:r>
      <w:bookmarkEnd w:id="69"/>
      <w:r>
        <w:rPr>
          <w:color w:val="auto"/>
          <w:highlight w:val="none"/>
        </w:rPr>
      </w:r>
      <w:r/>
    </w:p>
    <w:p>
      <w:pPr>
        <w:pStyle w:val="942"/>
        <w:rPr>
          <w:rFonts w:hint="eastAsia"/>
          <w:color w:val="auto"/>
          <w:highlight w:val="none"/>
        </w:rPr>
      </w:pPr>
      <w:r>
        <w:rPr>
          <w:rFonts w:hint="eastAsia"/>
          <w:color w:val="auto"/>
          <w:highlight w:val="none"/>
        </w:rPr>
        <w:t xml:space="preserve">2.8 自动进样器</w:t>
      </w:r>
      <w:r>
        <w:rPr>
          <w:color w:val="auto"/>
          <w:highlight w:val="none"/>
        </w:rPr>
      </w:r>
      <w:r/>
    </w:p>
    <w:p>
      <w:pPr>
        <w:pStyle w:val="942"/>
        <w:rPr>
          <w:rFonts w:hint="eastAsia"/>
          <w:color w:val="auto"/>
          <w:highlight w:val="none"/>
        </w:rPr>
      </w:pPr>
      <w:r>
        <w:rPr>
          <w:rFonts w:hint="eastAsia"/>
          <w:color w:val="auto"/>
          <w:highlight w:val="none"/>
        </w:rPr>
        <w:t xml:space="preserve">2.8.1具有不少于50个进样瓶物理位置的自动进样器，进样速度和进样量可调；</w:t>
      </w:r>
      <w:r>
        <w:rPr>
          <w:color w:val="auto"/>
          <w:highlight w:val="none"/>
        </w:rPr>
      </w:r>
      <w:r/>
    </w:p>
    <w:p>
      <w:pPr>
        <w:pStyle w:val="942"/>
        <w:rPr>
          <w:rFonts w:hint="eastAsia"/>
          <w:color w:val="auto"/>
          <w:highlight w:val="none"/>
        </w:rPr>
      </w:pPr>
      <w:r>
        <w:rPr>
          <w:rFonts w:hint="eastAsia"/>
          <w:color w:val="auto"/>
          <w:highlight w:val="none"/>
        </w:rPr>
        <w:t xml:space="preserve">2.8.2上样速度：0.1-5.0 ml/min；</w:t>
      </w:r>
      <w:r>
        <w:rPr>
          <w:color w:val="auto"/>
          <w:highlight w:val="none"/>
        </w:rPr>
      </w:r>
      <w:r/>
    </w:p>
    <w:p>
      <w:pPr>
        <w:pStyle w:val="942"/>
        <w:rPr>
          <w:rFonts w:hint="eastAsia"/>
          <w:color w:val="auto"/>
          <w:highlight w:val="none"/>
        </w:rPr>
      </w:pPr>
      <w:r>
        <w:rPr>
          <w:rFonts w:hint="eastAsia"/>
          <w:color w:val="auto"/>
          <w:highlight w:val="none"/>
        </w:rPr>
        <w:t xml:space="preserve">2.8.3预留额外的六通阀或十通阀位置，可用于在线样品前处理等应用；</w:t>
      </w:r>
      <w:r>
        <w:rPr>
          <w:color w:val="auto"/>
          <w:highlight w:val="none"/>
        </w:rPr>
      </w:r>
      <w:r/>
    </w:p>
    <w:p>
      <w:pPr>
        <w:pStyle w:val="942"/>
        <w:rPr>
          <w:rFonts w:hint="eastAsia"/>
          <w:b/>
          <w:color w:val="auto"/>
          <w:highlight w:val="none"/>
        </w:rPr>
      </w:pPr>
      <w:r>
        <w:rPr>
          <w:rFonts w:hint="eastAsia"/>
          <w:color w:val="auto"/>
          <w:highlight w:val="none"/>
        </w:rPr>
        <w:t xml:space="preserve">2.8.4样品瓶带有样品瓶盖，自动进样器带有样品盘保护罩；样品瓶带有单独的过滤芯瓶盖，避免样品交叉污染；</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 实际应用能力</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一针进样可同时完成水样中ppm级别常规离子（氟离子、氯离子、亚硝酸根、溴离子、硝酸根、硫酸根、磷酸根）、ppb级别含氧消毒副产物（亚氯酸、溴酸盐、氯酸盐）、卤代乙酸（二氯乙酸、三氯乙酸）、草甘膦、碘离子、高氯酸共15种阴离子分析；（提供应用文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 可扩展与ICPMS联用，实现一次进样完成砷、铬、溴、碘四种元素11种形态同时分离分析；（提供方法报告）</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 可扩展与MSMS及高分辨质谱无缝联机，用于分析研究强极性农兽残、阴阳离子、有机酸、寡糖等；可开展环境样品中11种消毒副产物和30种以上有机酸的定性筛查和定量分析；可用于45种以上代谢物的研究；（提供分离图谱）</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离子色谱主机（泵、柱温箱、检测器等）1套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阴离子分析系统（阴离子保护柱和分析柱、阴离子电解微膜抑制器）1套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KOH淋洗液发生器1套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3.4色谱工作站1套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3.5离子色谱自动进样器（含定量环25µL、500µL各1个,自动进样瓶500个）1套</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电脑工作站1套(配置不低于：处理器Intel i7，十二核、硬盘512GB SSD+2TB HDD、内存32G 、4G独显、21寸液晶显示器)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激光打印机 1台</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6KVA UPS电源1台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气瓶连接不锈钢气路管1套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3.10 气瓶连接阀门1套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3.11装机配套试剂标准物质1套</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4、售后服务要求：</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质保期：不少于2年（质保期自验收合格之日起计算）。</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服务响应：接到维修通知后有专职的技术服务人员上门服务，保证维修响应时间2小时</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提供详细的培训计划，保证使用人员正常操作设备。</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可提供不少于2名厂家国内培训中心免费培训名额。</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4.5协助客户完成职业卫生方法项目扩展。</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 零配件应保证不少于8年的供应期。</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（五）火焰原子吸收光谱仪</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应用于对各类样品中主量、微量及痕量元素的定性、半定量和定量分析。仪器以固体检测器为基础，由进样系统、火焰原子化器、光路系统、检测器、 分析软件和计算机系统组成，全自动控制，仪器监控仪表全部由计算机控制，任何仪器参数都不需要手动调节。</w:t>
      </w:r>
      <w:r>
        <w:rPr>
          <w:color w:val="auto"/>
          <w:highlight w:val="none"/>
        </w:rPr>
      </w:r>
      <w:r/>
    </w:p>
    <w:p>
      <w:pPr>
        <w:tabs>
          <w:tab w:val="left" w:pos="851"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2、技术性能要求：</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2.1技术规格</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2.1.1进样系统</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 火焰AAS耐HF酸进样系统，耐： 50% (v/v) HCl、HNO3、H2SO4、H3PO4，20% (v/v) HF，30% (w/v)NaOH以及30%的高盐样品。可调式通用型雾化器，高强度惰性材料预混室，全钛燃烧头。</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火焰系统安全保护：安全联锁装置与燃烧头，雾化器/端盖，排液系统，废液桶液面高度，气体流量等联锁，防止在任何不当条件下点火，当监测不到火焰或任何锁定功能能激活时，联锁系统会自动关闭燃烧气体，以防万一。突然断电时，仪器会从任何操作方式按预设程序自动关机，确保安全。</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2.1.1.3燃烧器系统：预混燃烧器可通过软件控制驱动装置自动换入样品室。火焰在光路中的准直，燃烧器的垂直，水平位置的调节完全自动化，并由软件控制自动进行位置最佳化。</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★2.1.2光学系统：实时双光束，236nm和597nm双闪耀波长，1800线/mm平面光栅分光系统。</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2.1.3波长范围：184 - 900nm。</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★2.1.4检测器：全谱高灵敏度阵列式CCD固态检测器，含有内置式低噪声CMOS电荷放大器阵列，样品光束和参比光束同时检测。</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2.1.5灯选择：内置两种灯电源，可连接空心阴极灯和无极放电灯；通过软件由计算机控制灯的选择和自动准直，可自动识别灯名称和设定灯电流推荐值。</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 灯位数：具有八灯位</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 火焰采用高强度宽范围氘灯背景校正，可校正357nm铬。</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2.2性能指标</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2.2.1火焰AAS的灵敏度，2ppm Cu 吸光度大于0.35，精密度RSD &lt; 0.4%。测量方法按照</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中华人民共和国国家标准GB/T 21187-2007的4.5.2.1和4.7.2.1试验程序进行。</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  Cu元素2ppm浓度，一小时连续测试12次/5分钟，每次测试值小于等于1%。</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操作软件</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2.3.1分析软件：全中文AAS操作软件，和中文帮助软件；而且测量报告也必须为全中文</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报告。控制软件可以在中文版Windows 10下运行，可以脱离仪器安装在其它计算机上进行</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模拟运行（模拟点火、熄火、样品分析），同时模拟软件具有数据处理功能，以便于教学、</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演示和培训。</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2.3.2数据处理：仪器吸收值、浓度或发射强度等读数可在0.01至100倍的范围内扩展。积</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分时间可按0.1秒的增量在0.1至60秒之间任选，同时内置数理统计功能。</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★2.3.3校正曲线：多达15个标准点的各种校正曲线法供选择，可任选单标进行曲线斜率重校。</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2.3.4仪器诊断软件和网络通讯，数据再处理功能。</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2.3.5每一元素的测量参数自动优化并推荐最佳值，无需使用者进行估计。</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2.3.6全面符合电子签名管理的21 CFR Part 11管理法规。</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2.3.7具有在主软件运行时同时运行离线数据处理（Offline）的功能。        </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2.3.8数据档案管理（Data Manager）功能，支持数据的备份、恢复、删除，支持数据的文本格式输出。</w:t>
      </w:r>
      <w:r>
        <w:rPr>
          <w:color w:val="auto"/>
          <w:highlight w:val="none"/>
        </w:rPr>
      </w:r>
      <w:r/>
    </w:p>
    <w:p>
      <w:pPr>
        <w:tabs>
          <w:tab w:val="left" w:pos="851"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火焰原子吸收光谱仪主机1台</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无油空压机1套     </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操作软件1套   </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10cm燃烧头1套   </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进样毛细管1套    </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高灵敏度雾化器1套 </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元素灯8个</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电脑工作站 1套(配置不低于：处理器Intel i5，10核、硬盘512GB SSD、内存8G 、21寸液晶显示器)</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激光打印机1台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3.10 气瓶连接不锈钢气路管1套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气瓶连接阀门1套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3.12装机配套试剂标准物质1套</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4、售后服务要求：</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质保期：不少于2年（质保期自验收合格之日起计算）。</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服务响应：接到维修通知后有专职的技术服务人员上门服务，保证维修响应时间2小时</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提供详细的培训计划，保证使用人员正常操作设备。</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可提供不少于2名厂家国内培训中心免费培训名额。</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 协助客户完成职业卫生方法项目扩展。</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 零配件应保证不少于8年的供应期。</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（六）原子荧光光度计</w:t>
      </w:r>
      <w:r>
        <w:rPr>
          <w:color w:val="auto"/>
          <w:highlight w:val="none"/>
        </w:rPr>
      </w:r>
      <w:r/>
    </w:p>
    <w:p>
      <w:pPr>
        <w:pStyle w:val="939"/>
        <w:rPr>
          <w:rFonts w:hint="eastAsia"/>
          <w:color w:val="auto"/>
          <w:highlight w:val="none"/>
        </w:rPr>
      </w:pPr>
      <w:r>
        <w:rPr>
          <w:rFonts w:hint="eastAsia"/>
          <w:b/>
          <w:color w:val="auto"/>
          <w:highlight w:val="none"/>
        </w:rPr>
        <w:t xml:space="preserve">1、主要用途：</w:t>
      </w:r>
      <w:r>
        <w:rPr>
          <w:rFonts w:hint="eastAsia"/>
          <w:color w:val="auto"/>
          <w:highlight w:val="none"/>
        </w:rPr>
        <w:t xml:space="preserve">适用于样品中砷、汞、硒、锡、铅、锑、碲、锗、镉、锌等元素的痕量全元素分析。</w:t>
      </w:r>
      <w:r>
        <w:rPr>
          <w:color w:val="auto"/>
          <w:highlight w:val="none"/>
        </w:rPr>
      </w:r>
      <w:r/>
    </w:p>
    <w:p>
      <w:pPr>
        <w:pStyle w:val="939"/>
        <w:rPr>
          <w:rFonts w:hint="eastAsia"/>
          <w:color w:val="auto"/>
          <w:highlight w:val="none"/>
        </w:rPr>
      </w:pPr>
      <w:r>
        <w:rPr>
          <w:rFonts w:hint="eastAsia"/>
          <w:color w:val="auto"/>
          <w:highlight w:val="none"/>
        </w:rPr>
        <w:t xml:space="preserve">2、技术性能要求：</w:t>
      </w:r>
      <w:r>
        <w:rPr>
          <w:color w:val="auto"/>
          <w:highlight w:val="none"/>
        </w:rPr>
      </w:r>
      <w:r/>
    </w:p>
    <w:p>
      <w:pPr>
        <w:pStyle w:val="939"/>
        <w:rPr>
          <w:rFonts w:hint="eastAsia"/>
          <w:color w:val="auto"/>
          <w:highlight w:val="none"/>
        </w:rPr>
      </w:pPr>
      <w:r>
        <w:rPr>
          <w:rFonts w:hint="eastAsia"/>
          <w:color w:val="auto"/>
          <w:highlight w:val="none"/>
        </w:rPr>
        <w:t xml:space="preserve">2.1进样系统：采用支持多模式进样系统。</w:t>
      </w:r>
      <w:r>
        <w:rPr>
          <w:color w:val="auto"/>
          <w:highlight w:val="none"/>
        </w:rPr>
      </w:r>
      <w:r/>
    </w:p>
    <w:p>
      <w:pPr>
        <w:pStyle w:val="939"/>
        <w:rPr>
          <w:rFonts w:hint="eastAsia"/>
          <w:color w:val="auto"/>
          <w:highlight w:val="none"/>
        </w:rPr>
      </w:pPr>
      <w:r>
        <w:rPr>
          <w:rFonts w:hint="eastAsia"/>
          <w:color w:val="auto"/>
          <w:highlight w:val="none"/>
        </w:rPr>
        <w:t xml:space="preserve">★2.1.1采用支持多模式进样，软件自动切换，进样系统具备三种方式：1）双注射泵模式；2）注射泵+蠕动泵模式；3）蠕动泵模式。（提供原厂盖章的设备硬件及操作软件等证明材料）</w:t>
      </w:r>
      <w:r>
        <w:rPr>
          <w:color w:val="auto"/>
          <w:highlight w:val="none"/>
        </w:rPr>
      </w:r>
      <w:r/>
    </w:p>
    <w:p>
      <w:pPr>
        <w:pStyle w:val="939"/>
        <w:rPr>
          <w:rFonts w:hint="eastAsia"/>
          <w:color w:val="auto"/>
          <w:highlight w:val="none"/>
        </w:rPr>
      </w:pPr>
      <w:r>
        <w:rPr>
          <w:rFonts w:hint="eastAsia"/>
          <w:color w:val="auto"/>
          <w:highlight w:val="none"/>
        </w:rPr>
        <w:t xml:space="preserve">2.1.2采用聚四氟乙烯材质多位阀与三位阀设计。（提供原厂盖章的实物图片等证明材料）</w:t>
      </w:r>
      <w:r>
        <w:rPr>
          <w:color w:val="auto"/>
          <w:highlight w:val="none"/>
        </w:rPr>
      </w:r>
      <w:r/>
    </w:p>
    <w:p>
      <w:pPr>
        <w:pStyle w:val="939"/>
        <w:rPr>
          <w:rFonts w:hint="eastAsia"/>
          <w:color w:val="auto"/>
          <w:highlight w:val="none"/>
        </w:rPr>
      </w:pPr>
      <w:r>
        <w:rPr>
          <w:rFonts w:hint="eastAsia"/>
          <w:color w:val="auto"/>
          <w:highlight w:val="none"/>
        </w:rPr>
        <w:t xml:space="preserve">★2.1.3微升级取样精度和补偿技术，运动行程大于60mm，两级减速结构设计。保证微升级取样精度，重复性精度优于0.05%。(提供原厂盖章的技术证明文件)</w:t>
      </w:r>
      <w:r>
        <w:rPr>
          <w:color w:val="auto"/>
          <w:highlight w:val="none"/>
        </w:rPr>
      </w:r>
      <w:r/>
    </w:p>
    <w:p>
      <w:pPr>
        <w:pStyle w:val="939"/>
        <w:rPr>
          <w:rFonts w:hint="eastAsia"/>
          <w:color w:val="auto"/>
          <w:highlight w:val="none"/>
        </w:rPr>
      </w:pPr>
      <w:r>
        <w:rPr>
          <w:rFonts w:hint="eastAsia"/>
          <w:color w:val="auto"/>
          <w:highlight w:val="none"/>
        </w:rPr>
        <w:t xml:space="preserve">2.1.4具备氢化发生除泡装置。</w:t>
      </w:r>
      <w:r>
        <w:rPr>
          <w:color w:val="auto"/>
          <w:highlight w:val="none"/>
        </w:rPr>
      </w:r>
      <w:r/>
    </w:p>
    <w:p>
      <w:pPr>
        <w:pStyle w:val="939"/>
        <w:rPr>
          <w:rFonts w:hint="eastAsia"/>
          <w:color w:val="auto"/>
          <w:highlight w:val="none"/>
        </w:rPr>
      </w:pPr>
      <w:r>
        <w:rPr>
          <w:rFonts w:hint="eastAsia"/>
          <w:color w:val="auto"/>
          <w:highlight w:val="none"/>
        </w:rPr>
        <w:t xml:space="preserve">2.1.5具备自动配置标准系列功能，单标准自动配制标准曲线（r＞=0.999）。</w:t>
      </w:r>
      <w:r>
        <w:rPr>
          <w:color w:val="auto"/>
          <w:highlight w:val="none"/>
        </w:rPr>
      </w:r>
      <w:r/>
    </w:p>
    <w:p>
      <w:pPr>
        <w:pStyle w:val="939"/>
        <w:rPr>
          <w:rFonts w:hint="eastAsia"/>
          <w:color w:val="auto"/>
          <w:highlight w:val="none"/>
        </w:rPr>
      </w:pPr>
      <w:r>
        <w:rPr>
          <w:rFonts w:hint="eastAsia"/>
          <w:color w:val="auto"/>
          <w:highlight w:val="none"/>
        </w:rPr>
        <w:t xml:space="preserve">2.1.6具备在线高浓度样品自动稀释功能。</w:t>
      </w:r>
      <w:r>
        <w:rPr>
          <w:color w:val="auto"/>
          <w:highlight w:val="none"/>
        </w:rPr>
      </w:r>
      <w:r/>
    </w:p>
    <w:p>
      <w:pPr>
        <w:pStyle w:val="939"/>
        <w:rPr>
          <w:rFonts w:hint="eastAsia"/>
          <w:color w:val="auto"/>
          <w:highlight w:val="none"/>
        </w:rPr>
      </w:pPr>
      <w:r>
        <w:rPr>
          <w:rFonts w:hint="eastAsia"/>
          <w:color w:val="auto"/>
          <w:highlight w:val="none"/>
        </w:rPr>
        <w:t xml:space="preserve">2.1.7 大于150位极坐标式自动进样器，碳纤骨架PTFE取样针。避免石英针易碎问题，避免钢针扎坏自动进样器。同时减少挂液，减交叉污染。（提供原厂盖章的技术证明文件、PTFE材质进样针照片）</w:t>
      </w:r>
      <w:r>
        <w:rPr>
          <w:color w:val="auto"/>
          <w:highlight w:val="none"/>
        </w:rPr>
      </w:r>
      <w:r/>
    </w:p>
    <w:p>
      <w:pPr>
        <w:pStyle w:val="939"/>
        <w:rPr>
          <w:rFonts w:hint="eastAsia"/>
          <w:color w:val="auto"/>
          <w:highlight w:val="none"/>
        </w:rPr>
      </w:pPr>
      <w:r>
        <w:rPr>
          <w:rFonts w:hint="eastAsia"/>
          <w:color w:val="auto"/>
          <w:highlight w:val="none"/>
        </w:rPr>
        <w:t xml:space="preserve">2.1.8支持样品快速检测，检测周期＜60s。</w:t>
      </w:r>
      <w:r>
        <w:rPr>
          <w:color w:val="auto"/>
          <w:highlight w:val="none"/>
        </w:rPr>
      </w:r>
      <w:r/>
    </w:p>
    <w:p>
      <w:pPr>
        <w:pStyle w:val="939"/>
        <w:rPr>
          <w:rFonts w:hint="eastAsia"/>
          <w:color w:val="auto"/>
          <w:highlight w:val="none"/>
        </w:rPr>
      </w:pPr>
      <w:r>
        <w:rPr>
          <w:rFonts w:hint="eastAsia"/>
          <w:color w:val="auto"/>
          <w:highlight w:val="none"/>
        </w:rPr>
        <w:t xml:space="preserve">2.1.9支持自动在线补载流，可以达到检测过程中无人值守。</w:t>
      </w:r>
      <w:r>
        <w:rPr>
          <w:color w:val="auto"/>
          <w:highlight w:val="none"/>
        </w:rPr>
      </w:r>
      <w:r/>
    </w:p>
    <w:p>
      <w:pPr>
        <w:pStyle w:val="939"/>
        <w:rPr>
          <w:rFonts w:hint="eastAsia"/>
          <w:color w:val="auto"/>
          <w:highlight w:val="none"/>
        </w:rPr>
      </w:pPr>
      <w:r>
        <w:rPr>
          <w:rFonts w:hint="eastAsia"/>
          <w:color w:val="auto"/>
          <w:highlight w:val="none"/>
        </w:rPr>
        <w:t xml:space="preserve">2.1.10支持大体积进样方式：在蠕动泵进样基础上，升级管路包，支持现场连接，适用于汞痕量样品的检测。（提供原厂盖章的技术证明文件）</w:t>
      </w:r>
      <w:r>
        <w:rPr>
          <w:color w:val="auto"/>
          <w:highlight w:val="none"/>
        </w:rPr>
      </w:r>
      <w:r/>
    </w:p>
    <w:p>
      <w:pPr>
        <w:pStyle w:val="939"/>
        <w:rPr>
          <w:rFonts w:hint="eastAsia"/>
          <w:color w:val="auto"/>
          <w:highlight w:val="none"/>
        </w:rPr>
      </w:pPr>
      <w:r>
        <w:rPr>
          <w:rFonts w:hint="eastAsia"/>
          <w:color w:val="auto"/>
          <w:highlight w:val="none"/>
        </w:rPr>
        <w:t xml:space="preserve">2.2 光学系统：</w:t>
      </w:r>
      <w:r>
        <w:rPr>
          <w:color w:val="auto"/>
          <w:highlight w:val="none"/>
        </w:rPr>
      </w:r>
      <w:r/>
    </w:p>
    <w:p>
      <w:pPr>
        <w:pStyle w:val="939"/>
        <w:rPr>
          <w:rFonts w:hint="eastAsia"/>
          <w:color w:val="auto"/>
          <w:highlight w:val="none"/>
        </w:rPr>
      </w:pPr>
      <w:r>
        <w:rPr>
          <w:rFonts w:hint="eastAsia"/>
          <w:color w:val="auto"/>
          <w:highlight w:val="none"/>
        </w:rPr>
        <w:t xml:space="preserve">2.2.1双通道，短焦距透镜聚光，无色散全密闭避光调光系统，日盲型光电倍增管检测。</w:t>
      </w:r>
      <w:r>
        <w:rPr>
          <w:color w:val="auto"/>
          <w:highlight w:val="none"/>
        </w:rPr>
      </w:r>
      <w:r/>
    </w:p>
    <w:p>
      <w:pPr>
        <w:pStyle w:val="939"/>
        <w:rPr>
          <w:rFonts w:hint="eastAsia"/>
          <w:color w:val="auto"/>
          <w:highlight w:val="none"/>
        </w:rPr>
      </w:pPr>
      <w:r>
        <w:rPr>
          <w:rFonts w:hint="eastAsia"/>
          <w:color w:val="auto"/>
          <w:highlight w:val="none"/>
        </w:rPr>
        <w:t xml:space="preserve">2.2.2 内置式氩氢火焰观察窗，既减少了外界光线干扰仪器内部光路，提高了仪器的稳定性，又可直接对火焰状态实时进行观察。</w:t>
      </w:r>
      <w:r>
        <w:rPr>
          <w:color w:val="auto"/>
          <w:highlight w:val="none"/>
        </w:rPr>
      </w:r>
      <w:r/>
    </w:p>
    <w:p>
      <w:pPr>
        <w:pStyle w:val="939"/>
        <w:rPr>
          <w:rFonts w:hint="eastAsia"/>
          <w:color w:val="auto"/>
          <w:highlight w:val="none"/>
        </w:rPr>
      </w:pPr>
      <w:r>
        <w:rPr>
          <w:rFonts w:hint="eastAsia"/>
          <w:color w:val="auto"/>
          <w:highlight w:val="none"/>
        </w:rPr>
        <w:t xml:space="preserve">★2.2.3采用平面扇形光学系统，不接受倾斜式光学系统。（提供原厂盖章的实物图片等证明材料）</w:t>
      </w:r>
      <w:r>
        <w:rPr>
          <w:color w:val="auto"/>
          <w:highlight w:val="none"/>
        </w:rPr>
      </w:r>
      <w:r/>
    </w:p>
    <w:p>
      <w:pPr>
        <w:pStyle w:val="939"/>
        <w:rPr>
          <w:rFonts w:hint="eastAsia"/>
          <w:color w:val="auto"/>
          <w:highlight w:val="none"/>
        </w:rPr>
      </w:pPr>
      <w:r>
        <w:rPr>
          <w:rFonts w:hint="eastAsia"/>
          <w:color w:val="auto"/>
          <w:highlight w:val="none"/>
        </w:rPr>
        <w:t xml:space="preserve">2.3光源：</w:t>
      </w:r>
      <w:r>
        <w:rPr>
          <w:color w:val="auto"/>
          <w:highlight w:val="none"/>
        </w:rPr>
      </w:r>
      <w:r/>
    </w:p>
    <w:p>
      <w:pPr>
        <w:pStyle w:val="939"/>
        <w:rPr>
          <w:rFonts w:hint="eastAsia"/>
          <w:color w:val="auto"/>
          <w:highlight w:val="none"/>
        </w:rPr>
      </w:pPr>
      <w:r>
        <w:rPr>
          <w:rFonts w:hint="eastAsia"/>
          <w:color w:val="auto"/>
          <w:highlight w:val="none"/>
        </w:rPr>
        <w:t xml:space="preserve">2.3.1智能空心阴极灯，内置存储芯片，元素类型自动识别，且支持元素灯使用计时，随时掌握灯信息（提供证明材料）。</w:t>
      </w:r>
      <w:r>
        <w:rPr>
          <w:color w:val="auto"/>
          <w:highlight w:val="none"/>
        </w:rPr>
      </w:r>
      <w:r/>
    </w:p>
    <w:p>
      <w:pPr>
        <w:pStyle w:val="939"/>
        <w:rPr>
          <w:rFonts w:hint="eastAsia"/>
          <w:color w:val="auto"/>
          <w:highlight w:val="none"/>
        </w:rPr>
      </w:pPr>
      <w:r>
        <w:rPr>
          <w:rFonts w:hint="eastAsia"/>
          <w:color w:val="auto"/>
          <w:highlight w:val="none"/>
        </w:rPr>
        <w:t xml:space="preserve">2.3.2灯电源支持双道自动激发启辉，提高工作效率。</w:t>
      </w:r>
      <w:r>
        <w:rPr>
          <w:color w:val="auto"/>
          <w:highlight w:val="none"/>
        </w:rPr>
      </w:r>
      <w:r/>
    </w:p>
    <w:p>
      <w:pPr>
        <w:pStyle w:val="939"/>
        <w:rPr>
          <w:rFonts w:hint="eastAsia"/>
          <w:color w:val="auto"/>
          <w:highlight w:val="none"/>
        </w:rPr>
      </w:pPr>
      <w:r>
        <w:rPr>
          <w:rFonts w:hint="eastAsia"/>
          <w:color w:val="auto"/>
          <w:highlight w:val="none"/>
        </w:rPr>
        <w:t xml:space="preserve">2.3.3具备双偏心自校正无极调节机构元素灯架，适合不同偏心量的各种元素灯。（提供证明文件）</w:t>
      </w:r>
      <w:r>
        <w:rPr>
          <w:color w:val="auto"/>
          <w:highlight w:val="none"/>
        </w:rPr>
      </w:r>
      <w:r/>
    </w:p>
    <w:p>
      <w:pPr>
        <w:pStyle w:val="939"/>
        <w:rPr>
          <w:rFonts w:hint="eastAsia"/>
          <w:color w:val="auto"/>
          <w:highlight w:val="none"/>
        </w:rPr>
      </w:pPr>
      <w:r>
        <w:rPr>
          <w:rFonts w:hint="eastAsia"/>
          <w:color w:val="auto"/>
          <w:highlight w:val="none"/>
        </w:rPr>
        <w:t xml:space="preserve">2.3.4 具备信号增强功能，可提高检出性能。</w:t>
      </w:r>
      <w:r>
        <w:rPr>
          <w:color w:val="auto"/>
          <w:highlight w:val="none"/>
        </w:rPr>
      </w:r>
      <w:r/>
    </w:p>
    <w:p>
      <w:pPr>
        <w:pStyle w:val="939"/>
        <w:rPr>
          <w:rFonts w:hint="eastAsia"/>
          <w:color w:val="auto"/>
          <w:highlight w:val="none"/>
        </w:rPr>
      </w:pPr>
      <w:r>
        <w:rPr>
          <w:rFonts w:hint="eastAsia"/>
          <w:color w:val="auto"/>
          <w:highlight w:val="none"/>
        </w:rPr>
        <w:t xml:space="preserve">2.4氢化物反应装置：</w:t>
      </w:r>
      <w:r>
        <w:rPr>
          <w:color w:val="auto"/>
          <w:highlight w:val="none"/>
        </w:rPr>
      </w:r>
      <w:r/>
    </w:p>
    <w:p>
      <w:pPr>
        <w:pStyle w:val="939"/>
        <w:rPr>
          <w:rFonts w:hint="eastAsia"/>
          <w:color w:val="auto"/>
          <w:highlight w:val="none"/>
        </w:rPr>
      </w:pPr>
      <w:r>
        <w:rPr>
          <w:rFonts w:hint="eastAsia"/>
          <w:color w:val="auto"/>
          <w:highlight w:val="none"/>
        </w:rPr>
        <w:t xml:space="preserve">2.4.1屏蔽式低温点火石英炉原子化器，有效克服记忆现象的发生，减小荧光淬灭，提高仪器稳定性。</w:t>
      </w:r>
      <w:r>
        <w:rPr>
          <w:color w:val="auto"/>
          <w:highlight w:val="none"/>
        </w:rPr>
      </w:r>
      <w:r/>
    </w:p>
    <w:p>
      <w:pPr>
        <w:pStyle w:val="939"/>
        <w:rPr>
          <w:rFonts w:hint="eastAsia"/>
          <w:color w:val="auto"/>
          <w:highlight w:val="none"/>
        </w:rPr>
      </w:pPr>
      <w:r>
        <w:rPr>
          <w:rFonts w:hint="eastAsia"/>
          <w:color w:val="auto"/>
          <w:highlight w:val="none"/>
        </w:rPr>
        <w:t xml:space="preserve">2.4.2一级气液分离器采用化学气相发生气液分离装置，反应物充分混合接触，氢化反应效率高。</w:t>
      </w:r>
      <w:r>
        <w:rPr>
          <w:color w:val="auto"/>
          <w:highlight w:val="none"/>
        </w:rPr>
      </w:r>
      <w:r/>
    </w:p>
    <w:p>
      <w:pPr>
        <w:pStyle w:val="939"/>
        <w:rPr>
          <w:rFonts w:hint="eastAsia"/>
          <w:color w:val="auto"/>
          <w:highlight w:val="none"/>
        </w:rPr>
      </w:pPr>
      <w:r>
        <w:rPr>
          <w:rFonts w:hint="eastAsia"/>
          <w:color w:val="auto"/>
          <w:highlight w:val="none"/>
        </w:rPr>
        <w:t xml:space="preserve">2.4.3二级气液分离器采用半密封气液分离装置，便捷排水设计，有效消除水蒸气。</w:t>
      </w:r>
      <w:r>
        <w:rPr>
          <w:color w:val="auto"/>
          <w:highlight w:val="none"/>
        </w:rPr>
      </w:r>
      <w:r/>
    </w:p>
    <w:p>
      <w:pPr>
        <w:pStyle w:val="939"/>
        <w:rPr>
          <w:rFonts w:hint="eastAsia"/>
          <w:color w:val="auto"/>
          <w:highlight w:val="none"/>
        </w:rPr>
      </w:pPr>
      <w:r>
        <w:rPr>
          <w:rFonts w:hint="eastAsia"/>
          <w:color w:val="auto"/>
          <w:highlight w:val="none"/>
        </w:rPr>
        <w:t xml:space="preserve">2.4.4具备原子化器炉丝电流监控功能，软件实时监控炉丝状态。</w:t>
      </w:r>
      <w:r>
        <w:rPr>
          <w:color w:val="auto"/>
          <w:highlight w:val="none"/>
        </w:rPr>
      </w:r>
      <w:r/>
    </w:p>
    <w:p>
      <w:pPr>
        <w:pStyle w:val="939"/>
        <w:rPr>
          <w:rFonts w:hint="eastAsia"/>
          <w:b/>
          <w:color w:val="auto"/>
          <w:highlight w:val="none"/>
        </w:rPr>
      </w:pPr>
      <w:r>
        <w:rPr>
          <w:rFonts w:hint="eastAsia"/>
          <w:b/>
          <w:color w:val="auto"/>
          <w:highlight w:val="none"/>
        </w:rPr>
        <w:t xml:space="preserve">2.5气路系统：</w:t>
      </w:r>
      <w:r>
        <w:rPr>
          <w:rFonts w:hint="eastAsia"/>
          <w:color w:val="auto"/>
          <w:highlight w:val="none"/>
        </w:rPr>
        <w:t xml:space="preserve">质量流量计模块，具备低消耗运行设计，有效节约氩气消耗量70%~80%。</w:t>
      </w:r>
      <w:r>
        <w:rPr>
          <w:color w:val="auto"/>
          <w:highlight w:val="none"/>
        </w:rPr>
      </w:r>
      <w:r/>
    </w:p>
    <w:p>
      <w:pPr>
        <w:pStyle w:val="939"/>
        <w:rPr>
          <w:rFonts w:hint="eastAsia"/>
          <w:color w:val="auto"/>
          <w:highlight w:val="none"/>
        </w:rPr>
      </w:pPr>
      <w:r>
        <w:rPr>
          <w:rFonts w:hint="eastAsia"/>
          <w:color w:val="auto"/>
          <w:highlight w:val="none"/>
        </w:rPr>
        <w:t xml:space="preserve">2.6电路系统：</w:t>
      </w:r>
      <w:r>
        <w:rPr>
          <w:color w:val="auto"/>
          <w:highlight w:val="none"/>
        </w:rPr>
      </w:r>
      <w:r/>
    </w:p>
    <w:p>
      <w:pPr>
        <w:pStyle w:val="939"/>
        <w:rPr>
          <w:rFonts w:hint="eastAsia"/>
          <w:color w:val="auto"/>
          <w:highlight w:val="none"/>
        </w:rPr>
      </w:pPr>
      <w:r>
        <w:rPr>
          <w:rFonts w:hint="eastAsia"/>
          <w:color w:val="auto"/>
          <w:highlight w:val="none"/>
        </w:rPr>
        <w:t xml:space="preserve">2.6.1核心部件独立MCU控制，四核心协同运作，保证系统高效并行工作，具有极佳的可扩展性。</w:t>
      </w:r>
      <w:r>
        <w:rPr>
          <w:color w:val="auto"/>
          <w:highlight w:val="none"/>
        </w:rPr>
      </w:r>
      <w:r/>
    </w:p>
    <w:p>
      <w:pPr>
        <w:pStyle w:val="939"/>
        <w:rPr>
          <w:rFonts w:hint="eastAsia"/>
          <w:color w:val="auto"/>
          <w:highlight w:val="none"/>
        </w:rPr>
      </w:pPr>
      <w:r>
        <w:rPr>
          <w:rFonts w:hint="eastAsia"/>
          <w:color w:val="auto"/>
          <w:highlight w:val="none"/>
        </w:rPr>
        <w:t xml:space="preserve">2.6.2快速多通道采样电路，提高采样频率（500Hz），降低道间干扰。</w:t>
      </w:r>
      <w:r>
        <w:rPr>
          <w:color w:val="auto"/>
          <w:highlight w:val="none"/>
        </w:rPr>
      </w:r>
      <w:r/>
    </w:p>
    <w:p>
      <w:pPr>
        <w:pStyle w:val="939"/>
        <w:rPr>
          <w:rFonts w:hint="eastAsia"/>
          <w:color w:val="auto"/>
          <w:highlight w:val="none"/>
        </w:rPr>
      </w:pPr>
      <w:r>
        <w:rPr>
          <w:rFonts w:hint="eastAsia"/>
          <w:color w:val="auto"/>
          <w:highlight w:val="none"/>
        </w:rPr>
        <w:t xml:space="preserve">2.7 扩展功能</w:t>
      </w:r>
      <w:r>
        <w:rPr>
          <w:color w:val="auto"/>
          <w:highlight w:val="none"/>
        </w:rPr>
      </w:r>
      <w:r/>
    </w:p>
    <w:p>
      <w:pPr>
        <w:pStyle w:val="939"/>
        <w:rPr>
          <w:rFonts w:hint="eastAsia"/>
          <w:color w:val="auto"/>
          <w:highlight w:val="none"/>
        </w:rPr>
      </w:pPr>
      <w:r>
        <w:rPr>
          <w:rFonts w:hint="eastAsia"/>
          <w:color w:val="auto"/>
          <w:highlight w:val="none"/>
        </w:rPr>
        <w:t xml:space="preserve">2.7.1具备形态分析扩展功能。预留元素形态分析串口，可升级为形态分析仪，测量As、Hg、Se等元素的各种价态。</w:t>
      </w:r>
      <w:r>
        <w:rPr>
          <w:color w:val="auto"/>
          <w:highlight w:val="none"/>
        </w:rPr>
      </w:r>
      <w:r/>
    </w:p>
    <w:p>
      <w:pPr>
        <w:pStyle w:val="939"/>
        <w:rPr>
          <w:rFonts w:hint="eastAsia"/>
          <w:color w:val="auto"/>
          <w:highlight w:val="none"/>
        </w:rPr>
      </w:pPr>
      <w:r>
        <w:rPr>
          <w:rFonts w:hint="eastAsia"/>
          <w:color w:val="auto"/>
          <w:highlight w:val="none"/>
        </w:rPr>
        <w:t xml:space="preserve">2.7.2具备直接进样汞镉测试仪分析扩展功能，可升级为直接进样汞镉测试仪，在线快速分析汞镉。（提供原厂盖章的证明材料）</w:t>
      </w:r>
      <w:r>
        <w:rPr>
          <w:color w:val="auto"/>
          <w:highlight w:val="none"/>
        </w:rPr>
      </w:r>
      <w:r/>
    </w:p>
    <w:p>
      <w:pPr>
        <w:pStyle w:val="939"/>
        <w:rPr>
          <w:rFonts w:hint="eastAsia"/>
          <w:color w:val="auto"/>
          <w:highlight w:val="none"/>
        </w:rPr>
      </w:pPr>
      <w:r>
        <w:rPr>
          <w:rFonts w:hint="eastAsia"/>
          <w:color w:val="auto"/>
          <w:highlight w:val="none"/>
        </w:rPr>
        <w:t xml:space="preserve">2.8数据处理系统：</w:t>
      </w:r>
      <w:r>
        <w:rPr>
          <w:color w:val="auto"/>
          <w:highlight w:val="none"/>
        </w:rPr>
      </w:r>
      <w:r/>
    </w:p>
    <w:p>
      <w:pPr>
        <w:pStyle w:val="939"/>
        <w:rPr>
          <w:rFonts w:hint="eastAsia"/>
          <w:color w:val="auto"/>
          <w:highlight w:val="none"/>
        </w:rPr>
      </w:pPr>
      <w:r>
        <w:rPr>
          <w:rFonts w:hint="eastAsia"/>
          <w:color w:val="auto"/>
          <w:highlight w:val="none"/>
        </w:rPr>
        <w:t xml:space="preserve">2.8.1可实现全面的系统自检，具备图形化的设备状态监控和参数显示，仪器自诊断，异常状态报警。</w:t>
      </w:r>
      <w:r>
        <w:rPr>
          <w:color w:val="auto"/>
          <w:highlight w:val="none"/>
        </w:rPr>
      </w:r>
      <w:r/>
    </w:p>
    <w:p>
      <w:pPr>
        <w:pStyle w:val="939"/>
        <w:rPr>
          <w:rFonts w:hint="eastAsia"/>
          <w:color w:val="auto"/>
          <w:highlight w:val="none"/>
        </w:rPr>
      </w:pPr>
      <w:r>
        <w:rPr>
          <w:rFonts w:hint="eastAsia"/>
          <w:color w:val="auto"/>
          <w:highlight w:val="none"/>
        </w:rPr>
        <w:t xml:space="preserve">2.8.2集成的方法管理模块，便捷序列编辑功能，支持同序列多方法切换。</w:t>
      </w:r>
      <w:r>
        <w:rPr>
          <w:color w:val="auto"/>
          <w:highlight w:val="none"/>
        </w:rPr>
      </w:r>
      <w:r/>
    </w:p>
    <w:p>
      <w:pPr>
        <w:pStyle w:val="939"/>
        <w:rPr>
          <w:rFonts w:hint="eastAsia"/>
          <w:color w:val="auto"/>
          <w:highlight w:val="none"/>
        </w:rPr>
      </w:pPr>
      <w:r>
        <w:rPr>
          <w:rFonts w:hint="eastAsia"/>
          <w:color w:val="auto"/>
          <w:highlight w:val="none"/>
        </w:rPr>
        <w:t xml:space="preserve">2.8.3 可通过主菜单快速查看和加载最近使用的方法、序列和结果文件。</w:t>
      </w:r>
      <w:r>
        <w:rPr>
          <w:color w:val="auto"/>
          <w:highlight w:val="none"/>
        </w:rPr>
      </w:r>
      <w:r/>
    </w:p>
    <w:p>
      <w:pPr>
        <w:pStyle w:val="939"/>
        <w:rPr>
          <w:rFonts w:hint="eastAsia"/>
          <w:color w:val="auto"/>
          <w:highlight w:val="none"/>
        </w:rPr>
      </w:pPr>
      <w:r>
        <w:rPr>
          <w:rFonts w:hint="eastAsia"/>
          <w:color w:val="auto"/>
          <w:highlight w:val="none"/>
        </w:rPr>
        <w:t xml:space="preserve">2.8.4支持多样品信息快速导入，可在excel下直接编辑及导入仪器操作软件，无需再次重复编辑信息；支持扫码器直接导入编码。</w:t>
      </w:r>
      <w:r>
        <w:rPr>
          <w:color w:val="auto"/>
          <w:highlight w:val="none"/>
        </w:rPr>
      </w:r>
      <w:r/>
    </w:p>
    <w:p>
      <w:pPr>
        <w:pStyle w:val="939"/>
        <w:rPr>
          <w:rFonts w:hint="eastAsia"/>
          <w:color w:val="auto"/>
          <w:highlight w:val="none"/>
        </w:rPr>
      </w:pPr>
      <w:r>
        <w:rPr>
          <w:rFonts w:hint="eastAsia"/>
          <w:color w:val="auto"/>
          <w:highlight w:val="none"/>
        </w:rPr>
        <w:t xml:space="preserve">2.8.5提供向导式操作功能，实现一站式运行。</w:t>
      </w:r>
      <w:r>
        <w:rPr>
          <w:color w:val="auto"/>
          <w:highlight w:val="none"/>
        </w:rPr>
      </w:r>
      <w:r/>
    </w:p>
    <w:p>
      <w:pPr>
        <w:pStyle w:val="939"/>
        <w:rPr>
          <w:rFonts w:hint="eastAsia"/>
          <w:color w:val="auto"/>
          <w:highlight w:val="none"/>
        </w:rPr>
      </w:pPr>
      <w:r>
        <w:rPr>
          <w:rFonts w:hint="eastAsia"/>
          <w:color w:val="auto"/>
          <w:highlight w:val="none"/>
        </w:rPr>
        <w:t xml:space="preserve">2.8.6 具备漂移校准功能、QCP质控功能，支持多标曲自动检测；（提供原厂盖章的证明材料）。</w:t>
      </w:r>
      <w:r>
        <w:rPr>
          <w:color w:val="auto"/>
          <w:highlight w:val="none"/>
        </w:rPr>
      </w:r>
      <w:r/>
    </w:p>
    <w:p>
      <w:pPr>
        <w:pStyle w:val="939"/>
        <w:rPr>
          <w:rFonts w:hint="eastAsia"/>
          <w:color w:val="auto"/>
          <w:highlight w:val="none"/>
        </w:rPr>
      </w:pPr>
      <w:r>
        <w:rPr>
          <w:rFonts w:hint="eastAsia"/>
          <w:color w:val="auto"/>
          <w:highlight w:val="none"/>
        </w:rPr>
        <w:t xml:space="preserve">2.8.7独立数据分析模块，支持多数据文件同时打开，切换处理。</w:t>
      </w:r>
      <w:r>
        <w:rPr>
          <w:color w:val="auto"/>
          <w:highlight w:val="none"/>
        </w:rPr>
      </w:r>
      <w:r/>
    </w:p>
    <w:p>
      <w:pPr>
        <w:pStyle w:val="939"/>
        <w:rPr>
          <w:rFonts w:hint="eastAsia"/>
          <w:color w:val="auto"/>
          <w:highlight w:val="none"/>
        </w:rPr>
      </w:pPr>
      <w:r>
        <w:rPr>
          <w:rFonts w:hint="eastAsia"/>
          <w:color w:val="auto"/>
          <w:highlight w:val="none"/>
        </w:rPr>
        <w:t xml:space="preserve">2.8.8信号曲线实时监测，支持多道信号谱图实时显示，可加载背景谱图进行对比。</w:t>
      </w:r>
      <w:r>
        <w:rPr>
          <w:color w:val="auto"/>
          <w:highlight w:val="none"/>
        </w:rPr>
      </w:r>
      <w:r/>
    </w:p>
    <w:p>
      <w:pPr>
        <w:pStyle w:val="939"/>
        <w:rPr>
          <w:rFonts w:hint="eastAsia"/>
          <w:color w:val="auto"/>
          <w:highlight w:val="none"/>
        </w:rPr>
      </w:pPr>
      <w:r>
        <w:rPr>
          <w:rFonts w:hint="eastAsia"/>
          <w:color w:val="auto"/>
          <w:highlight w:val="none"/>
        </w:rPr>
        <w:t xml:space="preserve">2.8.9灵活报告模版，内置简单、通用、详细及多种性能测试报告模版，可按需选择；支持自定义模版。</w:t>
      </w:r>
      <w:r>
        <w:rPr>
          <w:color w:val="auto"/>
          <w:highlight w:val="none"/>
        </w:rPr>
      </w:r>
      <w:r/>
    </w:p>
    <w:p>
      <w:pPr>
        <w:pStyle w:val="939"/>
        <w:rPr>
          <w:rFonts w:hint="eastAsia"/>
          <w:color w:val="auto"/>
          <w:highlight w:val="none"/>
        </w:rPr>
      </w:pPr>
      <w:r>
        <w:rPr>
          <w:rFonts w:hint="eastAsia"/>
          <w:color w:val="auto"/>
          <w:highlight w:val="none"/>
        </w:rPr>
        <w:t xml:space="preserve">2.8.10检测结果可以转换成常用文件格式，包括pdf、xlsx、doc、txt等。</w:t>
      </w:r>
      <w:r>
        <w:rPr>
          <w:color w:val="auto"/>
          <w:highlight w:val="none"/>
        </w:rPr>
      </w:r>
      <w:r/>
    </w:p>
    <w:p>
      <w:pPr>
        <w:pStyle w:val="939"/>
        <w:rPr>
          <w:rFonts w:hint="eastAsia"/>
          <w:color w:val="auto"/>
          <w:highlight w:val="none"/>
        </w:rPr>
      </w:pPr>
      <w:r>
        <w:rPr>
          <w:rFonts w:hint="eastAsia"/>
          <w:color w:val="auto"/>
          <w:highlight w:val="none"/>
        </w:rPr>
        <w:t xml:space="preserve">★2.8.11 具备自动清洗、吹扫和系统维护功能（提供原厂盖章的软件截图等证明材料）。</w:t>
      </w:r>
      <w:r>
        <w:rPr>
          <w:color w:val="auto"/>
          <w:highlight w:val="none"/>
        </w:rPr>
      </w:r>
      <w:r/>
    </w:p>
    <w:p>
      <w:pPr>
        <w:pStyle w:val="939"/>
        <w:rPr>
          <w:rFonts w:hint="eastAsia"/>
          <w:color w:val="auto"/>
          <w:highlight w:val="none"/>
        </w:rPr>
      </w:pPr>
      <w:r>
        <w:rPr>
          <w:rFonts w:hint="eastAsia"/>
          <w:color w:val="auto"/>
          <w:highlight w:val="none"/>
        </w:rPr>
        <w:t xml:space="preserve">2.8.12专用夜间模式，支持仪器运行结束后休眠，以及定时自动唤醒并执行预热功能。（提供原厂盖章的软件截图等证明材料）</w:t>
      </w:r>
      <w:r>
        <w:rPr>
          <w:color w:val="auto"/>
          <w:highlight w:val="none"/>
        </w:rPr>
      </w:r>
      <w:r/>
    </w:p>
    <w:p>
      <w:pPr>
        <w:pStyle w:val="939"/>
        <w:rPr>
          <w:rFonts w:hint="eastAsia"/>
          <w:color w:val="auto"/>
          <w:highlight w:val="none"/>
        </w:rPr>
      </w:pPr>
      <w:r>
        <w:rPr>
          <w:rFonts w:hint="eastAsia"/>
          <w:color w:val="auto"/>
          <w:highlight w:val="none"/>
        </w:rPr>
        <w:t xml:space="preserve">2.8.13支持静态预热和动态预热功能，减少等待时间。</w:t>
      </w:r>
      <w:r>
        <w:rPr>
          <w:color w:val="auto"/>
          <w:highlight w:val="none"/>
        </w:rPr>
      </w:r>
      <w:r/>
    </w:p>
    <w:p>
      <w:pPr>
        <w:pStyle w:val="939"/>
        <w:rPr>
          <w:rFonts w:hint="eastAsia"/>
          <w:color w:val="auto"/>
          <w:highlight w:val="none"/>
        </w:rPr>
      </w:pPr>
      <w:r>
        <w:rPr>
          <w:rFonts w:hint="eastAsia"/>
          <w:color w:val="auto"/>
          <w:highlight w:val="none"/>
        </w:rPr>
        <w:t xml:space="preserve">2.8.14通讯接口:能够与化验室管理系统(LIMS系统)对接数据,对接方式满足集团化验类设备数据接口技术要求，数据接口可满足以下两种接口。</w:t>
      </w:r>
      <w:r>
        <w:rPr>
          <w:color w:val="auto"/>
          <w:highlight w:val="none"/>
        </w:rPr>
      </w:r>
      <w:r/>
    </w:p>
    <w:p>
      <w:pPr>
        <w:pStyle w:val="939"/>
        <w:rPr>
          <w:rFonts w:hint="eastAsia"/>
          <w:color w:val="auto"/>
          <w:highlight w:val="none"/>
        </w:rPr>
      </w:pPr>
      <w:r>
        <w:rPr>
          <w:rFonts w:hint="eastAsia"/>
          <w:color w:val="auto"/>
          <w:highlight w:val="none"/>
        </w:rPr>
        <w:t xml:space="preserve">接口一:设备自带软件必须提供常规关系数据库，如: MDB, Mysql,sllite, Sglserver 等其中一种。提供数据库连接信息，包括但不限于用户名和密码。数据库中包含以下字段:样品信息、化验项目信息、化验结果信息、时间信息。在每次化验结束后，都保存到数据库中，以供SQL提取。</w:t>
      </w:r>
      <w:r>
        <w:rPr>
          <w:color w:val="auto"/>
          <w:highlight w:val="none"/>
        </w:rPr>
      </w:r>
      <w:r/>
    </w:p>
    <w:p>
      <w:pPr>
        <w:pStyle w:val="939"/>
        <w:rPr>
          <w:rFonts w:hint="eastAsia"/>
          <w:color w:val="auto"/>
          <w:highlight w:val="none"/>
        </w:rPr>
      </w:pPr>
      <w:r>
        <w:rPr>
          <w:rFonts w:hint="eastAsia"/>
          <w:color w:val="auto"/>
          <w:highlight w:val="none"/>
        </w:rPr>
        <w:t xml:space="preserve">接口二:提供对外数据传输协议，如: Modbus 协议或Https协议。提供协议包含以下字段:样品信息化验项目信息、化验结果信息、时间信息。在每次化验结束后，都可以通过此接口获取到对应数据。</w:t>
      </w:r>
      <w:r>
        <w:rPr>
          <w:color w:val="auto"/>
          <w:highlight w:val="none"/>
        </w:rPr>
      </w:r>
      <w:r/>
    </w:p>
    <w:p>
      <w:pPr>
        <w:pStyle w:val="939"/>
        <w:rPr>
          <w:rFonts w:hint="eastAsia"/>
          <w:color w:val="auto"/>
          <w:highlight w:val="none"/>
        </w:rPr>
      </w:pPr>
      <w:r>
        <w:rPr>
          <w:rFonts w:hint="eastAsia"/>
          <w:color w:val="auto"/>
          <w:highlight w:val="none"/>
        </w:rPr>
        <w:t xml:space="preserve">2.9监控和报警信息</w:t>
      </w:r>
      <w:r>
        <w:rPr>
          <w:color w:val="auto"/>
          <w:highlight w:val="none"/>
        </w:rPr>
      </w:r>
      <w:r/>
    </w:p>
    <w:p>
      <w:pPr>
        <w:pStyle w:val="939"/>
        <w:rPr>
          <w:rFonts w:hint="eastAsia"/>
          <w:color w:val="auto"/>
          <w:highlight w:val="none"/>
        </w:rPr>
      </w:pPr>
      <w:r>
        <w:rPr>
          <w:rFonts w:hint="eastAsia"/>
          <w:color w:val="auto"/>
          <w:highlight w:val="none"/>
        </w:rPr>
        <w:t xml:space="preserve">2.9.1具有全方位传感系统，数字化气路压力监测（入口和出口）、气路流量监测、炉丝电流监测、废液位监测等。</w:t>
      </w:r>
      <w:r>
        <w:rPr>
          <w:color w:val="auto"/>
          <w:highlight w:val="none"/>
        </w:rPr>
      </w:r>
      <w:r/>
    </w:p>
    <w:p>
      <w:pPr>
        <w:pStyle w:val="939"/>
        <w:rPr>
          <w:rFonts w:hint="eastAsia"/>
          <w:color w:val="auto"/>
          <w:highlight w:val="none"/>
        </w:rPr>
      </w:pPr>
      <w:r>
        <w:rPr>
          <w:rFonts w:hint="eastAsia"/>
          <w:color w:val="auto"/>
          <w:highlight w:val="none"/>
        </w:rPr>
        <w:t xml:space="preserve">2.9.2运行保护报警系统，无载气安全保护、炉丝短路断路保护、气路漏气保护、氢化物反应剧烈保护、废液位提醒。</w:t>
      </w:r>
      <w:r>
        <w:rPr>
          <w:color w:val="auto"/>
          <w:highlight w:val="none"/>
        </w:rPr>
      </w:r>
      <w:r/>
    </w:p>
    <w:p>
      <w:pPr>
        <w:pStyle w:val="939"/>
        <w:rPr>
          <w:rFonts w:hint="eastAsia"/>
          <w:color w:val="auto"/>
          <w:highlight w:val="none"/>
        </w:rPr>
      </w:pPr>
      <w:r>
        <w:rPr>
          <w:rFonts w:hint="eastAsia"/>
          <w:color w:val="auto"/>
          <w:highlight w:val="none"/>
        </w:rPr>
        <w:t xml:space="preserve">2.10 主机参数：</w:t>
      </w:r>
      <w:r>
        <w:rPr>
          <w:color w:val="auto"/>
          <w:highlight w:val="none"/>
        </w:rPr>
      </w:r>
      <w:r/>
    </w:p>
    <w:p>
      <w:pPr>
        <w:pStyle w:val="939"/>
        <w:rPr>
          <w:rFonts w:hint="eastAsia"/>
          <w:color w:val="auto"/>
          <w:highlight w:val="none"/>
        </w:rPr>
      </w:pPr>
      <w:r>
        <w:rPr>
          <w:rFonts w:hint="eastAsia"/>
          <w:color w:val="auto"/>
          <w:highlight w:val="none"/>
        </w:rPr>
        <w:t xml:space="preserve">2.10.1相对标准偏差RSD：&lt;0.6%（提供原厂盖章的证明文件）</w:t>
      </w:r>
      <w:r>
        <w:rPr>
          <w:color w:val="auto"/>
          <w:highlight w:val="none"/>
        </w:rPr>
      </w:r>
      <w:r/>
    </w:p>
    <w:p>
      <w:pPr>
        <w:pStyle w:val="939"/>
        <w:rPr>
          <w:rFonts w:hint="eastAsia"/>
          <w:color w:val="auto"/>
          <w:highlight w:val="none"/>
        </w:rPr>
      </w:pPr>
      <w:r>
        <w:rPr>
          <w:rFonts w:hint="eastAsia"/>
          <w:color w:val="auto"/>
          <w:highlight w:val="none"/>
        </w:rPr>
        <w:t xml:space="preserve">2.10.2漂移：≤1.6%/30min。</w:t>
      </w:r>
      <w:r>
        <w:rPr>
          <w:color w:val="auto"/>
          <w:highlight w:val="none"/>
        </w:rPr>
      </w:r>
      <w:r/>
    </w:p>
    <w:p>
      <w:pPr>
        <w:pStyle w:val="939"/>
        <w:rPr>
          <w:rFonts w:hint="eastAsia"/>
          <w:color w:val="auto"/>
          <w:highlight w:val="none"/>
        </w:rPr>
      </w:pPr>
      <w:r>
        <w:rPr>
          <w:rFonts w:hint="eastAsia"/>
          <w:color w:val="auto"/>
          <w:highlight w:val="none"/>
        </w:rPr>
        <w:t xml:space="preserve">2.10.3噪声：≤1.6%。</w:t>
      </w:r>
      <w:r>
        <w:rPr>
          <w:color w:val="auto"/>
          <w:highlight w:val="none"/>
        </w:rPr>
      </w:r>
      <w:r/>
    </w:p>
    <w:p>
      <w:pPr>
        <w:pStyle w:val="939"/>
        <w:rPr>
          <w:rFonts w:hint="eastAsia"/>
          <w:color w:val="auto"/>
          <w:highlight w:val="none"/>
        </w:rPr>
      </w:pPr>
      <w:r>
        <w:rPr>
          <w:rFonts w:hint="eastAsia"/>
          <w:color w:val="auto"/>
          <w:highlight w:val="none"/>
        </w:rPr>
        <w:t xml:space="preserve">2.10.4道间干扰：≤2.5%。</w:t>
      </w:r>
      <w:r>
        <w:rPr>
          <w:color w:val="auto"/>
          <w:highlight w:val="none"/>
        </w:rPr>
      </w:r>
      <w:r/>
    </w:p>
    <w:p>
      <w:pPr>
        <w:pStyle w:val="939"/>
        <w:rPr>
          <w:rFonts w:hint="eastAsia"/>
          <w:color w:val="auto"/>
          <w:highlight w:val="none"/>
        </w:rPr>
      </w:pPr>
      <w:r>
        <w:rPr>
          <w:rFonts w:hint="eastAsia"/>
          <w:color w:val="auto"/>
          <w:highlight w:val="none"/>
        </w:rPr>
        <w:t xml:space="preserve">2.10.5线性范围: 大于三个数量级。</w:t>
      </w:r>
      <w:r>
        <w:rPr>
          <w:color w:val="auto"/>
          <w:highlight w:val="none"/>
        </w:rPr>
      </w:r>
      <w:r/>
    </w:p>
    <w:p>
      <w:pPr>
        <w:pStyle w:val="939"/>
        <w:rPr>
          <w:rFonts w:hint="eastAsia"/>
          <w:color w:val="auto"/>
          <w:highlight w:val="none"/>
        </w:rPr>
      </w:pPr>
      <w:r>
        <w:rPr>
          <w:rFonts w:hint="eastAsia"/>
          <w:color w:val="auto"/>
          <w:highlight w:val="none"/>
        </w:rPr>
        <w:t xml:space="preserve">2.10.6检出限（D.L.）砷、锑、硒、碲、汞、锡和铅元素&lt;0.01µg/L；汞（冷原子）&lt;0.001µg/L；镉&lt;0.001µg/L；锗&lt;0.05µg/L；锌&lt;1.0µg/L。</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pStyle w:val="939"/>
        <w:rPr>
          <w:rFonts w:hint="eastAsia"/>
          <w:color w:val="auto"/>
          <w:highlight w:val="none"/>
        </w:rPr>
      </w:pPr>
      <w:r>
        <w:rPr>
          <w:rFonts w:hint="eastAsia"/>
          <w:color w:val="auto"/>
          <w:highlight w:val="none"/>
        </w:rPr>
        <w:t xml:space="preserve">3.1 原子荧光光度计主机1台</w:t>
      </w:r>
      <w:r>
        <w:rPr>
          <w:color w:val="auto"/>
          <w:highlight w:val="none"/>
        </w:rPr>
      </w:r>
      <w:r/>
    </w:p>
    <w:p>
      <w:pPr>
        <w:pStyle w:val="939"/>
        <w:rPr>
          <w:rFonts w:hint="eastAsia"/>
          <w:color w:val="auto"/>
          <w:highlight w:val="none"/>
        </w:rPr>
      </w:pPr>
      <w:r>
        <w:rPr>
          <w:rFonts w:hint="eastAsia"/>
          <w:color w:val="auto"/>
          <w:highlight w:val="none"/>
        </w:rPr>
        <w:t xml:space="preserve">3.2 顺序注射泵2支和两位三通阀2个 1套</w:t>
      </w:r>
      <w:r>
        <w:rPr>
          <w:color w:val="auto"/>
          <w:highlight w:val="none"/>
        </w:rPr>
      </w:r>
      <w:r/>
    </w:p>
    <w:p>
      <w:pPr>
        <w:pStyle w:val="939"/>
        <w:rPr>
          <w:rFonts w:hint="eastAsia"/>
          <w:color w:val="auto"/>
          <w:highlight w:val="none"/>
        </w:rPr>
      </w:pPr>
      <w:r>
        <w:rPr>
          <w:rFonts w:hint="eastAsia"/>
          <w:color w:val="auto"/>
          <w:highlight w:val="none"/>
        </w:rPr>
        <w:t xml:space="preserve">3.3 独立的蠕动泵1台</w:t>
      </w:r>
      <w:r>
        <w:rPr>
          <w:color w:val="auto"/>
          <w:highlight w:val="none"/>
        </w:rPr>
      </w:r>
      <w:r/>
    </w:p>
    <w:p>
      <w:pPr>
        <w:pStyle w:val="939"/>
        <w:rPr>
          <w:rFonts w:hint="eastAsia"/>
          <w:color w:val="auto"/>
          <w:highlight w:val="none"/>
        </w:rPr>
      </w:pPr>
      <w:r>
        <w:rPr>
          <w:rFonts w:hint="eastAsia"/>
          <w:color w:val="auto"/>
          <w:highlight w:val="none"/>
        </w:rPr>
        <w:t xml:space="preserve">3.4 单样品盘150位以上自动进样器1台</w:t>
      </w:r>
      <w:r>
        <w:rPr>
          <w:color w:val="auto"/>
          <w:highlight w:val="none"/>
        </w:rPr>
      </w:r>
      <w:r/>
    </w:p>
    <w:p>
      <w:pPr>
        <w:pStyle w:val="939"/>
        <w:rPr>
          <w:rFonts w:hint="eastAsia"/>
          <w:color w:val="auto"/>
          <w:highlight w:val="none"/>
        </w:rPr>
      </w:pPr>
      <w:r>
        <w:rPr>
          <w:rFonts w:hint="eastAsia"/>
          <w:color w:val="auto"/>
          <w:highlight w:val="none"/>
        </w:rPr>
        <w:t xml:space="preserve">3.5 汞漂移校正装置1套</w:t>
      </w:r>
      <w:r>
        <w:rPr>
          <w:color w:val="auto"/>
          <w:highlight w:val="none"/>
        </w:rPr>
      </w:r>
      <w:r/>
    </w:p>
    <w:p>
      <w:pPr>
        <w:pStyle w:val="939"/>
        <w:rPr>
          <w:rFonts w:hint="eastAsia"/>
          <w:color w:val="auto"/>
          <w:highlight w:val="none"/>
        </w:rPr>
      </w:pPr>
      <w:r>
        <w:rPr>
          <w:rFonts w:hint="eastAsia"/>
          <w:color w:val="auto"/>
          <w:highlight w:val="none"/>
        </w:rPr>
        <w:t xml:space="preserve">3.6 PTFE材质的进样针2套</w:t>
      </w:r>
      <w:r>
        <w:rPr>
          <w:color w:val="auto"/>
          <w:highlight w:val="none"/>
        </w:rPr>
      </w:r>
      <w:r/>
    </w:p>
    <w:p>
      <w:pPr>
        <w:pStyle w:val="939"/>
        <w:rPr>
          <w:rFonts w:hint="eastAsia"/>
          <w:color w:val="auto"/>
          <w:highlight w:val="none"/>
        </w:rPr>
      </w:pPr>
      <w:r>
        <w:rPr>
          <w:rFonts w:hint="eastAsia"/>
          <w:color w:val="auto"/>
          <w:highlight w:val="none"/>
        </w:rPr>
        <w:t xml:space="preserve">3.7 化学气相发生气液分离装置2套</w:t>
      </w:r>
      <w:r>
        <w:rPr>
          <w:color w:val="auto"/>
          <w:highlight w:val="none"/>
        </w:rPr>
      </w:r>
      <w:r/>
    </w:p>
    <w:p>
      <w:pPr>
        <w:pStyle w:val="939"/>
        <w:rPr>
          <w:rFonts w:hint="eastAsia"/>
          <w:color w:val="auto"/>
          <w:highlight w:val="none"/>
        </w:rPr>
      </w:pPr>
      <w:r>
        <w:rPr>
          <w:rFonts w:hint="eastAsia"/>
          <w:color w:val="auto"/>
          <w:highlight w:val="none"/>
        </w:rPr>
        <w:t xml:space="preserve">3.8 元素灯（砷、汞、硒）3支 2套</w:t>
      </w:r>
      <w:r>
        <w:rPr>
          <w:color w:val="auto"/>
          <w:highlight w:val="none"/>
        </w:rPr>
      </w:r>
      <w:r/>
    </w:p>
    <w:p>
      <w:pPr>
        <w:pStyle w:val="939"/>
        <w:rPr>
          <w:rFonts w:hint="eastAsia"/>
          <w:color w:val="auto"/>
          <w:highlight w:val="none"/>
        </w:rPr>
      </w:pPr>
      <w:r>
        <w:rPr>
          <w:rFonts w:hint="eastAsia"/>
          <w:color w:val="auto"/>
          <w:highlight w:val="none"/>
        </w:rPr>
        <w:t xml:space="preserve">3.9 炉芯  2套</w:t>
      </w:r>
      <w:r>
        <w:rPr>
          <w:color w:val="auto"/>
          <w:highlight w:val="none"/>
        </w:rPr>
      </w:r>
      <w:r/>
    </w:p>
    <w:p>
      <w:pPr>
        <w:pStyle w:val="939"/>
        <w:rPr>
          <w:rFonts w:hint="eastAsia"/>
          <w:color w:val="auto"/>
          <w:highlight w:val="none"/>
        </w:rPr>
      </w:pPr>
      <w:r>
        <w:rPr>
          <w:rFonts w:hint="eastAsia"/>
          <w:color w:val="auto"/>
          <w:highlight w:val="none"/>
        </w:rPr>
        <w:t xml:space="preserve">3.10 进样管路 2套</w:t>
      </w:r>
      <w:r>
        <w:rPr>
          <w:color w:val="auto"/>
          <w:highlight w:val="none"/>
        </w:rPr>
      </w:r>
      <w:r/>
    </w:p>
    <w:p>
      <w:pPr>
        <w:pStyle w:val="939"/>
        <w:rPr>
          <w:rFonts w:hint="eastAsia"/>
          <w:color w:val="auto"/>
          <w:highlight w:val="none"/>
        </w:rPr>
      </w:pPr>
      <w:r>
        <w:rPr>
          <w:rFonts w:hint="eastAsia"/>
          <w:color w:val="auto"/>
          <w:highlight w:val="none"/>
        </w:rPr>
        <w:t xml:space="preserve">3.11 蠕动泵管 2套</w:t>
      </w:r>
      <w:r>
        <w:rPr>
          <w:color w:val="auto"/>
          <w:highlight w:val="none"/>
        </w:rPr>
      </w:r>
      <w:r/>
    </w:p>
    <w:p>
      <w:pPr>
        <w:pStyle w:val="939"/>
        <w:rPr>
          <w:rFonts w:hint="eastAsia"/>
          <w:color w:val="auto"/>
          <w:highlight w:val="none"/>
        </w:rPr>
      </w:pPr>
      <w:r>
        <w:rPr>
          <w:rFonts w:hint="eastAsia"/>
          <w:color w:val="auto"/>
          <w:highlight w:val="none"/>
        </w:rPr>
        <w:t xml:space="preserve">3.12 痕量汞进样系统1套</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3.13电脑工作站 1套</w:t>
      </w:r>
      <w:r>
        <w:rPr>
          <w:rFonts w:hint="eastAsia" w:ascii="宋体" w:hAnsi="宋体" w:eastAsia="宋体" w:cs="宋体"/>
          <w:color w:val="auto"/>
          <w:sz w:val="24"/>
          <w:highlight w:val="none"/>
        </w:rPr>
        <w:t xml:space="preserve">(配置不低于：处理器Intel i5，10核、硬盘512GB SSD、内存8G 、21寸液晶显示器)</w:t>
      </w:r>
      <w:r>
        <w:rPr>
          <w:color w:val="auto"/>
          <w:highlight w:val="none"/>
        </w:rPr>
      </w:r>
      <w:r/>
    </w:p>
    <w:p>
      <w:pPr>
        <w:pStyle w:val="939"/>
        <w:rPr>
          <w:rFonts w:hint="eastAsia"/>
          <w:color w:val="auto"/>
          <w:highlight w:val="none"/>
        </w:rPr>
      </w:pPr>
      <w:r>
        <w:rPr>
          <w:rFonts w:hint="eastAsia"/>
          <w:color w:val="auto"/>
          <w:highlight w:val="none"/>
        </w:rPr>
        <w:t xml:space="preserve">3.14 激光打印机 1台</w:t>
      </w:r>
      <w:r>
        <w:rPr>
          <w:color w:val="auto"/>
          <w:highlight w:val="none"/>
        </w:rPr>
      </w:r>
      <w:r/>
    </w:p>
    <w:p>
      <w:pPr>
        <w:pStyle w:val="939"/>
        <w:rPr>
          <w:rFonts w:hint="eastAsia"/>
          <w:color w:val="auto"/>
          <w:highlight w:val="none"/>
        </w:rPr>
      </w:pPr>
      <w:r>
        <w:rPr>
          <w:rFonts w:hint="eastAsia"/>
          <w:color w:val="auto"/>
          <w:highlight w:val="none"/>
        </w:rPr>
        <w:t xml:space="preserve">3.15气瓶连接不锈钢气路管1套</w:t>
      </w:r>
      <w:r>
        <w:rPr>
          <w:color w:val="auto"/>
          <w:highlight w:val="none"/>
        </w:rPr>
      </w:r>
      <w:r/>
    </w:p>
    <w:p>
      <w:pPr>
        <w:pStyle w:val="939"/>
        <w:rPr>
          <w:rFonts w:hint="eastAsia"/>
          <w:color w:val="auto"/>
          <w:highlight w:val="none"/>
        </w:rPr>
      </w:pPr>
      <w:r>
        <w:rPr>
          <w:rFonts w:hint="eastAsia"/>
          <w:color w:val="auto"/>
          <w:highlight w:val="none"/>
        </w:rPr>
        <w:t xml:space="preserve">3.16气瓶连接阀门1套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3.17装机配套试剂标准物质1套</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4、售后服务要求：</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质保期：不少于3年（质保期自验收合格之日起计算）。</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服务响应：接到维修通知后有专职的技术服务人员上门服务，保证维修响应时间2小时</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提供详细的培训计划，保证使用人员正常操作设备。</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可提供不少于2名厂家国内培训中心免费培训名额。</w:t>
      </w:r>
      <w:r>
        <w:rPr>
          <w:color w:val="auto"/>
          <w:highlight w:val="none"/>
        </w:rPr>
      </w:r>
      <w:r/>
    </w:p>
    <w:p>
      <w:pPr>
        <w:ind w:left="840" w:hanging="8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 零配件应保证不少于8年的供应期。</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（七）全自动游离二氧化硅前处理仪</w:t>
      </w:r>
      <w:r>
        <w:rPr>
          <w:color w:val="auto"/>
          <w:highlight w:val="none"/>
        </w:rPr>
      </w:r>
      <w:r/>
    </w:p>
    <w:p>
      <w:pPr>
        <w:pStyle w:val="939"/>
        <w:rPr>
          <w:rFonts w:hint="eastAsia"/>
          <w:color w:val="auto"/>
          <w:highlight w:val="none"/>
        </w:rPr>
      </w:pPr>
      <w:r>
        <w:rPr>
          <w:rFonts w:hint="eastAsia"/>
          <w:b/>
          <w:color w:val="auto"/>
          <w:highlight w:val="none"/>
        </w:rPr>
        <w:t xml:space="preserve">1、主要用途：</w:t>
      </w:r>
      <w:r>
        <w:rPr>
          <w:rFonts w:hint="eastAsia"/>
          <w:color w:val="auto"/>
          <w:highlight w:val="none"/>
        </w:rPr>
        <w:t xml:space="preserve">用于游离二氧化硅分离前处理的自动化。</w:t>
      </w:r>
      <w:r>
        <w:rPr>
          <w:color w:val="auto"/>
          <w:highlight w:val="none"/>
        </w:rPr>
      </w:r>
      <w:r/>
    </w:p>
    <w:p>
      <w:pPr>
        <w:pStyle w:val="939"/>
        <w:rPr>
          <w:rFonts w:hint="eastAsia"/>
          <w:b/>
          <w:color w:val="auto"/>
          <w:highlight w:val="none"/>
        </w:rPr>
      </w:pPr>
      <w:r>
        <w:rPr>
          <w:rFonts w:hint="eastAsia"/>
          <w:b/>
          <w:color w:val="auto"/>
          <w:highlight w:val="none"/>
        </w:rPr>
        <w:t xml:space="preserve">2、技术性能要求：</w:t>
      </w:r>
      <w:r>
        <w:rPr>
          <w:color w:val="auto"/>
          <w:highlight w:val="none"/>
        </w:rPr>
      </w:r>
      <w:r/>
    </w:p>
    <w:p>
      <w:pPr>
        <w:pStyle w:val="939"/>
        <w:rPr>
          <w:rFonts w:hint="eastAsia"/>
          <w:color w:val="auto"/>
          <w:highlight w:val="none"/>
        </w:rPr>
      </w:pPr>
      <w:r>
        <w:rPr>
          <w:rFonts w:hint="eastAsia"/>
          <w:color w:val="auto"/>
          <w:highlight w:val="none"/>
        </w:rPr>
        <w:t xml:space="preserve">2.1 仪器性能</w:t>
      </w:r>
      <w:r>
        <w:rPr>
          <w:color w:val="auto"/>
          <w:highlight w:val="none"/>
        </w:rPr>
      </w:r>
      <w:r/>
    </w:p>
    <w:p>
      <w:pPr>
        <w:pStyle w:val="939"/>
        <w:rPr>
          <w:rFonts w:hint="eastAsia"/>
          <w:color w:val="auto"/>
          <w:highlight w:val="none"/>
        </w:rPr>
      </w:pPr>
      <w:r>
        <w:rPr>
          <w:rFonts w:hint="eastAsia"/>
          <w:color w:val="auto"/>
          <w:highlight w:val="none"/>
        </w:rPr>
        <w:t xml:space="preserve">2.1.1 内置多功能样品架，包含：样品位≥8位，过滤清洗位≥8位；</w:t>
      </w:r>
      <w:r>
        <w:rPr>
          <w:color w:val="auto"/>
          <w:highlight w:val="none"/>
        </w:rPr>
      </w:r>
      <w:r/>
    </w:p>
    <w:p>
      <w:pPr>
        <w:pStyle w:val="939"/>
        <w:rPr>
          <w:rFonts w:hint="eastAsia"/>
          <w:color w:val="auto"/>
          <w:highlight w:val="none"/>
        </w:rPr>
      </w:pPr>
      <w:r>
        <w:rPr>
          <w:rFonts w:hint="eastAsia"/>
          <w:color w:val="auto"/>
          <w:highlight w:val="none"/>
        </w:rPr>
        <w:t xml:space="preserve">2.1.2 内置高精度自动控温加热器，双感温控探头，实时监控样品温度，控温精度±1℃；</w:t>
      </w:r>
      <w:r>
        <w:rPr>
          <w:color w:val="auto"/>
          <w:highlight w:val="none"/>
        </w:rPr>
      </w:r>
      <w:r/>
    </w:p>
    <w:p>
      <w:pPr>
        <w:pStyle w:val="939"/>
        <w:rPr>
          <w:rFonts w:hint="eastAsia"/>
          <w:color w:val="auto"/>
          <w:highlight w:val="none"/>
        </w:rPr>
      </w:pPr>
      <w:r>
        <w:rPr>
          <w:rFonts w:hint="eastAsia"/>
          <w:color w:val="auto"/>
          <w:highlight w:val="none"/>
        </w:rPr>
        <w:t xml:space="preserve">2.1.3 为保证实验室安全，精准控温装置，加热工位的功率≤500W；并且仪器实时炉体温度和样品温度；</w:t>
      </w:r>
      <w:r>
        <w:rPr>
          <w:color w:val="auto"/>
          <w:highlight w:val="none"/>
        </w:rPr>
      </w:r>
      <w:r/>
    </w:p>
    <w:p>
      <w:pPr>
        <w:pStyle w:val="939"/>
        <w:rPr>
          <w:rFonts w:hint="eastAsia"/>
          <w:color w:val="auto"/>
          <w:highlight w:val="none"/>
        </w:rPr>
      </w:pPr>
      <w:r>
        <w:rPr>
          <w:rFonts w:hint="eastAsia"/>
          <w:color w:val="auto"/>
          <w:highlight w:val="none"/>
        </w:rPr>
        <w:t xml:space="preserve">2.1.4 内置高精度自动进样系统，进样器需采用耐高温、耐磨、耐酸碱材质；自动设置加液体积，开启自动搅拌功能。进样误差＜0.1mL；实验过程自动添加；</w:t>
      </w:r>
      <w:r>
        <w:rPr>
          <w:color w:val="auto"/>
          <w:highlight w:val="none"/>
        </w:rPr>
      </w:r>
      <w:r/>
    </w:p>
    <w:p>
      <w:pPr>
        <w:pStyle w:val="939"/>
        <w:rPr>
          <w:rFonts w:hint="eastAsia"/>
          <w:color w:val="auto"/>
          <w:highlight w:val="none"/>
        </w:rPr>
      </w:pPr>
      <w:r>
        <w:rPr>
          <w:rFonts w:hint="eastAsia"/>
          <w:color w:val="auto"/>
          <w:highlight w:val="none"/>
        </w:rPr>
        <w:t xml:space="preserve">★2.1.5 内置模拟人工倾倒清洗系统，模拟手工方法倾倒，配置360°清洗喷头确保样品能完全转移至过滤漏斗；（提供原厂盖章的倾倒结构装置图片证明）</w:t>
      </w:r>
      <w:r>
        <w:rPr>
          <w:color w:val="auto"/>
          <w:highlight w:val="none"/>
        </w:rPr>
      </w:r>
      <w:r/>
    </w:p>
    <w:p>
      <w:pPr>
        <w:pStyle w:val="939"/>
        <w:rPr>
          <w:rFonts w:hint="eastAsia"/>
          <w:color w:val="auto"/>
          <w:highlight w:val="none"/>
        </w:rPr>
      </w:pPr>
      <w:r>
        <w:rPr>
          <w:rFonts w:hint="eastAsia"/>
          <w:color w:val="auto"/>
          <w:highlight w:val="none"/>
        </w:rPr>
        <w:t xml:space="preserve">2.1.6 内置创新过滤清洗系统。常压过滤清洗，8个过滤位平行清洗，在高温纯水和0.1mol/L盐酸自动清洗烧杯和滤纸。不使用负压装置或通过其他管道转移样品；</w:t>
      </w:r>
      <w:r>
        <w:rPr>
          <w:color w:val="auto"/>
          <w:highlight w:val="none"/>
        </w:rPr>
      </w:r>
      <w:r/>
    </w:p>
    <w:p>
      <w:pPr>
        <w:pStyle w:val="939"/>
        <w:rPr>
          <w:rFonts w:hint="eastAsia"/>
          <w:color w:val="auto"/>
          <w:highlight w:val="none"/>
        </w:rPr>
      </w:pPr>
      <w:r>
        <w:rPr>
          <w:rFonts w:hint="eastAsia"/>
          <w:color w:val="auto"/>
          <w:highlight w:val="none"/>
        </w:rPr>
        <w:t xml:space="preserve">2.1.7 内置在线无接触测距装置系统，可实时监测过滤状态，自动调节角度，提高实验效率；</w:t>
      </w:r>
      <w:r>
        <w:rPr>
          <w:color w:val="auto"/>
          <w:highlight w:val="none"/>
        </w:rPr>
      </w:r>
      <w:r/>
    </w:p>
    <w:p>
      <w:pPr>
        <w:pStyle w:val="939"/>
        <w:rPr>
          <w:rFonts w:hint="eastAsia"/>
          <w:strike/>
          <w:color w:val="auto"/>
          <w:highlight w:val="none"/>
        </w:rPr>
      </w:pPr>
      <w:r>
        <w:rPr>
          <w:rFonts w:hint="eastAsia"/>
          <w:color w:val="auto"/>
          <w:highlight w:val="none"/>
        </w:rPr>
        <w:t xml:space="preserve">2.1.8 支持平行清洗与二次清洗，可根据样品酸性程度对不同工位编程设定二次清洗次数，直至无磷酸根残留；</w:t>
      </w:r>
      <w:r>
        <w:rPr>
          <w:color w:val="auto"/>
          <w:highlight w:val="none"/>
        </w:rPr>
      </w:r>
      <w:r/>
    </w:p>
    <w:p>
      <w:pPr>
        <w:pStyle w:val="939"/>
        <w:rPr>
          <w:rFonts w:hint="eastAsia"/>
          <w:color w:val="auto"/>
          <w:highlight w:val="none"/>
        </w:rPr>
      </w:pPr>
      <w:r>
        <w:rPr>
          <w:rFonts w:hint="eastAsia"/>
          <w:color w:val="auto"/>
          <w:highlight w:val="none"/>
        </w:rPr>
        <w:t xml:space="preserve">★2.1.9 仪器配置清洗喷头，喷头内置喷嘴一个，可顺时针和逆时针360°旋转滴液清洗。（提供省级或以上计量单位出具的功能验证测试报告文件）</w:t>
      </w:r>
      <w:r>
        <w:rPr>
          <w:color w:val="auto"/>
          <w:highlight w:val="none"/>
        </w:rPr>
      </w:r>
      <w:r/>
    </w:p>
    <w:p>
      <w:pPr>
        <w:pStyle w:val="939"/>
        <w:rPr>
          <w:rFonts w:hint="eastAsia"/>
          <w:color w:val="auto"/>
          <w:highlight w:val="none"/>
        </w:rPr>
      </w:pPr>
      <w:r>
        <w:rPr>
          <w:rFonts w:hint="eastAsia"/>
          <w:color w:val="auto"/>
          <w:highlight w:val="none"/>
        </w:rPr>
        <w:t xml:space="preserve">2.1.10 一体机：一机自动完成加热控温、搅拌、过滤和清洗步骤，全程无需手工干预转移；(提供仪器图片或软件证明文件）</w:t>
      </w:r>
      <w:r>
        <w:rPr>
          <w:color w:val="auto"/>
          <w:highlight w:val="none"/>
        </w:rPr>
      </w:r>
      <w:r/>
    </w:p>
    <w:p>
      <w:pPr>
        <w:pStyle w:val="939"/>
        <w:rPr>
          <w:rFonts w:hint="eastAsia"/>
          <w:color w:val="auto"/>
          <w:highlight w:val="none"/>
        </w:rPr>
      </w:pPr>
      <w:r>
        <w:rPr>
          <w:rFonts w:hint="eastAsia"/>
          <w:color w:val="auto"/>
          <w:highlight w:val="none"/>
        </w:rPr>
        <w:t xml:space="preserve">2.1.11 内置蒸馏水自动加热装置，蒸馏水水箱自动加水，自动补水，自动加热；</w:t>
      </w:r>
      <w:r>
        <w:rPr>
          <w:color w:val="auto"/>
          <w:highlight w:val="none"/>
        </w:rPr>
      </w:r>
      <w:r/>
    </w:p>
    <w:p>
      <w:pPr>
        <w:pStyle w:val="939"/>
        <w:rPr>
          <w:rFonts w:hint="eastAsia"/>
          <w:color w:val="auto"/>
          <w:highlight w:val="none"/>
        </w:rPr>
      </w:pPr>
      <w:r>
        <w:rPr>
          <w:rFonts w:hint="eastAsia"/>
          <w:color w:val="auto"/>
          <w:highlight w:val="none"/>
        </w:rPr>
        <w:t xml:space="preserve">2.1.12 内置保温过滤模块，过滤全程保温，提高过滤速度；</w:t>
      </w:r>
      <w:r>
        <w:rPr>
          <w:color w:val="auto"/>
          <w:highlight w:val="none"/>
        </w:rPr>
      </w:r>
      <w:r/>
    </w:p>
    <w:p>
      <w:pPr>
        <w:pStyle w:val="939"/>
        <w:rPr>
          <w:rFonts w:hint="eastAsia"/>
          <w:color w:val="auto"/>
          <w:highlight w:val="none"/>
        </w:rPr>
      </w:pPr>
      <w:r>
        <w:rPr>
          <w:rFonts w:hint="eastAsia"/>
          <w:color w:val="auto"/>
          <w:highlight w:val="none"/>
        </w:rPr>
        <w:t xml:space="preserve">2.1.13 需自带排风管道，可自动排风；</w:t>
      </w:r>
      <w:r>
        <w:rPr>
          <w:color w:val="auto"/>
          <w:highlight w:val="none"/>
        </w:rPr>
      </w:r>
      <w:r/>
    </w:p>
    <w:p>
      <w:pPr>
        <w:pStyle w:val="939"/>
        <w:rPr>
          <w:rFonts w:hint="eastAsia"/>
          <w:color w:val="auto"/>
          <w:highlight w:val="none"/>
        </w:rPr>
      </w:pPr>
      <w:r>
        <w:rPr>
          <w:rFonts w:hint="eastAsia"/>
          <w:color w:val="auto"/>
          <w:highlight w:val="none"/>
        </w:rPr>
        <w:t xml:space="preserve">2.1.14 整体实验过程中无需转移样品，减少样品在不同器皿之间转移过程中的样品损失；</w:t>
      </w:r>
      <w:r>
        <w:rPr>
          <w:color w:val="auto"/>
          <w:highlight w:val="none"/>
        </w:rPr>
      </w:r>
      <w:r/>
    </w:p>
    <w:p>
      <w:pPr>
        <w:pStyle w:val="939"/>
        <w:rPr>
          <w:rFonts w:hint="eastAsia"/>
          <w:color w:val="auto"/>
          <w:highlight w:val="none"/>
        </w:rPr>
      </w:pPr>
      <w:r>
        <w:rPr>
          <w:rFonts w:hint="eastAsia"/>
          <w:color w:val="auto"/>
          <w:highlight w:val="none"/>
        </w:rPr>
        <w:t xml:space="preserve">2.1.15 准确度：高中低浓度质控符合标准。数据在确定度范围内；</w:t>
      </w:r>
      <w:r>
        <w:rPr>
          <w:color w:val="auto"/>
          <w:highlight w:val="none"/>
        </w:rPr>
      </w:r>
      <w:r/>
    </w:p>
    <w:p>
      <w:pPr>
        <w:pStyle w:val="939"/>
        <w:rPr>
          <w:rFonts w:hint="eastAsia"/>
          <w:color w:val="auto"/>
          <w:highlight w:val="none"/>
        </w:rPr>
      </w:pPr>
      <w:r>
        <w:rPr>
          <w:rFonts w:hint="eastAsia"/>
          <w:color w:val="auto"/>
          <w:highlight w:val="none"/>
        </w:rPr>
        <w:t xml:space="preserve">2.1.16 精密度：高中低浓度质控符合标准。数据的相对标准偏差RSD&lt;5%；</w:t>
      </w:r>
      <w:r>
        <w:rPr>
          <w:color w:val="auto"/>
          <w:highlight w:val="none"/>
        </w:rPr>
      </w:r>
      <w:r/>
    </w:p>
    <w:p>
      <w:pPr>
        <w:pStyle w:val="939"/>
        <w:rPr>
          <w:rFonts w:hint="eastAsia"/>
          <w:color w:val="auto"/>
          <w:highlight w:val="none"/>
        </w:rPr>
      </w:pPr>
      <w:r>
        <w:rPr>
          <w:rFonts w:hint="eastAsia"/>
          <w:color w:val="auto"/>
          <w:highlight w:val="none"/>
        </w:rPr>
        <w:t xml:space="preserve">2.1.17一键式操作，全程无须人工干预；</w:t>
      </w:r>
      <w:r>
        <w:rPr>
          <w:color w:val="auto"/>
          <w:highlight w:val="none"/>
        </w:rPr>
      </w:r>
      <w:r/>
    </w:p>
    <w:p>
      <w:pPr>
        <w:pStyle w:val="939"/>
        <w:rPr>
          <w:rFonts w:hint="eastAsia"/>
          <w:color w:val="auto"/>
          <w:highlight w:val="none"/>
        </w:rPr>
      </w:pPr>
      <w:r>
        <w:rPr>
          <w:rFonts w:hint="eastAsia"/>
          <w:color w:val="auto"/>
          <w:highlight w:val="none"/>
        </w:rPr>
        <w:t xml:space="preserve">2.1.18 仪器自带试剂用量提醒功能；</w:t>
      </w:r>
      <w:r>
        <w:rPr>
          <w:color w:val="auto"/>
          <w:highlight w:val="none"/>
        </w:rPr>
      </w:r>
      <w:r/>
    </w:p>
    <w:p>
      <w:pPr>
        <w:pStyle w:val="939"/>
        <w:rPr>
          <w:rFonts w:hint="eastAsia"/>
          <w:color w:val="auto"/>
          <w:highlight w:val="none"/>
        </w:rPr>
      </w:pPr>
      <w:r>
        <w:rPr>
          <w:rFonts w:hint="eastAsia"/>
          <w:color w:val="auto"/>
          <w:highlight w:val="none"/>
        </w:rPr>
        <w:t xml:space="preserve">★2.1.19 仪器配有配套废液处理装置，对废液进行处理之后可直接排放（提供原厂盖章的实物证明图片，并作为验收的指标）</w:t>
      </w:r>
      <w:r>
        <w:rPr>
          <w:color w:val="auto"/>
          <w:highlight w:val="none"/>
        </w:rPr>
      </w:r>
      <w:r/>
    </w:p>
    <w:p>
      <w:pPr>
        <w:pStyle w:val="939"/>
        <w:rPr>
          <w:rFonts w:hint="eastAsia"/>
          <w:strike/>
          <w:color w:val="auto"/>
          <w:highlight w:val="none"/>
        </w:rPr>
      </w:pPr>
      <w:r>
        <w:rPr>
          <w:rFonts w:hint="eastAsia"/>
          <w:color w:val="auto"/>
          <w:highlight w:val="none"/>
        </w:rPr>
        <w:t xml:space="preserve">2.1.20 仪器具有仿真机械手，全程模拟手工倾倒方式转移样品，严格依据国家标准要求；样品在加热杯稀释完直接倾倒转移至漏斗滤纸上，不经过中转杯，不经过管路二次转移。</w:t>
      </w:r>
      <w:r>
        <w:rPr>
          <w:color w:val="auto"/>
          <w:highlight w:val="none"/>
        </w:rPr>
      </w:r>
      <w:r/>
    </w:p>
    <w:p>
      <w:pPr>
        <w:pStyle w:val="939"/>
        <w:rPr>
          <w:rFonts w:hint="eastAsia"/>
          <w:color w:val="auto"/>
          <w:highlight w:val="none"/>
        </w:rPr>
      </w:pPr>
      <w:r>
        <w:rPr>
          <w:rFonts w:hint="eastAsia"/>
          <w:color w:val="auto"/>
          <w:highlight w:val="none"/>
        </w:rPr>
        <w:t xml:space="preserve">★2.1.21 仪器配置专用样品加热杯，杯口有鹰嘴造型，可有效控制样本流出位置。（提供原厂盖章的机械手抓取带鹰嘴加热杯实物证明图片）</w:t>
      </w:r>
      <w:r>
        <w:rPr>
          <w:color w:val="auto"/>
          <w:highlight w:val="none"/>
        </w:rPr>
      </w:r>
      <w:r/>
    </w:p>
    <w:p>
      <w:pPr>
        <w:pStyle w:val="939"/>
        <w:rPr>
          <w:rFonts w:hint="eastAsia"/>
          <w:color w:val="auto"/>
          <w:highlight w:val="none"/>
        </w:rPr>
      </w:pPr>
      <w:r>
        <w:rPr>
          <w:rFonts w:hint="eastAsia"/>
          <w:color w:val="auto"/>
          <w:highlight w:val="none"/>
        </w:rPr>
        <w:t xml:space="preserve">★2.1.22 仪器可在线制备焦磷酸，整个前处理流程可以用磷酸完成实验，不需要成品焦磷酸或者另外手工烧制。（提供仪器可以制备焦磷酸图片证明）</w:t>
      </w:r>
      <w:r>
        <w:rPr>
          <w:color w:val="auto"/>
          <w:highlight w:val="none"/>
        </w:rPr>
      </w:r>
      <w:r/>
    </w:p>
    <w:p>
      <w:pPr>
        <w:pStyle w:val="939"/>
        <w:rPr>
          <w:rFonts w:hint="eastAsia"/>
          <w:color w:val="auto"/>
          <w:highlight w:val="none"/>
        </w:rPr>
      </w:pPr>
      <w:r>
        <w:rPr>
          <w:rFonts w:hint="eastAsia"/>
          <w:color w:val="auto"/>
          <w:highlight w:val="none"/>
        </w:rPr>
        <w:t xml:space="preserve">★2.1.23 内置蒸馏水自动加热装置，蒸馏水水箱自动加水，自动补水，自动加热。（提供原厂盖章的内置蒸馏水加热装置实物证明图片）</w:t>
      </w:r>
      <w:r>
        <w:rPr>
          <w:color w:val="auto"/>
          <w:highlight w:val="none"/>
        </w:rPr>
      </w:r>
      <w:r/>
    </w:p>
    <w:p>
      <w:pPr>
        <w:pStyle w:val="939"/>
        <w:rPr>
          <w:rFonts w:hint="eastAsia"/>
          <w:color w:val="auto"/>
          <w:highlight w:val="none"/>
        </w:rPr>
      </w:pPr>
      <w:r>
        <w:rPr>
          <w:rFonts w:hint="eastAsia"/>
          <w:color w:val="auto"/>
          <w:highlight w:val="none"/>
        </w:rPr>
        <w:t xml:space="preserve">2.2 样品盘和试剂位</w:t>
      </w:r>
      <w:r>
        <w:rPr>
          <w:color w:val="auto"/>
          <w:highlight w:val="none"/>
        </w:rPr>
      </w:r>
      <w:r/>
    </w:p>
    <w:p>
      <w:pPr>
        <w:pStyle w:val="939"/>
        <w:rPr>
          <w:rFonts w:hint="eastAsia"/>
          <w:color w:val="auto"/>
          <w:highlight w:val="none"/>
        </w:rPr>
      </w:pPr>
      <w:r>
        <w:rPr>
          <w:rFonts w:hint="eastAsia"/>
          <w:color w:val="auto"/>
          <w:highlight w:val="none"/>
        </w:rPr>
        <w:t xml:space="preserve">2.2.1玻璃烧杯：定制玻璃烧杯，满足实验用量大小。</w:t>
      </w:r>
      <w:r>
        <w:rPr>
          <w:color w:val="auto"/>
          <w:highlight w:val="none"/>
        </w:rPr>
      </w:r>
      <w:r/>
    </w:p>
    <w:p>
      <w:pPr>
        <w:pStyle w:val="939"/>
        <w:rPr>
          <w:rFonts w:hint="eastAsia"/>
          <w:color w:val="auto"/>
          <w:highlight w:val="none"/>
        </w:rPr>
      </w:pPr>
      <w:r>
        <w:rPr>
          <w:rFonts w:hint="eastAsia"/>
          <w:color w:val="auto"/>
          <w:highlight w:val="none"/>
        </w:rPr>
        <w:t xml:space="preserve">2.2.2试剂开放，可使用原厂试剂，用户也可自行配备。</w:t>
      </w:r>
      <w:r>
        <w:rPr>
          <w:color w:val="auto"/>
          <w:highlight w:val="none"/>
        </w:rPr>
      </w:r>
      <w:r/>
    </w:p>
    <w:p>
      <w:pPr>
        <w:pStyle w:val="939"/>
        <w:rPr>
          <w:rFonts w:hint="eastAsia"/>
          <w:color w:val="auto"/>
          <w:highlight w:val="none"/>
        </w:rPr>
      </w:pPr>
      <w:r>
        <w:rPr>
          <w:rFonts w:hint="eastAsia"/>
          <w:color w:val="auto"/>
          <w:highlight w:val="none"/>
        </w:rPr>
        <w:t xml:space="preserve">2.3 清洗站</w:t>
      </w:r>
      <w:r>
        <w:rPr>
          <w:color w:val="auto"/>
          <w:highlight w:val="none"/>
        </w:rPr>
      </w:r>
      <w:r/>
    </w:p>
    <w:p>
      <w:pPr>
        <w:pStyle w:val="939"/>
        <w:rPr>
          <w:rFonts w:hint="eastAsia"/>
          <w:color w:val="auto"/>
          <w:highlight w:val="none"/>
        </w:rPr>
      </w:pPr>
      <w:r>
        <w:rPr>
          <w:rFonts w:hint="eastAsia"/>
          <w:color w:val="auto"/>
          <w:highlight w:val="none"/>
        </w:rPr>
        <w:t xml:space="preserve">2.3.1 实验结束后自动清洗所有管路。</w:t>
      </w:r>
      <w:r>
        <w:rPr>
          <w:color w:val="auto"/>
          <w:highlight w:val="none"/>
        </w:rPr>
      </w:r>
      <w:r/>
    </w:p>
    <w:p>
      <w:pPr>
        <w:pStyle w:val="939"/>
        <w:rPr>
          <w:rFonts w:hint="eastAsia"/>
          <w:color w:val="auto"/>
          <w:highlight w:val="none"/>
        </w:rPr>
      </w:pPr>
      <w:r>
        <w:rPr>
          <w:rFonts w:hint="eastAsia"/>
          <w:color w:val="auto"/>
          <w:highlight w:val="none"/>
        </w:rPr>
        <w:t xml:space="preserve">2.3.2可根据实验需要，设定清洗方法。</w:t>
      </w:r>
      <w:r>
        <w:rPr>
          <w:color w:val="auto"/>
          <w:highlight w:val="none"/>
        </w:rPr>
      </w:r>
      <w:r/>
    </w:p>
    <w:p>
      <w:pPr>
        <w:pStyle w:val="939"/>
        <w:rPr>
          <w:rFonts w:hint="eastAsia"/>
          <w:color w:val="auto"/>
          <w:highlight w:val="none"/>
        </w:rPr>
      </w:pPr>
      <w:r>
        <w:rPr>
          <w:rFonts w:hint="eastAsia"/>
          <w:color w:val="auto"/>
          <w:highlight w:val="none"/>
        </w:rPr>
        <w:t xml:space="preserve">2.4 数据控制与输出。</w:t>
      </w:r>
      <w:r>
        <w:rPr>
          <w:color w:val="auto"/>
          <w:highlight w:val="none"/>
        </w:rPr>
      </w:r>
      <w:r/>
    </w:p>
    <w:p>
      <w:pPr>
        <w:pStyle w:val="939"/>
        <w:rPr>
          <w:rFonts w:hint="eastAsia"/>
          <w:color w:val="auto"/>
          <w:highlight w:val="none"/>
        </w:rPr>
      </w:pPr>
      <w:r>
        <w:rPr>
          <w:rFonts w:hint="eastAsia"/>
          <w:color w:val="auto"/>
          <w:highlight w:val="none"/>
        </w:rPr>
        <w:t xml:space="preserve">2.4.1 仪器内置电脑，智能触屏控制，可选多种模式进行实验。</w:t>
      </w:r>
      <w:r>
        <w:rPr>
          <w:color w:val="auto"/>
          <w:highlight w:val="none"/>
        </w:rPr>
      </w:r>
      <w:r/>
    </w:p>
    <w:p>
      <w:pPr>
        <w:pStyle w:val="939"/>
        <w:rPr>
          <w:rFonts w:hint="eastAsia"/>
          <w:b/>
          <w:color w:val="auto"/>
          <w:highlight w:val="none"/>
        </w:rPr>
      </w:pPr>
      <w:r>
        <w:rPr>
          <w:rFonts w:hint="eastAsia"/>
          <w:b/>
          <w:color w:val="auto"/>
          <w:highlight w:val="none"/>
        </w:rPr>
        <w:t xml:space="preserve">3、配置要求：</w:t>
      </w:r>
      <w:r>
        <w:rPr>
          <w:color w:val="auto"/>
          <w:highlight w:val="none"/>
        </w:rPr>
      </w:r>
      <w:r/>
    </w:p>
    <w:p>
      <w:pPr>
        <w:pStyle w:val="939"/>
        <w:rPr>
          <w:rFonts w:hint="eastAsia"/>
          <w:color w:val="auto"/>
          <w:highlight w:val="none"/>
        </w:rPr>
      </w:pPr>
      <w:r>
        <w:rPr>
          <w:rFonts w:hint="eastAsia"/>
          <w:color w:val="auto"/>
          <w:highlight w:val="none"/>
        </w:rPr>
        <w:t xml:space="preserve">3.1 自动控温加热器1套</w:t>
      </w:r>
      <w:r>
        <w:rPr>
          <w:color w:val="auto"/>
          <w:highlight w:val="none"/>
        </w:rPr>
      </w:r>
      <w:r/>
    </w:p>
    <w:p>
      <w:pPr>
        <w:pStyle w:val="939"/>
        <w:rPr>
          <w:rFonts w:hint="eastAsia"/>
          <w:color w:val="auto"/>
          <w:highlight w:val="none"/>
        </w:rPr>
      </w:pPr>
      <w:r>
        <w:rPr>
          <w:rFonts w:hint="eastAsia"/>
          <w:color w:val="auto"/>
          <w:highlight w:val="none"/>
        </w:rPr>
        <w:t xml:space="preserve">3.2 自动加液搅拌系统1套</w:t>
      </w:r>
      <w:r>
        <w:rPr>
          <w:color w:val="auto"/>
          <w:highlight w:val="none"/>
        </w:rPr>
      </w:r>
      <w:r/>
    </w:p>
    <w:p>
      <w:pPr>
        <w:pStyle w:val="939"/>
        <w:rPr>
          <w:rFonts w:hint="eastAsia"/>
          <w:color w:val="auto"/>
          <w:highlight w:val="none"/>
        </w:rPr>
      </w:pPr>
      <w:r>
        <w:rPr>
          <w:rFonts w:hint="eastAsia"/>
          <w:color w:val="auto"/>
          <w:highlight w:val="none"/>
        </w:rPr>
        <w:t xml:space="preserve">3.3 自动过滤清洗系统1套</w:t>
      </w:r>
      <w:r>
        <w:rPr>
          <w:color w:val="auto"/>
          <w:highlight w:val="none"/>
        </w:rPr>
      </w:r>
      <w:r/>
    </w:p>
    <w:p>
      <w:pPr>
        <w:pStyle w:val="939"/>
        <w:rPr>
          <w:rFonts w:hint="eastAsia"/>
          <w:color w:val="auto"/>
          <w:highlight w:val="none"/>
        </w:rPr>
      </w:pPr>
      <w:r>
        <w:rPr>
          <w:rFonts w:hint="eastAsia"/>
          <w:color w:val="auto"/>
          <w:highlight w:val="none"/>
        </w:rPr>
        <w:t xml:space="preserve">3.4 可编程二次过滤系统1套</w:t>
      </w:r>
      <w:r>
        <w:rPr>
          <w:color w:val="auto"/>
          <w:highlight w:val="none"/>
        </w:rPr>
      </w:r>
      <w:r/>
    </w:p>
    <w:p>
      <w:pPr>
        <w:pStyle w:val="939"/>
        <w:rPr>
          <w:rFonts w:hint="eastAsia"/>
          <w:color w:val="auto"/>
          <w:highlight w:val="none"/>
        </w:rPr>
      </w:pPr>
      <w:r>
        <w:rPr>
          <w:rFonts w:hint="eastAsia"/>
          <w:color w:val="auto"/>
          <w:highlight w:val="none"/>
        </w:rPr>
        <w:t xml:space="preserve">3.5 自动人工倾倒模块1套</w:t>
      </w:r>
      <w:r>
        <w:rPr>
          <w:color w:val="auto"/>
          <w:highlight w:val="none"/>
        </w:rPr>
      </w:r>
      <w:r/>
    </w:p>
    <w:p>
      <w:pPr>
        <w:pStyle w:val="939"/>
        <w:rPr>
          <w:rFonts w:hint="eastAsia"/>
          <w:color w:val="auto"/>
          <w:highlight w:val="none"/>
        </w:rPr>
      </w:pPr>
      <w:r>
        <w:rPr>
          <w:rFonts w:hint="eastAsia"/>
          <w:color w:val="auto"/>
          <w:highlight w:val="none"/>
        </w:rPr>
        <w:t xml:space="preserve">3.6 多功能样品架1套</w:t>
      </w:r>
      <w:r>
        <w:rPr>
          <w:color w:val="auto"/>
          <w:highlight w:val="none"/>
        </w:rPr>
      </w:r>
      <w:r/>
    </w:p>
    <w:p>
      <w:pPr>
        <w:pStyle w:val="939"/>
        <w:rPr>
          <w:rFonts w:hint="eastAsia"/>
          <w:color w:val="auto"/>
          <w:highlight w:val="none"/>
        </w:rPr>
      </w:pPr>
      <w:r>
        <w:rPr>
          <w:rFonts w:hint="eastAsia"/>
          <w:color w:val="auto"/>
          <w:highlight w:val="none"/>
        </w:rPr>
        <w:t xml:space="preserve">3.7 工控触屏1套</w:t>
      </w:r>
      <w:r>
        <w:rPr>
          <w:color w:val="auto"/>
          <w:highlight w:val="none"/>
        </w:rPr>
      </w:r>
      <w:r/>
    </w:p>
    <w:p>
      <w:pPr>
        <w:pStyle w:val="939"/>
        <w:rPr>
          <w:rFonts w:hint="eastAsia"/>
          <w:color w:val="auto"/>
          <w:highlight w:val="none"/>
        </w:rPr>
      </w:pPr>
      <w:r>
        <w:rPr>
          <w:rFonts w:hint="eastAsia"/>
          <w:color w:val="auto"/>
          <w:highlight w:val="none"/>
        </w:rPr>
        <w:t xml:space="preserve">3.8 控制系统软件1套</w:t>
      </w:r>
      <w:r>
        <w:rPr>
          <w:color w:val="auto"/>
          <w:highlight w:val="none"/>
        </w:rPr>
      </w:r>
      <w:r/>
    </w:p>
    <w:p>
      <w:pPr>
        <w:pStyle w:val="939"/>
        <w:rPr>
          <w:rFonts w:hint="eastAsia"/>
          <w:color w:val="auto"/>
          <w:highlight w:val="none"/>
        </w:rPr>
      </w:pPr>
      <w:r>
        <w:rPr>
          <w:rFonts w:hint="eastAsia"/>
          <w:color w:val="auto"/>
          <w:highlight w:val="none"/>
        </w:rPr>
        <w:t xml:space="preserve">3.9 定制样品杯16个</w:t>
      </w:r>
      <w:r>
        <w:rPr>
          <w:color w:val="auto"/>
          <w:highlight w:val="none"/>
        </w:rPr>
      </w:r>
      <w:r/>
    </w:p>
    <w:p>
      <w:pPr>
        <w:pStyle w:val="939"/>
        <w:rPr>
          <w:rFonts w:hint="eastAsia"/>
          <w:color w:val="auto"/>
          <w:highlight w:val="none"/>
        </w:rPr>
      </w:pPr>
      <w:r>
        <w:rPr>
          <w:rFonts w:hint="eastAsia"/>
          <w:color w:val="auto"/>
          <w:highlight w:val="none"/>
        </w:rPr>
        <w:t xml:space="preserve">3.10 定制漏斗杯16个</w:t>
      </w:r>
      <w:r>
        <w:rPr>
          <w:color w:val="auto"/>
          <w:highlight w:val="none"/>
        </w:rPr>
      </w:r>
      <w:r/>
    </w:p>
    <w:p>
      <w:pPr>
        <w:pStyle w:val="939"/>
        <w:rPr>
          <w:rFonts w:hint="eastAsia"/>
          <w:color w:val="auto"/>
          <w:highlight w:val="none"/>
        </w:rPr>
      </w:pPr>
      <w:r>
        <w:rPr>
          <w:rFonts w:hint="eastAsia"/>
          <w:color w:val="auto"/>
          <w:highlight w:val="none"/>
        </w:rPr>
        <w:t xml:space="preserve">3.11 慢性定量滤纸1盒</w:t>
      </w:r>
      <w:r>
        <w:rPr>
          <w:color w:val="auto"/>
          <w:highlight w:val="none"/>
        </w:rPr>
      </w:r>
      <w:r/>
    </w:p>
    <w:p>
      <w:pPr>
        <w:pStyle w:val="939"/>
        <w:rPr>
          <w:rFonts w:hint="eastAsia"/>
          <w:color w:val="auto"/>
          <w:highlight w:val="none"/>
        </w:rPr>
      </w:pPr>
      <w:r>
        <w:rPr>
          <w:rFonts w:hint="eastAsia"/>
          <w:color w:val="auto"/>
          <w:highlight w:val="none"/>
        </w:rPr>
        <w:t xml:space="preserve">3.12 漏斗架1套</w:t>
      </w:r>
      <w:r>
        <w:rPr>
          <w:color w:val="auto"/>
          <w:highlight w:val="none"/>
        </w:rPr>
      </w:r>
      <w:r/>
    </w:p>
    <w:p>
      <w:pPr>
        <w:pStyle w:val="939"/>
        <w:rPr>
          <w:rFonts w:hint="eastAsia"/>
          <w:color w:val="auto"/>
          <w:highlight w:val="none"/>
        </w:rPr>
      </w:pPr>
      <w:r>
        <w:rPr>
          <w:rFonts w:hint="eastAsia"/>
          <w:color w:val="auto"/>
          <w:highlight w:val="none"/>
        </w:rPr>
        <w:t xml:space="preserve">3.13 烧杯架1套</w:t>
      </w:r>
      <w:r>
        <w:rPr>
          <w:color w:val="auto"/>
          <w:highlight w:val="none"/>
        </w:rPr>
      </w:r>
      <w:r/>
    </w:p>
    <w:p>
      <w:pPr>
        <w:pStyle w:val="939"/>
        <w:rPr>
          <w:rFonts w:hint="eastAsia"/>
          <w:color w:val="auto"/>
          <w:highlight w:val="none"/>
        </w:rPr>
      </w:pPr>
      <w:r>
        <w:rPr>
          <w:rFonts w:hint="eastAsia"/>
          <w:color w:val="auto"/>
          <w:highlight w:val="none"/>
        </w:rPr>
        <w:t xml:space="preserve">3.14 排风装置1套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3.15 装机配套试剂标准物质1套</w:t>
      </w:r>
      <w:r>
        <w:rPr>
          <w:color w:val="auto"/>
          <w:highlight w:val="none"/>
        </w:rPr>
      </w:r>
      <w:r/>
    </w:p>
    <w:p>
      <w:pPr>
        <w:pStyle w:val="939"/>
        <w:rPr>
          <w:rFonts w:hint="eastAsia"/>
          <w:b/>
          <w:color w:val="auto"/>
          <w:highlight w:val="none"/>
        </w:rPr>
      </w:pPr>
      <w:r>
        <w:rPr>
          <w:rFonts w:hint="eastAsia"/>
          <w:b/>
          <w:color w:val="auto"/>
          <w:highlight w:val="none"/>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质保期：不少于3年（质保期自验收合格之日起计算）。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pStyle w:val="939"/>
        <w:rPr>
          <w:rFonts w:hint="eastAsia"/>
          <w:color w:val="auto"/>
          <w:highlight w:val="none"/>
        </w:rPr>
      </w:pPr>
      <w:r>
        <w:rPr>
          <w:rFonts w:hint="eastAsia"/>
          <w:color w:val="auto"/>
          <w:highlight w:val="none"/>
        </w:rPr>
        <w:t xml:space="preserve">4.3 提供详细的培训计划，保证使用人员正常操作设备。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零配件应保证不少于8年的供应期。</w:t>
      </w:r>
      <w:r>
        <w:rPr>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（八）全自动热脱附仪</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1、主要用途：</w:t>
      </w:r>
      <w:r>
        <w:rPr>
          <w:rFonts w:hint="eastAsia" w:ascii="宋体" w:hAnsi="宋体" w:eastAsia="宋体" w:cs="宋体"/>
          <w:color w:val="auto"/>
          <w:sz w:val="24"/>
          <w:highlight w:val="none"/>
          <w:lang w:bidi="ar"/>
        </w:rPr>
        <w:t xml:space="preserve">用于解吸样品中的挥发性有机化合物。</w:t>
      </w:r>
      <w:r>
        <w:rPr>
          <w:color w:val="auto"/>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2、技术性能要求： </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 第一级解析温度范围：35～425℃ ；控制精度为≤1℃；</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2.2富集模式：电子半导体冷冻富集；</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2.3 石英冷阱—填充段内径为≤2 mm， 样品进出口内径为≤0.9 mm；</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16"/>
          <w:sz w:val="24"/>
          <w:highlight w:val="none"/>
        </w:rPr>
        <w:t xml:space="preserve">★</w:t>
      </w:r>
      <w:r>
        <w:rPr>
          <w:rFonts w:hint="eastAsia" w:ascii="宋体" w:hAnsi="宋体" w:eastAsia="宋体" w:cs="宋体"/>
          <w:color w:val="auto"/>
          <w:sz w:val="24"/>
          <w:highlight w:val="none"/>
          <w:lang w:bidi="ar"/>
        </w:rPr>
        <w:t xml:space="preserve">2.4中间吸附剂填充有效部分长度≥60 mm（可填充一种至四种吸附剂）；（提供原厂盖章的带标尺的实物图片做为证明材料）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2.5对VOC保留效率高，适合C</w:t>
      </w:r>
      <w:r>
        <w:rPr>
          <w:rFonts w:hint="eastAsia" w:ascii="宋体" w:hAnsi="宋体" w:eastAsia="宋体" w:cs="宋体"/>
          <w:color w:val="auto"/>
          <w:sz w:val="24"/>
          <w:highlight w:val="none"/>
          <w:vertAlign w:val="subscript"/>
          <w:lang w:bidi="ar"/>
        </w:rPr>
        <w:t xml:space="preserve">3</w:t>
      </w:r>
      <w:r>
        <w:rPr>
          <w:rFonts w:hint="eastAsia" w:ascii="宋体" w:hAnsi="宋体" w:eastAsia="宋体" w:cs="宋体"/>
          <w:color w:val="auto"/>
          <w:sz w:val="24"/>
          <w:highlight w:val="none"/>
          <w:lang w:bidi="ar"/>
        </w:rPr>
        <w:t xml:space="preserve">～C</w:t>
      </w:r>
      <w:r>
        <w:rPr>
          <w:rFonts w:hint="eastAsia" w:ascii="宋体" w:hAnsi="宋体" w:eastAsia="宋体" w:cs="宋体"/>
          <w:color w:val="auto"/>
          <w:sz w:val="24"/>
          <w:highlight w:val="none"/>
          <w:vertAlign w:val="subscript"/>
          <w:lang w:bidi="ar"/>
        </w:rPr>
        <w:t xml:space="preserve">44</w:t>
      </w:r>
      <w:r>
        <w:rPr>
          <w:rFonts w:hint="eastAsia" w:ascii="宋体" w:hAnsi="宋体" w:eastAsia="宋体" w:cs="宋体"/>
          <w:color w:val="auto"/>
          <w:sz w:val="24"/>
          <w:highlight w:val="none"/>
          <w:lang w:bidi="ar"/>
        </w:rPr>
        <w:t xml:space="preserve">宽范围VOCs的分析，可扩展应用范围；</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2.6第二级解析最低富集温度：-30℃；</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16"/>
          <w:sz w:val="24"/>
          <w:highlight w:val="none"/>
        </w:rPr>
        <w:t xml:space="preserve">★</w:t>
      </w:r>
      <w:r>
        <w:rPr>
          <w:rFonts w:hint="eastAsia" w:ascii="宋体" w:hAnsi="宋体" w:eastAsia="宋体" w:cs="宋体"/>
          <w:color w:val="auto"/>
          <w:sz w:val="24"/>
          <w:highlight w:val="none"/>
          <w:lang w:bidi="ar"/>
        </w:rPr>
        <w:t xml:space="preserve">2.7 第二级解析最高解析温度≥425℃；（提供原厂盖章的操作软件截图做为证明材料）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16"/>
          <w:sz w:val="24"/>
          <w:highlight w:val="none"/>
        </w:rPr>
        <w:t xml:space="preserve">★</w:t>
      </w:r>
      <w:r>
        <w:rPr>
          <w:rFonts w:hint="eastAsia" w:ascii="宋体" w:hAnsi="宋体" w:eastAsia="宋体" w:cs="宋体"/>
          <w:color w:val="auto"/>
          <w:sz w:val="24"/>
          <w:highlight w:val="none"/>
          <w:lang w:bidi="ar"/>
        </w:rPr>
        <w:t xml:space="preserve">2.8冷阱加热升温速率：≥100℃/s；（提供原厂盖章的操作软件截图做为证明材料）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2.9 阀的温度范围50～210℃ ；</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2.10 传输线：采用硅烷化的不锈钢材料；温度：50～250℃；控制精度为1℃；</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2.11 管路系统：在脱附前后，样品管都处于密封状态，以确保样品检测结果的真实性和可靠性。在脱附前，系统必须能够在线自动对流路进行密封检测。具有吸附冷阱测试和反向老化功能，在分析过程中可以老化吸附管，节约实验时间；</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2.12气路控制：直接采用气相的气路电子阀（PPC或EPC）对热脱附进行气路控制，能精确控制载气，冷阱进出口分流流量，使之不受温度、压力变化的影响；</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2.13密封帽：自动进样器的脱附管采用微分锁式密封帽，保证样品的完整性；只有当载气压力达到一定范围时，密封帽才会开启，让载气或样品通过，保证样品的密封性，避免污染物的进入和样品成分的损失，样品管末端的密封帽有惰性涂层，防止不稳定成分的变化；简便可靠的操作：分析时，只要将带微分锁式帽的吸附管直接放进自动进样器，无需拆卸密封帽；（提供原厂盖章的设备产品中文说明书或彩页资料或技术说明书等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16"/>
          <w:sz w:val="24"/>
          <w:highlight w:val="none"/>
        </w:rPr>
        <w:t xml:space="preserve">★</w:t>
      </w:r>
      <w:r>
        <w:rPr>
          <w:rFonts w:hint="eastAsia" w:ascii="宋体" w:hAnsi="宋体" w:eastAsia="宋体" w:cs="宋体"/>
          <w:color w:val="auto"/>
          <w:sz w:val="24"/>
          <w:highlight w:val="none"/>
          <w:lang w:bidi="ar"/>
        </w:rPr>
        <w:t xml:space="preserve">2.14自动进样器位数≥100位，自动进样；（提供原厂盖章的实物图片做为证明材料）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2.15 抽屉式自动进样盘；</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16"/>
          <w:sz w:val="24"/>
          <w:highlight w:val="none"/>
        </w:rPr>
        <w:t xml:space="preserve">★</w:t>
      </w:r>
      <w:r>
        <w:rPr>
          <w:rFonts w:hint="eastAsia" w:ascii="宋体" w:hAnsi="宋体" w:eastAsia="宋体" w:cs="宋体"/>
          <w:color w:val="auto"/>
          <w:sz w:val="24"/>
          <w:highlight w:val="none"/>
          <w:lang w:bidi="ar"/>
        </w:rPr>
        <w:t xml:space="preserve">2.16自动进样的吸附管采用水平摆放方式，防止管内直接解析物松脱而造成系统管路污染；（提供原厂盖章的实物图片做为证明材料）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2.17对进样的每根吸附管，都具有自动测漏功能；（提供原厂盖章的设备产品中文说明书或彩页资料或技术说明书等证明材料）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2.18冷阱分流出口标配工业标准吸附管收集废气，确保实验室环境安全；（提供原厂盖章的实物照片图并加盖原厂公章做为证明材料）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2.19具有自动样品备份功能；（提供原厂盖章的原理示意图做为证明材料）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2.20具有样品重叠进样功能：可以将多根吸附管的样品一次性浓缩一次性解析进样；（提供原厂盖章的设备产品中文说明书或彩页资料或技术说明书等证明材料）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2.21 可升级内标加入装置；</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2.22  具有20位老化仪；</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2.22.1采用液晶触摸屏显示，操作直观、简便；</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2.22.2 采用内置气体流量计，流量调节方便；</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16"/>
          <w:sz w:val="24"/>
          <w:highlight w:val="none"/>
        </w:rPr>
        <w:t xml:space="preserve">★</w:t>
      </w:r>
      <w:r>
        <w:rPr>
          <w:rFonts w:hint="eastAsia" w:ascii="宋体" w:hAnsi="宋体" w:eastAsia="宋体" w:cs="宋体"/>
          <w:color w:val="auto"/>
          <w:sz w:val="24"/>
          <w:highlight w:val="none"/>
          <w:lang w:bidi="ar"/>
        </w:rPr>
        <w:t xml:space="preserve">2.22.3  2x10 AB双通道设计，可选A或B通道独立老化，也可同时老化；（提供原厂盖章的实物图片做为证明材料）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2.22.4  最大升温速率：80℃/min；</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2.22.5 温度控制范围：室温至0～400℃可调；</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2.22.6 温度控制精度：0.1℃；</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2.22.7 实时显示温度运行趋线图， 便于温度监控；</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2.22.8  6阶程序升温控制，可以满足一些特殊老化要求；（提供原厂盖章的设备产品中文说明书或彩页资料或技术说明书等证明材料）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2.22.9 气源没打开下禁止老化程序，防止无载气情况下损坏吸附管；</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2.23 标样制作装置</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2.23.1与主机同一品牌；</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2.23.2液体标样进样体积0.1ul-10ml；</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2.23.3气体标样体积：1ml-1000ml（可调）；</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2.23.4可以用气体和液体标样来制作标样管；（分别提供原厂盖章的气体标样制作连接实物照片和液体标样制作连接实物照片做为证明材料）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2.23.5具有工业标准吸附管接口；</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2.23.6配置气路开关阀；</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2.24 大体积固液相萃取棒</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2.24.1萃取棒采用惰性不锈钢材料，坚固耐用；</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2.24.2 长度为75mm或55mm规格可选；</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2.24.3 萃取棒采用PDMS吸附材料；</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2.24.4 萃取棒吸附材料容积为≥60μL；</w:t>
      </w:r>
      <w:r>
        <w:rPr>
          <w:color w:val="auto"/>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3、配置要求：</w:t>
      </w:r>
      <w:r>
        <w:rPr>
          <w:color w:val="auto"/>
          <w:highlight w:val="none"/>
        </w:rPr>
      </w:r>
      <w:r/>
    </w:p>
    <w:p>
      <w:pPr>
        <w:jc w:val="left"/>
        <w:widowControl/>
        <w:rPr>
          <w:rFonts w:hint="eastAsia" w:ascii="宋体" w:hAnsi="宋体" w:eastAsia="宋体" w:cs="宋体"/>
          <w:strike/>
          <w:color w:val="auto"/>
          <w:sz w:val="24"/>
          <w:highlight w:val="none"/>
        </w:rPr>
      </w:pPr>
      <w:r>
        <w:rPr>
          <w:rFonts w:hint="eastAsia" w:ascii="宋体" w:hAnsi="宋体" w:eastAsia="宋体" w:cs="宋体"/>
          <w:color w:val="auto"/>
          <w:sz w:val="24"/>
          <w:highlight w:val="none"/>
          <w:lang w:bidi="ar"/>
        </w:rPr>
        <w:t xml:space="preserve">3.1 热脱附仪主机（含100位自动进样器） 1台</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气路控制装置 1套</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3.3 Tenax TA吸附剂的吸附管 20根</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3.4 Difflok密封帽 40个</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3.5 标样制作装置 1套</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3.6 20位老化仪 1套</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3.7 恒流采样泵 1套</w:t>
      </w:r>
      <w:r>
        <w:rPr>
          <w:color w:val="auto"/>
          <w:highlight w:val="none"/>
        </w:rPr>
      </w:r>
      <w:r/>
    </w:p>
    <w:p>
      <w:pPr>
        <w:pStyle w:val="943"/>
        <w:rPr>
          <w:rFonts w:hint="eastAsia" w:hAnsi="宋体" w:eastAsia="宋体" w:cs="宋体"/>
          <w:color w:val="auto"/>
          <w:sz w:val="24"/>
          <w:highlight w:val="none"/>
        </w:rPr>
      </w:pPr>
      <w:r>
        <w:rPr>
          <w:rFonts w:hint="eastAsia" w:hAnsi="宋体" w:eastAsia="宋体" w:cs="宋体"/>
          <w:color w:val="auto"/>
          <w:sz w:val="24"/>
          <w:highlight w:val="none"/>
          <w:lang w:bidi="ar"/>
        </w:rPr>
        <w:t xml:space="preserve">3.8 采样管线 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3.9 采样箱 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3.10 密封帽专用工具 1套（2个）</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3.11 预填充Tenax填料石英冷阱 1根</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3.12 操作系统 1套</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3.13 惰性化大体萃取棒 6个</w:t>
      </w:r>
      <w:r>
        <w:rPr>
          <w:color w:val="auto"/>
          <w:highlight w:val="none"/>
        </w:rPr>
      </w:r>
      <w:r/>
    </w:p>
    <w:p>
      <w:pPr>
        <w:pStyle w:val="939"/>
        <w:rPr>
          <w:rFonts w:hint="eastAsia"/>
          <w:color w:val="auto"/>
          <w:highlight w:val="none"/>
        </w:rPr>
      </w:pPr>
      <w:r>
        <w:rPr>
          <w:rFonts w:hint="eastAsia"/>
          <w:color w:val="auto"/>
          <w:highlight w:val="none"/>
        </w:rPr>
        <w:t xml:space="preserve">3.14气瓶连接不锈钢气路管1套</w:t>
      </w:r>
      <w:r>
        <w:rPr>
          <w:color w:val="auto"/>
          <w:highlight w:val="none"/>
        </w:rPr>
      </w:r>
      <w:r/>
    </w:p>
    <w:p>
      <w:pPr>
        <w:pStyle w:val="939"/>
        <w:rPr>
          <w:rFonts w:hint="eastAsia"/>
          <w:color w:val="auto"/>
          <w:highlight w:val="none"/>
        </w:rPr>
      </w:pPr>
      <w:r>
        <w:rPr>
          <w:rFonts w:hint="eastAsia"/>
          <w:color w:val="auto"/>
          <w:highlight w:val="none"/>
        </w:rPr>
        <w:t xml:space="preserve">3.15气瓶连接阀门1套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3.16装机配套试剂标准物质1套</w:t>
      </w:r>
      <w:r>
        <w:rPr>
          <w:color w:val="auto"/>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pStyle w:val="939"/>
        <w:rPr>
          <w:rFonts w:hint="eastAsia"/>
          <w:color w:val="auto"/>
          <w:highlight w:val="none"/>
        </w:rPr>
      </w:pPr>
      <w:r>
        <w:rPr>
          <w:rFonts w:hint="eastAsia"/>
          <w:color w:val="auto"/>
          <w:highlight w:val="none"/>
        </w:rPr>
        <w:t xml:space="preserve">4.3提供详细的培训计划，保证使用人员正常操作设备。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4.4零配件应保证不少于8年的供应期。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numPr>
          <w:ilvl w:val="0"/>
          <w:numId w:val="5"/>
        </w:num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气体发生器一体机</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用于提供高纯度空气气源，适用于各种化学分析、气相色谱、质谱分析等实验室应用。</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氢气发生器</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氢气流速范围：0-200cc/min；</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 氢气纯度最高可达99.9995%，CO</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0.1x10</w:t>
      </w:r>
      <w:r>
        <w:rPr>
          <w:rFonts w:hint="eastAsia" w:ascii="宋体" w:hAnsi="宋体" w:eastAsia="宋体" w:cs="宋体"/>
          <w:color w:val="auto"/>
          <w:sz w:val="24"/>
          <w:highlight w:val="none"/>
          <w:vertAlign w:val="superscript"/>
        </w:rPr>
        <w:t xml:space="preserve">-6</w:t>
      </w:r>
      <w:r>
        <w:rPr>
          <w:rFonts w:hint="eastAsia" w:ascii="宋体" w:hAnsi="宋体" w:eastAsia="宋体" w:cs="宋体"/>
          <w:color w:val="auto"/>
          <w:sz w:val="24"/>
          <w:highlight w:val="none"/>
        </w:rPr>
        <w:t xml:space="preserve">, CH</w:t>
      </w:r>
      <w:r>
        <w:rPr>
          <w:rFonts w:hint="eastAsia" w:ascii="宋体" w:hAnsi="宋体" w:eastAsia="宋体" w:cs="宋体"/>
          <w:color w:val="auto"/>
          <w:sz w:val="24"/>
          <w:highlight w:val="none"/>
          <w:vertAlign w:val="subscript"/>
        </w:rPr>
        <w:t xml:space="preserve">4</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0.1x10</w:t>
      </w:r>
      <w:r>
        <w:rPr>
          <w:rFonts w:hint="eastAsia" w:ascii="宋体" w:hAnsi="宋体" w:eastAsia="宋体" w:cs="宋体"/>
          <w:color w:val="auto"/>
          <w:sz w:val="24"/>
          <w:highlight w:val="none"/>
          <w:vertAlign w:val="superscript"/>
        </w:rPr>
        <w:t xml:space="preserve">-6</w:t>
      </w:r>
      <w:r>
        <w:rPr>
          <w:rFonts w:hint="eastAsia" w:ascii="宋体" w:hAnsi="宋体" w:eastAsia="宋体" w:cs="宋体"/>
          <w:color w:val="auto"/>
          <w:sz w:val="24"/>
          <w:highlight w:val="none"/>
        </w:rPr>
        <w:t xml:space="preserve">，总杂质含量</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5.5x10</w:t>
      </w:r>
      <w:r>
        <w:rPr>
          <w:rFonts w:hint="eastAsia" w:ascii="宋体" w:hAnsi="宋体" w:eastAsia="宋体" w:cs="宋体"/>
          <w:color w:val="auto"/>
          <w:sz w:val="24"/>
          <w:highlight w:val="none"/>
          <w:vertAlign w:val="superscript"/>
        </w:rPr>
        <w:t xml:space="preserve">-6</w:t>
      </w:r>
      <w:r>
        <w:rPr>
          <w:rFonts w:hint="eastAsia" w:ascii="宋体" w:hAnsi="宋体" w:eastAsia="宋体" w:cs="宋体"/>
          <w:color w:val="auto"/>
          <w:sz w:val="24"/>
          <w:highlight w:val="none"/>
        </w:rPr>
        <w:t xml:space="preserve"> ； （提供国家级实验室检测报告）                                                        </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 氢气出气压力：</w:t>
      </w:r>
      <w:r>
        <w:rPr>
          <w:rFonts w:hint="eastAsia" w:ascii="宋体" w:hAnsi="宋体" w:eastAsia="宋体" w:cs="宋体"/>
          <w:color w:val="auto"/>
          <w:sz w:val="24"/>
          <w:highlight w:val="none"/>
          <w:lang w:val="en-GB"/>
        </w:rPr>
        <w:t xml:space="preserve">0</w:t>
      </w:r>
      <w:r>
        <w:rPr>
          <w:rFonts w:hint="eastAsia" w:ascii="宋体" w:hAnsi="宋体" w:eastAsia="宋体" w:cs="宋体"/>
          <w:color w:val="auto"/>
          <w:sz w:val="24"/>
          <w:highlight w:val="none"/>
          <w:lang w:val="en-GB"/>
        </w:rPr>
        <w:t xml:space="preserve">-</w:t>
      </w:r>
      <w:r>
        <w:rPr>
          <w:rFonts w:hint="eastAsia" w:ascii="宋体" w:hAnsi="宋体" w:eastAsia="宋体" w:cs="宋体"/>
          <w:color w:val="auto"/>
          <w:sz w:val="24"/>
          <w:highlight w:val="none"/>
        </w:rPr>
        <w:t xml:space="preserve">100psi，输出氢气压力可手动调节；</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 模块化设计，可以和氮气发生器、零级空气发生器、空压机任意叠放；</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 制取氢气原理：质子交换膜纯水电解技术；</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 标配电解池质保不少于三年；</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 具有低水位报警、压力报警、漏气报警装置，配备自动进水泵，自动进纯水，无需加碱液；   </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 具有液晶面板，可在线显示压力和流速以及纯化装置的使用寿命，有两种压力单位显示：psi、bar；</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 具有LCD模块的人机交互菜单。正面具有指示灯显示运行、待机或故障等不同状态；     </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2.1.10 具有开机自检功能；</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 具有水质在线监测，水箱反应过程可视。纯水进入电解池之前，先经过去离子柱处理，确保水的纯度，延长电解池使用寿命；                                                                                                       </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零级空气发生器</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零级空气流速：0-1500cc/min；</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 烃类化合物总残留量</w:t>
      </w:r>
      <w:r>
        <w:rPr>
          <w:rFonts w:hint="eastAsia" w:ascii="宋体" w:hAnsi="宋体" w:cs="宋体"/>
          <w:color w:val="auto"/>
          <w:highlight w:val="none"/>
          <w:lang w:bidi="ar"/>
        </w:rPr>
        <w:t xml:space="preserve">＜</w:t>
      </w:r>
      <w:r>
        <w:rPr>
          <w:rFonts w:hint="eastAsia" w:ascii="宋体" w:hAnsi="宋体" w:eastAsia="宋体" w:cs="宋体"/>
          <w:color w:val="auto"/>
          <w:sz w:val="24"/>
          <w:highlight w:val="none"/>
        </w:rPr>
        <w:t xml:space="preserve">0.05ppm；</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 零级空气输出压力：0—80psi；</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 高效催化裂解并通过膜系统净化；</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 模块化设计，可与氢气发生器和氮气发生器按序叠加或拆分；</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 仪器正面具有指示灯显示运行、待机或故障等不同状态</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2.2.7 标配原装空压机；</w:t>
      </w:r>
      <w:r>
        <w:rPr>
          <w:color w:val="auto"/>
          <w:highlight w:val="none"/>
        </w:rPr>
      </w:r>
      <w:r/>
    </w:p>
    <w:p>
      <w:pPr>
        <w:pStyle w:val="940"/>
        <w:spacing w:line="240" w:lineRule="atLeast"/>
        <w:rPr>
          <w:rFonts w:hint="eastAsia" w:ascii="宋体" w:hAnsi="宋体" w:cs="宋体"/>
          <w:bCs/>
          <w:color w:val="auto"/>
          <w:highlight w:val="none"/>
        </w:rPr>
      </w:pPr>
      <w:r>
        <w:rPr>
          <w:rStyle w:val="945"/>
          <w:rFonts w:hint="eastAsia" w:ascii="宋体" w:hAnsi="宋体" w:cs="宋体"/>
          <w:bCs/>
          <w:color w:val="auto"/>
          <w:sz w:val="24"/>
          <w:szCs w:val="24"/>
          <w:highlight w:val="none"/>
        </w:rPr>
        <w:t xml:space="preserve">2.3 空压机</w:t>
      </w:r>
      <w:r>
        <w:rPr>
          <w:color w:val="auto"/>
          <w:highlight w:val="none"/>
        </w:rPr>
      </w:r>
      <w:r/>
    </w:p>
    <w:p>
      <w:pPr>
        <w:pStyle w:val="940"/>
        <w:spacing w:line="240" w:lineRule="atLeast"/>
        <w:rPr>
          <w:rFonts w:hint="eastAsia" w:ascii="宋体" w:hAnsi="宋体" w:cs="宋体"/>
          <w:color w:val="auto"/>
          <w:highlight w:val="none"/>
        </w:rPr>
      </w:pPr>
      <w:r>
        <w:rPr>
          <w:rFonts w:hint="eastAsia" w:ascii="宋体" w:hAnsi="宋体" w:cs="宋体"/>
          <w:color w:val="auto"/>
          <w:highlight w:val="none"/>
        </w:rPr>
        <w:t xml:space="preserve">2.3.1 压缩空气流速：0-30L/min，适合不同Precision组合；</w:t>
      </w:r>
      <w:r>
        <w:rPr>
          <w:color w:val="auto"/>
          <w:highlight w:val="none"/>
        </w:rPr>
      </w:r>
      <w:r/>
    </w:p>
    <w:p>
      <w:pPr>
        <w:pStyle w:val="940"/>
        <w:spacing w:line="240" w:lineRule="atLeast"/>
        <w:rPr>
          <w:rFonts w:hint="eastAsia" w:ascii="宋体" w:hAnsi="宋体" w:cs="宋体"/>
          <w:color w:val="auto"/>
          <w:highlight w:val="none"/>
        </w:rPr>
      </w:pPr>
      <w:r>
        <w:rPr>
          <w:rFonts w:hint="eastAsia" w:ascii="宋体" w:hAnsi="宋体" w:cs="宋体"/>
          <w:color w:val="auto"/>
          <w:highlight w:val="none"/>
        </w:rPr>
        <w:t xml:space="preserve">2.3.2 压缩空气输出压力：0-120psi/8.27bar；</w:t>
      </w:r>
      <w:r>
        <w:rPr>
          <w:color w:val="auto"/>
          <w:highlight w:val="none"/>
        </w:rPr>
      </w:r>
      <w:r/>
    </w:p>
    <w:p>
      <w:pPr>
        <w:pStyle w:val="940"/>
        <w:spacing w:line="240" w:lineRule="atLeast"/>
        <w:rPr>
          <w:rFonts w:hint="eastAsia" w:ascii="宋体" w:hAnsi="宋体" w:cs="宋体"/>
          <w:color w:val="auto"/>
          <w:highlight w:val="none"/>
        </w:rPr>
      </w:pPr>
      <w:r>
        <w:rPr>
          <w:rFonts w:hint="eastAsia" w:ascii="宋体" w:hAnsi="宋体" w:cs="宋体"/>
          <w:color w:val="auto"/>
          <w:highlight w:val="none"/>
        </w:rPr>
        <w:t xml:space="preserve">2.3.3 空压机与气体发生器连接方式：空压机外置叠加式；</w:t>
      </w:r>
      <w:r>
        <w:rPr>
          <w:rFonts w:hint="eastAsia" w:ascii="宋体" w:hAnsi="宋体" w:cs="宋体"/>
          <w:color w:val="auto"/>
          <w:highlight w:val="none"/>
        </w:rPr>
        <w:tab/>
      </w:r>
      <w:r>
        <w:rPr>
          <w:color w:val="auto"/>
          <w:highlight w:val="none"/>
        </w:rPr>
      </w:r>
      <w:r/>
    </w:p>
    <w:p>
      <w:pPr>
        <w:pStyle w:val="940"/>
        <w:spacing w:line="240" w:lineRule="atLeast"/>
        <w:rPr>
          <w:rFonts w:hint="eastAsia" w:ascii="宋体" w:hAnsi="宋体" w:cs="宋体"/>
          <w:color w:val="auto"/>
          <w:highlight w:val="none"/>
        </w:rPr>
      </w:pPr>
      <w:r>
        <w:rPr>
          <w:rFonts w:hint="eastAsia" w:ascii="宋体" w:hAnsi="宋体" w:cs="宋体"/>
          <w:color w:val="auto"/>
          <w:highlight w:val="none"/>
        </w:rPr>
        <w:t xml:space="preserve">2.3.4 气体出口(OD)：1/4〞BSPP；</w:t>
      </w:r>
      <w:r>
        <w:rPr>
          <w:color w:val="auto"/>
          <w:highlight w:val="none"/>
        </w:rPr>
      </w:r>
      <w:r/>
    </w:p>
    <w:p>
      <w:pPr>
        <w:pStyle w:val="940"/>
        <w:spacing w:line="240" w:lineRule="atLeast"/>
        <w:rPr>
          <w:rFonts w:hint="eastAsia" w:ascii="宋体" w:hAnsi="宋体" w:cs="宋体"/>
          <w:color w:val="auto"/>
          <w:highlight w:val="none"/>
        </w:rPr>
      </w:pPr>
      <w:r>
        <w:rPr>
          <w:rFonts w:hint="eastAsia" w:ascii="宋体" w:hAnsi="宋体" w:cs="宋体"/>
          <w:color w:val="auto"/>
          <w:highlight w:val="none"/>
        </w:rPr>
        <w:t xml:space="preserve">2.3.5 热量输出：1740－3922BTU/Hr；</w:t>
      </w:r>
      <w:r>
        <w:rPr>
          <w:color w:val="auto"/>
          <w:highlight w:val="none"/>
        </w:rPr>
      </w:r>
      <w:r/>
    </w:p>
    <w:p>
      <w:pPr>
        <w:pStyle w:val="940"/>
        <w:spacing w:line="240" w:lineRule="atLeast"/>
        <w:rPr>
          <w:rFonts w:hint="eastAsia" w:ascii="宋体" w:hAnsi="宋体" w:cs="宋体"/>
          <w:color w:val="auto"/>
          <w:highlight w:val="none"/>
        </w:rPr>
      </w:pPr>
      <w:r>
        <w:rPr>
          <w:rFonts w:hint="eastAsia" w:ascii="宋体" w:hAnsi="宋体" w:cs="宋体"/>
          <w:color w:val="auto"/>
          <w:highlight w:val="none"/>
        </w:rPr>
        <w:t xml:space="preserve">2.3.6 双极空压机悬置系统。可隔离噪声和震动，系统噪音水平低≤50dB；                                            </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2.3.7 模块化、一体化、紧凑式设计，可与零级空气发生器和氮气发生器按序叠加或拆分； </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2.3.8 仪器正面设有专利性分子结构指示灯，实时显示高纯氮气发生器运行、待机、维护或故障等不同状态；</w:t>
      </w:r>
      <w:r>
        <w:rPr>
          <w:color w:val="auto"/>
          <w:highlight w:val="none"/>
        </w:rPr>
      </w:r>
      <w:r/>
    </w:p>
    <w:p>
      <w:pPr>
        <w:pStyle w:val="944"/>
        <w:numPr>
          <w:ilvl w:val="2"/>
          <w:numId w:val="6"/>
        </w:numPr>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全天24小时不间断持续、安全、可靠运行；</w:t>
      </w:r>
      <w:r>
        <w:rPr>
          <w:color w:val="auto"/>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3、配置要求：</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氢气发生器1台</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零级空气发生器1台</w:t>
      </w:r>
      <w:r>
        <w:rPr>
          <w:color w:val="auto"/>
          <w:highlight w:val="none"/>
        </w:rPr>
      </w:r>
      <w:r/>
    </w:p>
    <w:p>
      <w:pPr>
        <w:pStyle w:val="944"/>
        <w:ind w:firstLine="0"/>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空压机1台</w:t>
      </w:r>
      <w:r>
        <w:rPr>
          <w:color w:val="auto"/>
          <w:highlight w:val="none"/>
        </w:rPr>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pStyle w:val="939"/>
        <w:rPr>
          <w:rFonts w:hint="eastAsia"/>
          <w:color w:val="auto"/>
          <w:highlight w:val="none"/>
        </w:rPr>
      </w:pPr>
      <w:r>
        <w:rPr>
          <w:rFonts w:hint="eastAsia"/>
          <w:color w:val="auto"/>
          <w:highlight w:val="none"/>
        </w:rPr>
        <w:t xml:space="preserve">4.3提供详细的培训计划，保证使用人员正常操作设备。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4.4零配件应保证不少于8年的供应期。</w:t>
      </w: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（十）超纯水仪</w:t>
      </w:r>
      <w:r>
        <w:rPr>
          <w:color w:val="auto"/>
          <w:highlight w:val="none"/>
        </w:rPr>
      </w:r>
      <w:r/>
    </w:p>
    <w:p>
      <w:pPr>
        <w:pStyle w:val="788"/>
        <w:numPr>
          <w:ilvl w:val="0"/>
          <w:numId w:val="7"/>
        </w:numPr>
        <w:spacing w:before="48" w:line="288" w:lineRule="auto"/>
        <w:tabs>
          <w:tab w:val="left" w:pos="42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主要用途：</w:t>
      </w:r>
      <w:r>
        <w:rPr>
          <w:rFonts w:hint="eastAsia" w:ascii="宋体" w:hAnsi="宋体" w:eastAsia="宋体" w:cs="宋体"/>
          <w:color w:val="auto"/>
          <w:sz w:val="24"/>
          <w:highlight w:val="none"/>
        </w:rPr>
        <w:t xml:space="preserve">为各种理化分析仪器供水和其他各种实验用水。</w:t>
      </w:r>
      <w:r>
        <w:rPr>
          <w:color w:val="auto"/>
          <w:highlight w:val="none"/>
        </w:rPr>
      </w:r>
      <w:r/>
    </w:p>
    <w:p>
      <w:pPr>
        <w:spacing w:before="48" w:line="288" w:lineRule="auto"/>
        <w:tabs>
          <w:tab w:val="left" w:pos="42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2、技术性能要求：</w:t>
      </w:r>
      <w:r>
        <w:rPr>
          <w:color w:val="auto"/>
          <w:highlight w:val="none"/>
        </w:rPr>
      </w:r>
      <w:r/>
    </w:p>
    <w:p>
      <w:pPr>
        <w:spacing w:line="288" w:lineRule="auto"/>
        <w:tabs>
          <w:tab w:val="left" w:pos="180" w:leader="none"/>
          <w:tab w:val="left" w:pos="360" w:leader="none"/>
          <w:tab w:val="left" w:pos="420" w:leader="none"/>
          <w:tab w:val="left" w:pos="54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2.1 该系统以城市自来水为进水，连续生产纯水和超纯水；</w:t>
      </w:r>
      <w:r>
        <w:rPr>
          <w:rFonts w:hint="eastAsia" w:ascii="宋体" w:hAnsi="宋体" w:eastAsia="宋体" w:cs="宋体"/>
          <w:bCs/>
          <w:color w:val="auto"/>
          <w:sz w:val="24"/>
          <w:highlight w:val="none"/>
        </w:rPr>
        <w:t xml:space="preserve"> </w:t>
      </w:r>
      <w:r>
        <w:rPr>
          <w:color w:val="auto"/>
          <w:highlight w:val="none"/>
        </w:rPr>
      </w:r>
      <w:r/>
    </w:p>
    <w:p>
      <w:pPr>
        <w:spacing w:line="288" w:lineRule="auto"/>
        <w:tabs>
          <w:tab w:val="left" w:pos="180" w:leader="none"/>
          <w:tab w:val="left" w:pos="360" w:leader="none"/>
          <w:tab w:val="left" w:pos="420" w:leader="none"/>
          <w:tab w:val="left" w:pos="54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2.2 纯水</w:t>
      </w:r>
      <w:r>
        <w:rPr>
          <w:rFonts w:hint="eastAsia" w:ascii="宋体" w:hAnsi="宋体" w:eastAsia="宋体" w:cs="宋体"/>
          <w:bCs/>
          <w:color w:val="auto"/>
          <w:sz w:val="24"/>
          <w:highlight w:val="none"/>
        </w:rPr>
        <w:t xml:space="preserve">产水水质</w:t>
      </w:r>
      <w:r>
        <w:rPr>
          <w:color w:val="auto"/>
          <w:highlight w:val="none"/>
        </w:rPr>
      </w:r>
      <w:r/>
    </w:p>
    <w:p>
      <w:pPr>
        <w:spacing w:line="288" w:lineRule="auto"/>
        <w:tabs>
          <w:tab w:val="left" w:pos="180" w:leader="none"/>
          <w:tab w:val="left" w:pos="5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离子截留率：97-98%；</w:t>
      </w:r>
      <w:r>
        <w:rPr>
          <w:color w:val="auto"/>
          <w:highlight w:val="none"/>
        </w:rPr>
      </w:r>
      <w:r/>
    </w:p>
    <w:p>
      <w:pPr>
        <w:spacing w:line="288" w:lineRule="auto"/>
        <w:tabs>
          <w:tab w:val="left" w:pos="180" w:leader="none"/>
          <w:tab w:val="left" w:pos="5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 有机物截流率：≥99% ；</w:t>
      </w:r>
      <w:r>
        <w:rPr>
          <w:color w:val="auto"/>
          <w:highlight w:val="none"/>
        </w:rPr>
      </w:r>
      <w:r/>
    </w:p>
    <w:p>
      <w:pPr>
        <w:pStyle w:val="942"/>
        <w:rPr>
          <w:rFonts w:hint="eastAsia"/>
          <w:color w:val="auto"/>
          <w:highlight w:val="none"/>
        </w:rPr>
      </w:pPr>
      <w:r>
        <w:rPr>
          <w:rFonts w:hint="eastAsia"/>
          <w:color w:val="auto"/>
          <w:highlight w:val="none"/>
        </w:rPr>
        <w:t xml:space="preserve">★2.2.3 纯水产水流速：≥42 L/H；（提供原厂盖章的彩页或技术参数证明材料）</w:t>
      </w:r>
      <w:r>
        <w:rPr>
          <w:color w:val="auto"/>
          <w:highlight w:val="none"/>
        </w:rPr>
      </w:r>
      <w:r/>
    </w:p>
    <w:p>
      <w:pPr>
        <w:pStyle w:val="942"/>
        <w:rPr>
          <w:rFonts w:hint="eastAsia"/>
          <w:color w:val="auto"/>
          <w:highlight w:val="none"/>
        </w:rPr>
      </w:pPr>
      <w:r>
        <w:rPr>
          <w:rFonts w:hint="eastAsia"/>
          <w:color w:val="auto"/>
          <w:highlight w:val="none"/>
        </w:rPr>
        <w:t xml:space="preserve">2.3超纯水</w:t>
      </w:r>
      <w:r>
        <w:rPr>
          <w:rFonts w:hint="eastAsia"/>
          <w:color w:val="auto"/>
          <w:highlight w:val="none"/>
        </w:rPr>
        <w:t xml:space="preserve">产水水质</w:t>
      </w:r>
      <w:r>
        <w:rPr>
          <w:color w:val="auto"/>
          <w:highlight w:val="none"/>
        </w:rPr>
      </w:r>
      <w:r/>
    </w:p>
    <w:p>
      <w:pPr>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电阻率：18.2MΩ.cm ＠25℃；</w:t>
      </w:r>
      <w:r>
        <w:rPr>
          <w:color w:val="auto"/>
          <w:highlight w:val="none"/>
        </w:rPr>
      </w:r>
      <w:r/>
    </w:p>
    <w:p>
      <w:pPr>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 总有机碳含量</w:t>
      </w:r>
      <w:r>
        <w:rPr>
          <w:rFonts w:hint="eastAsia" w:ascii="宋体" w:hAnsi="宋体" w:eastAsia="宋体" w:cs="宋体"/>
          <w:color w:val="auto"/>
          <w:sz w:val="24"/>
          <w:highlight w:val="none"/>
        </w:rPr>
        <w:t xml:space="preserve">(TOC)</w:t>
      </w:r>
      <w:r>
        <w:rPr>
          <w:rFonts w:hint="eastAsia" w:ascii="宋体" w:hAnsi="宋体" w:eastAsia="宋体" w:cs="宋体"/>
          <w:color w:val="auto"/>
          <w:sz w:val="24"/>
          <w:highlight w:val="none"/>
        </w:rPr>
        <w:t xml:space="preserve">：≤ 5ppb；</w:t>
      </w:r>
      <w:r>
        <w:rPr>
          <w:color w:val="auto"/>
          <w:highlight w:val="none"/>
        </w:rPr>
      </w:r>
      <w:r/>
    </w:p>
    <w:p>
      <w:pPr>
        <w:pStyle w:val="942"/>
        <w:rPr>
          <w:rFonts w:hint="eastAsia"/>
          <w:color w:val="auto"/>
          <w:highlight w:val="none"/>
        </w:rPr>
      </w:pPr>
      <w:r>
        <w:rPr>
          <w:rFonts w:hint="eastAsia"/>
          <w:color w:val="auto"/>
          <w:highlight w:val="none"/>
        </w:rPr>
        <w:t xml:space="preserve">2.3.3 颗粒：无&gt;0.22um粒子；</w:t>
      </w:r>
      <w:r>
        <w:rPr>
          <w:color w:val="auto"/>
          <w:highlight w:val="none"/>
        </w:rPr>
      </w:r>
      <w:r/>
    </w:p>
    <w:p>
      <w:pPr>
        <w:pStyle w:val="942"/>
        <w:rPr>
          <w:rFonts w:hint="eastAsia"/>
          <w:color w:val="auto"/>
          <w:highlight w:val="none"/>
        </w:rPr>
      </w:pPr>
      <w:r>
        <w:rPr>
          <w:rFonts w:hint="eastAsia"/>
          <w:color w:val="auto"/>
          <w:highlight w:val="none"/>
        </w:rPr>
        <w:t xml:space="preserve">2.3.4 细菌：＜1 cfu/mL ；</w:t>
      </w:r>
      <w:r>
        <w:rPr>
          <w:color w:val="auto"/>
          <w:highlight w:val="none"/>
        </w:rPr>
      </w:r>
      <w:r/>
    </w:p>
    <w:p>
      <w:pPr>
        <w:pStyle w:val="942"/>
        <w:rPr>
          <w:rFonts w:hint="eastAsia"/>
          <w:color w:val="auto"/>
          <w:highlight w:val="none"/>
        </w:rPr>
      </w:pPr>
      <w:r>
        <w:rPr>
          <w:rFonts w:hint="eastAsia"/>
          <w:color w:val="auto"/>
          <w:highlight w:val="none"/>
        </w:rPr>
        <w:t xml:space="preserve">2.3.5 热原含量：＜0.001EU/mL ；</w:t>
      </w:r>
      <w:r>
        <w:rPr>
          <w:color w:val="auto"/>
          <w:highlight w:val="none"/>
        </w:rPr>
      </w:r>
      <w:r/>
    </w:p>
    <w:p>
      <w:pPr>
        <w:pStyle w:val="942"/>
        <w:rPr>
          <w:rFonts w:hint="eastAsia"/>
          <w:color w:val="auto"/>
          <w:highlight w:val="none"/>
        </w:rPr>
      </w:pPr>
      <w:r>
        <w:rPr>
          <w:rFonts w:hint="eastAsia"/>
          <w:color w:val="auto"/>
          <w:highlight w:val="none"/>
        </w:rPr>
        <w:t xml:space="preserve">2.3.6 RNases (核糖核酸酶) ：＜1 pg/mL ；</w:t>
      </w:r>
      <w:r>
        <w:rPr>
          <w:color w:val="auto"/>
          <w:highlight w:val="none"/>
        </w:rPr>
      </w:r>
      <w:r/>
    </w:p>
    <w:p>
      <w:pPr>
        <w:pStyle w:val="942"/>
        <w:rPr>
          <w:rFonts w:hint="eastAsia"/>
          <w:color w:val="auto"/>
          <w:highlight w:val="none"/>
        </w:rPr>
      </w:pPr>
      <w:r>
        <w:rPr>
          <w:rFonts w:hint="eastAsia"/>
          <w:color w:val="auto"/>
          <w:highlight w:val="none"/>
        </w:rPr>
        <w:t xml:space="preserve">2.3.7 DNases (脱氧核糖核酸酶)：＜5 pg/mL；</w:t>
      </w:r>
      <w:r>
        <w:rPr>
          <w:color w:val="auto"/>
          <w:highlight w:val="none"/>
        </w:rPr>
      </w:r>
      <w:r/>
    </w:p>
    <w:p>
      <w:pPr>
        <w:pStyle w:val="942"/>
        <w:rPr>
          <w:rFonts w:hint="eastAsia"/>
          <w:color w:val="auto"/>
          <w:highlight w:val="none"/>
        </w:rPr>
      </w:pPr>
      <w:r>
        <w:rPr>
          <w:rFonts w:hint="eastAsia"/>
          <w:color w:val="auto"/>
          <w:highlight w:val="none"/>
        </w:rPr>
        <w:t xml:space="preserve">2.3.8 Protease(蛋白酶) ：＜0.15 ug/mL；</w:t>
      </w:r>
      <w:r>
        <w:rPr>
          <w:color w:val="auto"/>
          <w:highlight w:val="none"/>
        </w:rPr>
      </w:r>
      <w:r/>
    </w:p>
    <w:p>
      <w:pPr>
        <w:pStyle w:val="942"/>
        <w:rPr>
          <w:rFonts w:hint="eastAsia"/>
          <w:color w:val="auto"/>
          <w:highlight w:val="none"/>
        </w:rPr>
      </w:pPr>
      <w:r>
        <w:rPr>
          <w:rFonts w:hint="eastAsia"/>
          <w:color w:val="auto"/>
          <w:highlight w:val="none"/>
        </w:rPr>
        <w:t xml:space="preserve">★2.3.9 流速 1.6L/min(逐滴-1.6L/min顺畅可调节)；（提供原厂盖章的彩页或技术参数证明材料）</w:t>
      </w:r>
      <w:r>
        <w:rPr>
          <w:color w:val="auto"/>
          <w:highlight w:val="none"/>
        </w:rPr>
      </w:r>
      <w:r/>
    </w:p>
    <w:p>
      <w:pPr>
        <w:pStyle w:val="942"/>
        <w:rPr>
          <w:rFonts w:hint="eastAsia"/>
          <w:color w:val="auto"/>
          <w:highlight w:val="none"/>
        </w:rPr>
      </w:pPr>
      <w:r>
        <w:rPr>
          <w:rFonts w:hint="eastAsia"/>
          <w:color w:val="auto"/>
          <w:highlight w:val="none"/>
        </w:rPr>
        <w:t xml:space="preserve">2.4 纯化柱到达使用期限后机器会自动提示更换，无需手动设定提醒时间；</w:t>
      </w:r>
      <w:r>
        <w:rPr>
          <w:color w:val="auto"/>
          <w:highlight w:val="none"/>
        </w:rPr>
      </w:r>
      <w:r/>
    </w:p>
    <w:p>
      <w:pPr>
        <w:pStyle w:val="942"/>
        <w:rPr>
          <w:rFonts w:hint="eastAsia"/>
          <w:color w:val="auto"/>
          <w:highlight w:val="none"/>
        </w:rPr>
      </w:pPr>
      <w:r>
        <w:rPr>
          <w:rFonts w:hint="eastAsia"/>
          <w:color w:val="auto"/>
          <w:highlight w:val="none"/>
        </w:rPr>
        <w:t xml:space="preserve">2.5 纯化柱采用“旋转&amp;锁紧”的设计，方便使用人员独立、轻松的进行更换，纯化柱外观有明显的颜色标识，帮助使用人员轻松识别并使用；</w:t>
      </w:r>
      <w:r>
        <w:rPr>
          <w:color w:val="auto"/>
          <w:highlight w:val="none"/>
        </w:rPr>
      </w:r>
      <w:r/>
    </w:p>
    <w:p>
      <w:pPr>
        <w:pStyle w:val="942"/>
        <w:rPr>
          <w:rFonts w:hint="eastAsia"/>
          <w:color w:val="auto"/>
          <w:highlight w:val="none"/>
        </w:rPr>
      </w:pPr>
      <w:r>
        <w:rPr>
          <w:rFonts w:hint="eastAsia"/>
          <w:color w:val="auto"/>
          <w:highlight w:val="none"/>
        </w:rPr>
        <w:t xml:space="preserve">★2.6 对于未取用完的超纯水将会进入超纯水循环回路经由紫外灯、精纯柱纯化后再次取用，确保始终如一的高品质超纯水。（提供原厂盖章的彩页或技术参数证明材料）</w:t>
      </w:r>
      <w:r>
        <w:rPr>
          <w:color w:val="auto"/>
          <w:highlight w:val="none"/>
        </w:rPr>
      </w:r>
      <w:r/>
    </w:p>
    <w:p>
      <w:pPr>
        <w:pStyle w:val="942"/>
        <w:rPr>
          <w:rFonts w:hint="eastAsia"/>
          <w:color w:val="auto"/>
          <w:highlight w:val="none"/>
        </w:rPr>
      </w:pPr>
      <w:r>
        <w:rPr>
          <w:rFonts w:hint="eastAsia"/>
          <w:color w:val="auto"/>
          <w:highlight w:val="none"/>
        </w:rPr>
        <w:t xml:space="preserve">★2.7 取水臂符合人体工学设计原理，握感舒适，操作省力。并配有取水流速的无级调节开关。可固定位置取水，也可于远程70cm范围内移动取水；</w:t>
      </w:r>
      <w:r>
        <w:rPr>
          <w:color w:val="auto"/>
          <w:highlight w:val="none"/>
        </w:rPr>
      </w:r>
      <w:r/>
    </w:p>
    <w:p>
      <w:pPr>
        <w:pStyle w:val="942"/>
        <w:rPr>
          <w:rFonts w:hint="eastAsia"/>
          <w:color w:val="auto"/>
          <w:highlight w:val="none"/>
        </w:rPr>
      </w:pPr>
      <w:r>
        <w:rPr>
          <w:rFonts w:hint="eastAsia"/>
          <w:color w:val="auto"/>
          <w:highlight w:val="none"/>
        </w:rPr>
        <w:t xml:space="preserve">2.8 内置185/254nm双波长紫外灯，用于氧化有机污染物及杀菌。使用期间无需更换，最高使用寿命可达7年；</w:t>
      </w:r>
      <w:r>
        <w:rPr>
          <w:color w:val="auto"/>
          <w:highlight w:val="none"/>
        </w:rPr>
      </w:r>
      <w:r/>
    </w:p>
    <w:p>
      <w:pPr>
        <w:pStyle w:val="942"/>
        <w:rPr>
          <w:rFonts w:hint="eastAsia"/>
          <w:color w:val="auto"/>
          <w:highlight w:val="none"/>
        </w:rPr>
      </w:pPr>
      <w:r>
        <w:rPr>
          <w:rFonts w:hint="eastAsia"/>
          <w:color w:val="auto"/>
          <w:highlight w:val="none"/>
        </w:rPr>
        <w:t xml:space="preserve">2.9 电阻率具有自动检测及报警功能，彩色LED指示灯实时提示电阻率状态；</w:t>
      </w:r>
      <w:r>
        <w:rPr>
          <w:color w:val="auto"/>
          <w:highlight w:val="none"/>
        </w:rPr>
      </w:r>
      <w:r/>
    </w:p>
    <w:p>
      <w:pPr>
        <w:pStyle w:val="942"/>
        <w:rPr>
          <w:rFonts w:hint="eastAsia"/>
          <w:color w:val="auto"/>
          <w:highlight w:val="none"/>
        </w:rPr>
      </w:pPr>
      <w:r>
        <w:rPr>
          <w:rFonts w:hint="eastAsia"/>
          <w:color w:val="auto"/>
          <w:highlight w:val="none"/>
        </w:rPr>
        <w:t xml:space="preserve">2.10 符合CE、UL，符合ISO 14001环境管理体系认证，生产工厂符合ISO 50001能源管理体系认证，符合ISO 9001质量管理体系认证； </w:t>
      </w:r>
      <w:r>
        <w:rPr>
          <w:color w:val="auto"/>
          <w:highlight w:val="none"/>
        </w:rPr>
      </w:r>
      <w:r/>
    </w:p>
    <w:p>
      <w:pPr>
        <w:pStyle w:val="942"/>
        <w:rPr>
          <w:rFonts w:hint="eastAsia"/>
          <w:color w:val="auto"/>
          <w:highlight w:val="none"/>
        </w:rPr>
      </w:pPr>
      <w:r>
        <w:rPr>
          <w:rFonts w:hint="eastAsia"/>
          <w:color w:val="auto"/>
          <w:highlight w:val="none"/>
        </w:rPr>
        <w:t xml:space="preserve">2.11 配置50L专用PE水箱，用于纯水储存或转移。</w:t>
      </w:r>
      <w:r>
        <w:rPr>
          <w:color w:val="auto"/>
          <w:highlight w:val="none"/>
        </w:rPr>
      </w:r>
      <w:r/>
    </w:p>
    <w:p>
      <w:pPr>
        <w:pStyle w:val="942"/>
        <w:rPr>
          <w:rFonts w:hint="eastAsia"/>
          <w:color w:val="auto"/>
          <w:highlight w:val="none"/>
        </w:rPr>
      </w:pPr>
      <w:r>
        <w:rPr>
          <w:rFonts w:hint="eastAsia"/>
          <w:color w:val="auto"/>
          <w:highlight w:val="none"/>
        </w:rPr>
        <w:t xml:space="preserve">2.11.1 水箱具有自洁功能；</w:t>
      </w:r>
      <w:r>
        <w:rPr>
          <w:color w:val="auto"/>
          <w:highlight w:val="none"/>
        </w:rPr>
      </w:r>
      <w:r/>
    </w:p>
    <w:p>
      <w:pPr>
        <w:pStyle w:val="942"/>
        <w:rPr>
          <w:rFonts w:hint="eastAsia"/>
          <w:color w:val="auto"/>
          <w:highlight w:val="none"/>
        </w:rPr>
      </w:pPr>
      <w:r>
        <w:rPr>
          <w:rFonts w:hint="eastAsia"/>
          <w:color w:val="auto"/>
          <w:highlight w:val="none"/>
        </w:rPr>
        <w:t xml:space="preserve">2.11.2 取水流速：不小于5L/min。</w:t>
      </w:r>
      <w:r>
        <w:rPr>
          <w:color w:val="auto"/>
          <w:highlight w:val="none"/>
        </w:rPr>
      </w:r>
      <w:r/>
    </w:p>
    <w:p>
      <w:pPr>
        <w:pStyle w:val="942"/>
        <w:rPr>
          <w:rFonts w:hint="eastAsia"/>
          <w:color w:val="auto"/>
          <w:highlight w:val="none"/>
        </w:rPr>
      </w:pPr>
      <w:r>
        <w:rPr>
          <w:rFonts w:hint="eastAsia"/>
          <w:color w:val="auto"/>
          <w:highlight w:val="none"/>
        </w:rPr>
        <w:t xml:space="preserve">2.11.3支持远程取水，可达60米。</w:t>
      </w:r>
      <w:r>
        <w:rPr>
          <w:color w:val="auto"/>
          <w:highlight w:val="none"/>
        </w:rPr>
      </w:r>
      <w:r/>
    </w:p>
    <w:p>
      <w:pPr>
        <w:pStyle w:val="942"/>
        <w:rPr>
          <w:rFonts w:hint="eastAsia"/>
          <w:color w:val="auto"/>
          <w:highlight w:val="none"/>
        </w:rPr>
      </w:pPr>
      <w:r>
        <w:rPr>
          <w:rFonts w:hint="eastAsia"/>
          <w:color w:val="auto"/>
          <w:highlight w:val="none"/>
        </w:rPr>
        <w:t xml:space="preserve">2.11.4带有空气过滤器和紫外灯杀菌。</w:t>
      </w:r>
      <w:r>
        <w:rPr>
          <w:color w:val="auto"/>
          <w:highlight w:val="none"/>
        </w:rPr>
      </w:r>
      <w:r/>
    </w:p>
    <w:p>
      <w:pPr>
        <w:spacing w:before="48" w:line="288" w:lineRule="auto"/>
        <w:tabs>
          <w:tab w:val="left" w:pos="42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3、配置要求：</w:t>
      </w:r>
      <w:r>
        <w:rPr>
          <w:color w:val="auto"/>
          <w:highlight w:val="none"/>
        </w:rPr>
      </w:r>
      <w:r/>
    </w:p>
    <w:p>
      <w:pPr>
        <w:pStyle w:val="942"/>
        <w:rPr>
          <w:rFonts w:hint="eastAsia"/>
          <w:color w:val="auto"/>
          <w:highlight w:val="none"/>
        </w:rPr>
      </w:pPr>
      <w:r>
        <w:rPr>
          <w:rFonts w:hint="eastAsia"/>
          <w:color w:val="auto"/>
          <w:highlight w:val="none"/>
        </w:rPr>
        <w:t xml:space="preserve">3.1 纯水超纯水系统主机1台</w:t>
      </w:r>
      <w:r>
        <w:rPr>
          <w:color w:val="auto"/>
          <w:highlight w:val="none"/>
        </w:rPr>
      </w:r>
      <w:r/>
    </w:p>
    <w:p>
      <w:pPr>
        <w:pStyle w:val="942"/>
        <w:rPr>
          <w:rFonts w:hint="eastAsia"/>
          <w:color w:val="auto"/>
          <w:highlight w:val="none"/>
        </w:rPr>
      </w:pPr>
      <w:r>
        <w:rPr>
          <w:rFonts w:hint="eastAsia"/>
          <w:color w:val="auto"/>
          <w:highlight w:val="none"/>
        </w:rPr>
        <w:t xml:space="preserve">3.2 纯水处理设备1套</w:t>
      </w:r>
      <w:r>
        <w:rPr>
          <w:color w:val="auto"/>
          <w:highlight w:val="none"/>
        </w:rPr>
      </w:r>
      <w:r/>
    </w:p>
    <w:p>
      <w:pPr>
        <w:pStyle w:val="942"/>
        <w:rPr>
          <w:rFonts w:hint="eastAsia"/>
          <w:color w:val="auto"/>
          <w:highlight w:val="none"/>
        </w:rPr>
      </w:pPr>
      <w:r>
        <w:rPr>
          <w:rFonts w:hint="eastAsia"/>
          <w:color w:val="auto"/>
          <w:highlight w:val="none"/>
        </w:rPr>
        <w:t xml:space="preserve">3.2 精制纯化柱1套</w:t>
      </w:r>
      <w:r>
        <w:rPr>
          <w:color w:val="auto"/>
          <w:highlight w:val="none"/>
        </w:rPr>
      </w:r>
      <w:r/>
    </w:p>
    <w:p>
      <w:pPr>
        <w:pStyle w:val="942"/>
        <w:rPr>
          <w:rFonts w:hint="eastAsia"/>
          <w:color w:val="auto"/>
          <w:highlight w:val="none"/>
        </w:rPr>
      </w:pPr>
      <w:r>
        <w:rPr>
          <w:rFonts w:hint="eastAsia"/>
          <w:color w:val="auto"/>
          <w:highlight w:val="none"/>
        </w:rPr>
        <w:t xml:space="preserve">3.3 终端过滤器1套</w:t>
      </w:r>
      <w:r>
        <w:rPr>
          <w:color w:val="auto"/>
          <w:highlight w:val="none"/>
        </w:rPr>
      </w:r>
      <w:r/>
    </w:p>
    <w:p>
      <w:pPr>
        <w:pStyle w:val="942"/>
        <w:rPr>
          <w:rFonts w:hint="eastAsia"/>
          <w:color w:val="auto"/>
          <w:highlight w:val="none"/>
        </w:rPr>
      </w:pPr>
      <w:r>
        <w:rPr>
          <w:rFonts w:hint="eastAsia"/>
          <w:color w:val="auto"/>
          <w:highlight w:val="none"/>
        </w:rPr>
        <w:t xml:space="preserve">3.4 离子交换精纯柱1套</w:t>
      </w:r>
      <w:r>
        <w:rPr>
          <w:color w:val="auto"/>
          <w:highlight w:val="none"/>
        </w:rPr>
      </w:r>
      <w:r/>
    </w:p>
    <w:p>
      <w:pPr>
        <w:pStyle w:val="942"/>
        <w:rPr>
          <w:rFonts w:hint="eastAsia"/>
          <w:color w:val="auto"/>
          <w:highlight w:val="none"/>
        </w:rPr>
      </w:pPr>
      <w:r>
        <w:rPr>
          <w:rFonts w:hint="eastAsia"/>
          <w:color w:val="auto"/>
          <w:highlight w:val="none"/>
        </w:rPr>
        <w:t xml:space="preserve">3.5 30L水箱1只</w:t>
      </w:r>
      <w:r>
        <w:rPr>
          <w:color w:val="auto"/>
          <w:highlight w:val="none"/>
        </w:rPr>
      </w:r>
      <w:r/>
    </w:p>
    <w:p>
      <w:pPr>
        <w:pStyle w:val="942"/>
        <w:rPr>
          <w:rFonts w:hint="eastAsia"/>
          <w:color w:val="auto"/>
          <w:highlight w:val="none"/>
        </w:rPr>
      </w:pPr>
      <w:r>
        <w:rPr>
          <w:rFonts w:hint="eastAsia"/>
          <w:color w:val="auto"/>
          <w:highlight w:val="none"/>
        </w:rPr>
        <w:t xml:space="preserve">3.6 50L水箱1只</w:t>
      </w:r>
      <w:r>
        <w:rPr>
          <w:color w:val="auto"/>
          <w:highlight w:val="none"/>
        </w:rPr>
      </w:r>
      <w:r/>
    </w:p>
    <w:p>
      <w:pPr>
        <w:spacing w:before="48" w:line="288" w:lineRule="auto"/>
        <w:tabs>
          <w:tab w:val="left" w:pos="420" w:leader="none"/>
        </w:tabs>
        <w:rPr>
          <w:rFonts w:hint="eastAsia" w:ascii="宋体" w:hAnsi="宋体" w:eastAsia="宋体" w:cs="宋体"/>
          <w:b/>
          <w:color w:val="auto"/>
          <w:sz w:val="24"/>
          <w:highlight w:val="none"/>
        </w:rPr>
      </w:pPr>
      <w:r>
        <w:rPr>
          <w:color w:val="auto"/>
          <w:highlight w:val="none"/>
        </w:rPr>
      </w:r>
      <w:bookmarkStart w:id="70" w:name="_Hlk201347342"/>
      <w:r>
        <w:rPr>
          <w:rFonts w:hint="eastAsia" w:ascii="宋体" w:hAnsi="宋体" w:eastAsia="宋体" w:cs="宋体"/>
          <w:b/>
          <w:color w:val="auto"/>
          <w:sz w:val="24"/>
          <w:highlight w:val="none"/>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pStyle w:val="939"/>
        <w:rPr>
          <w:rFonts w:hint="eastAsia"/>
          <w:color w:val="auto"/>
          <w:highlight w:val="none"/>
        </w:rPr>
      </w:pPr>
      <w:r>
        <w:rPr>
          <w:rFonts w:hint="eastAsia"/>
          <w:color w:val="auto"/>
          <w:highlight w:val="none"/>
        </w:rPr>
        <w:t xml:space="preserve">4.3提供详细的培训计划，保证使用人员正常操作设备。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4.4零配件应保证不少于8年的供应期。</w:t>
      </w:r>
      <w:r>
        <w:rPr>
          <w:color w:val="auto"/>
          <w:highlight w:val="none"/>
        </w:rPr>
      </w:r>
      <w:r/>
    </w:p>
    <w:p>
      <w:pPr>
        <w:pStyle w:val="942"/>
        <w:rPr>
          <w:rFonts w:hint="eastAsia"/>
          <w:color w:val="auto"/>
          <w:highlight w:val="none"/>
        </w:rPr>
      </w:pPr>
      <w:r>
        <w:rPr>
          <w:rFonts w:hint="eastAsia"/>
          <w:color w:val="auto"/>
          <w:highlight w:val="none"/>
        </w:rPr>
        <w:br w:type="page" w:clear="all"/>
      </w:r>
      <w:bookmarkEnd w:id="70"/>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（十一）紫外分光光度计</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用于微量样品测试、代谢产物分析、药品分析等。</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光学系统：双光束；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波长范围：190nm～1100nm；</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多种测量方式同时显示，瞬间测量；</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杂散光：≤0.01%T(220nm，Nal)；（提供原厂盖章的彩页或技术参数证明资料，且作为验收指标）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波长重复性：≤0.1nm；</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波长扫描：三档可选（快、中、慢）；</w:t>
      </w:r>
      <w:r>
        <w:rPr>
          <w:color w:val="auto"/>
          <w:highlight w:val="none"/>
        </w:rPr>
      </w:r>
      <w:r/>
    </w:p>
    <w:p>
      <w:pPr>
        <w:rPr>
          <w:rFonts w:hint="eastAsia" w:ascii="宋体" w:hAnsi="宋体" w:cs="宋体"/>
          <w:color w:val="auto"/>
          <w:szCs w:val="21"/>
          <w:highlight w:val="none"/>
        </w:rPr>
      </w:pPr>
      <w:r>
        <w:rPr>
          <w:rFonts w:hint="eastAsia" w:ascii="宋体" w:hAnsi="宋体" w:eastAsia="宋体" w:cs="宋体"/>
          <w:color w:val="auto"/>
          <w:sz w:val="24"/>
          <w:highlight w:val="none"/>
        </w:rPr>
        <w:t xml:space="preserve">★2.7 波长扫描速度：≥30000nm/min，扫描精度：≤0.1nm；</w:t>
      </w:r>
      <w:r>
        <w:rPr>
          <w:rFonts w:hint="eastAsia" w:ascii="宋体" w:hAnsi="宋体" w:cs="宋体"/>
          <w:color w:val="auto"/>
          <w:szCs w:val="21"/>
          <w:highlight w:val="none"/>
        </w:rPr>
        <w:t xml:space="preserve">（提供原厂盖章的彩页或技术参数证明资料，且作为验收指标）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 插座式氘灯和钨灯，换灯时免去光学调试；</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 光度方式：透过率、吸光度、反射率，能量；</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 光度范围：-4.0Abs～4.0Abs吸光度范围，无惧高浓度样品；</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基线平直度：±0.0005Abs；</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 测量功能：光度测量、光谱扫描、定量计算、时间扫描、三维图谱功能、DNA蛋白质测定；</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 可实现多条光谱组合显示为三维谱图，对三维谱图进行光照、着色、分层等效果处理；</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 支持网络远程控制，实验室设备网络组建，进行一台计算机多台设备的操控；</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 仪器系统平台可扩展应用，实现在线教学、智能考核、水质检测等功能；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 可定制用户专属方法，方法支持存储设备和网络形式移植；</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 数据可导出至U盘，存储空间支持扩展；</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 准确度I级；（提供原厂盖章的彩页或技术参数证明资料，且作为验收指标）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 外壳采用四重材料工艺处理，耐酸、碱和有机溶剂的腐蚀；</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2.20 样品池防腐材质，避免生锈问题；</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样品池有凹槽型结构设计，防打翻漏液，截流防腐；</w:t>
      </w:r>
      <w:r>
        <w:rPr>
          <w:color w:val="auto"/>
          <w:highlight w:val="none"/>
        </w:rPr>
      </w:r>
      <w:r/>
    </w:p>
    <w:p>
      <w:pPr>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2.22 可配置X、Y、Z轴三维直角坐标式紫外自动进样器，可支持不少于50个样品连续进样，通过紫外可见分光光度计的软件直接反控自动进样器；</w:t>
      </w:r>
      <w:r>
        <w:rPr>
          <w:color w:val="auto"/>
          <w:highlight w:val="none"/>
        </w:rPr>
      </w:r>
      <w:r/>
    </w:p>
    <w:p>
      <w:pPr>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2.23 配置重金属检测专用耗材及方法包，实现对重金属特异性选择、富集及检测，检出限要求达到5ppb以下，实现对重金属的检测；</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紫外可见分光光度计主机1台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自动五联长样品池架1个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石英比色皿（10mm）1对</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UV win7.0中文操作软件（三维图谱）1套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印迹材料1盒</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备品备件1套（含黑挡块、安装工具、U盘、仪器罩、网线、电源线、多用电源盒等）</w:t>
      </w:r>
      <w:r>
        <w:rPr>
          <w:color w:val="auto"/>
          <w:highlight w:val="none"/>
        </w:rPr>
      </w:r>
      <w:r/>
    </w:p>
    <w:p>
      <w:pPr>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电脑工作站1套(配置不低于：处理器Intel i5，10核、硬盘512GB SSD、内存8G 、21寸液晶显示器)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激光打印机1台</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质保期：不少于3年（质保期自验收合格之日起计算）。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pStyle w:val="939"/>
        <w:rPr>
          <w:rFonts w:hint="eastAsia"/>
          <w:color w:val="auto"/>
          <w:highlight w:val="none"/>
        </w:rPr>
      </w:pPr>
      <w:r>
        <w:rPr>
          <w:rFonts w:hint="eastAsia"/>
          <w:color w:val="auto"/>
          <w:highlight w:val="none"/>
        </w:rPr>
        <w:t xml:space="preserve">4.3提供详细的培训计划，保证使用人员正常操作设备。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4.4零配件应保证不少于8年的供应期。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（十二）洗瓶机</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适用于不同材质（玻璃、陶瓷、塑料和金属）、不同形状（试管、培养皿、容量瓶、锥形瓶、量筒等）、不同容量和尺寸器皿的清洗、消毒、烘干；</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2.1控制系统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采用国际知名品牌PLC控制系统，运行稳定(非微电脑芯片控制)，不小于7寸液晶触摸显示屏，显示屏亮度可根据用户需求调节；不少于20个标准清洗程序，可根据需要可设置多个自定义清洗程序；满足有机、无机或微生物等实验室使用，用户可自定义编辑程序，如：用户中英文俄名称、程序名称、清洗时间、温度、清洗水源、清洗剂用量、烘干时间、烘干温度等参数。(提供原厂盖章的材料/实物图证明）</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2.1.2联锁装置：电子门锁开关门，确保运行安全，可以通过按键、程序和手动三种方式打开。</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操作权限：操作权限分为系统工程师、管理员、操作员，其中系统工程师有不少于1个账户，管理员有不少于2个账户，操作员有不少于3个账户，每个账户都有相应的权限密码进行登录。(提供原厂盖章的材料/实物图证明）</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2.1.4报警装置：控制系统应对设备的异常和偏离情况进行报警，能够实现自动声音报警，在显示屏显示报警信息 并自动打印记录，操作界面上可以显示警报信息。</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2.1.5设备自带不少于三种语言系统：中文、英文、俄文。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2.1.6设备带有延迟三秒开机、关机功能；防止客户误操作。</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2.2在线监测</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联锁装置：保证设备的运行状态下是不能打开门锁，以免热水烫伤。</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 进水监测：保证设备清洗过程中正常的用水需求。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 双温监控：按照清洗温度图谱精确控制温度。</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 过热保护：监测到循环泵过热时，设备自动关闭，以防损坏机器。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 清洗剂监测：保证清洗过程中有足够的化学试剂。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 泡沫监测：清洗机能够自动识别清洗运行状态，如果清洗内腔泡沫过多，阻碍了喷淋臂转速，清洗机会自动报警。</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★2.2.7可通过显示屏PID运行程序实时监测和显示整个设备的运行状态。(提供原厂盖章的材料/实物图证明）</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2.2.8内置3套水位传感系统，防止设备溢水。</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2.3循环系统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2.3.1采用进口循环泵，最大循环能力可自动调节0-400L/min，安装有软启动和防过载装传感器，保护泵启动温和并延长使用寿命。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2.4清洗剂分配：</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用于液体酸性助剂的蠕动泵（1 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用于液体清洁剂的蠕动泵（1 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内置2×6 升容器的清洗剂，清洗剂放置在设备里面，保证安全。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2.5设备结构</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2.5.1装载门：正面装载并配备下拉式门。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2.5.2设备结构：内腔采用模具冲压一体成型，无焊接点，R15圆角设计，清洗室内表面抛光至表面粗糙度&lt;0.51μm Ra 清洗/冲洗溶液管道，内表面抛光至表面粗糙度&lt;0.51μm，外表面Ra≤0.9μm。管道焊接工艺符合GTAW（自动轨迹焊）标准。</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★2.5.3材料：304级不锈钢外壳，316L级8K镜面不锈钢内胆，具有超强的防腐蚀功能。(提供原厂盖章的材料/实物图证明）；</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 进水方式：采用篮架从内腔背部耦合对接，分两路进水，保证器皿清洗的水量均匀及清洗效果，能够更好的分配清洗液和合理利用内腔空间。</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2.5.5喷淋系统：标配上中下旋转喷淋臂，采用扇形喷嘴和非对称设计，保证清洗的覆盖率更广。</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★2.5.6装载篮架：设备内置4个进水口，2层导轨,可放置2层清洗篮架；且上下2层篮架互不干涉，每层两个独立模块，每次可最多放置4个模块篮架，模块化篮架设计更合理。(提供原厂盖章的材料/实物图证明）；</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2.5.7内腔容积：不小于230L；</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2.5.8设备有带USB数据接口，可连电脑、打印机、U盘等，并内置储存芯片；仪器带有数据追溯功能，可储存不低于20000条清洗记录，符合GMP要求。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2.5.9 设备自带纯水增压系统；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2.5.10 内置三层过滤系统，避免杂物进入管路造成堵塞，防止二次污染；</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2.6干燥系统：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空气过滤：采用高效过滤器/HEPA,</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风机：每小时空气流量120m3/小时；温度最高可调至100℃，干燥时间可自定义设置。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2.6.3热装装置：≤2.5KW。</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 蒸汽冷凝器：采用双蒸汽冷凝器将干燥过程中水蒸气转换为液体排放掉，避免增加房间的湿度，同时保护电子器元件不受损坏。</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2.7清洗能力</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2.7.1清洗能力:单次清洗250ml以下的容量瓶不低于160个，单次清洗48ml以下的移液管不低于196支；单次清洗50ml以下的试管不低于380支；单次清洗20ml以下的顶空瓶不低于104个；单次清洗250ml以下的烧杯不低于 104个；单次清洗进样小瓶不低于 392个；单次清洗200ml以下的量筒等综合型篮架装载数量数量不低于160支；</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可根据用户需求定制；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2.8资质要求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2.8.1 检测报告：出具有国家级检测机构出具的有CNAS、CMA资质认可的权威检测报告告复印件，检测机构针对投标型号设备清洗残留量的检测报告；</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 管理资质：提供ISO9001等认证证书；服务认证证书；高新技术产品、高新技术企业</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 篮架报告：提供不锈钢托架的篮架疲劳度测试报告，盐雾测试报告，进口材料报告，表面电解处理报告等。</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2.8.4 漏水测试：清洗腔、贮水槽等所有焊缝，不存在焊接缺陷，并通过100%注水24小时检漏测试。</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2.8.5 提供无交叉污染证明材料，管道压力监测证明材料；</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全自动玻璃器皿清洗机1台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上层基础篮架1套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下层基础篮架1套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容量瓶、比色管、顶空瓶、试管清洗篮架（40位）2套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三角烧瓶、分液漏斗清洗篮架（15位）2套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三角烧瓶、容量瓶 、分液漏斗清洗篮架（8位）1套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移液管、刻度吸管清洗篮架（98位）1套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强碱性清洗剂5L 1桶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酸性清洗剂5L 1桶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3.10 纯水机1台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3.11空气开关1套</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4、售后服务要求：</w:t>
      </w:r>
      <w:r>
        <w:rPr>
          <w:color w:val="auto"/>
          <w:highlight w:val="none"/>
        </w:rPr>
      </w:r>
      <w:r/>
    </w:p>
    <w:p>
      <w:pPr>
        <w:pStyle w:val="939"/>
        <w:rPr>
          <w:rFonts w:hint="eastAsia"/>
          <w:color w:val="auto"/>
          <w:highlight w:val="none"/>
        </w:rPr>
      </w:pPr>
      <w:r>
        <w:rPr>
          <w:rFonts w:hint="eastAsia"/>
          <w:color w:val="auto"/>
          <w:highlight w:val="none"/>
        </w:rPr>
        <w:t xml:space="preserve">4.1 质保期：不少于3年（质保期自验收合格之日起计算）。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4.2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pStyle w:val="939"/>
        <w:rPr>
          <w:rFonts w:hint="eastAsia"/>
          <w:color w:val="auto"/>
          <w:highlight w:val="none"/>
        </w:rPr>
      </w:pPr>
      <w:r>
        <w:rPr>
          <w:rFonts w:hint="eastAsia"/>
          <w:color w:val="auto"/>
          <w:highlight w:val="none"/>
        </w:rPr>
        <w:t xml:space="preserve">4.3提供详细的培训计划，保证使用人员正常操作设备。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4.4零配件应保证不少于8年的供应期。</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（十三）分析天平（1/10000）</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可读性：≤0.1mg；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最大秤量值：</w:t>
      </w:r>
      <w:r>
        <w:rPr>
          <w:rFonts w:hint="eastAsia" w:cs="宋体"/>
          <w:color w:val="auto"/>
          <w:highlight w:val="none"/>
          <w:lang w:bidi="ar"/>
        </w:rPr>
        <w:t xml:space="preserve">≥</w:t>
      </w:r>
      <w:r>
        <w:rPr>
          <w:rFonts w:hint="eastAsia" w:ascii="宋体" w:hAnsi="宋体" w:eastAsia="宋体" w:cs="宋体"/>
          <w:color w:val="auto"/>
          <w:sz w:val="24"/>
          <w:highlight w:val="none"/>
        </w:rPr>
        <w:t xml:space="preserve">220g；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重复性典型值（sd, 5%加载）：</w:t>
      </w:r>
      <w:bookmarkStart w:id="71" w:name="OLE_LINK9"/>
      <w:r>
        <w:rPr>
          <w:rFonts w:hint="eastAsia" w:ascii="宋体" w:hAnsi="宋体" w:eastAsia="宋体" w:cs="宋体"/>
          <w:color w:val="auto"/>
          <w:sz w:val="24"/>
          <w:highlight w:val="none"/>
        </w:rPr>
        <w:t xml:space="preserve">≤</w:t>
      </w:r>
      <w:bookmarkEnd w:id="71"/>
      <w:r>
        <w:rPr>
          <w:rFonts w:hint="eastAsia" w:ascii="宋体" w:hAnsi="宋体" w:eastAsia="宋体" w:cs="宋体"/>
          <w:color w:val="auto"/>
          <w:sz w:val="24"/>
          <w:highlight w:val="none"/>
        </w:rPr>
        <w:t xml:space="preserve"> 0.004 mg；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线性误差典型值：</w:t>
      </w:r>
      <w:bookmarkStart w:id="72" w:name="OLE_LINK10"/>
      <w:r>
        <w:rPr>
          <w:rFonts w:hint="eastAsia" w:ascii="宋体" w:hAnsi="宋体" w:eastAsia="宋体" w:cs="宋体"/>
          <w:color w:val="auto"/>
          <w:sz w:val="24"/>
          <w:highlight w:val="none"/>
        </w:rPr>
        <w:t xml:space="preserve">≤</w:t>
      </w:r>
      <w:bookmarkEnd w:id="72"/>
      <w:r>
        <w:rPr>
          <w:rFonts w:hint="eastAsia" w:ascii="宋体" w:hAnsi="宋体" w:eastAsia="宋体" w:cs="宋体"/>
          <w:color w:val="auto"/>
          <w:sz w:val="24"/>
          <w:highlight w:val="none"/>
        </w:rPr>
        <w:t xml:space="preserve"> 0.06 mg；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灵敏度偏置：≤ 0.24 mg；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典型稳定时间：≤ 1.5S；</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最小称量值（k=2,U=1%）：≤8.2mg；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1.8 采用高精度、高分辨率后置式传感器，获得准确称量结果，避免样品洒落对于传感器的损伤；</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1.9 具有天平状态指示灯，通过不同颜色直观地显示天平当前运行状态，防止出错；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1.10全自动内部校准技术，温度漂移触发的天平自动内校，内置两组砝码实现线性误差校准；</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1.11 网格称量及后挂称量设计，对环境有更好的适应性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全自动开关天平防风门；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水平控制警告功能，指示天平水平调整方向；</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 方法储存和编辑；</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 校准和日常测试历史记录；</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1.16 完全可拆卸的防风罩设计，方便清洗；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 内置4*USB、1*LAN通讯接口，方便连接打印机、电脑等外围设备；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1.18根据实验室环境，选择适应性的称量参数设置；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1.19具有称量结果记事本；</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1.20具有密码保护的个人配置文件；</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万分之一天平主机1台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独立的带状态显示灯的彩色触摸屏1套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网格秤盘1个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自动开关防风门1套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针孔打印机1台</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3、售后服务要求：</w:t>
      </w:r>
      <w:r>
        <w:rPr>
          <w:color w:val="auto"/>
          <w:highlight w:val="none"/>
        </w:rPr>
      </w:r>
      <w:r/>
    </w:p>
    <w:p>
      <w:pPr>
        <w:pStyle w:val="939"/>
        <w:rPr>
          <w:rFonts w:hint="eastAsia"/>
          <w:color w:val="auto"/>
          <w:highlight w:val="none"/>
        </w:rPr>
      </w:pPr>
      <w:r>
        <w:rPr>
          <w:rFonts w:hint="eastAsia"/>
          <w:color w:val="auto"/>
          <w:highlight w:val="none"/>
        </w:rPr>
        <w:t xml:space="preserve">3.1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3.2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3.3零配件应保证不少于8年的供应期。</w:t>
      </w: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（十四）分析天平（1/100000）</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1.1可读性：≤0.01mg；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1.2最大秤量值：≥120g；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★1.3重复性典型值（sd, 5%加载）：≤ 0.008 mg；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1.4线性误差典型值：≤ 0.06 mg；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1.5灵敏度偏置：≤ 0.08 mg；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1.6典型稳定时间：≤ 3S；</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1.7最小称量值（k=2,U=1%）：≤1.6mg；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★1.8采用高精度、高分辨率后置式传感器，获得准确称量结果，避免样品洒落对于传感器的损伤；</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1.9具有天平状态指示灯，通过不同颜色直观地显示天平当前运行状态，防止出错；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★1.10全自动内部校准技术，温度漂移触发的天平自动内校，内置两组砝码实现线性误差校准；</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★1.11网格称量及后挂称量设计，对环境有更好的适应性；</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1.12全自动开关天平防风门；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1.13水平控制警告功能，指示天平水平调整方向；</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1.14方法储存和编辑；</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1.15校准和日常测试历史记录；</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1.16完全可拆卸的防风罩设计，方便清洗；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1.17内置4*USB、1*LAN通讯接口，方便连接打印机、电脑等外围设备；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1.18根据实验室环境，选择适应性的称量参数设置；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1.19具有称量结果记事本；</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1.20具有密码保护的个人配置文件；</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十万分之一天平主机1台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独立的带状态显示灯的彩色触摸屏1套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金属篮称量组件（用于放置小试管）1套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标液制备漏斗 10个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网格秤盘1个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自动开关防风门1套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 U形去静电装置1个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 针孔打印机1台</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3、售后服务要求：</w:t>
      </w:r>
      <w:r>
        <w:rPr>
          <w:color w:val="auto"/>
          <w:highlight w:val="none"/>
        </w:rPr>
      </w:r>
      <w:r/>
    </w:p>
    <w:p>
      <w:pPr>
        <w:pStyle w:val="939"/>
        <w:rPr>
          <w:rFonts w:hint="eastAsia"/>
          <w:color w:val="auto"/>
          <w:highlight w:val="none"/>
        </w:rPr>
      </w:pPr>
      <w:r>
        <w:rPr>
          <w:rFonts w:hint="eastAsia"/>
          <w:color w:val="auto"/>
          <w:highlight w:val="none"/>
        </w:rPr>
        <w:t xml:space="preserve">3.1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3.2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3.3零配件应保证不少于8年的供应期。</w:t>
      </w: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（十五）外置活塞式移液器</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可精准处理高密度、高粘度、易挥发的液体（油漆、胶水、油、酒精、甘油、血清等）、起泡以及常规水性溶液等样品移液；</w:t>
      </w:r>
      <w:r>
        <w:rPr>
          <w:color w:val="auto"/>
          <w:highlight w:val="none"/>
        </w:rPr>
      </w:r>
      <w:r/>
    </w:p>
    <w:p>
      <w:pPr>
        <w:pStyle w:val="939"/>
        <w:rPr>
          <w:rFonts w:hint="eastAsia"/>
          <w:color w:val="auto"/>
          <w:highlight w:val="none"/>
        </w:rPr>
      </w:pPr>
      <w:r>
        <w:rPr>
          <w:rFonts w:hint="eastAsia"/>
          <w:color w:val="auto"/>
          <w:highlight w:val="none"/>
        </w:rPr>
        <w:t xml:space="preserve">1.2 正面显示的四位数精度千分尺易于读取和设置；</w:t>
      </w:r>
      <w:r>
        <w:rPr>
          <w:color w:val="auto"/>
          <w:highlight w:val="none"/>
        </w:rPr>
      </w:r>
      <w:r/>
    </w:p>
    <w:p>
      <w:pPr>
        <w:pStyle w:val="939"/>
        <w:rPr>
          <w:rFonts w:hint="eastAsia"/>
          <w:color w:val="auto"/>
          <w:highlight w:val="none"/>
        </w:rPr>
      </w:pPr>
      <w:r>
        <w:rPr>
          <w:rFonts w:hint="eastAsia"/>
          <w:color w:val="auto"/>
          <w:highlight w:val="none"/>
        </w:rPr>
        <w:t xml:space="preserve">1.3 移液器手柄有彩色条纹可轻松识别每款PQ的型号——10（淡蓝色）、25（黄色）、50（蓝色）、100（桃色）、250（红色）和1,000µL（灰色），并可快速匹配对应量程吸头；</w:t>
      </w:r>
      <w:r>
        <w:rPr>
          <w:color w:val="auto"/>
          <w:highlight w:val="none"/>
        </w:rPr>
      </w:r>
      <w:r/>
    </w:p>
    <w:p>
      <w:pPr>
        <w:pStyle w:val="939"/>
        <w:rPr>
          <w:rFonts w:hint="eastAsia"/>
          <w:color w:val="auto"/>
          <w:highlight w:val="none"/>
        </w:rPr>
      </w:pPr>
      <w:r>
        <w:rPr>
          <w:rFonts w:hint="eastAsia"/>
          <w:color w:val="auto"/>
          <w:highlight w:val="none"/>
        </w:rPr>
        <w:t xml:space="preserve">1.4 移液量程有便捷的锁定机构，可防止漂移；</w:t>
      </w:r>
      <w:r>
        <w:rPr>
          <w:color w:val="auto"/>
          <w:highlight w:val="none"/>
        </w:rPr>
      </w:r>
      <w:r/>
    </w:p>
    <w:p>
      <w:pPr>
        <w:pStyle w:val="939"/>
        <w:rPr>
          <w:rFonts w:hint="eastAsia"/>
          <w:color w:val="auto"/>
          <w:highlight w:val="none"/>
        </w:rPr>
      </w:pPr>
      <w:r>
        <w:rPr>
          <w:rFonts w:hint="eastAsia"/>
          <w:color w:val="auto"/>
          <w:highlight w:val="none"/>
        </w:rPr>
        <w:t xml:space="preserve">1.5 量程锁和便捷的吸头加载机构均可发出“咔嗒”声，可轻松了解吸头已锁定并准备就绪；</w:t>
      </w:r>
      <w:r>
        <w:rPr>
          <w:color w:val="auto"/>
          <w:highlight w:val="none"/>
        </w:rPr>
      </w:r>
      <w:r/>
    </w:p>
    <w:p>
      <w:pPr>
        <w:pStyle w:val="939"/>
        <w:rPr>
          <w:rFonts w:hint="eastAsia"/>
          <w:color w:val="auto"/>
          <w:highlight w:val="none"/>
        </w:rPr>
      </w:pPr>
      <w:r>
        <w:rPr>
          <w:rFonts w:hint="eastAsia"/>
          <w:color w:val="auto"/>
          <w:highlight w:val="none"/>
        </w:rPr>
        <w:t xml:space="preserve">1.6符合人体工程学的手柄设计，指钩手感自然、舒适，易于抓握；</w:t>
      </w:r>
      <w:r>
        <w:rPr>
          <w:color w:val="auto"/>
          <w:highlight w:val="none"/>
        </w:rPr>
      </w:r>
      <w:r/>
    </w:p>
    <w:p>
      <w:pPr>
        <w:pStyle w:val="939"/>
        <w:rPr>
          <w:rFonts w:hint="eastAsia"/>
          <w:color w:val="auto"/>
          <w:highlight w:val="none"/>
        </w:rPr>
      </w:pPr>
      <w:r>
        <w:rPr>
          <w:rFonts w:hint="eastAsia"/>
          <w:color w:val="auto"/>
          <w:highlight w:val="none"/>
        </w:rPr>
        <w:t xml:space="preserve">1.7 液体端可高压灭菌：只需快速旋转四分之一圈，即可轻松拆卸/重新安装液体端，方便清洁和高压灭菌；</w:t>
      </w:r>
      <w:r>
        <w:rPr>
          <w:color w:val="auto"/>
          <w:highlight w:val="none"/>
        </w:rPr>
      </w:r>
      <w:r/>
    </w:p>
    <w:p>
      <w:pPr>
        <w:pStyle w:val="939"/>
        <w:rPr>
          <w:rFonts w:hint="eastAsia"/>
          <w:color w:val="auto"/>
          <w:highlight w:val="none"/>
        </w:rPr>
      </w:pPr>
      <w:r>
        <w:rPr>
          <w:rFonts w:hint="eastAsia"/>
          <w:color w:val="auto"/>
          <w:highlight w:val="none"/>
        </w:rPr>
        <w:t xml:space="preserve">1.8 无线射频识别技术：方便进行资产校准和管理，更加符合GLP/GMP安全性；</w:t>
      </w:r>
      <w:r>
        <w:rPr>
          <w:color w:val="auto"/>
          <w:highlight w:val="none"/>
        </w:rPr>
      </w:r>
      <w:r/>
    </w:p>
    <w:p>
      <w:pPr>
        <w:pStyle w:val="939"/>
        <w:rPr>
          <w:rFonts w:hint="eastAsia"/>
          <w:color w:val="auto"/>
          <w:highlight w:val="none"/>
        </w:rPr>
      </w:pPr>
      <w:r>
        <w:rPr>
          <w:rFonts w:hint="eastAsia"/>
          <w:color w:val="auto"/>
          <w:highlight w:val="none"/>
        </w:rPr>
        <w:t xml:space="preserve">★1.9 量程规格及技术参数：（容量范围10%~100%）</w:t>
      </w:r>
      <w:r>
        <w:rPr>
          <w:color w:val="auto"/>
          <w:highlight w:val="none"/>
        </w:rPr>
      </w:r>
      <w:r/>
    </w:p>
    <w:p>
      <w:pPr>
        <w:pStyle w:val="939"/>
        <w:rPr>
          <w:rFonts w:hint="eastAsia"/>
          <w:color w:val="auto"/>
          <w:highlight w:val="none"/>
        </w:rPr>
      </w:pPr>
      <w:r>
        <w:rPr>
          <w:rFonts w:hint="eastAsia"/>
          <w:color w:val="auto"/>
          <w:highlight w:val="none"/>
        </w:rPr>
        <w:t xml:space="preserve">1.9.1 规格10μL，体积增量：0.02μL，系统误差：±1.5%，随机误差：≤0.6%；</w:t>
      </w:r>
      <w:r>
        <w:rPr>
          <w:color w:val="auto"/>
          <w:highlight w:val="none"/>
        </w:rPr>
      </w:r>
      <w:r/>
    </w:p>
    <w:p>
      <w:pPr>
        <w:pStyle w:val="939"/>
        <w:rPr>
          <w:rFonts w:hint="eastAsia"/>
          <w:color w:val="auto"/>
          <w:highlight w:val="none"/>
        </w:rPr>
      </w:pPr>
      <w:r>
        <w:rPr>
          <w:rFonts w:hint="eastAsia"/>
          <w:color w:val="auto"/>
          <w:highlight w:val="none"/>
        </w:rPr>
        <w:t xml:space="preserve">1.9.2规格25μL，体积增量：0.02μL，系统误差；±1.2%，随机误差：≤0.4%；</w:t>
      </w:r>
      <w:r>
        <w:rPr>
          <w:color w:val="auto"/>
          <w:highlight w:val="none"/>
        </w:rPr>
      </w:r>
      <w:r/>
    </w:p>
    <w:p>
      <w:pPr>
        <w:pStyle w:val="939"/>
        <w:rPr>
          <w:rFonts w:hint="eastAsia"/>
          <w:color w:val="auto"/>
          <w:highlight w:val="none"/>
        </w:rPr>
      </w:pPr>
      <w:r>
        <w:rPr>
          <w:rFonts w:hint="eastAsia"/>
          <w:color w:val="auto"/>
          <w:highlight w:val="none"/>
        </w:rPr>
        <w:t xml:space="preserve">1.9.3规格50μL，体积增量：0.05μL，系统误差：± 1.4%，随机误差: ≤0.6%；1.9.4规格100μL，体积增量：0.2μL，系统误差：± 1.0%，随机误差: ≤0.4%；</w:t>
      </w:r>
      <w:r>
        <w:rPr>
          <w:color w:val="auto"/>
          <w:highlight w:val="none"/>
        </w:rPr>
      </w:r>
      <w:r/>
    </w:p>
    <w:p>
      <w:pPr>
        <w:pStyle w:val="939"/>
        <w:rPr>
          <w:rFonts w:hint="eastAsia"/>
          <w:color w:val="auto"/>
          <w:highlight w:val="none"/>
        </w:rPr>
      </w:pPr>
      <w:r>
        <w:rPr>
          <w:rFonts w:hint="eastAsia"/>
          <w:color w:val="auto"/>
          <w:highlight w:val="none"/>
        </w:rPr>
        <w:t xml:space="preserve">1.9.5规格250μL，体积增量：0.2μL，系统误差：±1.0%，随机误差：≤0.2%；</w:t>
      </w:r>
      <w:r>
        <w:rPr>
          <w:color w:val="auto"/>
          <w:highlight w:val="none"/>
        </w:rPr>
      </w:r>
      <w:r/>
    </w:p>
    <w:p>
      <w:pPr>
        <w:pStyle w:val="939"/>
        <w:rPr>
          <w:rFonts w:hint="eastAsia"/>
          <w:color w:val="auto"/>
          <w:highlight w:val="none"/>
        </w:rPr>
      </w:pPr>
      <w:r>
        <w:rPr>
          <w:rFonts w:hint="eastAsia"/>
          <w:color w:val="auto"/>
          <w:highlight w:val="none"/>
        </w:rPr>
        <w:t xml:space="preserve">1.9.6规格1000μL,体积增量：1μL，系统误差：±0.8%，随机误差：≤0.4%；</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2、配置要求：</w:t>
      </w:r>
      <w:r>
        <w:rPr>
          <w:rFonts w:hint="eastAsia" w:ascii="宋体" w:hAnsi="宋体" w:eastAsia="宋体" w:cs="宋体"/>
          <w:color w:val="auto"/>
          <w:sz w:val="24"/>
          <w:highlight w:val="none"/>
        </w:rPr>
        <w:t xml:space="preserve">10μL移液器1 支；25μL移液器1 支； 50μL移液器1 支；100μL移液器1 支；250μL移液器1 支；1000μL移液器1 支； </w:t>
      </w:r>
      <w:r>
        <w:rPr>
          <w:color w:val="auto"/>
          <w:highlight w:val="none"/>
        </w:rPr>
      </w:r>
      <w:r/>
    </w:p>
    <w:p>
      <w:pPr>
        <w:pStyle w:val="939"/>
        <w:rPr>
          <w:rFonts w:hint="eastAsia"/>
          <w:b/>
          <w:color w:val="auto"/>
          <w:highlight w:val="none"/>
        </w:rPr>
      </w:pPr>
      <w:r>
        <w:rPr>
          <w:rFonts w:hint="eastAsia"/>
          <w:b/>
          <w:color w:val="auto"/>
          <w:highlight w:val="none"/>
        </w:rPr>
        <w:t xml:space="preserve">3、售后服务要求：</w:t>
      </w:r>
      <w:r>
        <w:rPr>
          <w:color w:val="auto"/>
          <w:highlight w:val="none"/>
        </w:rPr>
      </w:r>
      <w:r/>
    </w:p>
    <w:p>
      <w:pPr>
        <w:pStyle w:val="939"/>
        <w:rPr>
          <w:rFonts w:hint="eastAsia"/>
          <w:color w:val="auto"/>
          <w:highlight w:val="none"/>
        </w:rPr>
      </w:pPr>
      <w:r>
        <w:rPr>
          <w:rFonts w:hint="eastAsia"/>
          <w:color w:val="auto"/>
          <w:highlight w:val="none"/>
        </w:rPr>
        <w:t xml:space="preserve">3.1 质保期：不少于2年（质保期自验收合格之日起计算）。</w:t>
      </w:r>
      <w:r>
        <w:rPr>
          <w:color w:val="auto"/>
          <w:highlight w:val="none"/>
        </w:rPr>
      </w:r>
      <w:r/>
    </w:p>
    <w:p>
      <w:pPr>
        <w:pStyle w:val="939"/>
        <w:rPr>
          <w:rFonts w:hint="eastAsia"/>
          <w:color w:val="auto"/>
          <w:highlight w:val="none"/>
        </w:rPr>
      </w:pPr>
      <w:r>
        <w:rPr>
          <w:rFonts w:hint="eastAsia"/>
          <w:color w:val="auto"/>
          <w:highlight w:val="none"/>
        </w:rPr>
        <w:t xml:space="preserve">3.2 服务响应：接到维修通知后有专职的技术服务人员上门服务，保证维修响应时间2小时</w:t>
      </w:r>
      <w:r>
        <w:rPr>
          <w:color w:val="auto"/>
          <w:highlight w:val="none"/>
        </w:rPr>
      </w:r>
      <w:r/>
    </w:p>
    <w:p>
      <w:pPr>
        <w:pStyle w:val="939"/>
        <w:rPr>
          <w:rFonts w:hint="eastAsia"/>
          <w:color w:val="auto"/>
          <w:highlight w:val="none"/>
        </w:rPr>
      </w:pPr>
      <w:r>
        <w:rPr>
          <w:rFonts w:hint="eastAsia"/>
          <w:color w:val="auto"/>
          <w:highlight w:val="none"/>
        </w:rPr>
        <w:t xml:space="preserve">内，工程师12小时内到现场，48小时内需完成维修。</w:t>
      </w:r>
      <w:r>
        <w:rPr>
          <w:color w:val="auto"/>
          <w:highlight w:val="none"/>
        </w:rPr>
      </w:r>
      <w:r/>
    </w:p>
    <w:p>
      <w:pPr>
        <w:pStyle w:val="939"/>
        <w:rPr>
          <w:rFonts w:hint="eastAsia"/>
          <w:color w:val="auto"/>
          <w:highlight w:val="none"/>
        </w:rPr>
      </w:pPr>
      <w:r>
        <w:rPr>
          <w:rFonts w:hint="eastAsia"/>
          <w:color w:val="auto"/>
          <w:highlight w:val="none"/>
        </w:rPr>
        <w:t xml:space="preserve">3.3零配件应保证不少于8年的供应期。</w:t>
      </w:r>
      <w:r>
        <w:rPr>
          <w:color w:val="auto"/>
          <w:highlight w:val="none"/>
        </w:rPr>
      </w:r>
      <w:r/>
    </w:p>
    <w:p>
      <w:pPr>
        <w:spacing w:line="3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rPr>
          <w:color w:val="auto"/>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rPr>
          <w:color w:val="auto"/>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（十六）马弗炉</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1.1高品质陶瓷炉体，加热器内置，不会被样品污染。可进行程序运行。配备操作性优良的控制器，实现高精度控温。</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1.2设定温度、时间、指示值都可进行数字表示。通过上下键操作设定，操作简便。</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1.3使用温度范围：100~1150℃。</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1.4温度调节精度：≤±1.5℃（at 1150℃）。</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1.5常温最高温度到达时间：约80分钟。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1.6温度控制方式：PID控制（10段修正）。</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1.7温度设定/表示：数字设定/数字表示。</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1.8超温保护：控制器一体型。</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1.9超温保护设定方式：数字设定。</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1.10定时器：1分～99小时59分以及999小时50分。</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★1.11运行功能：定值运行、程序运行（6种模式30段×1、15段×2种模式、10段×3种模式）、自动开始运行、自动停止运行。</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1.12附加功能：偏差修正功能、停电补偿功能、锁键功能。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★1.13安全装置：自诊断回路（温度传感异常、显示异常、自动过升防止异常）、测定温度异常、过升防止器、防止过电流的漏电保护开关。</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1.14外装：冷扎钢板，表面耐药品性涂装。</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1.15炉体：陶瓷纤维。</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★1.16传感器：双支R热电偶：一支用于温控，一支用于过升，减少故障率。在极端情况下，可保护设备安全。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1.17加热器材质：铁铬铝合金加热丝。</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1.18加热器功率：≤3.5kW。</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1.19冷却风叶：轴流风扇，提高工作效率。</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1.20配备排气口：内径20mm，上部。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1.21内尺寸（宽×深×高mm）：≤300 × 300 × 200。</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1.22外形尺寸（宽×深×高mm）：≤550 × 600 × 650。</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1.23内容积：≥10L。</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1.26可选配件：架台ON61C、承烧板、排气装置（AC220V）、试料盒、N2导入装置（付流量计）、微型打印机、记录仪、组合警示灯（待机/运行/故障）、外部通信功能（RS485）、温度输出端子（4～20mA）、外部警报输出端子、时间到达输出端子、集中监控软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2、配置要求：</w:t>
      </w:r>
      <w:r>
        <w:rPr>
          <w:rFonts w:hint="eastAsia" w:ascii="宋体" w:hAnsi="宋体" w:eastAsia="宋体" w:cs="宋体"/>
          <w:color w:val="auto"/>
          <w:sz w:val="24"/>
          <w:highlight w:val="none"/>
        </w:rPr>
        <w:t xml:space="preserve">整机1台；</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3、售后服务要求：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质保期：不少于2年（质保期自验收合格之日起计算）。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服务响应：接到维修通知后有专职的技术服务人员上门服务，保证维修响应时间2小时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3.3零配件应保证不少于8年的供应期。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（十七）医用冷藏箱</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1.1温度控制：微电脑控制，箱内控温范围2-8℃，操作方便简洁，LED数码管显示，实时显示箱内温度，观察方便；控温精度显示精度均为0.1℃；</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1.2整体结构：立式，单开真空玻璃门体，采用LBA无氟发泡，真正完全绿色环保，外壳采用预涂钢板外壳，内胆采用PS吸附成型内胆，便于箱内清洁、消毒；</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1.3核心组件：采用品牌压缩机及进口品牌风机，碳氢制冷剂，节能环保，质量可靠、性能稳定、使用寿命长；并提供组件铭牌证明；</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1.4制冷系统：采用板式蒸发器设计，制冷速度快，丝管式冷凝器设计，散热效果好；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★1.5温度均匀性：采用高性能保温材料，保温效果好，风冷系统，保证箱体温度均匀度≤±2℃，波动度≤4.5℃；</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1.6控温技术：搭配高精度3路传感器设计，包括显示传感器，控制传感器，环温传感器。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★1.7温度显示：感温探头置于甘油感温盒内，可选择检测温度或者仿生温度；</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1.8门体结构：门体双层钢化电加热玻璃并带有上吹风，32℃环温85%湿度下门体无凝露，箱内物品清晰可见；门体具有自关门设计，防止用户开门后忘记关门；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1.9安全系统：多重故障报警，具有蜂鸣报警、灯光闪烁、远程报警三种报警方式，可实现高低温报警、传感器故障报警、断电报警、电池电量低报警、开门报警、环温高报警；</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★1.10数据存储：选配数据存储模块，每6分钟记录一次数据，可通过前置的USB接口读取，插入U盘导出冰箱使用期间所有数据，数据可导出，温度数据可存储十年，实现温度数据的可追溯性；</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1.11数据打印：选配针式温度记录打印机，可实现实时打印、定时打印，并有追溯打印功能，打印数据信息可储存一年；</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1.12物联通讯：产品标配Wifi模块、选配485接口，用户可通过接口连网，冰箱运行温度数据及报警信息可传至云平台通过手机端查看；</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1.13温度监控：产品配有一个测试孔，方便客户接入各式设备，对箱内温度进行监测；</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1.14箱内配置：多层搁架设计，搁架间距可调，充分利用箱内空间；出厂标配4个搁架，数量可根据用户需求增加，可选配价目条；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★1.15节能降噪：低噪音，噪音低于45分贝；</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1.16柜内照明：内设LED照明灯，高亮节能，柜内试剂一目了然；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1.17固定移动：配备2个万向脚轮、2个定向脚轮、2个止动底脚，便于移动且固定方便；</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1.18冷凝蒸发：冷凝水汇集后自动蒸发，免除人工处理冷凝水的烦恼；</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1.19断电报警：配备大容量电池，满足产品断电后继续显示箱内的实时温度，持续时间至少24小时；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1.20安全保障：门体带暗锁，同时用户可配置挂锁，双重安全保障；</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★1.21产品具有医疗器械注册证和国家级检测报告；（</w:t>
      </w:r>
      <w:bookmarkStart w:id="73" w:name="_Hlk201345886"/>
      <w:r>
        <w:rPr>
          <w:rFonts w:hint="eastAsia" w:ascii="宋体" w:hAnsi="宋体" w:eastAsia="宋体" w:cs="宋体"/>
          <w:color w:val="auto"/>
          <w:sz w:val="24"/>
          <w:highlight w:val="none"/>
        </w:rPr>
        <w:t xml:space="preserve">提供注册证和检测报告）</w:t>
      </w:r>
      <w:bookmarkEnd w:id="73"/>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1.22资质认证：投标产品制造商具有ISO9001证书、ISO14001证书、ISO13485证书、ISO45001证书、ISO27001证书；</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1.23有效容积：≥350L；</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外部尺寸</w:t>
      </w:r>
      <w:bookmarkStart w:id="74" w:name="_Hlk201346465"/>
      <w:r>
        <w:rPr>
          <w:rFonts w:hint="eastAsia" w:ascii="宋体" w:hAnsi="宋体" w:eastAsia="宋体" w:cs="宋体"/>
          <w:color w:val="auto"/>
          <w:sz w:val="24"/>
          <w:highlight w:val="none"/>
        </w:rPr>
        <w:t xml:space="preserve">：≤</w:t>
      </w:r>
      <w:bookmarkEnd w:id="74"/>
      <w:r>
        <w:rPr>
          <w:rFonts w:hint="eastAsia" w:ascii="宋体" w:hAnsi="宋体" w:eastAsia="宋体" w:cs="宋体"/>
          <w:color w:val="auto"/>
          <w:sz w:val="24"/>
          <w:highlight w:val="none"/>
        </w:rPr>
        <w:t xml:space="preserve">600mm*630mm*2000mm，内部尺寸</w:t>
      </w:r>
      <w:bookmarkStart w:id="75" w:name="_Hlk201346475"/>
      <w:r>
        <w:rPr>
          <w:rFonts w:hint="eastAsia" w:ascii="宋体" w:hAnsi="宋体" w:eastAsia="宋体" w:cs="宋体"/>
          <w:color w:val="auto"/>
          <w:sz w:val="24"/>
          <w:highlight w:val="none"/>
        </w:rPr>
        <w:t xml:space="preserve">：≥</w:t>
      </w:r>
      <w:bookmarkEnd w:id="75"/>
      <w:r>
        <w:rPr>
          <w:rFonts w:hint="eastAsia" w:ascii="宋体" w:hAnsi="宋体" w:eastAsia="宋体" w:cs="宋体"/>
          <w:color w:val="auto"/>
          <w:sz w:val="24"/>
          <w:highlight w:val="none"/>
        </w:rPr>
        <w:t xml:space="preserve">500mm*500mm*1400mm；</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2、配置要求：</w:t>
      </w:r>
      <w:bookmarkStart w:id="76" w:name="_Hlk201346154"/>
      <w:r>
        <w:rPr>
          <w:rFonts w:hint="eastAsia" w:ascii="宋体" w:hAnsi="宋体" w:eastAsia="宋体" w:cs="宋体"/>
          <w:color w:val="auto"/>
          <w:sz w:val="24"/>
          <w:highlight w:val="none"/>
        </w:rPr>
        <w:t xml:space="preserve">整机3台；冷链监测仪3个；</w:t>
      </w:r>
      <w:bookmarkEnd w:id="76"/>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3、售后服务要求：</w:t>
      </w:r>
      <w:r>
        <w:rPr>
          <w:color w:val="auto"/>
          <w:highlight w:val="none"/>
        </w:rPr>
      </w:r>
      <w:r/>
    </w:p>
    <w:p>
      <w:pPr>
        <w:rPr>
          <w:rFonts w:hint="eastAsia" w:ascii="宋体" w:hAnsi="宋体" w:eastAsia="宋体" w:cs="宋体"/>
          <w:color w:val="auto"/>
          <w:sz w:val="24"/>
          <w:highlight w:val="none"/>
        </w:rPr>
      </w:pPr>
      <w:r>
        <w:rPr>
          <w:color w:val="auto"/>
          <w:highlight w:val="none"/>
        </w:rPr>
      </w:r>
      <w:bookmarkStart w:id="77" w:name="_Hlk201345976"/>
      <w:r>
        <w:rPr>
          <w:rFonts w:hint="eastAsia" w:ascii="宋体" w:hAnsi="宋体" w:eastAsia="宋体" w:cs="宋体"/>
          <w:color w:val="auto"/>
          <w:sz w:val="24"/>
          <w:highlight w:val="none"/>
        </w:rPr>
        <w:t xml:space="preserve">3.1 质保期：不少于3年（质保期自验收合格之日起计算）。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服务响应：接到维修通知后有专职的技术服务人员上门服务，保证维修响应时间2小时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3.3零配件应保证不少于8年的供应期。</w:t>
      </w:r>
      <w:bookmarkEnd w:id="77"/>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（十八）无管式净化型储药柜（PP材质）</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 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1.1容积：≥520L（可放置100瓶500ml的试剂瓶）；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1.2材质：箱体材质为PP，厚度为8MM厚PP材质；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1.3空气处理量： 0-677m³/h；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1.4采用风机，使用寿命≥60000小时（约6年），软启动，无火花静电；</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1.5能耗低功率：≤85w；</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1.6低噪音：≤40dB；</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1.7双门带隔断柜室，用于将非兼容化学品分类放置；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1.8透明亚克力门板8mm厚，强度高，方便查看药品储藏情况，黑色喷防腐蚀</w:t>
      </w:r>
      <w:bookmarkStart w:id="78" w:name="_Hlk115102296"/>
      <w:r>
        <w:rPr>
          <w:rFonts w:hint="eastAsia" w:ascii="宋体" w:hAnsi="宋体" w:eastAsia="宋体" w:cs="宋体"/>
          <w:color w:val="auto"/>
          <w:sz w:val="24"/>
          <w:highlight w:val="none"/>
        </w:rPr>
        <w:t xml:space="preserve">门套</w:t>
      </w:r>
      <w:bookmarkEnd w:id="78"/>
      <w:r>
        <w:rPr>
          <w:rFonts w:hint="eastAsia" w:ascii="宋体" w:hAnsi="宋体" w:eastAsia="宋体" w:cs="宋体"/>
          <w:color w:val="auto"/>
          <w:sz w:val="24"/>
          <w:highlight w:val="none"/>
        </w:rPr>
        <w:t xml:space="preserve">；</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1.9两根PP门套包裹亚克力门板，便于装配锁具，同时具有防撬锁功能（符合公安部门对锁具装配安全要求）；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1.10标配八块可调防腐涂层层板，抗酸碱，层板载重≥50Kg；</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1.11柜体配有八个专用pp折页(内部紧固采用pp螺母，防锈设计)；</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★1.12分子过滤器采用一体透碳设计，非拼接模块过滤器，重量大于10公斤。</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1.13入风口底为箱体侧边</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1.14活性炭选用优质高效活性炭，按照颗粒大小选择排列分布，遵循ASTM标准。</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1.15配备有用于检测过滤器饱和状况的检测端口</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1.16风扇调速功能可视柜内储藏试剂状况进行适当调节，有效延长风机及过滤器使用寿命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1.17一次装配成型箱体,非现场拼接箱。</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1.18安装、拆卸简便，无外接管道，不需施工，可放置在实验室任何所需场所，方便使用</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★1.19双门双锁,（根据公安部对危化品试剂储存锁具管理要求，在多台试剂柜存放相互间钥匙不可通用），必须有独立锁芯锁在中间柜体中间立柱孔隙内；</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具有风机调速功能，根据试剂存储量调节最佳转速，可以调节16档位，从低位转速到高位转速，转速调节每一次至少5%以上。屏幕上可以看到转速变化。门感应器一个，门打开会系统会提高风机转速屏幕可以看到转速变化，防止危化品大量溢出。</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1.21风机失灵报警系统和室内温湿度显示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1.22室内环境监测系统，可以监测室内工作环境内有机物VOC含量，保护操作者；</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1.23箱体：工厂一体成型箱体，非块状部件现场装配，采用8mm厚度pp高强度耐腐蚀板材。</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1.24具有断电后再重新来电情况下风机可以自行开启功能，保证24小时无人值守，</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1.25外部尺寸：≤850×530×2000mm，内部尺寸：≥750×470×1600mm；  </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2、配置要求：</w:t>
      </w:r>
      <w:r>
        <w:rPr>
          <w:rFonts w:hint="eastAsia" w:ascii="宋体" w:hAnsi="宋体" w:eastAsia="宋体" w:cs="宋体"/>
          <w:color w:val="auto"/>
          <w:sz w:val="24"/>
          <w:highlight w:val="none"/>
        </w:rPr>
        <w:t xml:space="preserve">整机2台；门锁4把；</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3、售后服务要求：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质保期：不少于2年（质保期自验收合格之日起计算）。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服务响应：接到维修通知后有专职的技术服务人员上门服务，保证维修响应时间2小时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3.3零配件应保证不少于8年的供应期。</w:t>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（十九）超声波清洗机</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容量：≥22L；</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超声频率: ≥40kHz；</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超声功率: ≥600W；</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超声功率可调范围：0-100%；</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加热功率：≤800W；</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温度设定范围：室温-80℃；</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工作时间可调：0-24h；</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 具有液位保护功能；</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 清洗器采用液晶触控操作；</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清洗槽采用304优质不锈钢一次冲压成型；</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清洗器主体材质均为304优质不锈钢；</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噪音&lt;60dB，运行更安静；</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具有过温、过流，运行更稳定可靠；</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 清洗器电路及器件升级并匹配，电功转换率高、无功损耗低；</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 标配常规换能器超声功率50W、超声频率40kHz；</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 外形尺寸: ≤540*330*380mm；</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 内槽尺寸: ≥500*300*150mm；</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2、配置要求：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超声波清洗机主机1台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降音盖1个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不锈钢网架1个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不锈钢托架1个</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3、售后服务要求：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质保期：不少于2年（质保期自验收合格之日起计算）。</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服务响应：接到维修通知后有专职的技术服务人员上门服务，保证维修响应时间2小时</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3.3零配件应保证不少于8年的供应期。</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pStyle w:val="7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（二十）铂金坩埚</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1、技术性能要求：</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规格≥30ml，上直径37mm，高度38mm，厚度0.29mm（允许偏离范围±5%）；</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1.2纯度：铂≥99.95%（提供纯度检测报告）；</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1.3密度：≥21.46g/cm3；</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1.4元素原子量：195.1；</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1.5约31g（以实际重量结算）；</w:t>
      </w:r>
      <w:r>
        <w:rPr>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2、配置要求：</w:t>
      </w:r>
      <w:r>
        <w:rPr>
          <w:rFonts w:hint="eastAsia" w:ascii="宋体" w:hAnsi="宋体" w:eastAsia="宋体" w:cs="宋体"/>
          <w:color w:val="auto"/>
          <w:sz w:val="24"/>
          <w:highlight w:val="none"/>
        </w:rPr>
        <w:t xml:space="preserve">铂金坩埚3个；坩埚盖3个；</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r/>
    </w:p>
    <w:p>
      <w:p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采样设备</w:t>
      </w:r>
      <w:r>
        <w:rPr>
          <w:color w:val="auto"/>
          <w:highlight w:val="none"/>
        </w:rPr>
      </w:r>
      <w:r/>
    </w:p>
    <w:p>
      <w:pPr>
        <w:jc w:val="left"/>
        <w:spacing w:before="320" w:after="120" w:line="560" w:lineRule="exact"/>
        <w:widowControl/>
        <w:rPr>
          <w:rFonts w:hint="eastAsia" w:ascii="宋体" w:hAnsi="宋体" w:eastAsia="宋体" w:cs="宋体"/>
          <w:color w:val="auto"/>
          <w:sz w:val="24"/>
          <w:highlight w:val="none"/>
        </w:rPr>
        <w:outlineLvl w:val="1"/>
      </w:pPr>
      <w:r>
        <w:rPr>
          <w:color w:val="auto"/>
          <w:highlight w:val="none"/>
        </w:rPr>
      </w:r>
      <w:bookmarkStart w:id="79" w:name="OLE_LINK3"/>
      <w:r>
        <w:rPr>
          <w:rFonts w:hint="eastAsia" w:ascii="宋体" w:hAnsi="宋体" w:eastAsia="宋体" w:cs="宋体"/>
          <w:color w:val="auto"/>
          <w:sz w:val="24"/>
          <w:highlight w:val="none"/>
        </w:rPr>
        <w:t xml:space="preserve">（一）个体（定点）防爆采样器I</w:t>
      </w:r>
      <w:r>
        <w:rPr>
          <w:color w:val="auto"/>
          <w:highlight w:val="none"/>
        </w:rPr>
      </w:r>
      <w:r/>
    </w:p>
    <w:p>
      <w:pPr>
        <w:jc w:val="left"/>
        <w:widowControl/>
        <w:rPr>
          <w:rFonts w:hint="eastAsia" w:ascii="宋体" w:hAnsi="宋体" w:eastAsia="宋体" w:cs="宋体"/>
          <w:color w:val="auto"/>
          <w:sz w:val="24"/>
          <w:highlight w:val="none"/>
        </w:rPr>
        <w:outlineLvl w:val="2"/>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用于采集空气中化学毒物，满足在易燃易爆等危险环境下的采样需求。</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2、技术性能要求：</w:t>
      </w:r>
      <w:r>
        <w:rPr>
          <w:color w:val="auto"/>
          <w:highlight w:val="none"/>
        </w:rPr>
      </w:r>
      <w:r/>
    </w:p>
    <w:p>
      <w:pPr>
        <w:widowControl/>
        <w:rPr>
          <w:rFonts w:hint="eastAsia" w:ascii="宋体" w:hAnsi="宋体" w:eastAsia="宋体" w:cs="宋体"/>
          <w:color w:val="auto"/>
          <w:sz w:val="24"/>
          <w:highlight w:val="none"/>
        </w:rPr>
        <w:outlineLvl w:val="0"/>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2.1测量范围：（20-1500）mL/min；</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2.2流量误差：±5%；流量稳定性：≤5%/12h；流量重复性：≤2%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2.3调节分辨率：≤1mL/min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2.4定时范围：1-9999min；定容范围：1-999L；编程点数：1-8 个；预约采样：依据系统时间 24h 内；计时误差：≤0.1%；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2.5负载能力：当流量 500mL/min 时，可克服 25kPa 的阻力；当流量 1L/min 时，可克服 10kPa 的阻力；</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2.6恒流流量不受外界一定因素的干扰；</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2.7暂停采样：方便用户采集状态下其他事宜可暂停；</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2.8支持按键锁死功能，防止误操作；</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2.9中文操作界面，可单点，线性，自动校准；</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2.10LCD显示屏：显示采样时间、采样流量、进度、电池电量、工况标况体积、气体温度和大气压强等信息；</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2.11工况、标况流量转化设置；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2.12数据管理：可日志存储，亦可删除异常数据；</w:t>
      </w:r>
      <w:r>
        <w:rPr>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2.13充电方式：type-C充电；</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2.14适用环境温度：(0～50)℃；</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2.15连续工作时间：≥30h；</w:t>
      </w:r>
      <w:r>
        <w:rPr>
          <w:color w:val="auto"/>
          <w:highlight w:val="none"/>
        </w:rPr>
      </w:r>
      <w:r/>
    </w:p>
    <w:p>
      <w:pPr>
        <w:widowControl/>
        <w:rPr>
          <w:rFonts w:hint="eastAsia" w:ascii="宋体" w:hAnsi="宋体" w:eastAsia="宋体" w:cs="宋体"/>
          <w:color w:val="auto"/>
          <w:sz w:val="24"/>
          <w:highlight w:val="none"/>
        </w:rPr>
        <w:outlineLvl w:val="0"/>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2.16防爆形式不低于：本质安全型 Ex（ia）ⅡCT4 Ga 及Exia I Ma（提供国家级机构出具的防爆证书扫描件）；</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17防护等级：不低于IP64；具有耐高低温、耐高湿、耐盐雾、抗跌落实验报告；（提供具有CNAS认证的第三方检测报告）</w:t>
      </w:r>
      <w:r>
        <w:rPr>
          <w:color w:val="auto"/>
          <w:highlight w:val="none"/>
        </w:rPr>
      </w:r>
      <w:r/>
    </w:p>
    <w:p>
      <w:pPr>
        <w:widowControl/>
        <w:rPr>
          <w:rFonts w:hint="eastAsia" w:ascii="宋体" w:hAnsi="宋体" w:eastAsia="宋体" w:cs="宋体"/>
          <w:color w:val="auto"/>
          <w:sz w:val="24"/>
          <w:highlight w:val="none"/>
        </w:rPr>
        <w:outlineLvl w:val="0"/>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2.18</w:t>
      </w:r>
      <w:r>
        <w:rPr>
          <w:rFonts w:hint="eastAsia" w:ascii="宋体" w:hAnsi="宋体" w:eastAsia="宋体" w:cs="宋体"/>
          <w:color w:val="auto"/>
          <w:sz w:val="24"/>
          <w:highlight w:val="none"/>
          <w:lang w:val="en-US" w:eastAsia="zh-CN"/>
        </w:rPr>
        <w:t xml:space="preserve">采样滤膜</w:t>
      </w:r>
      <w:r>
        <w:rPr>
          <w:rFonts w:hint="eastAsia" w:ascii="宋体" w:hAnsi="宋体" w:eastAsia="宋体" w:cs="宋体"/>
          <w:color w:val="auto"/>
          <w:sz w:val="24"/>
          <w:highlight w:val="none"/>
        </w:rPr>
        <w:t xml:space="preserve">要求：满足标准：GBZ/T 300.15—2017、GBZ/T 300.15—2017、GBZ/T 160.16—2004、GBZ/T 300.10—2017  GBZ/T 160.11—2004 、GBZ/T 192.1—2007  GBZ/T 192.2—2007 GBZ/T 192.4—2007等职卫标准；</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3、配置要求：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3.1主机 1 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3.2仪器箱 1 只（两台一个包装）</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3.3吸收瓶托架 1 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3.4防倒吸瓶 1 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3.5硅胶管 2 根</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3.6充电器 1 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3.7三脚架 1 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3.8说明书/合格证/保修卡 1 份</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3.9</w:t>
      </w:r>
      <w:r>
        <w:rPr>
          <w:rFonts w:ascii="宋体" w:hAnsi="宋体" w:eastAsia="宋体" w:cs="宋体"/>
          <w:color w:val="auto"/>
          <w:sz w:val="24"/>
          <w:highlight w:val="none"/>
        </w:rPr>
        <w:t xml:space="preserve">微孔</w:t>
      </w:r>
      <w:r>
        <w:rPr>
          <w:rFonts w:hint="eastAsia" w:ascii="宋体" w:hAnsi="宋体" w:eastAsia="宋体" w:cs="宋体"/>
          <w:color w:val="auto"/>
          <w:sz w:val="24"/>
          <w:highlight w:val="none"/>
        </w:rPr>
        <w:t xml:space="preserve">测尘滤膜：</w:t>
      </w:r>
      <w:r>
        <w:rPr>
          <w:rFonts w:ascii="宋体" w:hAnsi="宋体" w:eastAsia="宋体" w:cs="宋体"/>
          <w:color w:val="auto"/>
          <w:sz w:val="24"/>
          <w:highlight w:val="none"/>
        </w:rPr>
        <w:t xml:space="preserve">40mm 0.8um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25mm 0.8μm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37mm 0.8μm</w:t>
      </w:r>
      <w:r>
        <w:rPr>
          <w:rFonts w:hint="eastAsia" w:ascii="宋体" w:hAnsi="宋体" w:eastAsia="宋体" w:cs="宋体"/>
          <w:color w:val="auto"/>
          <w:sz w:val="24"/>
          <w:highlight w:val="none"/>
        </w:rPr>
        <w:t xml:space="preserve">，50片/盒，6盒</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3.10丙纶测尘滤膜：</w:t>
      </w:r>
      <w:r>
        <w:rPr>
          <w:rFonts w:ascii="宋体" w:hAnsi="宋体" w:eastAsia="宋体" w:cs="宋体"/>
          <w:color w:val="auto"/>
          <w:sz w:val="24"/>
          <w:highlight w:val="none"/>
        </w:rPr>
        <w:t xml:space="preserve">40mm 0.8um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25mm 0.8μm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37mm 0.8μm</w:t>
      </w:r>
      <w:r>
        <w:rPr>
          <w:rFonts w:hint="eastAsia" w:ascii="宋体" w:hAnsi="宋体" w:eastAsia="宋体" w:cs="宋体"/>
          <w:color w:val="auto"/>
          <w:sz w:val="24"/>
          <w:highlight w:val="none"/>
        </w:rPr>
        <w:t xml:space="preserve">，50片/盒，6盒</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3.11玻纤测尘滤膜：</w:t>
      </w:r>
      <w:r>
        <w:rPr>
          <w:rFonts w:ascii="宋体" w:hAnsi="宋体" w:eastAsia="宋体" w:cs="宋体"/>
          <w:color w:val="auto"/>
          <w:sz w:val="24"/>
          <w:highlight w:val="none"/>
        </w:rPr>
        <w:t xml:space="preserve">40mm 0.8um</w:t>
      </w:r>
      <w:r>
        <w:rPr>
          <w:rFonts w:hint="eastAsia" w:ascii="宋体" w:hAnsi="宋体" w:eastAsia="宋体" w:cs="宋体"/>
          <w:color w:val="auto"/>
          <w:sz w:val="24"/>
          <w:highlight w:val="none"/>
        </w:rPr>
        <w:t xml:space="preserve">，50片/盒，3盒；</w:t>
      </w:r>
      <w:r>
        <w:rPr>
          <w:rFonts w:ascii="宋体" w:hAnsi="宋体" w:eastAsia="宋体" w:cs="宋体"/>
          <w:color w:val="auto"/>
          <w:sz w:val="24"/>
          <w:highlight w:val="none"/>
        </w:rPr>
        <w:t xml:space="preserve">25mm 0.8μm</w:t>
      </w:r>
      <w:r>
        <w:rPr>
          <w:rFonts w:hint="eastAsia" w:ascii="宋体" w:hAnsi="宋体" w:eastAsia="宋体" w:cs="宋体"/>
          <w:color w:val="auto"/>
          <w:sz w:val="24"/>
          <w:highlight w:val="none"/>
        </w:rPr>
        <w:t xml:space="preserve">，50片/盒，3盒；</w:t>
      </w:r>
      <w:r>
        <w:rPr>
          <w:rFonts w:ascii="宋体" w:hAnsi="宋体" w:eastAsia="宋体" w:cs="宋体"/>
          <w:color w:val="auto"/>
          <w:sz w:val="24"/>
          <w:highlight w:val="none"/>
        </w:rPr>
        <w:t xml:space="preserve">37mm 0.8μm</w:t>
      </w:r>
      <w:r>
        <w:rPr>
          <w:rFonts w:hint="eastAsia" w:ascii="宋体" w:hAnsi="宋体" w:eastAsia="宋体" w:cs="宋体"/>
          <w:color w:val="auto"/>
          <w:sz w:val="24"/>
          <w:highlight w:val="none"/>
        </w:rPr>
        <w:t xml:space="preserve">，50片/盒，3盒</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4、售后服务要求：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4.1质保期：不少于2年（质保期自验收合格之日起计算）。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4.2服务响应：接到维修通知后有专职的技术服务人员上门服务，保证维修响应时间2小时</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4.3提供详细的培训计划，保证使用人员正常操作设备。</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4.4零配件应保证不少于8年的供应期。</w:t>
      </w:r>
      <w:r>
        <w:rPr>
          <w:color w:val="auto"/>
          <w:highlight w:val="none"/>
        </w:rPr>
      </w:r>
      <w:r/>
    </w:p>
    <w:p>
      <w:pPr>
        <w:jc w:val="left"/>
        <w:spacing w:before="320" w:after="120" w:line="560" w:lineRule="exact"/>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（二）个体（定点）防爆采样器II</w:t>
      </w:r>
      <w:r>
        <w:rPr>
          <w:color w:val="auto"/>
          <w:highlight w:val="none"/>
        </w:rPr>
      </w:r>
      <w:r/>
    </w:p>
    <w:p>
      <w:pPr>
        <w:jc w:val="left"/>
        <w:widowControl/>
        <w:rPr>
          <w:rFonts w:hint="eastAsia" w:ascii="宋体" w:hAnsi="宋体" w:eastAsia="宋体" w:cs="宋体"/>
          <w:color w:val="auto"/>
          <w:sz w:val="24"/>
          <w:highlight w:val="none"/>
        </w:rPr>
        <w:outlineLvl w:val="2"/>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用于采集空气中化学毒物，满足在易燃易爆等危险环境下的采样需求。</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2、技术性能要求：</w:t>
      </w:r>
      <w:r>
        <w:rPr>
          <w:color w:val="auto"/>
          <w:highlight w:val="none"/>
        </w:rPr>
      </w:r>
      <w:r/>
    </w:p>
    <w:p>
      <w:pPr>
        <w:widowControl/>
        <w:rPr>
          <w:rFonts w:hint="eastAsia" w:ascii="宋体" w:hAnsi="宋体" w:eastAsia="宋体" w:cs="宋体"/>
          <w:color w:val="auto"/>
          <w:sz w:val="24"/>
          <w:highlight w:val="none"/>
        </w:rPr>
        <w:outlineLvl w:val="0"/>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2.1测量范围：（300-6000）mL/min；</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2.2流量误差：±5% ；流量稳定性：≤5%/12h ；流量重复性：≤2%；</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2.3调节分辨率：≤1mL/min；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2.4定时范围：1-9999min；定容范围：1-999L；编程点数：1-8 个；预约采样：依据系统时间 24h 内；计时误差：≤0.1%；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2.5负载能力：当流量 500mL/min 时，可克服 25kPa 的阻力；当流量 2L/min 时，可克服 10kPa 的阻力；</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2.6恒流流量不受外界一定因素的干扰；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2.7暂停采样：方便用户采集状态下其他事宜可暂停；</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2.8支持按键锁死功能，防止误操作；</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2.9中文操作界面，可单点，线性，自动校准；</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2.10LCD显示屏：显示采样时间、采样流量、进度、电池电量、工况标况体积、气体温度和大气压强等信息；</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2.11工况、标况流量转化设置；</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2.12数据管理：可日志存储；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2.13充电方式：type-C充电；</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2.14适用环境温度：(0～50)℃；</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2.15连续工作时间：≥30h； </w:t>
      </w:r>
      <w:r>
        <w:rPr>
          <w:color w:val="auto"/>
          <w:highlight w:val="none"/>
        </w:rPr>
      </w:r>
      <w:r/>
    </w:p>
    <w:p>
      <w:pPr>
        <w:widowControl/>
        <w:rPr>
          <w:rFonts w:hint="eastAsia" w:ascii="宋体" w:hAnsi="宋体" w:eastAsia="宋体" w:cs="宋体"/>
          <w:color w:val="auto"/>
          <w:sz w:val="24"/>
          <w:highlight w:val="none"/>
        </w:rPr>
        <w:outlineLvl w:val="0"/>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2.16防爆形式不低于：本质安全型Ex（ia）ⅡCT4 Ga及Exia I Ma（提供国家级机构出具的防爆证书扫描件）；</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lang w:val="en-US" w:eastAsia="zh-CN"/>
        </w:rPr>
        <w:t xml:space="preserve">2.17</w:t>
      </w:r>
      <w:r>
        <w:rPr>
          <w:rFonts w:hint="eastAsia" w:ascii="宋体" w:hAnsi="宋体" w:eastAsia="宋体" w:cs="宋体"/>
          <w:color w:val="auto"/>
          <w:sz w:val="24"/>
          <w:highlight w:val="none"/>
        </w:rPr>
        <w:t xml:space="preserve">防护等级：不低于IP64；具有耐高低温、耐高湿、耐盐雾、抗跌落实验报告；（提供具有CNAS认证的第三方检测报告）</w:t>
      </w:r>
      <w:r>
        <w:rPr>
          <w:color w:val="auto"/>
          <w:highlight w:val="none"/>
        </w:rPr>
      </w:r>
      <w:r/>
    </w:p>
    <w:p>
      <w:pPr>
        <w:widowControl/>
        <w:rPr>
          <w:rFonts w:hint="eastAsia" w:ascii="宋体" w:hAnsi="宋体" w:eastAsia="宋体" w:cs="宋体"/>
          <w:color w:val="auto"/>
          <w:sz w:val="24"/>
          <w:highlight w:val="none"/>
        </w:rPr>
        <w:outlineLvl w:val="0"/>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2.18</w:t>
      </w:r>
      <w:r>
        <w:rPr>
          <w:rFonts w:hint="eastAsia" w:ascii="宋体" w:hAnsi="宋体" w:eastAsia="宋体" w:cs="宋体"/>
          <w:color w:val="auto"/>
          <w:sz w:val="24"/>
          <w:highlight w:val="none"/>
          <w:lang w:val="en-US" w:eastAsia="zh-CN"/>
        </w:rPr>
        <w:t xml:space="preserve">采样滤膜</w:t>
      </w:r>
      <w:r>
        <w:rPr>
          <w:rFonts w:hint="eastAsia" w:ascii="宋体" w:hAnsi="宋体" w:eastAsia="宋体" w:cs="宋体"/>
          <w:color w:val="auto"/>
          <w:sz w:val="24"/>
          <w:highlight w:val="none"/>
        </w:rPr>
        <w:t xml:space="preserve">要求：满足标准：GBZ/T 300.15—2017、GBZ/T 300.15—2017、GBZ/T 160.16—2004、GBZ/T 300.10—2017  GBZ/T 160.11—2004 、GBZ/T 192.1—2007  GBZ/T 192.2—2007 GBZ/T 192.4—2007等职卫标准；</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3、配置要求：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3.1主机 1 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3.2仪器箱 1 只（两台一个包装）</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3.3吸收瓶托架 1 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3.4防倒吸瓶 1 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3.5硅胶管 2 根</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3.6充电器 1 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3.7三脚架 1 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3.8说明书/合格证/保修卡 1 份</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3.9</w:t>
      </w:r>
      <w:r>
        <w:rPr>
          <w:rFonts w:ascii="宋体" w:hAnsi="宋体" w:eastAsia="宋体" w:cs="宋体"/>
          <w:color w:val="auto"/>
          <w:sz w:val="24"/>
          <w:highlight w:val="none"/>
        </w:rPr>
        <w:t xml:space="preserve">微孔</w:t>
      </w:r>
      <w:r>
        <w:rPr>
          <w:rFonts w:hint="eastAsia" w:ascii="宋体" w:hAnsi="宋体" w:eastAsia="宋体" w:cs="宋体"/>
          <w:color w:val="auto"/>
          <w:sz w:val="24"/>
          <w:highlight w:val="none"/>
        </w:rPr>
        <w:t xml:space="preserve">测尘滤膜：</w:t>
      </w:r>
      <w:r>
        <w:rPr>
          <w:rFonts w:ascii="宋体" w:hAnsi="宋体" w:eastAsia="宋体" w:cs="宋体"/>
          <w:color w:val="auto"/>
          <w:sz w:val="24"/>
          <w:highlight w:val="none"/>
        </w:rPr>
        <w:t xml:space="preserve">40mm 0.8um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25mm 0.8μm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37mm 0.8μm</w:t>
      </w:r>
      <w:r>
        <w:rPr>
          <w:rFonts w:hint="eastAsia" w:ascii="宋体" w:hAnsi="宋体" w:eastAsia="宋体" w:cs="宋体"/>
          <w:color w:val="auto"/>
          <w:sz w:val="24"/>
          <w:highlight w:val="none"/>
        </w:rPr>
        <w:t xml:space="preserve">，50片/盒，6盒</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3.10丙纶测尘滤膜：</w:t>
      </w:r>
      <w:r>
        <w:rPr>
          <w:rFonts w:ascii="宋体" w:hAnsi="宋体" w:eastAsia="宋体" w:cs="宋体"/>
          <w:color w:val="auto"/>
          <w:sz w:val="24"/>
          <w:highlight w:val="none"/>
        </w:rPr>
        <w:t xml:space="preserve">40mm 0.8um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25mm 0.8μm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37mm 0.8μm</w:t>
      </w:r>
      <w:r>
        <w:rPr>
          <w:rFonts w:hint="eastAsia" w:ascii="宋体" w:hAnsi="宋体" w:eastAsia="宋体" w:cs="宋体"/>
          <w:color w:val="auto"/>
          <w:sz w:val="24"/>
          <w:highlight w:val="none"/>
        </w:rPr>
        <w:t xml:space="preserve">，50片/盒，6盒</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3.11玻纤测尘滤膜：</w:t>
      </w:r>
      <w:r>
        <w:rPr>
          <w:rFonts w:ascii="宋体" w:hAnsi="宋体" w:eastAsia="宋体" w:cs="宋体"/>
          <w:color w:val="auto"/>
          <w:sz w:val="24"/>
          <w:highlight w:val="none"/>
        </w:rPr>
        <w:t xml:space="preserve">40mm 0.8um</w:t>
      </w:r>
      <w:r>
        <w:rPr>
          <w:rFonts w:hint="eastAsia" w:ascii="宋体" w:hAnsi="宋体" w:eastAsia="宋体" w:cs="宋体"/>
          <w:color w:val="auto"/>
          <w:sz w:val="24"/>
          <w:highlight w:val="none"/>
        </w:rPr>
        <w:t xml:space="preserve">，50片/盒，3盒；</w:t>
      </w:r>
      <w:r>
        <w:rPr>
          <w:rFonts w:ascii="宋体" w:hAnsi="宋体" w:eastAsia="宋体" w:cs="宋体"/>
          <w:color w:val="auto"/>
          <w:sz w:val="24"/>
          <w:highlight w:val="none"/>
        </w:rPr>
        <w:t xml:space="preserve">25mm 0.8μm</w:t>
      </w:r>
      <w:r>
        <w:rPr>
          <w:rFonts w:hint="eastAsia" w:ascii="宋体" w:hAnsi="宋体" w:eastAsia="宋体" w:cs="宋体"/>
          <w:color w:val="auto"/>
          <w:sz w:val="24"/>
          <w:highlight w:val="none"/>
        </w:rPr>
        <w:t xml:space="preserve">，50片/盒，3盒；</w:t>
      </w:r>
      <w:r>
        <w:rPr>
          <w:rFonts w:ascii="宋体" w:hAnsi="宋体" w:eastAsia="宋体" w:cs="宋体"/>
          <w:color w:val="auto"/>
          <w:sz w:val="24"/>
          <w:highlight w:val="none"/>
        </w:rPr>
        <w:t xml:space="preserve">37mm 0.8μm</w:t>
      </w:r>
      <w:r>
        <w:rPr>
          <w:rFonts w:hint="eastAsia" w:ascii="宋体" w:hAnsi="宋体" w:eastAsia="宋体" w:cs="宋体"/>
          <w:color w:val="auto"/>
          <w:sz w:val="24"/>
          <w:highlight w:val="none"/>
        </w:rPr>
        <w:t xml:space="preserve">，50片/盒，3盒</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4、售后服务要求：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4.1质保期：不少于2年（质保期自验收合格之日起计算）。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4.2服务响应：接到维修通知后有专职的技术服务人员上门服务，保证维修响应时间2小时</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4.3提供详细的培训计划，保证使用人员正常操作设备。</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4.4零配件应保证不少于8年的供应期。</w:t>
      </w:r>
      <w:r>
        <w:rPr>
          <w:color w:val="auto"/>
          <w:highlight w:val="none"/>
        </w:rPr>
      </w:r>
      <w:r/>
    </w:p>
    <w:p>
      <w:pPr>
        <w:jc w:val="left"/>
        <w:spacing w:before="320" w:after="120" w:line="560" w:lineRule="exact"/>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（三）大气采集器</w:t>
      </w:r>
      <w:r>
        <w:rPr>
          <w:color w:val="auto"/>
          <w:highlight w:val="none"/>
        </w:rPr>
      </w:r>
      <w:r/>
    </w:p>
    <w:p>
      <w:pPr>
        <w:jc w:val="left"/>
        <w:widowControl/>
        <w:rPr>
          <w:rFonts w:hint="eastAsia" w:ascii="宋体" w:hAnsi="宋体" w:eastAsia="宋体" w:cs="宋体"/>
          <w:color w:val="auto"/>
          <w:sz w:val="24"/>
          <w:highlight w:val="none"/>
        </w:rPr>
        <w:outlineLvl w:val="2"/>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用于采集空气中粉尘类。</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2、技术性能要求：</w:t>
      </w:r>
      <w:r>
        <w:rPr>
          <w:color w:val="auto"/>
          <w:highlight w:val="none"/>
        </w:rPr>
      </w:r>
      <w:r/>
    </w:p>
    <w:p>
      <w:pPr>
        <w:widowControl/>
        <w:rPr>
          <w:rFonts w:hint="eastAsia" w:ascii="宋体" w:hAnsi="宋体" w:eastAsia="宋体" w:cs="宋体"/>
          <w:color w:val="auto"/>
          <w:sz w:val="24"/>
          <w:highlight w:val="none"/>
        </w:rPr>
        <w:outlineLvl w:val="0"/>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2.1测量范围：3-30L/min（含旋风式和冲击式呼尘采样头）；</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2.2流量误差：±5%；流量稳定性：≤5%/12h；流量重复性：≤2%；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2.3调节分辨率：≤0.1L/min；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2.4定时范围：1-9999min、 定容范围：1-999L 、编程点数：1-8 个、计时误差：≤0.1%；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2.5恒流流量不受外界一定因素的干扰；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2.6暂停采样：方便用户采集状态下其他事宜可暂停；</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2.7支持按键锁死功能，防止误操作；</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2.8可中英文操作界面切换；</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2.9 LCD显示屏：显示采样时间、采样流量、进度、电池电量、工况标况体积、气体温度和大气压强等信息；</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2.10工况、标况流量转化设置；</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2.11数据管理：可日志存储；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2.12适用环境温度：(0～50)℃；</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2.13连续工作时间：≥10h；</w:t>
      </w:r>
      <w:r>
        <w:rPr>
          <w:color w:val="auto"/>
          <w:highlight w:val="none"/>
        </w:rPr>
      </w:r>
      <w:r/>
    </w:p>
    <w:p>
      <w:pPr>
        <w:widowControl/>
        <w:rPr>
          <w:rFonts w:hint="eastAsia" w:ascii="宋体" w:hAnsi="宋体" w:eastAsia="宋体" w:cs="宋体"/>
          <w:color w:val="auto"/>
          <w:sz w:val="24"/>
          <w:highlight w:val="none"/>
        </w:rPr>
        <w:outlineLvl w:val="0"/>
      </w:pPr>
      <w:r>
        <w:rPr>
          <w:color w:val="auto"/>
          <w:highlight w:val="none"/>
        </w:rPr>
      </w:r>
      <w:bookmarkStart w:id="80" w:name="OLE_LINK32"/>
      <w:r>
        <w:rPr>
          <w:rFonts w:ascii="宋体" w:hAnsi="宋体" w:eastAsia="宋体" w:cs="宋体"/>
          <w:color w:val="auto"/>
          <w:sz w:val="24"/>
          <w:highlight w:val="none"/>
        </w:rPr>
        <w:t xml:space="preserve">★</w:t>
      </w:r>
      <w:bookmarkEnd w:id="80"/>
      <w:r>
        <w:rPr>
          <w:rFonts w:hint="eastAsia" w:ascii="宋体" w:hAnsi="宋体" w:eastAsia="宋体" w:cs="宋体"/>
          <w:color w:val="auto"/>
          <w:sz w:val="24"/>
          <w:highlight w:val="none"/>
        </w:rPr>
        <w:t xml:space="preserve">2.14防爆形式不低于：本质安全型 Exia ⅡBT4 Ga及Exia I Ma（提供国家级机构出具的防爆证书扫描件）；</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2.15防护等级：不低于IP64；具有耐高低温、耐高湿、耐盐雾、抗跌落实验报告；（提供具有CNAS认证的第三方检测报告）</w:t>
      </w:r>
      <w:r>
        <w:rPr>
          <w:color w:val="auto"/>
          <w:highlight w:val="none"/>
        </w:rPr>
      </w:r>
      <w:r/>
    </w:p>
    <w:p>
      <w:pPr>
        <w:widowControl/>
        <w:rPr>
          <w:rFonts w:hint="eastAsia" w:ascii="宋体" w:hAnsi="宋体" w:eastAsia="宋体" w:cs="宋体"/>
          <w:color w:val="auto"/>
          <w:sz w:val="24"/>
          <w:highlight w:val="none"/>
        </w:rPr>
        <w:outlineLvl w:val="0"/>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en-US" w:eastAsia="zh-CN"/>
        </w:rPr>
        <w:t xml:space="preserve">6采样滤膜</w:t>
      </w:r>
      <w:r>
        <w:rPr>
          <w:rFonts w:hint="eastAsia" w:ascii="宋体" w:hAnsi="宋体" w:eastAsia="宋体" w:cs="宋体"/>
          <w:color w:val="auto"/>
          <w:sz w:val="24"/>
          <w:highlight w:val="none"/>
        </w:rPr>
        <w:t xml:space="preserve">要求：满足标准：GBZ/T 300.15—2017、GBZ/T 300.15—2017、GBZ/T 160.16—2004、GBZ/T 300.10—2017  GBZ/T 160.11—2004 、GBZ/T 192.1—2007  GBZ/T 192.2—2007 GBZ/T 192.4—2007等职卫标准；</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3、配置要求：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3.1主机 1 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3.2仪器箱 1 只（根据实际情况确定包装数量）</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3.3充电器 1 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3.4配套采样配件1套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3.5说明书/合格证/保修卡 1 份</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3.6</w:t>
      </w:r>
      <w:r>
        <w:rPr>
          <w:rFonts w:ascii="宋体" w:hAnsi="宋体" w:eastAsia="宋体" w:cs="宋体"/>
          <w:color w:val="auto"/>
          <w:sz w:val="24"/>
          <w:highlight w:val="none"/>
        </w:rPr>
        <w:t xml:space="preserve">微孔</w:t>
      </w:r>
      <w:r>
        <w:rPr>
          <w:rFonts w:hint="eastAsia" w:ascii="宋体" w:hAnsi="宋体" w:eastAsia="宋体" w:cs="宋体"/>
          <w:color w:val="auto"/>
          <w:sz w:val="24"/>
          <w:highlight w:val="none"/>
        </w:rPr>
        <w:t xml:space="preserve">测尘滤膜：</w:t>
      </w:r>
      <w:r>
        <w:rPr>
          <w:rFonts w:ascii="宋体" w:hAnsi="宋体" w:eastAsia="宋体" w:cs="宋体"/>
          <w:color w:val="auto"/>
          <w:sz w:val="24"/>
          <w:highlight w:val="none"/>
        </w:rPr>
        <w:t xml:space="preserve">40mm 0.8um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25mm 0.8μm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37mm 0.8μm</w:t>
      </w:r>
      <w:r>
        <w:rPr>
          <w:rFonts w:hint="eastAsia" w:ascii="宋体" w:hAnsi="宋体" w:eastAsia="宋体" w:cs="宋体"/>
          <w:color w:val="auto"/>
          <w:sz w:val="24"/>
          <w:highlight w:val="none"/>
        </w:rPr>
        <w:t xml:space="preserve">，50片/盒，6盒</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3.7丙纶测尘滤膜：</w:t>
      </w:r>
      <w:r>
        <w:rPr>
          <w:rFonts w:ascii="宋体" w:hAnsi="宋体" w:eastAsia="宋体" w:cs="宋体"/>
          <w:color w:val="auto"/>
          <w:sz w:val="24"/>
          <w:highlight w:val="none"/>
        </w:rPr>
        <w:t xml:space="preserve">40mm 0.8um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25mm 0.8μm</w:t>
      </w:r>
      <w:r>
        <w:rPr>
          <w:rFonts w:hint="eastAsia" w:ascii="宋体" w:hAnsi="宋体" w:eastAsia="宋体" w:cs="宋体"/>
          <w:color w:val="auto"/>
          <w:sz w:val="24"/>
          <w:highlight w:val="none"/>
        </w:rPr>
        <w:t xml:space="preserve">，50片/盒，6盒；</w:t>
      </w:r>
      <w:r>
        <w:rPr>
          <w:rFonts w:ascii="宋体" w:hAnsi="宋体" w:eastAsia="宋体" w:cs="宋体"/>
          <w:color w:val="auto"/>
          <w:sz w:val="24"/>
          <w:highlight w:val="none"/>
        </w:rPr>
        <w:t xml:space="preserve">37mm 0.8μm</w:t>
      </w:r>
      <w:r>
        <w:rPr>
          <w:rFonts w:hint="eastAsia" w:ascii="宋体" w:hAnsi="宋体" w:eastAsia="宋体" w:cs="宋体"/>
          <w:color w:val="auto"/>
          <w:sz w:val="24"/>
          <w:highlight w:val="none"/>
        </w:rPr>
        <w:t xml:space="preserve">，50片/盒，6盒</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3.8玻纤测尘滤膜：</w:t>
      </w:r>
      <w:r>
        <w:rPr>
          <w:rFonts w:ascii="宋体" w:hAnsi="宋体" w:eastAsia="宋体" w:cs="宋体"/>
          <w:color w:val="auto"/>
          <w:sz w:val="24"/>
          <w:highlight w:val="none"/>
        </w:rPr>
        <w:t xml:space="preserve">40mm 0.8um</w:t>
      </w:r>
      <w:r>
        <w:rPr>
          <w:rFonts w:hint="eastAsia" w:ascii="宋体" w:hAnsi="宋体" w:eastAsia="宋体" w:cs="宋体"/>
          <w:color w:val="auto"/>
          <w:sz w:val="24"/>
          <w:highlight w:val="none"/>
        </w:rPr>
        <w:t xml:space="preserve">，50片/盒，3盒；</w:t>
      </w:r>
      <w:r>
        <w:rPr>
          <w:rFonts w:ascii="宋体" w:hAnsi="宋体" w:eastAsia="宋体" w:cs="宋体"/>
          <w:color w:val="auto"/>
          <w:sz w:val="24"/>
          <w:highlight w:val="none"/>
        </w:rPr>
        <w:t xml:space="preserve">25mm 0.8μm</w:t>
      </w:r>
      <w:r>
        <w:rPr>
          <w:rFonts w:hint="eastAsia" w:ascii="宋体" w:hAnsi="宋体" w:eastAsia="宋体" w:cs="宋体"/>
          <w:color w:val="auto"/>
          <w:sz w:val="24"/>
          <w:highlight w:val="none"/>
        </w:rPr>
        <w:t xml:space="preserve">，50片/盒，3盒；</w:t>
      </w:r>
      <w:r>
        <w:rPr>
          <w:rFonts w:ascii="宋体" w:hAnsi="宋体" w:eastAsia="宋体" w:cs="宋体"/>
          <w:color w:val="auto"/>
          <w:sz w:val="24"/>
          <w:highlight w:val="none"/>
        </w:rPr>
        <w:t xml:space="preserve">37mm 0.8μm</w:t>
      </w:r>
      <w:r>
        <w:rPr>
          <w:rFonts w:hint="eastAsia" w:ascii="宋体" w:hAnsi="宋体" w:eastAsia="宋体" w:cs="宋体"/>
          <w:color w:val="auto"/>
          <w:sz w:val="24"/>
          <w:highlight w:val="none"/>
        </w:rPr>
        <w:t xml:space="preserve">，50片/盒，3盒</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4、售后服务要求：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4.1质保期：不少于2年（质保期自验收合格之日起计算）。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4.2服务响应：接到维修通知后有专职的技术服务人员上门服务，保证维修响应时间2小时</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4.3提供详细的培训计划，保证使用人员正常操作设备。</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4.4零配件应保证不少于8年的供应期。</w:t>
      </w:r>
      <w:bookmarkEnd w:id="79"/>
      <w:r>
        <w:rPr>
          <w:color w:val="auto"/>
          <w:highlight w:val="none"/>
        </w:rPr>
      </w:r>
      <w:r/>
    </w:p>
    <w:p>
      <w:pPr>
        <w:widowControl/>
        <w:rPr>
          <w:rFonts w:hint="eastAsia" w:ascii="宋体" w:hAnsi="宋体" w:eastAsia="宋体" w:cs="宋体"/>
          <w:strike/>
          <w:color w:val="auto"/>
          <w:sz w:val="24"/>
          <w:highlight w:val="none"/>
        </w:rPr>
        <w:outlineLvl w:val="0"/>
      </w:pPr>
      <w:r>
        <w:rPr>
          <w:rFonts w:hint="eastAsia" w:ascii="宋体" w:hAnsi="宋体" w:eastAsia="宋体" w:cs="宋体"/>
          <w:strike/>
          <w:color w:val="auto"/>
          <w:sz w:val="24"/>
          <w:highlight w:val="none"/>
        </w:rPr>
      </w:r>
      <w:r>
        <w:rPr>
          <w:color w:val="auto"/>
          <w:highlight w:val="none"/>
        </w:rPr>
      </w:r>
      <w:r/>
    </w:p>
    <w:p>
      <w:pPr>
        <w:widowControl/>
        <w:rPr>
          <w:rFonts w:hint="eastAsia" w:ascii="宋体" w:hAnsi="宋体" w:eastAsia="宋体" w:cs="宋体"/>
          <w:color w:val="auto"/>
          <w:sz w:val="24"/>
          <w:highlight w:val="none"/>
        </w:rPr>
        <w:outlineLvl w:val="0"/>
      </w:pPr>
      <w:r>
        <w:rPr>
          <w:color w:val="auto"/>
          <w:highlight w:val="none"/>
        </w:rPr>
      </w:r>
      <w:bookmarkStart w:id="81" w:name="_Hlk204543938"/>
      <w:r>
        <w:rPr>
          <w:rFonts w:hint="eastAsia" w:ascii="宋体" w:hAnsi="宋体" w:eastAsia="宋体" w:cs="宋体"/>
          <w:color w:val="auto"/>
          <w:sz w:val="24"/>
          <w:highlight w:val="none"/>
        </w:rPr>
        <w:t xml:space="preserve">（四）</w:t>
      </w:r>
      <w:r>
        <w:rPr>
          <w:rFonts w:hint="eastAsia" w:ascii="宋体" w:hAnsi="宋体" w:eastAsia="宋体" w:cs="宋体"/>
          <w:color w:val="auto"/>
          <w:sz w:val="24"/>
          <w:highlight w:val="none"/>
        </w:rPr>
        <w:t xml:space="preserve">手动有毒有害气体采集系统</w:t>
      </w:r>
      <w:r>
        <w:rPr>
          <w:color w:val="auto"/>
          <w:highlight w:val="none"/>
        </w:rPr>
      </w:r>
      <w:r/>
    </w:p>
    <w:p>
      <w:pPr>
        <w:jc w:val="left"/>
        <w:widowControl/>
        <w:rPr>
          <w:rFonts w:hint="eastAsia" w:ascii="宋体" w:hAnsi="宋体" w:eastAsia="宋体" w:cs="宋体"/>
          <w:color w:val="auto"/>
          <w:sz w:val="24"/>
          <w:highlight w:val="none"/>
        </w:rPr>
        <w:outlineLvl w:val="2"/>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用于有毒有害气体的快速采集检测。</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2、技术性能要求：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 具有实验室和应急现场都能方便使用；</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★2.2具有气体定性、定量检测功能；</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★2.3系统配置有防毒面具，气体采样仪，手动采样器，氧气/可燃气报警仪，无机/有机气体快速检测管(CO，CO2，H2S，SO2，NH3，CI2，汽油，苯，氮氧化物，液化石油气)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3.快速气体检测管量程：CO:5-100ppm 、CO2:300-5000ppm 、H2S:2-50ppm 、S02:10-150ppm、NH3:1-30mg/m3 、Cl2:1-30mg/m3 、汽油:50-1000 mg/m3 、苯:20-400mg/m3、氮氧化物:5-100mg/m3 、液化石油气:0.01-0.2%；</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3、配置要求：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3.1防毒面具1个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3.2气体采样仪1台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3.3手动采样器1个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3.4氧气/可燃气报警仪1台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3.5无机/有机气体快速检测管（含CO,CO2,H2S,SO2,NH3,CI2,汽油,苯,氮氧化物,液化石油气）1套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3.6手提箱1个</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4、售后服务要求：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4.1质保期：不少于2年（质保期自验收合格之日起计算）。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4.2服务响应：接到维修通知后有专职的技术服务人员上门服务，保证维修响应时间2小时</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4.3提供详细的培训计划，保证使用人员正常操作设备。</w:t>
      </w:r>
      <w:r>
        <w:rPr>
          <w:color w:val="auto"/>
          <w:highlight w:val="none"/>
        </w:rPr>
      </w:r>
      <w:r/>
    </w:p>
    <w:p>
      <w:pPr>
        <w:jc w:val="left"/>
        <w:spacing w:before="320" w:after="120" w:line="560" w:lineRule="exact"/>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（五）干式流量计</w:t>
      </w:r>
      <w:r>
        <w:rPr>
          <w:color w:val="auto"/>
          <w:highlight w:val="none"/>
        </w:rPr>
      </w:r>
      <w:r/>
    </w:p>
    <w:p>
      <w:pPr>
        <w:jc w:val="left"/>
        <w:widowControl/>
        <w:rPr>
          <w:rFonts w:hint="eastAsia" w:ascii="宋体" w:hAnsi="宋体" w:eastAsia="宋体" w:cs="宋体"/>
          <w:color w:val="auto"/>
          <w:sz w:val="24"/>
          <w:highlight w:val="none"/>
        </w:rPr>
        <w:outlineLvl w:val="2"/>
      </w:pPr>
      <w:r>
        <w:rPr>
          <w:color w:val="auto"/>
          <w:highlight w:val="none"/>
        </w:rPr>
      </w:r>
      <w:bookmarkStart w:id="82" w:name="OLE_LINK18"/>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用于校准采样器流量。</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2、技术性能要求：</w:t>
      </w:r>
      <w:bookmarkEnd w:id="82"/>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2.1测量范围: 5mL/min-500mL/min +0.3L/min-30L/mi；</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2.2精确度/分辨率：≤±1% / 1mL/min，1级精度；</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2.3测量方式：干式；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★2.4触摸屏设置，灵敏度高；</w:t>
      </w:r>
      <w:r>
        <w:rPr>
          <w:color w:val="auto"/>
          <w:highlight w:val="none"/>
        </w:rPr>
      </w:r>
      <w:r/>
    </w:p>
    <w:p>
      <w:pPr>
        <w:widowControl/>
        <w:rPr>
          <w:rFonts w:hint="eastAsia" w:ascii="宋体" w:hAnsi="宋体" w:eastAsia="宋体" w:cs="宋体"/>
          <w:strike/>
          <w:color w:val="auto"/>
          <w:sz w:val="24"/>
          <w:highlight w:val="none"/>
        </w:rPr>
        <w:outlineLvl w:val="0"/>
      </w:pPr>
      <w:r>
        <w:rPr>
          <w:rFonts w:hint="eastAsia" w:ascii="宋体" w:hAnsi="宋体" w:eastAsia="宋体" w:cs="宋体"/>
          <w:color w:val="auto"/>
          <w:sz w:val="24"/>
          <w:highlight w:val="none"/>
        </w:rPr>
        <w:t xml:space="preserve">★2.5连接PC软件，电脑上实时观测流量以图形状态变化，测量数据保存为EXCEL型式进行打印；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2.6显示内容：实时/平均流量、电池电量、温度压强、数据保存/删除、温度压强、抖动率、测量次数，日期时间等各种信息；</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2.7具有温度、压力传感器;可选温度单位:℃、F等;可选压力单位: mmHg 、kPa等</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2.8流量单位：L/min、mL/min、cc/min切换；</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2.9查询日志，可预览采集信息及打印等；</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2.10 SD卡、蓝牙传输校准数据功能；</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★2.11传感器调零、泄漏量测试、工况/标况切换等功能；</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2.12 连续工作时间：&gt;48h；</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2.13尺寸：≤150mm×140mm×70mm； </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2.14 重量：≤680g；</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★2.15为确保及时的技术支持和维修服务，投标时需提供生产厂家针对本项目的售后服务承诺书并加盖生产厂家公章；</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3、配置要求：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w:t>
      </w:r>
      <w:r>
        <w:rPr>
          <w:rFonts w:hint="eastAsia" w:ascii="宋体" w:hAnsi="宋体" w:eastAsia="宋体" w:cs="宋体"/>
          <w:color w:val="auto"/>
          <w:sz w:val="24"/>
          <w:highlight w:val="none"/>
        </w:rPr>
        <w:t xml:space="preserve">主机 2 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3.2充电器1个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3.3 SD卡1个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3.4硅胶管1根</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3.5便携保护箱1个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3.6说明书/合格证/保修卡 1 份</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4、售后服务要求：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4.1质保期：不少于2年（质保期自验收合格之日起计算）。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4.2服务响应：接到维修通知后有专职的技术服务人员上门服务，保证维修响应时间2小时</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4.3提供详细的培训计划，保证使用人员正常操作设备。</w:t>
      </w:r>
      <w:r>
        <w:rPr>
          <w:color w:val="auto"/>
          <w:highlight w:val="none"/>
        </w:rPr>
      </w:r>
      <w:r/>
    </w:p>
    <w:p>
      <w:pPr>
        <w:jc w:val="left"/>
        <w:spacing w:before="320" w:after="120" w:line="560" w:lineRule="exact"/>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（六）粉尘滤膜除静电器</w:t>
      </w:r>
      <w:r>
        <w:rPr>
          <w:color w:val="auto"/>
          <w:highlight w:val="none"/>
        </w:rPr>
      </w:r>
      <w:r/>
    </w:p>
    <w:p>
      <w:pPr>
        <w:jc w:val="left"/>
        <w:widowControl/>
        <w:rPr>
          <w:rFonts w:hint="eastAsia" w:ascii="宋体" w:hAnsi="宋体" w:eastAsia="宋体" w:cs="宋体"/>
          <w:color w:val="auto"/>
          <w:sz w:val="24"/>
          <w:highlight w:val="none"/>
        </w:rPr>
        <w:outlineLvl w:val="2"/>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用于去除滤膜上的静电。</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2、技术性能要求：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2.1无风型；</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2.2离子调解范围宽；</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2.3有专门的离子发射器清洁器；</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2.4工作电压：220V/50Hzor、110V/60HZ；</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2.5离子平衡度：+28 - 69；</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2.6除静电速度：正 0.1S，负 0.1S；</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2.7测试条件：工温度 26℃；湿度 67%；测试电压 1KV~100V；测试距离 150mm；</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3、配置要求：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3.1主机 1 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3.2相关配件1套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3.3说明书/合格证/保修卡 1 份</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4、售后服务要求：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4.1质保期：不少于2年（质保期自验收合格之日起计算）。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4.2服务响应：接到维修通知后有专职的技术服务人员上门服务，保证维修响应时间2小时</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4.3提供详细的培训计划，保证使用人员正常操作设备。</w:t>
      </w:r>
      <w:r>
        <w:rPr>
          <w:color w:val="auto"/>
          <w:highlight w:val="none"/>
        </w:rPr>
      </w:r>
      <w:r/>
    </w:p>
    <w:p>
      <w:pPr>
        <w:jc w:val="left"/>
        <w:spacing w:before="320" w:after="120" w:line="560" w:lineRule="exact"/>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（七）大气压力表</w:t>
      </w:r>
      <w:r>
        <w:rPr>
          <w:color w:val="auto"/>
          <w:highlight w:val="none"/>
        </w:rPr>
      </w:r>
      <w:r/>
    </w:p>
    <w:p>
      <w:pPr>
        <w:jc w:val="left"/>
        <w:widowControl/>
        <w:rPr>
          <w:rFonts w:hint="eastAsia" w:ascii="宋体" w:hAnsi="宋体" w:eastAsia="宋体" w:cs="宋体"/>
          <w:color w:val="auto"/>
          <w:sz w:val="24"/>
          <w:highlight w:val="none"/>
        </w:rPr>
        <w:outlineLvl w:val="2"/>
      </w:pPr>
      <w:r>
        <w:rPr>
          <w:rFonts w:hint="eastAsia" w:ascii="宋体" w:hAnsi="宋体" w:eastAsia="宋体" w:cs="宋体"/>
          <w:b/>
          <w:bCs/>
          <w:color w:val="auto"/>
          <w:sz w:val="24"/>
          <w:highlight w:val="none"/>
        </w:rPr>
        <w:t xml:space="preserve">1、主要用途：</w:t>
      </w:r>
      <w:r>
        <w:rPr>
          <w:rFonts w:hint="eastAsia" w:ascii="宋体" w:hAnsi="宋体" w:eastAsia="宋体" w:cs="宋体"/>
          <w:color w:val="auto"/>
          <w:sz w:val="24"/>
          <w:highlight w:val="none"/>
        </w:rPr>
        <w:t xml:space="preserve">用于测量环境大气压力，在职业卫生监测、环境监测等工作中，为采样数据的校准和分析提供准确的大气压力数据。</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2、技术性能要求：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2.1测量大气压力范围： 500-1020hPa；</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2.2使用温度范围：－30℃～＋40℃；</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2.3仪器温度表刻度范围：－11℃～＋41℃；</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2.4仪器温度最小分度值：1℃；</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2.5经过示度、温度、补充修正后,其测量误差：≤±3.3hPa；</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2.6示度盘最小分度值：2hPa；</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2.7仪器重量：≤1.5kg；</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2.8仪器尺寸：≤160mm×160mm×120mm；</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3、配置要求：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3.1主机 1 台</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3.2充电器1个</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3.3数据传输线1根</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3.4相关配件1套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3.5说明书/合格证/保修卡 1 份</w:t>
      </w:r>
      <w:r>
        <w:rPr>
          <w:color w:val="auto"/>
          <w:highlight w:val="none"/>
        </w:rPr>
      </w:r>
      <w:r/>
    </w:p>
    <w:p>
      <w:pPr>
        <w:widowControl/>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4、售后服务要求：</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4.1质保期：不少于2年（质保期自验收合格之日起计算）。</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4.2服务响应：接到维修通知后有专职的技术服务人员上门服务，保证维修响应时间2小时</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内，工程师12小时内到现场，48小时内需完成维修。</w:t>
      </w:r>
      <w:r>
        <w:rPr>
          <w:color w:val="auto"/>
          <w:highlight w:val="none"/>
        </w:rPr>
      </w:r>
      <w:r/>
    </w:p>
    <w:p>
      <w:pPr>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4.3提供详细的培训计划，保证使用人员正常操作设备。</w:t>
      </w:r>
      <w:bookmarkEnd w:id="81"/>
      <w:r>
        <w:rPr>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rPr>
          <w:color w:val="auto"/>
          <w:highlight w:val="none"/>
        </w:rPr>
      </w:r>
      <w:r/>
    </w:p>
    <w:p>
      <w:pPr>
        <w:spacing w:line="360" w:lineRule="auto"/>
        <w:rPr>
          <w:rFonts w:hint="eastAsia" w:ascii="宋体" w:hAnsi="宋体" w:eastAsia="宋体" w:cs="宋体"/>
          <w:b/>
          <w:color w:val="auto"/>
          <w:sz w:val="24"/>
          <w:highlight w:val="none"/>
          <w:shd w:val="clear" w:color="auto" w:fill="fafafa"/>
        </w:rPr>
      </w:pPr>
      <w:r>
        <w:rPr>
          <w:rFonts w:hint="eastAsia" w:ascii="宋体" w:hAnsi="宋体" w:eastAsia="宋体" w:cs="宋体"/>
          <w:b/>
          <w:color w:val="auto"/>
          <w:sz w:val="24"/>
          <w:highlight w:val="none"/>
        </w:rPr>
        <w:t xml:space="preserve">五、</w:t>
      </w:r>
      <w:r>
        <w:rPr>
          <w:rFonts w:hint="eastAsia" w:ascii="宋体" w:hAnsi="宋体" w:eastAsia="宋体" w:cs="宋体"/>
          <w:b/>
          <w:color w:val="auto"/>
          <w:sz w:val="24"/>
          <w:highlight w:val="none"/>
          <w:shd w:val="clear" w:color="auto" w:fill="fafafa"/>
        </w:rPr>
        <w:t xml:space="preserve">安装及售后服务要求：</w:t>
      </w:r>
      <w:r>
        <w:rPr>
          <w:color w:val="auto"/>
          <w:highlight w:val="none"/>
        </w:rPr>
      </w:r>
      <w:r/>
    </w:p>
    <w:p>
      <w:pPr>
        <w:spacing w:line="360" w:lineRule="auto"/>
        <w:rPr>
          <w:rFonts w:hint="eastAsia" w:ascii="宋体" w:hAnsi="宋体" w:eastAsia="宋体"/>
          <w:color w:val="auto"/>
          <w:sz w:val="24"/>
          <w:highlight w:val="none"/>
          <w:shd w:val="clear" w:color="auto" w:fill="fafafa"/>
        </w:rPr>
      </w:pPr>
      <w:r>
        <w:rPr>
          <w:rFonts w:ascii="宋体" w:hAnsi="宋体" w:eastAsia="宋体"/>
          <w:color w:val="auto"/>
          <w:sz w:val="24"/>
          <w:highlight w:val="none"/>
          <w:shd w:val="clear" w:color="auto" w:fill="fafafa"/>
        </w:rPr>
        <w:t xml:space="preserve">1、按合同定期到货和安装，</w:t>
      </w:r>
      <w:r>
        <w:rPr>
          <w:rFonts w:ascii="宋体" w:hAnsi="宋体" w:eastAsia="宋体"/>
          <w:color w:val="auto"/>
          <w:sz w:val="24"/>
          <w:highlight w:val="none"/>
        </w:rPr>
        <w:t xml:space="preserve">安装</w:t>
      </w:r>
      <w:r>
        <w:rPr>
          <w:rFonts w:ascii="宋体" w:hAnsi="宋体" w:eastAsia="宋体"/>
          <w:color w:val="auto"/>
          <w:sz w:val="24"/>
          <w:highlight w:val="none"/>
          <w:shd w:val="clear" w:color="auto" w:fill="fafafa"/>
        </w:rPr>
        <w:t xml:space="preserve">前供方需把设备资料报采购方审核。</w:t>
      </w:r>
      <w:r>
        <w:rPr>
          <w:color w:val="auto"/>
          <w:highlight w:val="none"/>
        </w:rPr>
      </w:r>
      <w:r/>
    </w:p>
    <w:p>
      <w:pPr>
        <w:spacing w:line="360" w:lineRule="auto"/>
        <w:rPr>
          <w:rFonts w:hint="eastAsia" w:ascii="宋体" w:hAnsi="宋体" w:eastAsia="宋体"/>
          <w:color w:val="auto"/>
          <w:sz w:val="24"/>
          <w:highlight w:val="none"/>
          <w:shd w:val="clear" w:color="auto" w:fill="fafafa"/>
        </w:rPr>
      </w:pPr>
      <w:r>
        <w:rPr>
          <w:rFonts w:hint="eastAsia" w:ascii="宋体" w:hAnsi="宋体" w:eastAsia="宋体"/>
          <w:color w:val="auto"/>
          <w:sz w:val="24"/>
          <w:highlight w:val="none"/>
          <w:shd w:val="clear" w:color="auto" w:fill="fafafa"/>
        </w:rPr>
        <w:t xml:space="preserve">2、</w:t>
      </w:r>
      <w:r>
        <w:rPr>
          <w:rFonts w:hint="eastAsia" w:ascii="宋体" w:hAnsi="宋体" w:eastAsia="宋体" w:cs="Arial"/>
          <w:color w:val="auto"/>
          <w:sz w:val="24"/>
          <w:highlight w:val="none"/>
        </w:rPr>
        <w:t xml:space="preserve">安装仪器时，安装工程师需对本标书中提出的性能指标须逐项演示给用户，所有指标需要通过现场验收，无法通过验收则视为投标时虚假应标，做退货处理，并赔偿采购方相应的损失。</w:t>
      </w:r>
      <w:r>
        <w:rPr>
          <w:color w:val="auto"/>
          <w:highlight w:val="none"/>
        </w:rPr>
      </w:r>
      <w:r/>
    </w:p>
    <w:p>
      <w:pPr>
        <w:spacing w:line="360" w:lineRule="auto"/>
        <w:rPr>
          <w:rFonts w:hint="eastAsia" w:ascii="宋体" w:hAnsi="宋体" w:eastAsia="宋体"/>
          <w:color w:val="auto"/>
          <w:sz w:val="24"/>
          <w:highlight w:val="none"/>
          <w:shd w:val="clear" w:color="auto" w:fill="fafafa"/>
        </w:rPr>
      </w:pPr>
      <w:r>
        <w:rPr>
          <w:rFonts w:hint="eastAsia" w:ascii="宋体" w:hAnsi="宋体" w:eastAsia="宋体"/>
          <w:color w:val="auto"/>
          <w:sz w:val="24"/>
          <w:highlight w:val="none"/>
          <w:shd w:val="clear" w:color="auto" w:fill="fafafa"/>
        </w:rPr>
        <w:t xml:space="preserve">3</w:t>
      </w:r>
      <w:r>
        <w:rPr>
          <w:rFonts w:ascii="宋体" w:hAnsi="宋体" w:eastAsia="宋体"/>
          <w:color w:val="auto"/>
          <w:sz w:val="24"/>
          <w:highlight w:val="none"/>
          <w:shd w:val="clear" w:color="auto" w:fill="fafafa"/>
        </w:rPr>
        <w:t xml:space="preserve">、</w:t>
      </w:r>
      <w:r>
        <w:rPr>
          <w:rFonts w:hint="eastAsia" w:ascii="宋体" w:hAnsi="宋体" w:eastAsia="宋体" w:cs="Arial"/>
          <w:color w:val="auto"/>
          <w:sz w:val="24"/>
          <w:highlight w:val="none"/>
        </w:rPr>
        <w:t xml:space="preserve">人员培训：除现场安装和使用培</w:t>
      </w:r>
      <w:r>
        <w:rPr>
          <w:rFonts w:hint="eastAsia" w:ascii="宋体" w:hAnsi="宋体" w:eastAsia="宋体"/>
          <w:color w:val="auto"/>
          <w:sz w:val="24"/>
          <w:highlight w:val="none"/>
          <w:shd w:val="clear" w:color="auto" w:fill="fafafa"/>
        </w:rPr>
        <w:t xml:space="preserve">训外，大型仪器还须为采购人提供不少于2名操作人员前往生产商在中国培训中心实验室进行相关软硬件的免费操作培训，时间不少于3天，</w:t>
      </w:r>
      <w:r>
        <w:rPr>
          <w:rFonts w:hint="eastAsia" w:ascii="宋体" w:hAnsi="宋体" w:eastAsia="宋体"/>
          <w:color w:val="auto"/>
          <w:sz w:val="24"/>
          <w:highlight w:val="none"/>
          <w:shd w:val="clear" w:color="auto" w:fill="fafafa"/>
        </w:rPr>
        <w:t xml:space="preserve">食宿和交通费用由中标人承担。</w:t>
      </w:r>
      <w:r>
        <w:rPr>
          <w:color w:val="auto"/>
          <w:highlight w:val="none"/>
        </w:rPr>
      </w:r>
      <w:r/>
    </w:p>
    <w:p>
      <w:pPr>
        <w:spacing w:line="360" w:lineRule="auto"/>
        <w:rPr>
          <w:rFonts w:hint="eastAsia" w:ascii="宋体" w:hAnsi="宋体" w:eastAsia="宋体"/>
          <w:color w:val="auto"/>
          <w:sz w:val="24"/>
          <w:highlight w:val="none"/>
          <w:shd w:val="clear" w:color="auto" w:fill="fafafa"/>
        </w:rPr>
      </w:pPr>
      <w:r>
        <w:rPr>
          <w:rFonts w:hint="eastAsia" w:ascii="宋体" w:hAnsi="宋体" w:eastAsia="宋体"/>
          <w:color w:val="auto"/>
          <w:sz w:val="24"/>
          <w:highlight w:val="none"/>
          <w:shd w:val="clear" w:color="auto" w:fill="fafafa"/>
        </w:rPr>
        <w:t xml:space="preserve">4、仪器设备安</w:t>
      </w:r>
      <w:r>
        <w:rPr>
          <w:rFonts w:hint="eastAsia" w:ascii="宋体" w:hAnsi="宋体" w:eastAsia="宋体" w:cs="Arial"/>
          <w:color w:val="auto"/>
          <w:sz w:val="24"/>
          <w:highlight w:val="none"/>
        </w:rPr>
        <w:t xml:space="preserve">装后，应长时间无条件提供采购人需要的设备方法开发及应用资料。</w:t>
      </w:r>
      <w:r>
        <w:rPr>
          <w:color w:val="auto"/>
          <w:highlight w:val="none"/>
        </w:rPr>
      </w:r>
      <w:r/>
    </w:p>
    <w:p>
      <w:pPr>
        <w:spacing w:line="360" w:lineRule="auto"/>
        <w:rPr>
          <w:rFonts w:hint="eastAsia" w:ascii="宋体" w:hAnsi="宋体" w:eastAsia="宋体" w:cs="宋体"/>
          <w:color w:val="auto"/>
          <w:sz w:val="24"/>
          <w:highlight w:val="none"/>
          <w:shd w:val="clear" w:color="auto" w:fill="fafafa"/>
        </w:rPr>
      </w:pPr>
      <w:r>
        <w:rPr>
          <w:rFonts w:hint="eastAsia" w:ascii="宋体" w:hAnsi="宋体" w:eastAsia="宋体"/>
          <w:color w:val="auto"/>
          <w:sz w:val="24"/>
          <w:highlight w:val="none"/>
          <w:shd w:val="clear" w:color="auto" w:fill="fafafa"/>
        </w:rPr>
        <w:t xml:space="preserve">5</w:t>
      </w:r>
      <w:r>
        <w:rPr>
          <w:rFonts w:ascii="宋体" w:hAnsi="宋体" w:eastAsia="宋体"/>
          <w:color w:val="auto"/>
          <w:sz w:val="24"/>
          <w:highlight w:val="none"/>
          <w:shd w:val="clear" w:color="auto" w:fill="fafafa"/>
        </w:rPr>
        <w:t xml:space="preserve">、</w:t>
      </w:r>
      <w:r>
        <w:rPr>
          <w:rFonts w:hint="eastAsia" w:ascii="宋体" w:hAnsi="宋体" w:eastAsia="宋体"/>
          <w:color w:val="auto"/>
          <w:sz w:val="24"/>
          <w:highlight w:val="none"/>
          <w:shd w:val="clear" w:color="auto" w:fill="fafafa"/>
        </w:rPr>
        <w:t xml:space="preserve">质保期：具体见 第四章 招标书。</w:t>
      </w:r>
      <w:r>
        <w:rPr>
          <w:color w:val="auto"/>
          <w:highlight w:val="none"/>
        </w:rPr>
      </w:r>
      <w:r/>
    </w:p>
    <w:p>
      <w:pPr>
        <w:spacing w:line="360" w:lineRule="auto"/>
        <w:rPr>
          <w:rFonts w:hint="eastAsia" w:ascii="宋体" w:hAnsi="宋体" w:eastAsia="宋体" w:cs="宋体"/>
          <w:color w:val="auto"/>
          <w:sz w:val="24"/>
          <w:highlight w:val="none"/>
          <w:shd w:val="clear" w:color="auto" w:fill="fafafa"/>
        </w:rPr>
      </w:pPr>
      <w:r>
        <w:rPr>
          <w:rFonts w:hint="eastAsia" w:ascii="宋体" w:hAnsi="宋体" w:eastAsia="宋体" w:cs="宋体"/>
          <w:color w:val="auto"/>
          <w:sz w:val="24"/>
          <w:highlight w:val="none"/>
          <w:shd w:val="clear" w:color="auto" w:fill="fafafa"/>
        </w:rPr>
        <w:t xml:space="preserve">6、</w:t>
      </w:r>
      <w:r>
        <w:rPr>
          <w:rFonts w:hint="eastAsia" w:ascii="宋体" w:hAnsi="宋体" w:eastAsia="宋体" w:cs="Arial"/>
          <w:color w:val="auto"/>
          <w:sz w:val="24"/>
          <w:highlight w:val="none"/>
        </w:rPr>
        <w:t xml:space="preserve">仪器维修：仪器自验收签字之日起，仪器终生维修。</w:t>
      </w:r>
      <w:r>
        <w:rPr>
          <w:rFonts w:ascii="宋体" w:hAnsi="宋体" w:eastAsia="宋体"/>
          <w:color w:val="auto"/>
          <w:sz w:val="24"/>
          <w:highlight w:val="none"/>
          <w:shd w:val="clear" w:color="auto" w:fill="fafafa"/>
        </w:rPr>
        <w:t xml:space="preserve">供方需长期提供优惠价格</w:t>
      </w:r>
      <w:r>
        <w:rPr>
          <w:rFonts w:hint="eastAsia" w:ascii="宋体" w:hAnsi="宋体" w:eastAsia="宋体" w:cs="宋体"/>
          <w:color w:val="auto"/>
          <w:sz w:val="24"/>
          <w:highlight w:val="none"/>
          <w:shd w:val="clear" w:color="auto" w:fill="fafafa"/>
        </w:rPr>
        <w:t xml:space="preserve">的主要零配件</w:t>
      </w:r>
      <w:r>
        <w:rPr>
          <w:rFonts w:hint="eastAsia" w:ascii="宋体" w:hAnsi="宋体" w:eastAsia="宋体" w:cs="宋体"/>
          <w:b/>
          <w:color w:val="auto"/>
          <w:sz w:val="24"/>
          <w:highlight w:val="none"/>
          <w:shd w:val="clear" w:color="auto" w:fill="fafafa"/>
        </w:rPr>
        <w:t xml:space="preserve">（承诺中标后提供原厂承诺的配件及消耗品的价格清单）</w:t>
      </w:r>
      <w:r>
        <w:rPr>
          <w:rFonts w:hint="eastAsia" w:ascii="宋体" w:hAnsi="宋体" w:eastAsia="宋体" w:cs="宋体"/>
          <w:color w:val="auto"/>
          <w:sz w:val="24"/>
          <w:highlight w:val="none"/>
          <w:shd w:val="clear" w:color="auto" w:fill="fafafa"/>
        </w:rPr>
        <w:t xml:space="preserve">；提供维修部负责人名单和服务人员配置情况及联系方式。</w:t>
      </w:r>
      <w:r>
        <w:rPr>
          <w:color w:val="auto"/>
          <w:highlight w:val="none"/>
        </w:rPr>
      </w:r>
      <w:r/>
    </w:p>
    <w:p>
      <w:pPr>
        <w:spacing w:line="360" w:lineRule="auto"/>
        <w:rPr>
          <w:rFonts w:hint="eastAsia" w:ascii="宋体" w:hAnsi="宋体" w:eastAsia="宋体" w:cs="宋体"/>
          <w:color w:val="auto"/>
          <w:sz w:val="24"/>
          <w:highlight w:val="none"/>
          <w:shd w:val="clear" w:color="auto" w:fill="fafafa"/>
        </w:rPr>
      </w:pPr>
      <w:r>
        <w:rPr>
          <w:rFonts w:hint="eastAsia" w:ascii="宋体" w:hAnsi="宋体" w:eastAsia="宋体" w:cs="宋体"/>
          <w:color w:val="auto"/>
          <w:sz w:val="24"/>
          <w:highlight w:val="none"/>
          <w:shd w:val="clear" w:color="auto" w:fill="fafafa"/>
        </w:rPr>
        <w:t xml:space="preserve">7、服务期内，报修后2</w:t>
      </w:r>
      <w:r>
        <w:rPr>
          <w:rFonts w:hint="eastAsia" w:ascii="宋体" w:hAnsi="宋体" w:eastAsia="宋体"/>
          <w:color w:val="auto"/>
          <w:sz w:val="24"/>
          <w:highlight w:val="none"/>
        </w:rPr>
        <w:t xml:space="preserve">小时内</w:t>
      </w:r>
      <w:r>
        <w:rPr>
          <w:rFonts w:hint="eastAsia" w:ascii="宋体" w:hAnsi="宋体" w:eastAsia="宋体" w:cs="宋体"/>
          <w:color w:val="auto"/>
          <w:sz w:val="24"/>
          <w:highlight w:val="none"/>
          <w:shd w:val="clear" w:color="auto" w:fill="fafafa"/>
        </w:rPr>
        <w:t xml:space="preserve">响应，12小时内到达现场，48小时内排除故障，如无法修复正常运行的，须</w:t>
      </w:r>
      <w:r>
        <w:rPr>
          <w:rFonts w:hint="eastAsia" w:ascii="宋体" w:hAnsi="宋体" w:eastAsia="宋体"/>
          <w:color w:val="auto"/>
          <w:sz w:val="24"/>
          <w:highlight w:val="none"/>
        </w:rPr>
        <w:t xml:space="preserve">标明</w:t>
      </w:r>
      <w:r>
        <w:rPr>
          <w:rFonts w:hint="eastAsia" w:ascii="宋体" w:hAnsi="宋体" w:eastAsia="宋体" w:cs="宋体"/>
          <w:color w:val="auto"/>
          <w:sz w:val="24"/>
          <w:highlight w:val="none"/>
          <w:shd w:val="clear" w:color="auto" w:fill="fafafa"/>
        </w:rPr>
        <w:t xml:space="preserve">赔偿标准。在设备维修期间免费提供备用品。</w:t>
      </w:r>
      <w:r>
        <w:rPr>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rPr>
          <w:color w:val="auto"/>
          <w:highlight w:val="none"/>
        </w:rPr>
      </w:r>
      <w:r/>
    </w:p>
    <w:p>
      <w:pPr>
        <w:jc w:val="left"/>
        <w:spacing w:line="360" w:lineRule="auto"/>
        <w:tabs>
          <w:tab w:val="left" w:pos="3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五、综合说明及要求</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1、投标单位必须说明其是否响应采购文件中提出的全部服务内容与要求，如果对其中某些条款不响应时，应在文件中逐条列出，未列出的视同响应。</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2、本次采购活动不接受联合报价及分包、转包。</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报价包括但不限于完成所有招标内容以及本项目所需的所有服务内容以及本项目所需的劳务支出、人员培训、各种税费、人工、维护、餐费、加班费、社保、保险、利润、税金、政策性文件规定及合同包含的所有风险、责任等各项应有费用，采购单位不再为本项目内容中的任何具体工作任务支付额外的费用。成交单位所报单价在合同实施期间不因市场变化因素而变动。响应单位在投标时应充分考虑服务期内的市场因素和成本变化状况的风险。</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4、成交单位管理如不符合或达不到采购单位的要求，采购单位书面告知成交单位整改；若经整改后仍不能达到采购单位要求，采购单位有权终止合同，并无需支付因终止合同而产生的相关费用。</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5、投标单位须自行勘察，根据现场实际情况做出符合采购单位要求的整体方案，费用由</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rPr>
        <w:t xml:space="preserve">单位自行承担。未踏勘现场的</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rPr>
        <w:t xml:space="preserve">单位成交后，不得以不完全了解现场情况为理由而向采购单位提出任何索赔或其他要求，对此采购单位不承担任何责任并将不作任何答复。</w:t>
      </w:r>
      <w:r>
        <w:rPr>
          <w:color w:val="auto"/>
          <w:highlight w:val="none"/>
        </w:rPr>
      </w:r>
      <w:r/>
    </w:p>
    <w:p>
      <w:pPr>
        <w:spacing w:line="360" w:lineRule="auto"/>
        <w:rPr>
          <w:rFonts w:hint="eastAsia" w:ascii="宋体" w:hAnsi="宋体" w:eastAsia="宋体" w:cs="宋体"/>
          <w:color w:val="auto"/>
          <w:sz w:val="24"/>
          <w:highlight w:val="none"/>
          <w:shd w:val="clear" w:color="auto" w:fill="fafafa"/>
        </w:rPr>
      </w:pPr>
      <w:r>
        <w:rPr>
          <w:rFonts w:hint="eastAsia" w:ascii="宋体" w:hAnsi="宋体" w:eastAsia="宋体" w:cs="宋体"/>
          <w:color w:val="auto"/>
          <w:sz w:val="24"/>
          <w:highlight w:val="none"/>
          <w:shd w:val="clear" w:color="auto" w:fill="fafafa"/>
        </w:rPr>
        <w:t xml:space="preserve">6、投标人按照招标文件的要求提交投标文件，并对所提供的全部资料的真实性承担法律责任。</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六、政府采购政策：</w:t>
      </w:r>
      <w:r>
        <w:rPr>
          <w:color w:val="auto"/>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（1）绿色采购</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并在投标文件中提供由国家确定的认证机构出具的、处于有效期之内的节能产品认证证书扫描件，否则视为未实质性响应。</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（2）促进残疾人就业：</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符合《关于促进残疾人就业政府采购政策的通知》（财库〔2017〕141号）规定条件的残疾人福利性单位在参加政府采购活动时，应当提供《残疾人福利性单位声明函》，并对声明的真实性负责，</w:t>
      </w:r>
      <w:r>
        <w:rPr>
          <w:rFonts w:ascii="宋体" w:hAnsi="宋体" w:eastAsia="宋体" w:cs="宋体"/>
          <w:bCs/>
          <w:color w:val="auto"/>
          <w:sz w:val="24"/>
          <w:highlight w:val="none"/>
        </w:rPr>
        <w:t xml:space="preserve">未提供视为非残疾人福利性单位，不视同小微企业，不享受残疾人福利性单</w:t>
      </w:r>
      <w:r>
        <w:rPr>
          <w:rFonts w:hint="eastAsia" w:ascii="宋体" w:hAnsi="宋体" w:eastAsia="宋体" w:cs="宋体"/>
          <w:bCs/>
          <w:color w:val="auto"/>
          <w:sz w:val="24"/>
          <w:highlight w:val="none"/>
        </w:rPr>
        <w:t xml:space="preserve">位政策。</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（3）支持监狱企业发展：</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在政府采购活动中，监狱企业视同小型、微型企业，享受预留份额、评审中价格扣除等政府采购促进中小企业发展的政府采购政策。监狱企业属于小型、微型企业的，不重复享受政策。</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（4）中小微企业：</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本项目采购标的对应的中小企业划分标准所属行业为</w:t>
      </w:r>
      <w:r>
        <w:rPr>
          <w:rFonts w:hint="eastAsia" w:ascii="宋体" w:hAnsi="宋体" w:eastAsia="宋体" w:cs="宋体"/>
          <w:b/>
          <w:color w:val="auto"/>
          <w:sz w:val="24"/>
          <w:highlight w:val="none"/>
          <w:u w:val="single"/>
        </w:rPr>
        <w:t xml:space="preserve">    </w:t>
      </w:r>
      <w:r>
        <w:rPr>
          <w:rFonts w:ascii="宋体" w:hAnsi="宋体" w:eastAsia="宋体" w:cs="宋体"/>
          <w:bCs/>
          <w:color w:val="auto"/>
          <w:sz w:val="24"/>
          <w:highlight w:val="none"/>
        </w:rPr>
        <w:t xml:space="preserve">。中小微企业划型标准根据《中小企业划型标</w:t>
      </w:r>
      <w:r>
        <w:rPr>
          <w:rFonts w:hint="eastAsia" w:ascii="宋体" w:hAnsi="宋体" w:eastAsia="宋体" w:cs="宋体"/>
          <w:bCs/>
          <w:color w:val="auto"/>
          <w:sz w:val="24"/>
          <w:highlight w:val="none"/>
        </w:rPr>
        <w:t xml:space="preserve">准规定》（工信部联企业【</w:t>
      </w:r>
      <w:r>
        <w:rPr>
          <w:rFonts w:ascii="宋体" w:hAnsi="宋体" w:eastAsia="宋体" w:cs="宋体"/>
          <w:bCs/>
          <w:color w:val="auto"/>
          <w:sz w:val="24"/>
          <w:highlight w:val="none"/>
        </w:rPr>
        <w:t xml:space="preserve">2011】 300 号）</w:t>
      </w:r>
      <w:r>
        <w:rPr>
          <w:rFonts w:hint="eastAsia" w:ascii="宋体" w:hAnsi="宋体" w:eastAsia="宋体" w:cs="宋体"/>
          <w:bCs/>
          <w:color w:val="auto"/>
          <w:sz w:val="24"/>
          <w:highlight w:val="none"/>
        </w:rPr>
        <w:t xml:space="preserve">。</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（5）关于对参与供应商信用记录的政府采购要求</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auto"/>
          <w:highlight w:val="none"/>
        </w:rPr>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4.对存在失信信息的供应商，由失信供应商进行确认。同时，采购代理机构工作人员应根据评标委员会确认的失信信息，登陆到相关来源网站页面进行复核并打印，作为证据留存。</w:t>
      </w:r>
      <w:r>
        <w:rPr>
          <w:color w:val="auto"/>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七、凡涉及招标文件的补充说明和修改，均以</w:t>
      </w:r>
      <w:r>
        <w:rPr>
          <w:rFonts w:ascii="宋体" w:hAnsi="宋体" w:eastAsia="宋体" w:cs="宋体"/>
          <w:color w:val="auto"/>
          <w:sz w:val="24"/>
          <w:highlight w:val="none"/>
        </w:rPr>
        <w:t xml:space="preserve">苏州市政府采购网</w:t>
      </w:r>
      <w:r>
        <w:rPr>
          <w:rFonts w:hint="eastAsia" w:ascii="宋体" w:hAnsi="宋体" w:eastAsia="宋体" w:cs="宋体"/>
          <w:bCs/>
          <w:color w:val="auto"/>
          <w:sz w:val="24"/>
          <w:highlight w:val="none"/>
        </w:rPr>
        <w:t xml:space="preserve">发布的公告为准。</w:t>
      </w:r>
      <w:r>
        <w:rPr>
          <w:color w:val="auto"/>
          <w:highlight w:val="none"/>
        </w:rPr>
      </w:r>
      <w:r/>
    </w:p>
    <w:p>
      <w:pPr>
        <w:jc w:val="left"/>
        <w:widowControl/>
        <w:rPr>
          <w:rFonts w:hint="eastAsia" w:ascii="宋体" w:hAnsi="宋体" w:eastAsia="宋体" w:cs="宋体"/>
          <w:bCs/>
          <w:color w:val="auto"/>
          <w:sz w:val="24"/>
          <w:highlight w:val="none"/>
        </w:rPr>
      </w:pPr>
      <w:r>
        <w:rPr>
          <w:rFonts w:ascii="宋体" w:hAnsi="宋体" w:eastAsia="宋体" w:cs="宋体"/>
          <w:bCs/>
          <w:color w:val="auto"/>
          <w:sz w:val="24"/>
          <w:highlight w:val="none"/>
        </w:rPr>
        <w:br w:type="page" w:clear="all"/>
      </w:r>
      <w:r>
        <w:rPr>
          <w:color w:val="auto"/>
          <w:highlight w:val="none"/>
        </w:rPr>
      </w:r>
      <w:r/>
    </w:p>
    <w:p>
      <w:pPr>
        <w:pStyle w:val="737"/>
        <w:jc w:val="center"/>
        <w:rPr>
          <w:rFonts w:hint="eastAsia" w:ascii="宋体" w:hAnsi="宋体" w:eastAsia="宋体"/>
          <w:color w:val="auto"/>
          <w:sz w:val="52"/>
          <w:szCs w:val="52"/>
          <w:highlight w:val="none"/>
        </w:rPr>
      </w:pPr>
      <w:r>
        <w:rPr>
          <w:color w:val="auto"/>
          <w:highlight w:val="none"/>
        </w:rPr>
      </w:r>
      <w:bookmarkStart w:id="83" w:name="_Toc520073485"/>
      <w:r>
        <w:rPr>
          <w:color w:val="auto"/>
          <w:highlight w:val="none"/>
        </w:rPr>
      </w:r>
      <w:r/>
    </w:p>
    <w:p>
      <w:pPr>
        <w:pStyle w:val="737"/>
        <w:jc w:val="center"/>
        <w:rPr>
          <w:rFonts w:hint="eastAsia" w:ascii="宋体" w:hAnsi="宋体" w:eastAsia="宋体"/>
          <w:color w:val="auto"/>
          <w:sz w:val="52"/>
          <w:szCs w:val="52"/>
          <w:highlight w:val="none"/>
        </w:rPr>
      </w:pPr>
      <w:r>
        <w:rPr>
          <w:rFonts w:hint="eastAsia" w:ascii="宋体" w:hAnsi="宋体" w:eastAsia="宋体"/>
          <w:color w:val="auto"/>
          <w:sz w:val="52"/>
          <w:szCs w:val="52"/>
          <w:highlight w:val="none"/>
        </w:rPr>
      </w:r>
      <w:r>
        <w:rPr>
          <w:color w:val="auto"/>
          <w:highlight w:val="none"/>
        </w:rPr>
      </w:r>
      <w:r/>
    </w:p>
    <w:p>
      <w:pPr>
        <w:pStyle w:val="737"/>
        <w:jc w:val="center"/>
        <w:rPr>
          <w:rFonts w:hint="eastAsia" w:ascii="宋体" w:hAnsi="宋体" w:eastAsia="宋体"/>
          <w:color w:val="auto"/>
          <w:sz w:val="52"/>
          <w:szCs w:val="52"/>
          <w:highlight w:val="none"/>
        </w:rPr>
      </w:pPr>
      <w:r>
        <w:rPr>
          <w:rFonts w:hint="eastAsia" w:ascii="宋体" w:hAnsi="宋体" w:eastAsia="宋体"/>
          <w:color w:val="auto"/>
          <w:sz w:val="52"/>
          <w:szCs w:val="52"/>
          <w:highlight w:val="none"/>
        </w:rPr>
      </w:r>
      <w:r>
        <w:rPr>
          <w:color w:val="auto"/>
          <w:highlight w:val="none"/>
        </w:rPr>
      </w:r>
      <w:r/>
    </w:p>
    <w:p>
      <w:pPr>
        <w:pStyle w:val="737"/>
        <w:jc w:val="center"/>
        <w:rPr>
          <w:rFonts w:hint="eastAsia" w:ascii="宋体" w:hAnsi="宋体" w:eastAsia="宋体"/>
          <w:color w:val="auto"/>
          <w:sz w:val="52"/>
          <w:szCs w:val="52"/>
          <w:highlight w:val="none"/>
        </w:rPr>
      </w:pPr>
      <w:r>
        <w:rPr>
          <w:rFonts w:hint="eastAsia" w:ascii="宋体" w:hAnsi="宋体" w:eastAsia="宋体"/>
          <w:color w:val="auto"/>
          <w:sz w:val="52"/>
          <w:szCs w:val="52"/>
          <w:highlight w:val="none"/>
        </w:rPr>
        <w:t xml:space="preserve">第五章  合同主要条款</w:t>
      </w:r>
      <w:bookmarkEnd w:id="23"/>
      <w:r>
        <w:rPr>
          <w:color w:val="auto"/>
          <w:highlight w:val="none"/>
        </w:rPr>
      </w:r>
      <w:bookmarkEnd w:id="24"/>
      <w:r>
        <w:rPr>
          <w:color w:val="auto"/>
          <w:highlight w:val="none"/>
        </w:rPr>
      </w:r>
      <w:bookmarkEnd w:id="83"/>
      <w:r>
        <w:rPr>
          <w:color w:val="auto"/>
          <w:highlight w:val="none"/>
        </w:rPr>
      </w:r>
      <w:r/>
    </w:p>
    <w:p>
      <w:pPr>
        <w:jc w:val="center"/>
        <w:spacing w:line="360" w:lineRule="auto"/>
        <w:widowControl/>
        <w:rPr>
          <w:rFonts w:hint="eastAsia" w:ascii="宋体" w:hAnsi="宋体" w:eastAsia="宋体" w:cs="宋体"/>
          <w:b/>
          <w:color w:val="auto"/>
          <w:sz w:val="48"/>
          <w:szCs w:val="48"/>
          <w:highlight w:val="none"/>
        </w:rPr>
        <w:outlineLvl w:val="0"/>
      </w:pPr>
      <w:r>
        <w:rPr>
          <w:rFonts w:ascii="宋体" w:hAnsi="宋体" w:eastAsia="宋体" w:cs="宋体"/>
          <w:color w:val="auto"/>
          <w:sz w:val="24"/>
          <w:highlight w:val="none"/>
        </w:rPr>
        <w:br w:type="page" w:clear="all"/>
      </w:r>
      <w:r>
        <w:rPr>
          <w:rFonts w:hint="eastAsia" w:ascii="宋体" w:hAnsi="宋体" w:eastAsia="宋体" w:cs="宋体"/>
          <w:b/>
          <w:color w:val="auto"/>
          <w:sz w:val="48"/>
          <w:szCs w:val="48"/>
          <w:highlight w:val="none"/>
        </w:rPr>
        <w:t xml:space="preserve">合同主要条款</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项目名称：相城区疾控中心检测设备采购</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招标编号：JSZC-320507-YJKJ-G2025-0015</w:t>
      </w:r>
      <w:r>
        <w:rPr>
          <w:color w:val="auto"/>
          <w:highlight w:val="none"/>
        </w:rPr>
      </w:r>
      <w:r/>
    </w:p>
    <w:p>
      <w:pPr>
        <w:pStyle w:val="752"/>
        <w:ind w:firstLine="480"/>
        <w:spacing w:line="360" w:lineRule="auto"/>
        <w:rPr>
          <w:color w:val="auto"/>
          <w:highlight w:val="none"/>
        </w:rPr>
      </w:pPr>
      <w:r>
        <w:rPr>
          <w:color w:val="auto"/>
          <w:highlight w:val="none"/>
        </w:rPr>
      </w:r>
      <w:r>
        <w:rPr>
          <w:color w:val="auto"/>
          <w:highlight w:val="none"/>
        </w:rPr>
      </w:r>
      <w:r/>
    </w:p>
    <w:p>
      <w:pPr>
        <w:ind w:firstLine="480"/>
        <w:jc w:val="left"/>
        <w:spacing w:line="360" w:lineRule="auto"/>
        <w:widowControl/>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t xml:space="preserve">甲方(招标人)：苏州市相城区区级机关事务管理中心</w:t>
      </w:r>
      <w:r>
        <w:rPr>
          <w:color w:val="auto"/>
          <w:highlight w:val="none"/>
        </w:rPr>
      </w:r>
      <w:r/>
    </w:p>
    <w:p>
      <w:pPr>
        <w:ind w:firstLine="480"/>
        <w:jc w:val="left"/>
        <w:spacing w:line="360" w:lineRule="auto"/>
        <w:widowControl/>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联系人：于文</w:t>
      </w:r>
      <w:r>
        <w:rPr>
          <w:color w:val="auto"/>
          <w:highlight w:val="none"/>
        </w:rPr>
      </w:r>
      <w:r/>
    </w:p>
    <w:p>
      <w:pPr>
        <w:ind w:firstLine="480"/>
        <w:jc w:val="left"/>
        <w:spacing w:line="360" w:lineRule="auto"/>
        <w:widowControl/>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联系电话：0512-</w:t>
      </w:r>
      <w:r>
        <w:rPr>
          <w:rFonts w:hint="eastAsia" w:ascii="宋体" w:hAnsi="宋体" w:eastAsia="宋体" w:cs="宋体"/>
          <w:color w:val="auto"/>
          <w:sz w:val="24"/>
          <w:highlight w:val="none"/>
        </w:rPr>
        <w:t xml:space="preserve">85182861</w:t>
      </w:r>
      <w:r>
        <w:rPr>
          <w:color w:val="auto"/>
          <w:highlight w:val="none"/>
        </w:rPr>
      </w:r>
      <w:r/>
    </w:p>
    <w:p>
      <w:pPr>
        <w:ind w:firstLine="480"/>
        <w:jc w:val="left"/>
        <w:spacing w:line="360" w:lineRule="auto"/>
        <w:widowControl/>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联系地址：苏州市相城区阳澄湖东路8号相城区行政中心8号楼</w:t>
      </w:r>
      <w:r>
        <w:rPr>
          <w:color w:val="auto"/>
          <w:highlight w:val="none"/>
        </w:rPr>
      </w:r>
      <w:r/>
    </w:p>
    <w:p>
      <w:pPr>
        <w:ind w:firstLine="480"/>
        <w:jc w:val="left"/>
        <w:spacing w:line="360" w:lineRule="auto"/>
        <w:widowControl/>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r>
      <w:r>
        <w:rPr>
          <w:color w:val="auto"/>
          <w:highlight w:val="none"/>
        </w:rPr>
      </w:r>
      <w:r/>
    </w:p>
    <w:p>
      <w:pPr>
        <w:ind w:firstLine="480"/>
        <w:jc w:val="left"/>
        <w:spacing w:line="360" w:lineRule="auto"/>
        <w:widowControl/>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t xml:space="preserve">乙方（中标人）：</w:t>
      </w:r>
      <w:r>
        <w:rPr>
          <w:color w:val="auto"/>
          <w:highlight w:val="none"/>
        </w:rPr>
      </w:r>
      <w:r/>
    </w:p>
    <w:p>
      <w:pPr>
        <w:ind w:firstLine="480"/>
        <w:jc w:val="left"/>
        <w:spacing w:line="360" w:lineRule="auto"/>
        <w:widowControl/>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联系人：</w:t>
      </w:r>
      <w:r>
        <w:rPr>
          <w:color w:val="auto"/>
          <w:highlight w:val="none"/>
        </w:rPr>
      </w:r>
      <w:r/>
    </w:p>
    <w:p>
      <w:pPr>
        <w:ind w:firstLine="480"/>
        <w:jc w:val="left"/>
        <w:spacing w:line="360" w:lineRule="auto"/>
        <w:widowControl/>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联系电话：</w:t>
      </w:r>
      <w:r>
        <w:rPr>
          <w:color w:val="auto"/>
          <w:highlight w:val="none"/>
        </w:rPr>
      </w:r>
      <w:r/>
    </w:p>
    <w:p>
      <w:pPr>
        <w:ind w:firstLine="480"/>
        <w:jc w:val="left"/>
        <w:spacing w:line="360" w:lineRule="auto"/>
        <w:widowControl/>
        <w:rPr>
          <w:rFonts w:hint="eastAsia" w:ascii="宋体" w:hAnsi="宋体" w:eastAsia="宋体" w:cs="仿宋_GB2312"/>
          <w:color w:val="auto"/>
          <w:sz w:val="24"/>
          <w:highlight w:val="none"/>
        </w:rPr>
      </w:pPr>
      <w:r>
        <w:rPr>
          <w:rFonts w:hint="eastAsia" w:ascii="宋体" w:hAnsi="宋体" w:eastAsia="宋体" w:cs="仿宋_GB2312"/>
          <w:color w:val="auto"/>
          <w:sz w:val="24"/>
          <w:highlight w:val="none"/>
        </w:rPr>
        <w:t xml:space="preserve">联系地址：</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根据研佳科技咨询（苏州）有限公司招标编号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rPr>
        <w:t xml:space="preserve">相城区疾控中心检测设备采购</w:t>
      </w:r>
      <w:r>
        <w:rPr>
          <w:rFonts w:hint="eastAsia" w:ascii="宋体" w:hAnsi="宋体" w:eastAsia="宋体" w:cs="宋体"/>
          <w:color w:val="auto"/>
          <w:sz w:val="24"/>
          <w:highlight w:val="none"/>
        </w:rPr>
        <w:t xml:space="preserve">的招标文件及中标单位的投标文件和中标通知书，甲乙双方就此次中标的标的物的购销事宜，签订本合同书。</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color w:val="auto"/>
          <w:highlight w:val="none"/>
        </w:rPr>
      </w:r>
      <w:bookmarkStart w:id="84" w:name="_Toc291668812"/>
      <w:r>
        <w:rPr>
          <w:rFonts w:hint="eastAsia" w:ascii="宋体" w:hAnsi="宋体" w:eastAsia="宋体" w:cs="宋体"/>
          <w:b/>
          <w:color w:val="auto"/>
          <w:sz w:val="24"/>
          <w:highlight w:val="none"/>
        </w:rPr>
        <w:t xml:space="preserve">一、合同文件</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下列文件为本合同不可分割部分：</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1、招标文件及其附件；</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2、乙方的投标文件；</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3、合同条款；</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4、乙方在招投标过程中所作的其它承诺、声明、书面澄清等；</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5、中标通知书；</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6、本合同附件。</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二、合同价款</w:t>
      </w:r>
      <w:r>
        <w:rPr>
          <w:color w:val="auto"/>
          <w:highlight w:val="none"/>
        </w:rPr>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1、</w:t>
      </w:r>
      <w:r>
        <w:rPr>
          <w:rFonts w:ascii="宋体" w:hAnsi="宋体" w:eastAsia="宋体" w:cs="宋体"/>
          <w:bCs/>
          <w:color w:val="auto"/>
          <w:sz w:val="24"/>
          <w:highlight w:val="none"/>
        </w:rPr>
        <w:t xml:space="preserve">合同</w:t>
      </w:r>
      <w:r>
        <w:rPr>
          <w:rFonts w:hint="eastAsia" w:ascii="宋体" w:hAnsi="宋体" w:eastAsia="宋体" w:cs="宋体"/>
          <w:bCs/>
          <w:color w:val="auto"/>
          <w:sz w:val="24"/>
          <w:highlight w:val="none"/>
        </w:rPr>
        <w:t xml:space="preserve">金额</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color w:val="auto"/>
          <w:highlight w:val="none"/>
        </w:rPr>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bCs/>
          <w:color w:val="auto"/>
          <w:sz w:val="24"/>
          <w:szCs w:val="21"/>
          <w:highlight w:val="none"/>
        </w:rPr>
        <w:t xml:space="preserve">价格包括完成本次项目所需的全部货物和服务的报价，应包括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投标报价为最终报价，除非因特殊原因并经买卖双方协商同意，投标人不得再要求追加任何费用。同时</w:t>
      </w:r>
      <w:r>
        <w:rPr>
          <w:color w:val="auto"/>
          <w:highlight w:val="none"/>
        </w:rPr>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2、付款方式</w:t>
      </w:r>
      <w:r>
        <w:rPr>
          <w:color w:val="auto"/>
          <w:highlight w:val="none"/>
        </w:rPr>
      </w:r>
      <w:r/>
    </w:p>
    <w:p>
      <w:pPr>
        <w:contextualSpacing/>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（1）货物全部到达现场，甲方确认收货后支付至合同总价的50%；</w:t>
      </w:r>
      <w:r>
        <w:rPr>
          <w:color w:val="auto"/>
          <w:highlight w:val="none"/>
        </w:rPr>
      </w:r>
      <w:r/>
    </w:p>
    <w:p>
      <w:pPr>
        <w:contextualSpacing/>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（2）货物全部安装完成经验收合格，无任何问题后付至合同总价的 97%；</w:t>
      </w:r>
      <w:r>
        <w:rPr>
          <w:color w:val="auto"/>
          <w:highlight w:val="none"/>
        </w:rPr>
      </w:r>
      <w:r/>
    </w:p>
    <w:p>
      <w:pPr>
        <w:contextualSpacing/>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（3）余款在质保期满后一年内付清。</w:t>
      </w:r>
      <w:r>
        <w:rPr>
          <w:color w:val="auto"/>
          <w:highlight w:val="none"/>
        </w:rPr>
      </w:r>
      <w:r/>
    </w:p>
    <w:p>
      <w:pPr>
        <w:contextualSpacing/>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3.付款步骤：提供如下单据甲方支付前批货款。</w:t>
      </w:r>
      <w:r>
        <w:rPr>
          <w:color w:val="auto"/>
          <w:highlight w:val="none"/>
        </w:rPr>
      </w:r>
      <w:r/>
    </w:p>
    <w:p>
      <w:pPr>
        <w:contextualSpacing/>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①甲方填制的支付申请单；</w:t>
      </w:r>
      <w:r>
        <w:rPr>
          <w:color w:val="auto"/>
          <w:highlight w:val="none"/>
        </w:rPr>
      </w:r>
      <w:r/>
    </w:p>
    <w:p>
      <w:pPr>
        <w:contextualSpacing/>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②合格销售发票；</w:t>
      </w:r>
      <w:r>
        <w:rPr>
          <w:color w:val="auto"/>
          <w:highlight w:val="none"/>
        </w:rPr>
      </w:r>
      <w:r/>
    </w:p>
    <w:p>
      <w:pPr>
        <w:contextualSpacing/>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③经甲乙双方及招标代理机构签章的《采购合同履行验收报告》。</w:t>
      </w:r>
      <w:r>
        <w:rPr>
          <w:color w:val="auto"/>
          <w:highlight w:val="none"/>
        </w:rPr>
      </w:r>
      <w:r/>
    </w:p>
    <w:p>
      <w:pPr>
        <w:contextualSpacing/>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4、付款形式：通过银行转账支付。</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三、付款约定</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ascii="宋体" w:hAnsi="宋体" w:eastAsia="宋体" w:cs="宋体"/>
          <w:color w:val="auto"/>
          <w:sz w:val="24"/>
          <w:highlight w:val="none"/>
        </w:rPr>
        <w:t xml:space="preserve">1、甲方根据乙方在本合同中所提供银行开户信息转账支付。</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乙方开户名称：</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四、合同内容</w:t>
      </w:r>
      <w:r>
        <w:rPr>
          <w:rFonts w:hint="eastAsia" w:ascii="宋体" w:hAnsi="宋体" w:eastAsia="宋体" w:cs="宋体"/>
          <w:b/>
          <w:bCs/>
          <w:color w:val="auto"/>
          <w:sz w:val="24"/>
          <w:highlight w:val="none"/>
        </w:rPr>
        <w:t xml:space="preserve">及要求</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详见招标文件第四章。</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rPr>
          <w:rFonts w:ascii="宋体" w:hAnsi="宋体" w:eastAsia="宋体" w:cs="宋体"/>
          <w:b/>
          <w:color w:val="auto"/>
          <w:sz w:val="24"/>
          <w:highlight w:val="none"/>
        </w:rPr>
        <w:t xml:space="preserve">合同履行期限</w:t>
      </w:r>
      <w:r>
        <w:rPr>
          <w:rFonts w:hint="eastAsia" w:ascii="宋体" w:hAnsi="宋体" w:eastAsia="宋体" w:cs="宋体"/>
          <w:b/>
          <w:color w:val="auto"/>
          <w:sz w:val="24"/>
          <w:highlight w:val="none"/>
        </w:rPr>
        <w:t xml:space="preserve">、地点</w:t>
      </w:r>
      <w:r>
        <w:rPr>
          <w:color w:val="auto"/>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合同履行期限</w:t>
      </w:r>
      <w:r>
        <w:rPr>
          <w:rFonts w:hint="eastAsia" w:ascii="宋体" w:hAnsi="宋体" w:eastAsia="宋体" w:cs="宋体"/>
          <w:color w:val="auto"/>
          <w:sz w:val="24"/>
          <w:highlight w:val="none"/>
        </w:rPr>
        <w:t xml:space="preserve">：合同签订后90天内完成供货安装调试</w:t>
      </w:r>
      <w:r>
        <w:rPr>
          <w:rFonts w:ascii="宋体" w:hAnsi="宋体" w:eastAsia="宋体" w:cs="宋体"/>
          <w:color w:val="auto"/>
          <w:sz w:val="24"/>
          <w:highlight w:val="none"/>
        </w:rPr>
        <w:t xml:space="preserve">。</w:t>
      </w:r>
      <w:r>
        <w:rPr>
          <w:color w:val="auto"/>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2、交付时间、地点：甲方指定地点，根据采购方要求24小时之内送至相应地点</w:t>
      </w:r>
      <w:r>
        <w:rPr>
          <w:rFonts w:hint="eastAsia" w:ascii="宋体" w:hAnsi="宋体" w:eastAsia="宋体" w:cs="宋体"/>
          <w:color w:val="auto"/>
          <w:sz w:val="24"/>
          <w:highlight w:val="none"/>
        </w:rPr>
        <w:t xml:space="preserve">。</w:t>
      </w:r>
      <w:r>
        <w:rPr>
          <w:color w:val="auto"/>
          <w:highlight w:val="none"/>
        </w:rPr>
      </w:r>
      <w:r/>
    </w:p>
    <w:p>
      <w:pPr>
        <w:ind w:firstLine="482"/>
        <w:spacing w:line="360" w:lineRule="auto"/>
        <w:rPr>
          <w:rFonts w:hint="eastAsia" w:ascii="宋体" w:hAnsi="宋体" w:eastAsia="宋体" w:cs="Times New Roman"/>
          <w:b/>
          <w:color w:val="auto"/>
          <w:sz w:val="24"/>
          <w:highlight w:val="none"/>
        </w:rPr>
      </w:pPr>
      <w:r>
        <w:rPr>
          <w:rFonts w:hint="eastAsia" w:ascii="宋体" w:hAnsi="宋体" w:eastAsia="宋体" w:cs="宋体"/>
          <w:b/>
          <w:bCs/>
          <w:color w:val="auto"/>
          <w:sz w:val="24"/>
          <w:highlight w:val="none"/>
        </w:rPr>
        <w:t xml:space="preserve">六、</w:t>
      </w:r>
      <w:r>
        <w:rPr>
          <w:rFonts w:hint="eastAsia" w:ascii="宋体" w:hAnsi="宋体" w:eastAsia="宋体" w:cs="Times New Roman"/>
          <w:b/>
          <w:color w:val="auto"/>
          <w:sz w:val="24"/>
          <w:highlight w:val="none"/>
        </w:rPr>
        <w:t xml:space="preserve">质量保证</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3.除特别约定外，合同条款成交的物的质量保证期均自标的物通过最终验收之日起计算。</w:t>
      </w:r>
      <w:r>
        <w:rPr>
          <w:color w:val="auto"/>
          <w:highlight w:val="none"/>
        </w:rPr>
      </w:r>
      <w:r/>
    </w:p>
    <w:p>
      <w:pPr>
        <w:ind w:firstLine="482"/>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七、标的物的交付</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1、标的物的所有权自标的物交付时转移。</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2、乙方应当按照约定的期限和约定的地点交付标的物。</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3、乙方应当按照约定或者交易习惯向甲方交付提取标的物单证以外的有关单证和资料。</w:t>
      </w:r>
      <w:r>
        <w:rPr>
          <w:color w:val="auto"/>
          <w:highlight w:val="none"/>
        </w:rPr>
      </w:r>
      <w:r/>
    </w:p>
    <w:p>
      <w:pPr>
        <w:ind w:firstLine="482"/>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八、伴随服务</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1、乙方除应履行按期按量交付合格标的物的义务外，还应当提供下列服务：</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1.标的物的现场安装、启动、调试、监督（如果必须安装、调试的话）；</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2.提供标的物组装和一般维修所必需的工具；</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3.在合同规定的期限内对所提供的标的物实行运行监督、维修服务的前提条件是该服务并不能免除乙方在质量保证期内所承担的义务；</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2、除合同另有规定之外，伴随服务的费用均已含在合同价款中，甲方不再另行支付。</w:t>
      </w:r>
      <w:r>
        <w:rPr>
          <w:color w:val="auto"/>
          <w:highlight w:val="none"/>
        </w:rPr>
      </w:r>
      <w:r/>
    </w:p>
    <w:p>
      <w:pPr>
        <w:ind w:firstLine="472"/>
        <w:spacing w:line="360" w:lineRule="auto"/>
        <w:tabs>
          <w:tab w:val="center" w:pos="4751"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九、验收</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中标单位向采购单位提出验收申请，采购单位会同中标单位进行项目验收并对项目进行测试，如采购单位认为不符合采购单位要求及相关标准，可申请有关部门进行项目测试和验收，其相关费用由中标单位承担。</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2、验收期：自中标单位提出验收申请后十五个工作日内组织验收。</w:t>
      </w:r>
      <w:r>
        <w:rPr>
          <w:color w:val="auto"/>
          <w:highlight w:val="none"/>
        </w:rPr>
      </w:r>
      <w:r/>
    </w:p>
    <w:p>
      <w:pPr>
        <w:ind w:firstLine="482"/>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十、标的物提出异议的时间和办法</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1、甲方在验收过程中，应当于双方约定的检验期间内将标的物的数量或质量不符合约定的情况及处理方式以书面方式通知乙方。</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2、乙方应在收到甲方书面异议后七天内负责处理问题，否则将视为默认甲方提出的异议和处理意见。</w:t>
      </w:r>
      <w:r>
        <w:rPr>
          <w:color w:val="auto"/>
          <w:highlight w:val="none"/>
        </w:rPr>
      </w:r>
      <w:r/>
    </w:p>
    <w:p>
      <w:pPr>
        <w:ind w:firstLine="482"/>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十一、售后服务要求</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接到维修通知后有专职的技术服务人员上门服务，保证维修响应时间2小时内，工程师12小时内到现场，48小时内需完成维修。</w:t>
      </w:r>
      <w:r>
        <w:rPr>
          <w:color w:val="auto"/>
          <w:highlight w:val="none"/>
        </w:rPr>
      </w:r>
      <w:r/>
    </w:p>
    <w:p>
      <w:pPr>
        <w:ind w:firstLine="482"/>
        <w:spacing w:line="360" w:lineRule="auto"/>
        <w:rPr>
          <w:rFonts w:hint="eastAsia" w:ascii="宋体" w:hAnsi="宋体" w:eastAsia="宋体" w:cs="Times New Roman"/>
          <w:b/>
          <w:color w:val="auto"/>
          <w:sz w:val="24"/>
          <w:highlight w:val="none"/>
        </w:rPr>
      </w:pPr>
      <w:r>
        <w:rPr>
          <w:rFonts w:hint="eastAsia" w:ascii="宋体" w:hAnsi="宋体" w:eastAsia="宋体" w:cs="宋体"/>
          <w:b/>
          <w:color w:val="auto"/>
          <w:sz w:val="24"/>
          <w:highlight w:val="none"/>
        </w:rPr>
        <w:t xml:space="preserve">十二、</w:t>
      </w:r>
      <w:r>
        <w:rPr>
          <w:rFonts w:hint="eastAsia" w:ascii="宋体" w:hAnsi="宋体" w:eastAsia="宋体" w:cs="Times New Roman"/>
          <w:b/>
          <w:color w:val="auto"/>
          <w:sz w:val="24"/>
          <w:highlight w:val="none"/>
        </w:rPr>
        <w:t xml:space="preserve">违约责任</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合同一方不履行合同义务或者履行合同义务不符合约定的，应当承担继续履行、采取补救措施或赔偿损失等违约责任。</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1、甲方违约责任</w:t>
      </w:r>
      <w:r>
        <w:rPr>
          <w:color w:val="auto"/>
          <w:highlight w:val="none"/>
        </w:rPr>
      </w:r>
      <w:r/>
    </w:p>
    <w:p>
      <w:pPr>
        <w:ind w:firstLine="24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（1）在合同生效后，甲方无合理理由要求退货的，应向乙方偿付合同总价款的5%，作为违约金，违约金不足以补偿损失的，乙方有权要求甲方补足。</w:t>
      </w:r>
      <w:r>
        <w:rPr>
          <w:color w:val="auto"/>
          <w:highlight w:val="none"/>
        </w:rPr>
      </w:r>
      <w:r/>
    </w:p>
    <w:p>
      <w:pPr>
        <w:ind w:firstLine="24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（2）甲方逾期支付货款的应按照逾期付款金额的每天万分之四支付逾期付款违约金。</w:t>
      </w:r>
      <w:r>
        <w:rPr>
          <w:color w:val="auto"/>
          <w:highlight w:val="none"/>
        </w:rPr>
      </w:r>
      <w:r/>
    </w:p>
    <w:p>
      <w:pPr>
        <w:ind w:firstLine="24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（3）甲方违反合同规定，拒绝接收乙方交付的合格标的物，应当承担乙方由此造成的损失。</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2、乙方违约责任</w:t>
      </w:r>
      <w:r>
        <w:rPr>
          <w:color w:val="auto"/>
          <w:highlight w:val="none"/>
        </w:rPr>
      </w:r>
      <w:r/>
    </w:p>
    <w:p>
      <w:pPr>
        <w:ind w:firstLine="24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乙方不能交货（逾期超过十五个日历日视为不能交货），或交货不合格从而影响甲方按期正常使用的，应向甲方偿付合同总价款5%的违约金，违约金不足以补偿损失的，甲方有权要求乙方补足。乙方逾期交货超过二十个日历日的，甲方有权解除合同，并要求乙方承担合同总金额2</w:t>
      </w:r>
      <w:r>
        <w:rPr>
          <w:rFonts w:ascii="宋体" w:hAnsi="宋体" w:eastAsia="宋体" w:cs="Times New Roman"/>
          <w:color w:val="auto"/>
          <w:sz w:val="24"/>
          <w:highlight w:val="none"/>
        </w:rPr>
        <w:t xml:space="preserve">0</w:t>
      </w:r>
      <w:r>
        <w:rPr>
          <w:rFonts w:hint="eastAsia" w:ascii="宋体" w:hAnsi="宋体" w:eastAsia="宋体" w:cs="Times New Roman"/>
          <w:color w:val="auto"/>
          <w:sz w:val="24"/>
          <w:highlight w:val="none"/>
        </w:rPr>
        <w:t xml:space="preserve">%的违约金。</w:t>
      </w:r>
      <w:r>
        <w:rPr>
          <w:color w:val="auto"/>
          <w:highlight w:val="none"/>
        </w:rPr>
      </w:r>
      <w:r/>
    </w:p>
    <w:p>
      <w:pPr>
        <w:ind w:firstLine="24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（2）乙方逾期交货的 ，应在发货前与甲方协商，如甲方仍需求的，乙方应立即发货，按照逾期交货部分货款的每天千分之四支付逾期交货违约金，同时承担甲方因此遭致的损失费用。</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十三、不可抗力</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Ansi="宋体" w:eastAsia="宋体" w:cs="宋体"/>
          <w:color w:val="auto"/>
          <w:sz w:val="24"/>
          <w:szCs w:val="24"/>
          <w:highlight w:val="none"/>
        </w:rPr>
        <w:t xml:space="preserve">1、不可抗力指下列事件：战争、动乱、瘟疫、严重火灾、洪水、地震、风暴或其他自然灾害，以及本合同各方</w:t>
      </w:r>
      <w:r>
        <w:rPr>
          <w:rFonts w:hint="eastAsia" w:hAnsi="宋体" w:eastAsia="宋体" w:cs="宋体"/>
          <w:color w:val="auto"/>
          <w:sz w:val="24"/>
          <w:szCs w:val="24"/>
          <w:highlight w:val="none"/>
        </w:rPr>
        <w:t xml:space="preserve">不可预见、不可防止并不能避免或克服的一切其他因素及事件。</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Ansi="宋体" w:eastAsia="宋体" w:cs="宋体"/>
          <w:color w:val="auto"/>
          <w:sz w:val="24"/>
          <w:szCs w:val="24"/>
          <w:highlight w:val="none"/>
        </w:rPr>
        <w:t xml:space="preserve">2、任何一方因不可抗力不能履行本合同规定的全部或部分义务，该方应尽快通知另一方，并须在不可抗力发生</w:t>
      </w:r>
      <w:r>
        <w:rPr>
          <w:rFonts w:hint="eastAsia" w:hAnsi="宋体" w:eastAsia="宋体" w:cs="宋体"/>
          <w:color w:val="auto"/>
          <w:sz w:val="24"/>
          <w:szCs w:val="24"/>
          <w:highlight w:val="none"/>
        </w:rPr>
        <w:t xml:space="preserve">后3日内以书面形式向另一方提供详细情况报告及不可抗力对履行本合同的影响程度的说明。就上述不可抗力的发生须由受到不可抗力影响的一方负责同时提供由公证机关做出的公证证明。</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Ansi="宋体" w:eastAsia="宋体" w:cs="宋体"/>
          <w:color w:val="auto"/>
          <w:sz w:val="24"/>
          <w:szCs w:val="24"/>
          <w:highlight w:val="none"/>
        </w:rPr>
        <w:t xml:space="preserve">3、发生不可抗力事件，任何一方均不对因不可抗力无法履行或迟延履行本合同义务而使另一方蒙受的任何损失</w:t>
      </w:r>
      <w:r>
        <w:rPr>
          <w:rFonts w:hint="eastAsia" w:hAnsi="宋体" w:eastAsia="宋体" w:cs="宋体"/>
          <w:color w:val="auto"/>
          <w:sz w:val="24"/>
          <w:szCs w:val="24"/>
          <w:highlight w:val="none"/>
        </w:rPr>
        <w:t xml:space="preserve">承担责任。但遭受不可抗力影响的一方有责任尽可能及时采取适当或必要措施减少或消除不可抗力的影响。遭受不可抗力影响的一方对因未尽本项责任而造成的相关损失承担责任。</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Ansi="宋体" w:eastAsia="宋体" w:cs="宋体"/>
          <w:color w:val="auto"/>
          <w:sz w:val="24"/>
          <w:szCs w:val="24"/>
          <w:highlight w:val="none"/>
        </w:rPr>
        <w:t xml:space="preserve">4、合同各方应根据不可抗力对本合同履行的影响程度，协商确定是否终止本合同，或是继续履行本合同。</w:t>
      </w:r>
      <w:r>
        <w:rPr>
          <w:color w:val="auto"/>
          <w:highlight w:val="none"/>
        </w:rPr>
      </w:r>
      <w:r/>
    </w:p>
    <w:p>
      <w:pPr>
        <w:ind w:firstLine="482"/>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十四、索赔</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1、甲方有权根据当地产品质量检验机构或其他有权部门出具的检验证书向乙方提出索赔。</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2、在本合同规定的检验期限和质量保证期内，如果乙方对甲方提出的索赔或差异有责任，则乙方应按甲方同意的下列一种或多种方式解决索赔事宜：</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若甲方通过诉讼索赔，则乙方还应承担甲方由此支付的诉讼费、保全费、律师费等所有维权费用。</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2.根据标的物的低劣程度、损坏程度以及甲方遭受损失的数额，经双方协商确定降低标的物的价格。</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color w:val="auto"/>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十五、合同的解除和转让</w:t>
      </w:r>
      <w:r>
        <w:rPr>
          <w:color w:val="auto"/>
          <w:highlight w:val="none"/>
        </w:rPr>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1、甲方和乙方协商一致，可以解除合同。</w:t>
      </w:r>
      <w:r>
        <w:rPr>
          <w:color w:val="auto"/>
          <w:highlight w:val="none"/>
        </w:rPr>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2、有下列情形之一，合同一方可以解除合同：</w:t>
      </w:r>
      <w:r>
        <w:rPr>
          <w:color w:val="auto"/>
          <w:highlight w:val="none"/>
        </w:rPr>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1.1因不可抗力致使不能实现合同目的，未受不可抗力影响的一方有权解除合同；</w:t>
      </w:r>
      <w:r>
        <w:rPr>
          <w:color w:val="auto"/>
          <w:highlight w:val="none"/>
        </w:rPr>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1.2招标文件约定的解除合同的情形。</w:t>
      </w:r>
      <w:r>
        <w:rPr>
          <w:color w:val="auto"/>
          <w:highlight w:val="none"/>
        </w:rPr>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3、政府采购合同继续履行将损害国家利益和社会公共利益，甲方有权变更、中止或者终止、解除合同。</w:t>
      </w:r>
      <w:r>
        <w:rPr>
          <w:color w:val="auto"/>
          <w:highlight w:val="none"/>
        </w:rPr>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乙方提交的投标材料虚假，或者乙方故意隐瞒足以导致不能中标的事实被发现的，甲方可以单方解除本合同，由此造成甲方的损失由乙方承担赔偿（包括但不限于诉讼费、合理律师费等），且乙方无权要求返还履约保证金。</w:t>
      </w:r>
      <w:r>
        <w:rPr>
          <w:color w:val="auto"/>
          <w:highlight w:val="none"/>
        </w:rPr>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5、本合同不得以任何形式转让，否则视为乙方违约，甲方可以单方解除本合同，由此造成甲方的损失由乙方承担赔偿（包括但不限于诉讼费、合理律师费等），且乙方无权要求返还履约保证金（如有）。</w:t>
      </w:r>
      <w:r>
        <w:rPr>
          <w:color w:val="auto"/>
          <w:highlight w:val="none"/>
        </w:rPr>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6、本合同未经甲方书面同意不得分包，否则视为乙方违约，甲方可以单方解除本合同，由此造成甲方的损失由乙方承担赔偿（包括但不限于诉讼费、合理律师费等），且乙方无权要求返还履约保证金（如有）。</w:t>
      </w:r>
      <w:r>
        <w:rPr>
          <w:color w:val="auto"/>
          <w:highlight w:val="none"/>
        </w:rPr>
      </w:r>
      <w:r/>
    </w:p>
    <w:p>
      <w:pPr>
        <w:pStyle w:val="929"/>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7、有权解除合同的一方，应当在违约事实或不可抗力发生之后三十天内书面通知对方以主张解除合同，合同在书面通知到达对方时解除。</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十六、合同生效及其它</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1、本合同经双方法定（授权）代表人签字（或盖章）并盖单位公章（或合同章）后生效。</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2、合同在执行过程中出现的未尽事宜，双方在不违背本合同和招标文件的原则下协商解决，协商结果以书面形式盖章记录在案，作为本合同的附件，与本合同具有同等效力，但需向采购方提交二份备存。</w:t>
      </w:r>
      <w:r>
        <w:rPr>
          <w:color w:val="auto"/>
          <w:highlight w:val="none"/>
        </w:rPr>
      </w:r>
      <w:r/>
    </w:p>
    <w:p>
      <w:pPr>
        <w:ind w:left="420"/>
        <w:jc w:val="left"/>
        <w:spacing w:line="360" w:lineRule="auto"/>
        <w:widowControl/>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十七、争议的解决</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与本合同有关的一切争议，双方应通过友好协商解决。如果经协商不能达成协议，可以向甲方所在地有管辖权的人民法院起诉。</w:t>
      </w:r>
      <w:r>
        <w:rPr>
          <w:color w:val="auto"/>
          <w:highlight w:val="none"/>
        </w:rPr>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十八、附则</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本合同壹式陆份，甲乙双方各执贰份，招标代理机构执壹份，政府采购监管一份，具有同等法律效力</w:t>
      </w:r>
      <w:r>
        <w:rPr>
          <w:rFonts w:hint="eastAsia" w:ascii="宋体" w:hAnsi="宋体" w:eastAsia="宋体" w:cs="宋体"/>
          <w:color w:val="auto"/>
          <w:sz w:val="24"/>
          <w:highlight w:val="none"/>
        </w:rPr>
        <w:t xml:space="preserve">。</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2、本合同文件使用中文书写、解释和说明。</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3、本合同履行过程中产生的纪要、协议以及中标通知书、投标文件和招标文件为本合同的附件，与合同具有同等效力。</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4、未尽事宜</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本合同未尽事宜应按照《中华人民共和国民法典》、《中华人民共和国政府采购法》等相关法律法规之规定解释。</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甲方（盖章）：                         乙方（盖章）：</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法定代表人（授权代表）：               法定代表人（授权代表）：</w:t>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日期：</w:t>
      </w:r>
      <w:r>
        <w:rPr>
          <w:color w:val="auto"/>
          <w:highlight w:val="none"/>
        </w:rPr>
      </w:r>
      <w:r/>
    </w:p>
    <w:p>
      <w:pPr>
        <w:jc w:val="left"/>
        <w:spacing w:line="360" w:lineRule="auto"/>
        <w:widowControl/>
        <w:rPr>
          <w:rFonts w:hint="eastAsia" w:ascii="宋体" w:hAnsi="宋体" w:eastAsia="宋体" w:cs="新宋体"/>
          <w:b/>
          <w:color w:val="auto"/>
          <w:sz w:val="24"/>
          <w:highlight w:val="none"/>
        </w:rPr>
      </w:pPr>
      <w:r>
        <w:rPr>
          <w:rFonts w:hint="eastAsia" w:ascii="宋体" w:hAnsi="宋体" w:eastAsia="宋体" w:cs="新宋体"/>
          <w:b/>
          <w:color w:val="auto"/>
          <w:sz w:val="24"/>
          <w:highlight w:val="none"/>
        </w:rPr>
      </w:r>
      <w:r>
        <w:rPr>
          <w:color w:val="auto"/>
          <w:highlight w:val="none"/>
        </w:rPr>
      </w:r>
      <w:r/>
    </w:p>
    <w:p>
      <w:pPr>
        <w:jc w:val="left"/>
        <w:spacing w:line="360" w:lineRule="auto"/>
        <w:widowControl/>
        <w:rPr>
          <w:rFonts w:hint="eastAsia" w:ascii="宋体" w:hAnsi="宋体" w:eastAsia="宋体" w:cs="新宋体"/>
          <w:b/>
          <w:color w:val="auto"/>
          <w:sz w:val="24"/>
          <w:highlight w:val="none"/>
        </w:rPr>
      </w:pPr>
      <w:r>
        <w:rPr>
          <w:rFonts w:hint="eastAsia" w:ascii="宋体" w:hAnsi="宋体" w:eastAsia="宋体" w:cs="新宋体"/>
          <w:b/>
          <w:color w:val="auto"/>
          <w:sz w:val="24"/>
          <w:highlight w:val="none"/>
        </w:rPr>
      </w:r>
      <w:r>
        <w:rPr>
          <w:color w:val="auto"/>
          <w:highlight w:val="none"/>
        </w:rPr>
      </w:r>
      <w:r/>
    </w:p>
    <w:p>
      <w:pPr>
        <w:jc w:val="left"/>
        <w:spacing w:line="360" w:lineRule="auto"/>
        <w:widowControl/>
        <w:rPr>
          <w:rFonts w:hint="eastAsia" w:ascii="宋体" w:hAnsi="宋体" w:eastAsia="宋体" w:cs="新宋体"/>
          <w:b/>
          <w:color w:val="auto"/>
          <w:sz w:val="24"/>
          <w:highlight w:val="none"/>
        </w:rPr>
      </w:pPr>
      <w:r>
        <w:rPr>
          <w:rFonts w:hint="eastAsia" w:ascii="宋体" w:hAnsi="宋体" w:eastAsia="宋体" w:cs="新宋体"/>
          <w:b/>
          <w:color w:val="auto"/>
          <w:sz w:val="24"/>
          <w:highlight w:val="none"/>
        </w:rPr>
      </w:r>
      <w:r>
        <w:rPr>
          <w:color w:val="auto"/>
          <w:highlight w:val="none"/>
        </w:rPr>
      </w:r>
      <w:r/>
    </w:p>
    <w:p>
      <w:pPr>
        <w:jc w:val="left"/>
        <w:spacing w:line="360" w:lineRule="auto"/>
        <w:widowControl/>
        <w:rPr>
          <w:rFonts w:hint="eastAsia" w:ascii="宋体" w:hAnsi="宋体" w:eastAsia="宋体" w:cs="新宋体"/>
          <w:b/>
          <w:color w:val="auto"/>
          <w:sz w:val="24"/>
          <w:highlight w:val="none"/>
        </w:rPr>
      </w:pPr>
      <w:r>
        <w:rPr>
          <w:rFonts w:hint="eastAsia" w:ascii="宋体" w:hAnsi="宋体" w:eastAsia="宋体" w:cs="新宋体"/>
          <w:b/>
          <w:color w:val="auto"/>
          <w:sz w:val="24"/>
          <w:highlight w:val="none"/>
        </w:rPr>
      </w:r>
      <w:r>
        <w:rPr>
          <w:color w:val="auto"/>
          <w:highlight w:val="none"/>
        </w:rPr>
      </w:r>
      <w:r/>
    </w:p>
    <w:p>
      <w:pPr>
        <w:jc w:val="left"/>
        <w:widowControl/>
        <w:rPr>
          <w:rFonts w:hint="eastAsia" w:ascii="宋体" w:hAnsi="宋体" w:eastAsia="宋体" w:cs="新宋体"/>
          <w:b/>
          <w:color w:val="auto"/>
          <w:sz w:val="24"/>
          <w:highlight w:val="none"/>
        </w:rPr>
      </w:pPr>
      <w:r>
        <w:rPr>
          <w:rFonts w:ascii="宋体" w:hAnsi="宋体" w:eastAsia="宋体" w:cs="新宋体"/>
          <w:b/>
          <w:color w:val="auto"/>
          <w:sz w:val="24"/>
          <w:highlight w:val="none"/>
        </w:rPr>
        <w:br w:type="page" w:clear="all"/>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737"/>
        <w:jc w:val="center"/>
        <w:rPr>
          <w:rFonts w:hint="eastAsia" w:ascii="宋体" w:hAnsi="宋体" w:eastAsia="宋体"/>
          <w:color w:val="auto"/>
          <w:sz w:val="52"/>
          <w:szCs w:val="52"/>
          <w:highlight w:val="none"/>
        </w:rPr>
      </w:pPr>
      <w:r>
        <w:rPr>
          <w:color w:val="auto"/>
          <w:highlight w:val="none"/>
        </w:rPr>
      </w:r>
      <w:bookmarkStart w:id="85" w:name="_Toc520073486"/>
      <w:r>
        <w:rPr>
          <w:color w:val="auto"/>
          <w:highlight w:val="none"/>
        </w:rPr>
      </w:r>
      <w:r/>
    </w:p>
    <w:p>
      <w:pPr>
        <w:pStyle w:val="737"/>
        <w:jc w:val="center"/>
        <w:rPr>
          <w:rFonts w:hint="eastAsia" w:ascii="宋体" w:hAnsi="宋体" w:eastAsia="宋体"/>
          <w:color w:val="auto"/>
          <w:sz w:val="52"/>
          <w:szCs w:val="52"/>
          <w:highlight w:val="none"/>
        </w:rPr>
      </w:pPr>
      <w:r>
        <w:rPr>
          <w:rFonts w:hint="eastAsia" w:ascii="宋体" w:hAnsi="宋体" w:eastAsia="宋体"/>
          <w:color w:val="auto"/>
          <w:sz w:val="52"/>
          <w:szCs w:val="52"/>
          <w:highlight w:val="none"/>
        </w:rPr>
      </w:r>
      <w:r>
        <w:rPr>
          <w:color w:val="auto"/>
          <w:highlight w:val="none"/>
        </w:rPr>
      </w:r>
      <w:r/>
    </w:p>
    <w:p>
      <w:pPr>
        <w:pStyle w:val="737"/>
        <w:jc w:val="center"/>
        <w:rPr>
          <w:rFonts w:hint="eastAsia" w:ascii="宋体" w:hAnsi="宋体" w:eastAsia="宋体"/>
          <w:color w:val="auto"/>
          <w:sz w:val="52"/>
          <w:szCs w:val="52"/>
          <w:highlight w:val="none"/>
        </w:rPr>
      </w:pPr>
      <w:r>
        <w:rPr>
          <w:rFonts w:hint="eastAsia" w:ascii="宋体" w:hAnsi="宋体" w:eastAsia="宋体"/>
          <w:color w:val="auto"/>
          <w:sz w:val="52"/>
          <w:szCs w:val="52"/>
          <w:highlight w:val="none"/>
        </w:rPr>
      </w:r>
      <w:r>
        <w:rPr>
          <w:color w:val="auto"/>
          <w:highlight w:val="none"/>
        </w:rPr>
      </w:r>
      <w:r/>
    </w:p>
    <w:p>
      <w:pPr>
        <w:pStyle w:val="737"/>
        <w:jc w:val="center"/>
        <w:rPr>
          <w:rFonts w:hint="eastAsia" w:ascii="宋体" w:hAnsi="宋体" w:eastAsia="宋体"/>
          <w:color w:val="auto"/>
          <w:sz w:val="52"/>
          <w:szCs w:val="52"/>
          <w:highlight w:val="none"/>
        </w:rPr>
      </w:pPr>
      <w:r>
        <w:rPr>
          <w:rFonts w:hint="eastAsia" w:ascii="宋体" w:hAnsi="宋体" w:eastAsia="宋体"/>
          <w:color w:val="auto"/>
          <w:sz w:val="52"/>
          <w:szCs w:val="52"/>
          <w:highlight w:val="none"/>
        </w:rPr>
        <w:t xml:space="preserve">第六章</w:t>
      </w:r>
      <w:bookmarkEnd w:id="84"/>
      <w:r>
        <w:rPr>
          <w:rFonts w:hint="eastAsia" w:ascii="宋体" w:hAnsi="宋体" w:eastAsia="宋体"/>
          <w:color w:val="auto"/>
          <w:sz w:val="52"/>
          <w:szCs w:val="52"/>
          <w:highlight w:val="none"/>
        </w:rPr>
        <w:t xml:space="preserve">  评分标准</w:t>
      </w:r>
      <w:bookmarkEnd w:id="85"/>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927"/>
        <w:ind w:firstLine="480"/>
        <w:spacing w:line="360" w:lineRule="auto"/>
        <w:rPr>
          <w:rFonts w:ascii="Times New Roman" w:hAnsi="Times New Roman" w:eastAsia="宋体"/>
          <w:color w:val="auto"/>
          <w:sz w:val="24"/>
          <w:szCs w:val="24"/>
          <w:highlight w:val="none"/>
        </w:rPr>
      </w:pPr>
      <w:r>
        <w:rPr>
          <w:rFonts w:hAnsi="宋体" w:eastAsia="宋体" w:cs="宋体"/>
          <w:color w:val="auto"/>
          <w:sz w:val="24"/>
          <w:highlight w:val="none"/>
        </w:rPr>
        <w:br w:type="page" w:clear="all"/>
      </w:r>
      <w:r>
        <w:rPr>
          <w:rFonts w:ascii="Times New Roman" w:hAnsi="宋体" w:eastAsia="宋体"/>
          <w:color w:val="auto"/>
          <w:sz w:val="24"/>
          <w:szCs w:val="24"/>
          <w:highlight w:val="none"/>
        </w:rPr>
        <w:t xml:space="preserve">一、评标方法：</w:t>
      </w:r>
      <w:r>
        <w:rPr>
          <w:color w:val="auto"/>
          <w:highlight w:val="none"/>
        </w:rPr>
      </w:r>
      <w:r/>
    </w:p>
    <w:p>
      <w:pPr>
        <w:pStyle w:val="927"/>
        <w:ind w:firstLine="480"/>
        <w:spacing w:line="360" w:lineRule="auto"/>
        <w:rPr>
          <w:rFonts w:ascii="Times New Roman" w:hAnsi="Times New Roman" w:eastAsia="宋体"/>
          <w:color w:val="auto"/>
          <w:sz w:val="24"/>
          <w:szCs w:val="24"/>
          <w:highlight w:val="none"/>
        </w:rPr>
      </w:pPr>
      <w:r>
        <w:rPr>
          <w:rFonts w:ascii="Times New Roman" w:hAnsi="宋体" w:eastAsia="宋体"/>
          <w:color w:val="auto"/>
          <w:sz w:val="24"/>
          <w:szCs w:val="24"/>
          <w:highlight w:val="none"/>
        </w:rPr>
        <w:t xml:space="preserve">（一）</w:t>
      </w:r>
      <w:r>
        <w:rPr>
          <w:rFonts w:ascii="Times New Roman" w:hAnsi="Times New Roman" w:eastAsia="宋体"/>
          <w:color w:val="auto"/>
          <w:sz w:val="24"/>
          <w:szCs w:val="24"/>
          <w:highlight w:val="none"/>
        </w:rPr>
        <w:t xml:space="preserve">评标方法采用综合评分法。即在投标文件满足招标文件全部实质性要求，且按照评审因素的量化指标评审得分最高的投标人为中标候选人的评标方法。</w:t>
      </w:r>
      <w:r>
        <w:rPr>
          <w:color w:val="auto"/>
          <w:highlight w:val="none"/>
        </w:rPr>
      </w:r>
      <w:r/>
    </w:p>
    <w:p>
      <w:pPr>
        <w:pStyle w:val="927"/>
        <w:ind w:firstLine="480"/>
        <w:spacing w:line="360" w:lineRule="auto"/>
        <w:rPr>
          <w:rFonts w:ascii="Times New Roman" w:hAnsi="Times New Roman" w:eastAsia="宋体"/>
          <w:color w:val="auto"/>
          <w:sz w:val="24"/>
          <w:szCs w:val="24"/>
          <w:highlight w:val="none"/>
        </w:rPr>
      </w:pPr>
      <w:r>
        <w:rPr>
          <w:rFonts w:ascii="Times New Roman" w:hAnsi="宋体" w:eastAsia="宋体"/>
          <w:color w:val="auto"/>
          <w:sz w:val="24"/>
          <w:szCs w:val="24"/>
          <w:highlight w:val="none"/>
        </w:rPr>
        <w:t xml:space="preserve">（二）综合评分的主要因素为：</w:t>
      </w:r>
      <w:r>
        <w:rPr>
          <w:rFonts w:ascii="Times New Roman" w:hAnsi="宋体" w:eastAsia="宋体"/>
          <w:color w:val="auto"/>
          <w:sz w:val="24"/>
          <w:szCs w:val="24"/>
          <w:highlight w:val="none"/>
          <w:u w:val="single"/>
        </w:rPr>
        <w:t xml:space="preserve">价格、</w:t>
      </w:r>
      <w:r>
        <w:rPr>
          <w:rFonts w:hint="eastAsia" w:ascii="Times New Roman" w:hAnsi="宋体" w:eastAsia="宋体"/>
          <w:color w:val="auto"/>
          <w:sz w:val="24"/>
          <w:szCs w:val="24"/>
          <w:highlight w:val="none"/>
          <w:u w:val="single"/>
        </w:rPr>
        <w:t xml:space="preserve">设备的技术与质量</w:t>
      </w:r>
      <w:r>
        <w:rPr>
          <w:rFonts w:ascii="Times New Roman" w:hAnsi="宋体" w:eastAsia="宋体"/>
          <w:color w:val="auto"/>
          <w:sz w:val="24"/>
          <w:szCs w:val="24"/>
          <w:highlight w:val="none"/>
          <w:u w:val="single"/>
        </w:rPr>
        <w:t xml:space="preserve">、</w:t>
      </w:r>
      <w:r>
        <w:rPr>
          <w:rFonts w:hint="eastAsia" w:ascii="Times New Roman" w:hAnsi="宋体" w:eastAsia="宋体"/>
          <w:color w:val="auto"/>
          <w:sz w:val="24"/>
          <w:szCs w:val="24"/>
          <w:highlight w:val="none"/>
          <w:u w:val="single"/>
        </w:rPr>
        <w:t xml:space="preserve">技术服务及售后服务</w:t>
      </w:r>
      <w:r>
        <w:rPr>
          <w:rFonts w:ascii="Times New Roman" w:hAnsi="宋体" w:eastAsia="宋体"/>
          <w:color w:val="auto"/>
          <w:sz w:val="24"/>
          <w:szCs w:val="24"/>
          <w:highlight w:val="none"/>
          <w:u w:val="single"/>
        </w:rPr>
        <w:t xml:space="preserve">、对招标文件的响应程度，以及相应的商务标和技术标比重或者分值等</w:t>
      </w:r>
      <w:r>
        <w:rPr>
          <w:rFonts w:ascii="Times New Roman" w:hAnsi="宋体" w:eastAsia="宋体"/>
          <w:color w:val="auto"/>
          <w:sz w:val="24"/>
          <w:szCs w:val="24"/>
          <w:highlight w:val="none"/>
        </w:rPr>
        <w:t xml:space="preserve">。</w:t>
      </w:r>
      <w:r>
        <w:rPr>
          <w:color w:val="auto"/>
          <w:highlight w:val="none"/>
        </w:rPr>
      </w:r>
      <w:r/>
    </w:p>
    <w:p>
      <w:pPr>
        <w:pStyle w:val="927"/>
        <w:ind w:firstLine="480"/>
        <w:spacing w:line="360" w:lineRule="auto"/>
        <w:rPr>
          <w:rFonts w:ascii="Times New Roman" w:hAnsi="Times New Roman" w:eastAsia="宋体"/>
          <w:color w:val="auto"/>
          <w:sz w:val="24"/>
          <w:szCs w:val="24"/>
          <w:highlight w:val="none"/>
        </w:rPr>
      </w:pPr>
      <w:r>
        <w:rPr>
          <w:rFonts w:ascii="Times New Roman" w:hAnsi="宋体" w:eastAsia="宋体"/>
          <w:color w:val="auto"/>
          <w:sz w:val="24"/>
          <w:szCs w:val="24"/>
          <w:highlight w:val="none"/>
        </w:rPr>
        <w:t xml:space="preserve">（三）评标时，评标委员会分别对每个有效投标人的投标书（报价除外）进行评价、打分，按算术平均方法计算出每个投标人的得分；报价得分直接计算取得，二者相加为投标人的总得分，综合得分最高者为预中标人（四舍五入，保留小数点后</w:t>
      </w:r>
      <w:r>
        <w:rPr>
          <w:rFonts w:ascii="Times New Roman" w:hAnsi="Times New Roman" w:eastAsia="宋体"/>
          <w:color w:val="auto"/>
          <w:sz w:val="24"/>
          <w:szCs w:val="24"/>
          <w:highlight w:val="none"/>
        </w:rPr>
        <w:t xml:space="preserve">2</w:t>
      </w:r>
      <w:r>
        <w:rPr>
          <w:rFonts w:ascii="Times New Roman" w:hAnsi="宋体" w:eastAsia="宋体"/>
          <w:color w:val="auto"/>
          <w:sz w:val="24"/>
          <w:szCs w:val="24"/>
          <w:highlight w:val="none"/>
        </w:rPr>
        <w:t xml:space="preserve">位）。</w:t>
      </w:r>
      <w:r>
        <w:rPr>
          <w:color w:val="auto"/>
          <w:highlight w:val="none"/>
        </w:rPr>
      </w:r>
      <w:r/>
    </w:p>
    <w:p>
      <w:pPr>
        <w:pStyle w:val="927"/>
        <w:ind w:firstLine="480"/>
        <w:spacing w:line="360" w:lineRule="auto"/>
        <w:rPr>
          <w:rFonts w:hint="eastAsia" w:ascii="Times New Roman" w:hAnsi="宋体" w:eastAsia="宋体"/>
          <w:color w:val="auto"/>
          <w:sz w:val="24"/>
          <w:szCs w:val="24"/>
          <w:highlight w:val="none"/>
        </w:rPr>
      </w:pPr>
      <w:r>
        <w:rPr>
          <w:rFonts w:ascii="Times New Roman" w:hAnsi="宋体" w:eastAsia="宋体"/>
          <w:color w:val="auto"/>
          <w:sz w:val="24"/>
          <w:szCs w:val="24"/>
          <w:highlight w:val="none"/>
        </w:rPr>
        <w:t xml:space="preserve">（四）如出现评标总得分最高的投标人有两个或两个以上的，以投标报价低者优先作为中标候选人，如果投标报价也相同的，则由公证机构组织以抽签方式确定中标候选人。</w:t>
      </w:r>
      <w:r>
        <w:rPr>
          <w:color w:val="auto"/>
          <w:highlight w:val="none"/>
        </w:rPr>
      </w:r>
      <w:r/>
    </w:p>
    <w:p>
      <w:pPr>
        <w:pStyle w:val="927"/>
        <w:ind w:firstLine="480"/>
        <w:spacing w:line="360" w:lineRule="auto"/>
        <w:rPr>
          <w:rFonts w:ascii="Times New Roman" w:hAnsi="Times New Roman" w:eastAsia="宋体"/>
          <w:color w:val="auto"/>
          <w:sz w:val="24"/>
          <w:szCs w:val="24"/>
          <w:highlight w:val="none"/>
        </w:rPr>
      </w:pPr>
      <w:r>
        <w:rPr>
          <w:color w:val="auto"/>
          <w:highlight w:val="none"/>
        </w:rPr>
      </w:r>
      <w:bookmarkStart w:id="88" w:name="_GoBack"/>
      <w:r>
        <w:rPr>
          <w:color w:val="auto"/>
          <w:highlight w:val="none"/>
        </w:rPr>
      </w:r>
      <w:bookmarkEnd w:id="88"/>
      <w:r>
        <w:rPr>
          <w:rFonts w:ascii="Times New Roman" w:hAnsi="宋体" w:eastAsia="宋体"/>
          <w:color w:val="auto"/>
          <w:sz w:val="24"/>
          <w:szCs w:val="24"/>
          <w:highlight w:val="none"/>
        </w:rPr>
        <w:t xml:space="preserve">二、综合评分标准：</w:t>
      </w:r>
      <w:r>
        <w:rPr>
          <w:color w:val="auto"/>
          <w:highlight w:val="none"/>
        </w:rPr>
      </w:r>
      <w:r/>
    </w:p>
    <w:p>
      <w:pPr>
        <w:pStyle w:val="927"/>
        <w:ind w:firstLine="480"/>
        <w:spacing w:line="360" w:lineRule="auto"/>
        <w:rPr>
          <w:rFonts w:ascii="Times New Roman" w:hAnsi="Times New Roman" w:eastAsia="宋体"/>
          <w:color w:val="auto"/>
          <w:sz w:val="24"/>
          <w:szCs w:val="24"/>
          <w:highlight w:val="none"/>
        </w:rPr>
      </w:pPr>
      <w:r>
        <w:rPr>
          <w:rFonts w:ascii="Times New Roman" w:hAnsi="宋体" w:eastAsia="宋体"/>
          <w:color w:val="auto"/>
          <w:sz w:val="24"/>
          <w:szCs w:val="24"/>
          <w:highlight w:val="none"/>
        </w:rPr>
        <w:t xml:space="preserve">本次招标的评标方法采用综合评分法，总分值为</w:t>
      </w:r>
      <w:r>
        <w:rPr>
          <w:rFonts w:ascii="Times New Roman" w:hAnsi="Times New Roman" w:eastAsia="宋体"/>
          <w:color w:val="auto"/>
          <w:sz w:val="24"/>
          <w:szCs w:val="24"/>
          <w:highlight w:val="none"/>
        </w:rPr>
        <w:t xml:space="preserve">100</w:t>
      </w:r>
      <w:r>
        <w:rPr>
          <w:rFonts w:ascii="Times New Roman" w:hAnsi="宋体" w:eastAsia="宋体"/>
          <w:color w:val="auto"/>
          <w:sz w:val="24"/>
          <w:szCs w:val="24"/>
          <w:highlight w:val="none"/>
        </w:rPr>
        <w:t xml:space="preserve">分。</w:t>
      </w:r>
      <w:r>
        <w:rPr>
          <w:color w:val="auto"/>
          <w:highlight w:val="none"/>
        </w:rPr>
      </w:r>
      <w:r/>
    </w:p>
    <w:p>
      <w:pPr>
        <w:pStyle w:val="927"/>
        <w:ind w:firstLine="482"/>
        <w:spacing w:line="360" w:lineRule="auto"/>
        <w:rPr>
          <w:rFonts w:ascii="Times New Roman" w:hAnsi="Times New Roman" w:eastAsia="宋体"/>
          <w:color w:val="auto"/>
          <w:sz w:val="24"/>
          <w:szCs w:val="24"/>
          <w:highlight w:val="none"/>
        </w:rPr>
      </w:pPr>
      <w:r>
        <w:rPr>
          <w:rFonts w:hint="eastAsia" w:ascii="Times New Roman" w:hAnsi="Times New Roman" w:eastAsia="宋体"/>
          <w:b/>
          <w:color w:val="auto"/>
          <w:sz w:val="24"/>
          <w:szCs w:val="24"/>
          <w:highlight w:val="none"/>
        </w:rPr>
        <w:t xml:space="preserve">（一）</w:t>
      </w:r>
      <w:r>
        <w:rPr>
          <w:rFonts w:ascii="Times New Roman" w:hAnsi="宋体" w:eastAsia="宋体"/>
          <w:b/>
          <w:color w:val="auto"/>
          <w:sz w:val="24"/>
          <w:szCs w:val="24"/>
          <w:highlight w:val="none"/>
        </w:rPr>
        <w:t xml:space="preserve">价格部分（</w:t>
      </w:r>
      <w:r>
        <w:rPr>
          <w:rFonts w:hint="eastAsia" w:ascii="Times New Roman" w:hAnsi="Times New Roman" w:eastAsia="宋体"/>
          <w:b/>
          <w:color w:val="auto"/>
          <w:sz w:val="24"/>
          <w:szCs w:val="24"/>
          <w:highlight w:val="none"/>
        </w:rPr>
        <w:t xml:space="preserve">30</w:t>
      </w:r>
      <w:r>
        <w:rPr>
          <w:rFonts w:ascii="Times New Roman" w:hAnsi="宋体" w:eastAsia="宋体"/>
          <w:b/>
          <w:color w:val="auto"/>
          <w:sz w:val="24"/>
          <w:szCs w:val="24"/>
          <w:highlight w:val="none"/>
        </w:rPr>
        <w:t xml:space="preserve">分</w:t>
      </w:r>
      <w:r>
        <w:rPr>
          <w:rFonts w:ascii="Times New Roman" w:hAnsi="宋体" w:eastAsia="宋体"/>
          <w:b/>
          <w:color w:val="auto"/>
          <w:sz w:val="24"/>
          <w:szCs w:val="24"/>
          <w:highlight w:val="none"/>
        </w:rPr>
        <w:t xml:space="preserve">）</w:t>
      </w:r>
      <w:r>
        <w:rPr>
          <w:color w:val="auto"/>
          <w:highlight w:val="none"/>
        </w:rPr>
      </w:r>
      <w:r/>
    </w:p>
    <w:p>
      <w:pPr>
        <w:pStyle w:val="927"/>
        <w:ind w:firstLine="480"/>
        <w:spacing w:line="360" w:lineRule="auto"/>
        <w:rPr>
          <w:rFonts w:ascii="Times New Roman" w:hAnsi="Times New Roman" w:eastAsia="宋体"/>
          <w:color w:val="auto"/>
          <w:sz w:val="24"/>
          <w:szCs w:val="24"/>
          <w:highlight w:val="none"/>
        </w:rPr>
      </w:pPr>
      <w:r>
        <w:rPr>
          <w:color w:val="auto"/>
          <w:highlight w:val="none"/>
        </w:rPr>
      </w:r>
      <w:bookmarkStart w:id="86" w:name="OLE_LINK118"/>
      <w:r>
        <w:rPr>
          <w:color w:val="auto"/>
          <w:highlight w:val="none"/>
        </w:rPr>
      </w:r>
      <w:bookmarkStart w:id="87" w:name="OLE_LINK117"/>
      <w:r>
        <w:rPr>
          <w:rFonts w:ascii="Times New Roman" w:hAnsi="宋体" w:eastAsia="宋体"/>
          <w:color w:val="auto"/>
          <w:sz w:val="24"/>
          <w:szCs w:val="24"/>
          <w:highlight w:val="none"/>
        </w:rPr>
        <w:t xml:space="preserve">采用低价优先法计算，即满足招标文件要求且投标价格最低的投标报价为评标基准价，其价格分为满分</w:t>
      </w:r>
      <w:r>
        <w:rPr>
          <w:rFonts w:hint="eastAsia" w:ascii="Times New Roman" w:hAnsi="Times New Roman" w:eastAsia="宋体"/>
          <w:color w:val="auto"/>
          <w:sz w:val="24"/>
          <w:szCs w:val="24"/>
          <w:highlight w:val="none"/>
        </w:rPr>
        <w:t xml:space="preserve">30</w:t>
      </w:r>
      <w:r>
        <w:rPr>
          <w:rFonts w:ascii="Times New Roman" w:hAnsi="宋体" w:eastAsia="宋体"/>
          <w:color w:val="auto"/>
          <w:sz w:val="24"/>
          <w:szCs w:val="24"/>
          <w:highlight w:val="none"/>
        </w:rPr>
        <w:t xml:space="preserve">分（即价格权值）。其他投标人的价格分统一按照下列公式计算：</w:t>
      </w:r>
      <w:r>
        <w:rPr>
          <w:color w:val="auto"/>
          <w:highlight w:val="none"/>
        </w:rPr>
      </w:r>
      <w:r/>
    </w:p>
    <w:p>
      <w:pPr>
        <w:ind w:firstLine="480"/>
        <w:spacing w:line="360" w:lineRule="auto"/>
        <w:rPr>
          <w:rFonts w:hint="eastAsia" w:ascii="宋体" w:hAnsi="宋体" w:eastAsia="宋体" w:cs="宋体"/>
          <w:color w:val="auto"/>
          <w:sz w:val="24"/>
          <w:highlight w:val="none"/>
        </w:rPr>
      </w:pPr>
      <w:r>
        <w:rPr>
          <w:rFonts w:hAnsi="宋体"/>
          <w:color w:val="auto"/>
          <w:highlight w:val="none"/>
        </w:rPr>
        <w:t xml:space="preserve">投标报</w:t>
      </w:r>
      <w:r>
        <w:rPr>
          <w:rFonts w:hint="eastAsia" w:ascii="宋体" w:hAnsi="宋体" w:eastAsia="宋体" w:cs="宋体"/>
          <w:color w:val="auto"/>
          <w:sz w:val="24"/>
          <w:highlight w:val="none"/>
        </w:rPr>
        <w:t xml:space="preserve">价得分=（评标基准价/投标报价）×价格权值×100。</w:t>
      </w:r>
      <w:bookmarkEnd w:id="86"/>
      <w:r>
        <w:rPr>
          <w:color w:val="auto"/>
        </w:rPr>
      </w:r>
      <w:bookmarkEnd w:id="87"/>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投标价格高于采购预算的投标文件不进行评审。</w:t>
      </w:r>
      <w:r>
        <w:rPr>
          <w:color w:val="auto"/>
          <w:highlight w:val="none"/>
        </w:rPr>
      </w:r>
      <w:r/>
    </w:p>
    <w:p>
      <w:pPr>
        <w:pStyle w:val="927"/>
        <w:ind w:firstLine="480"/>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（二）投标设备的技术与质量（最高为</w:t>
      </w:r>
      <w:r>
        <w:rPr>
          <w:rFonts w:hint="eastAsia" w:hAnsi="宋体" w:eastAsia="宋体" w:cs="宋体"/>
          <w:b/>
          <w:bCs/>
          <w:color w:val="auto"/>
          <w:sz w:val="24"/>
          <w:szCs w:val="24"/>
          <w:highlight w:val="none"/>
        </w:rPr>
        <w:t xml:space="preserve">38分</w:t>
      </w:r>
      <w:r>
        <w:rPr>
          <w:rFonts w:hint="eastAsia" w:hAnsi="宋体" w:eastAsia="宋体" w:cs="宋体"/>
          <w:b/>
          <w:bCs/>
          <w:color w:val="auto"/>
          <w:sz w:val="24"/>
          <w:szCs w:val="24"/>
          <w:highlight w:val="none"/>
        </w:rPr>
        <w:t xml:space="preserve">）</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技术参数符合性情况（38分）：所投设备的技术参数满足或高于招标文件要求的得38分；打“★”的技术指标出现一个负偏离扣1分，扣完为止；其他技术指标出现一个负偏离扣0.5分，扣完为止。打“★”的技术指标需按招标文件技术参数要求提供对应佐证资料，未做要求的可提供具有国家认可的第三方机构出具的检测报告复印件或官网截图证明或制造商盖章的技术参数或制造商盖章的彩页，否则视为负偏离；其他技术指标，投标单位可提供盖章的技术响应对照表或其他证明资料。</w:t>
      </w:r>
      <w:r>
        <w:rPr>
          <w:color w:val="auto"/>
          <w:highlight w:val="none"/>
        </w:rPr>
      </w:r>
      <w:r/>
    </w:p>
    <w:p>
      <w:pPr>
        <w:pStyle w:val="927"/>
        <w:ind w:firstLine="480"/>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（三）</w:t>
      </w:r>
      <w:r>
        <w:rPr>
          <w:rFonts w:hint="eastAsia" w:hAnsi="宋体" w:eastAsia="宋体" w:cs="宋体"/>
          <w:color w:val="auto"/>
          <w:sz w:val="24"/>
          <w:szCs w:val="24"/>
          <w:highlight w:val="none"/>
        </w:rPr>
        <w:t xml:space="preserve">技术服务及售后服务方案</w:t>
      </w:r>
      <w:r>
        <w:rPr>
          <w:rFonts w:hint="eastAsia" w:hAnsi="宋体" w:eastAsia="宋体" w:cs="宋体"/>
          <w:b/>
          <w:bCs/>
          <w:color w:val="auto"/>
          <w:sz w:val="24"/>
          <w:szCs w:val="24"/>
          <w:highlight w:val="none"/>
        </w:rPr>
        <w:t xml:space="preserve">（</w:t>
      </w:r>
      <w:r>
        <w:rPr>
          <w:rFonts w:hint="eastAsia" w:hAnsi="宋体" w:eastAsia="宋体" w:cs="宋体"/>
          <w:b/>
          <w:bCs/>
          <w:color w:val="auto"/>
          <w:sz w:val="24"/>
          <w:szCs w:val="24"/>
          <w:highlight w:val="none"/>
        </w:rPr>
        <w:t xml:space="preserve">27分</w:t>
      </w:r>
      <w:r>
        <w:rPr>
          <w:rFonts w:hint="eastAsia" w:hAnsi="宋体" w:eastAsia="宋体" w:cs="宋体"/>
          <w:b/>
          <w:bCs/>
          <w:color w:val="auto"/>
          <w:sz w:val="24"/>
          <w:szCs w:val="24"/>
          <w:highlight w:val="none"/>
        </w:rPr>
        <w:t xml:space="preserve">）</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针对本项目的技术服务体系方案（包括专业技术人员保障及服务技术力量配置等）（最高5分）：技术服务体系内容阐述合理、描述详细、科学合理可行性高的得5分；技术服务体系内容阐述详实程度较好，科学合理性可实施性较好的得3分；技术服务体系内容阐述详实程度较好，科学合理性可实施性一般的得1分；技术服务体系内容阐述合理性差或不详细不够具体全面的得0.5分，未提供相关说明或所提供技术服务体系内容存在逻辑错误、前后矛盾的不得分。</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针对本项目的售后服务内容（最高6分）：售后服务内容详实具体科学可行合理性高的得6分；售后服务内容较为详细较为合理可行的得4分；售后服务内容不够详细合理性可行性一般的得2分；售后服务内容不够详细合理性可行性较差的得1分；未提供相关说明或或存在逻辑错误、前后矛盾的不得分。</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针对本项目的应急和重大故障解决方案（包括应急和重大故障预防措施，以及出现问题的响应时间、补救措施等）（最高6分）：方案考虑详实具体全面周到、应对措施科学合理可行的得6分；方案考虑较为详细较为合理可行的得4分；方案考虑不够详细合理性可行性一般的得2分；方案考虑不够全面合理性可行性较差的得1分；未提供相关说明或存在逻辑错误、前后矛盾的不得分。</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针对本项目使用方人员的技术培训方案（包括但不限于使用操作、常规检查、保养内容、日常使用注意事项等方面）（最高5分）：培训服务方案详实具体、针对性、可实施性强的得5分；培训服务方案较为详细、针对性、可实施性较好得3分；培训服务方案不够详细，针对性、可实施性一般的得1分；培训服务方案不够详细，针对性、可实施性较差的得0.5分，未提供相关说明或存在逻辑错误、前后矛盾的不得分。</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针对本项目交货进度计划及安装调试验收方案（最高5分）：投标单位提供针对本项目的交货进度计划及安装调试验收方案：交货进度计划及安装调试验收方案详实具体，有相关保障措施，科学合理可行性高为5分；交货进度计划及安装调试验收方案较为详细，合理性可行性较好为3分；交货进度计划及安装调试验收方案不够详细，合理性和可行性一般为1分；交货进度计划及安装调试验收方案内容简单，合理性可行性较差为0.5分；未提供相关说明不得分。</w:t>
      </w:r>
      <w:r>
        <w:rPr>
          <w:color w:val="auto"/>
          <w:highlight w:val="none"/>
        </w:rPr>
      </w:r>
      <w:r/>
    </w:p>
    <w:p>
      <w:pPr>
        <w:ind w:firstLine="463"/>
        <w:spacing w:line="360" w:lineRule="auto"/>
        <w:tabs>
          <w:tab w:val="left" w:pos="0" w:leader="none"/>
        </w:tabs>
        <w:rPr>
          <w:rFonts w:hint="eastAsia" w:ascii="宋体" w:hAnsi="宋体" w:cs="宋体"/>
          <w:color w:val="auto"/>
          <w:sz w:val="24"/>
          <w:highlight w:val="none"/>
        </w:rPr>
      </w:pPr>
      <w:r>
        <w:rPr>
          <w:rFonts w:hint="eastAsia" w:hAnsi="宋体" w:eastAsia="宋体" w:cs="宋体"/>
          <w:b/>
          <w:bCs/>
          <w:color w:val="auto"/>
          <w:sz w:val="24"/>
          <w:highlight w:val="none"/>
        </w:rPr>
        <w:t xml:space="preserve">（四）</w:t>
      </w:r>
      <w:r>
        <w:rPr>
          <w:rFonts w:hint="eastAsia" w:ascii="宋体" w:hAnsi="宋体" w:eastAsia="宋体" w:cs="宋体"/>
          <w:color w:val="auto"/>
          <w:sz w:val="24"/>
          <w:highlight w:val="none"/>
        </w:rPr>
        <w:t xml:space="preserve">投标单位综合实力（</w:t>
      </w:r>
      <w:r>
        <w:rPr>
          <w:rFonts w:hint="eastAsia" w:ascii="宋体" w:hAnsi="宋体" w:eastAsia="宋体" w:cs="宋体"/>
          <w:color w:val="auto"/>
          <w:sz w:val="24"/>
          <w:highlight w:val="none"/>
        </w:rPr>
        <w:t xml:space="preserve">5分</w:t>
      </w:r>
      <w:r>
        <w:rPr>
          <w:rFonts w:hint="eastAsia" w:ascii="宋体" w:hAnsi="宋体" w:eastAsia="宋体" w:cs="宋体"/>
          <w:color w:val="auto"/>
          <w:sz w:val="24"/>
          <w:highlight w:val="none"/>
        </w:rPr>
        <w:t xml:space="preserve">）</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1、体系认证证书</w:t>
      </w:r>
      <w:r>
        <w:rPr>
          <w:rFonts w:hint="eastAsia" w:ascii="宋体" w:hAnsi="宋体" w:eastAsia="宋体" w:cs="宋体"/>
          <w:bCs/>
          <w:color w:val="auto"/>
          <w:sz w:val="24"/>
          <w:highlight w:val="none"/>
        </w:rPr>
        <w:t xml:space="preserve">：投标单位具有质量管理体系认证证书、环境管理体系认证证书、职业健康安全管理体系认证证书的有一项得1分，本项最高3分。（投标文件中须提供证书复印件或国家认监委官网查询</w:t>
      </w:r>
      <w:r>
        <w:rPr>
          <w:rFonts w:hint="eastAsia" w:ascii="宋体" w:hAnsi="宋体" w:eastAsia="宋体" w:cs="宋体"/>
          <w:color w:val="auto"/>
          <w:sz w:val="24"/>
          <w:highlight w:val="none"/>
        </w:rPr>
        <w:t xml:space="preserve">页面完整</w:t>
      </w:r>
      <w:r>
        <w:rPr>
          <w:rFonts w:hint="eastAsia" w:ascii="宋体" w:hAnsi="宋体" w:eastAsia="宋体" w:cs="宋体"/>
          <w:bCs/>
          <w:color w:val="auto"/>
          <w:sz w:val="24"/>
          <w:highlight w:val="none"/>
        </w:rPr>
        <w:t xml:space="preserve">截图并加盖投标单位公章，不提供、不符合或不完整的不得分）</w:t>
      </w:r>
      <w:r>
        <w:rPr>
          <w:color w:val="auto"/>
          <w:highlight w:val="none"/>
        </w:rPr>
      </w:r>
      <w:r/>
    </w:p>
    <w:p>
      <w:pPr>
        <w:pStyle w:val="927"/>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2、投标人履约能力比较：投标单位提供自</w:t>
      </w:r>
      <w:r>
        <w:rPr>
          <w:rFonts w:hint="eastAsia" w:hAnsi="宋体" w:eastAsia="宋体" w:cs="宋体"/>
          <w:color w:val="auto"/>
          <w:sz w:val="24"/>
          <w:szCs w:val="24"/>
          <w:highlight w:val="none"/>
        </w:rPr>
        <w:t xml:space="preserve">2022年1月1日（以合同签订日期为准）至今投标产品业绩情况，每提供一份得1分，最高2分。（投标文件中提供完整的合同复印件，未提供或资料不全的不得分）</w:t>
      </w:r>
      <w:r>
        <w:rPr>
          <w:color w:val="auto"/>
          <w:highlight w:val="none"/>
        </w:rPr>
      </w:r>
      <w:r/>
    </w:p>
    <w:p>
      <w:pPr>
        <w:pStyle w:val="927"/>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color w:val="auto"/>
          <w:highlight w:val="none"/>
        </w:rPr>
      </w:r>
      <w:r/>
    </w:p>
    <w:p>
      <w:pPr>
        <w:pStyle w:val="927"/>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备注：1.付款步骤、交货期限如有负偏离的不得中标。</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3.要求加盖公章的，电子投标文件中可用电子签章（除特别说明外）。</w:t>
      </w:r>
      <w:r>
        <w:rPr>
          <w:color w:val="auto"/>
          <w:highlight w:val="none"/>
        </w:rPr>
      </w:r>
      <w:r/>
    </w:p>
    <w:p>
      <w:pPr>
        <w:pStyle w:val="92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color w:val="auto"/>
          <w:highlight w:val="none"/>
        </w:rPr>
      </w:r>
      <w:r/>
    </w:p>
    <w:p>
      <w:pPr>
        <w:ind w:firstLine="480"/>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（全文完）</w:t>
      </w:r>
      <w:r>
        <w:rPr>
          <w:color w:val="auto"/>
          <w:highlight w:val="none"/>
        </w:rPr>
      </w:r>
      <w:r/>
    </w:p>
    <w:p>
      <w:pPr>
        <w:ind w:firstLine="480"/>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rPr>
          <w:color w:val="auto"/>
          <w:highlight w:val="none"/>
        </w:rPr>
      </w:r>
      <w:r/>
    </w:p>
    <w:p>
      <w:pPr>
        <w:rPr>
          <w:color w:val="auto"/>
          <w:highlight w:val="none"/>
        </w:rPr>
      </w:pPr>
      <w:r>
        <w:rPr>
          <w:color w:val="auto"/>
          <w:highlight w:val="none"/>
        </w:rPr>
      </w:r>
      <w:r>
        <w:rPr>
          <w:color w:val="auto"/>
          <w:highlight w:val="none"/>
        </w:rPr>
      </w:r>
      <w:r/>
    </w:p>
    <w:sectPr>
      <w:headerReference w:type="default" r:id="rId9"/>
      <w:headerReference w:type="first" r:id="rId10"/>
      <w:footerReference w:type="default" r:id="rId11"/>
      <w:footerReference w:type="even" r:id="rId12"/>
      <w:footnotePr/>
      <w:endnotePr/>
      <w:type w:val="nextPage"/>
      <w:pgSz w:w="11906" w:h="16838" w:orient="portrait"/>
      <w:pgMar w:top="1440" w:right="849" w:bottom="1440" w:left="1080"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_GB2312">
    <w:panose1 w:val="02010609060101010101"/>
  </w:font>
  <w:font w:name="黑体">
    <w:panose1 w:val="02010609060101010101"/>
  </w:font>
  <w:font w:name="新宋体">
    <w:panose1 w:val="02010609030101010101"/>
  </w:font>
  <w:font w:name="Symbol">
    <w:panose1 w:val="05050102010706020507"/>
  </w:font>
  <w:font w:name="Wingdings">
    <w:panose1 w:val="05000000000000000000"/>
  </w:font>
  <w:font w:name="Adobe Heiti Std R">
    <w:panose1 w:val="020B0503020202020204"/>
  </w:font>
  <w:font w:name="Courier New">
    <w:panose1 w:val="02070309020205020404"/>
  </w:font>
  <w:font w:name="sans-serif">
    <w:panose1 w:val="020B0503020202020204"/>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fldChar w:fldCharType="begin"/>
    </w:r>
    <w:r>
      <w:instrText xml:space="preserve"> PAGE   \* MERGEFORMAT </w:instrText>
    </w:r>
    <w:r>
      <w:fldChar w:fldCharType="separate"/>
    </w:r>
    <w:r>
      <w:rPr>
        <w:lang w:val="zh-CN"/>
      </w:rPr>
      <w:t xml:space="preserve">54</w:t>
    </w:r>
    <w:r>
      <w:rPr>
        <w:lang w:val="zh-CN"/>
      </w:rPr>
      <w:fldChar w:fldCharType="end"/>
    </w:r>
    <w:r/>
  </w:p>
  <w:p>
    <w:pPr>
      <w:pStyle w:val="76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775"/>
      </w:rPr>
      <w:framePr w:wrap="around" w:vAnchor="text" w:hAnchor="margin" w:xAlign="right" w:y="1"/>
    </w:pPr>
    <w:r>
      <w:fldChar w:fldCharType="begin"/>
    </w:r>
    <w:r>
      <w:rPr>
        <w:rStyle w:val="775"/>
        <w:rFonts w:ascii="宋体" w:hAnsi="宋体" w:eastAsia="宋体" w:cs="宋体"/>
        <w:sz w:val="24"/>
        <w:szCs w:val="24"/>
      </w:rPr>
      <w:instrText xml:space="preserve">PAGE  </w:instrText>
    </w:r>
    <w:r>
      <w:fldChar w:fldCharType="end"/>
    </w:r>
    <w:r/>
  </w:p>
  <w:p>
    <w:pPr>
      <w:pStyle w:val="760"/>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rPr>
        <w:rFonts w:hint="eastAsia" w:ascii="宋体" w:hAnsi="宋体" w:eastAsia="宋体"/>
      </w:rPr>
    </w:pPr>
    <w:r>
      <w:rPr>
        <w:rFonts w:hint="eastAsia" w:ascii="宋体" w:hAnsi="宋体" w:eastAsia="宋体"/>
      </w:rPr>
      <w:t xml:space="preserve">研佳科技咨询（苏州）有限公司                                     招标编号：JSZC-320507-YJKJ-G2025-0015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rPr>
        <w:rFonts w:hint="eastAsia" w:ascii="宋体" w:hAnsi="宋体" w:eastAsia="宋体"/>
      </w:rPr>
    </w:pPr>
    <w:r>
      <w:rPr>
        <w:rFonts w:hint="eastAsia" w:ascii="宋体" w:hAnsi="宋体" w:eastAsia="宋体"/>
      </w:rPr>
      <w:t xml:space="preserve">研佳科技咨询（苏州）有限公司                                       招标编号：JSZC-320507-YJKJ-G2025-0015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9"/>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2"/>
      <w:numFmt w:val="decimal"/>
      <w:isLgl w:val="false"/>
      <w:suff w:val="tab"/>
      <w:lvlText w:val="%1、"/>
      <w:lvlJc w:val="left"/>
      <w:pPr>
        <w:ind w:left="788" w:hanging="360"/>
      </w:pPr>
      <w:rPr>
        <w:rFonts w:hint="default"/>
      </w:rPr>
    </w:lvl>
    <w:lvl w:ilvl="1">
      <w:start w:val="1"/>
      <w:numFmt w:val="lowerLetter"/>
      <w:isLgl w:val="false"/>
      <w:suff w:val="tab"/>
      <w:lvlText w:val="%2)"/>
      <w:lvlJc w:val="left"/>
      <w:pPr>
        <w:ind w:left="1308" w:hanging="440"/>
      </w:pPr>
    </w:lvl>
    <w:lvl w:ilvl="2">
      <w:start w:val="1"/>
      <w:numFmt w:val="lowerRoman"/>
      <w:isLgl w:val="false"/>
      <w:suff w:val="tab"/>
      <w:lvlText w:val="%3."/>
      <w:lvlJc w:val="right"/>
      <w:pPr>
        <w:ind w:left="1748" w:hanging="440"/>
      </w:pPr>
    </w:lvl>
    <w:lvl w:ilvl="3">
      <w:start w:val="1"/>
      <w:numFmt w:val="decimal"/>
      <w:isLgl w:val="false"/>
      <w:suff w:val="tab"/>
      <w:lvlText w:val="%4."/>
      <w:lvlJc w:val="left"/>
      <w:pPr>
        <w:ind w:left="2188" w:hanging="440"/>
      </w:pPr>
    </w:lvl>
    <w:lvl w:ilvl="4">
      <w:start w:val="1"/>
      <w:numFmt w:val="lowerLetter"/>
      <w:isLgl w:val="false"/>
      <w:suff w:val="tab"/>
      <w:lvlText w:val="%5)"/>
      <w:lvlJc w:val="left"/>
      <w:pPr>
        <w:ind w:left="2628" w:hanging="440"/>
      </w:pPr>
    </w:lvl>
    <w:lvl w:ilvl="5">
      <w:start w:val="1"/>
      <w:numFmt w:val="lowerRoman"/>
      <w:isLgl w:val="false"/>
      <w:suff w:val="tab"/>
      <w:lvlText w:val="%6."/>
      <w:lvlJc w:val="right"/>
      <w:pPr>
        <w:ind w:left="3068" w:hanging="440"/>
      </w:pPr>
    </w:lvl>
    <w:lvl w:ilvl="6">
      <w:start w:val="1"/>
      <w:numFmt w:val="decimal"/>
      <w:isLgl w:val="false"/>
      <w:suff w:val="tab"/>
      <w:lvlText w:val="%7."/>
      <w:lvlJc w:val="left"/>
      <w:pPr>
        <w:ind w:left="3508" w:hanging="440"/>
      </w:pPr>
    </w:lvl>
    <w:lvl w:ilvl="7">
      <w:start w:val="1"/>
      <w:numFmt w:val="lowerLetter"/>
      <w:isLgl w:val="false"/>
      <w:suff w:val="tab"/>
      <w:lvlText w:val="%8)"/>
      <w:lvlJc w:val="left"/>
      <w:pPr>
        <w:ind w:left="3948" w:hanging="440"/>
      </w:pPr>
    </w:lvl>
    <w:lvl w:ilvl="8">
      <w:start w:val="1"/>
      <w:numFmt w:val="lowerRoman"/>
      <w:isLgl w:val="false"/>
      <w:suff w:val="tab"/>
      <w:lvlText w:val="%9."/>
      <w:lvlJc w:val="right"/>
      <w:pPr>
        <w:ind w:left="4388" w:hanging="440"/>
      </w:pPr>
    </w:lvl>
  </w:abstractNum>
  <w:abstractNum w:abstractNumId="5">
    <w:multiLevelType w:val="hybridMultilevel"/>
    <w:lvl w:ilvl="0">
      <w:start w:val="2"/>
      <w:numFmt w:val="decimal"/>
      <w:isLgl w:val="false"/>
      <w:suff w:val="tab"/>
      <w:lvlText w:val="%1"/>
      <w:lvlJc w:val="left"/>
      <w:pPr>
        <w:ind w:left="550" w:hanging="550"/>
      </w:pPr>
      <w:rPr>
        <w:rFonts w:hint="default"/>
      </w:rPr>
    </w:lvl>
    <w:lvl w:ilvl="1">
      <w:start w:val="3"/>
      <w:numFmt w:val="decimal"/>
      <w:isLgl w:val="false"/>
      <w:suff w:val="tab"/>
      <w:lvlText w:val="%1.%2"/>
      <w:lvlJc w:val="left"/>
      <w:pPr>
        <w:ind w:left="550" w:hanging="550"/>
      </w:pPr>
      <w:rPr>
        <w:rFonts w:hint="default"/>
      </w:rPr>
    </w:lvl>
    <w:lvl w:ilvl="2">
      <w:start w:val="9"/>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1800" w:hanging="1800"/>
      </w:pPr>
      <w:rPr>
        <w:rFonts w:hint="default"/>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4"/>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2 Char"/>
    <w:basedOn w:val="746"/>
    <w:link w:val="738"/>
    <w:uiPriority w:val="9"/>
    <w:rPr>
      <w:rFonts w:ascii="Arial" w:hAnsi="Arial" w:eastAsia="Arial" w:cs="Arial"/>
      <w:sz w:val="34"/>
    </w:rPr>
  </w:style>
  <w:style w:type="character" w:styleId="703">
    <w:name w:val="Heading 3 Char"/>
    <w:basedOn w:val="746"/>
    <w:link w:val="739"/>
    <w:uiPriority w:val="9"/>
    <w:rPr>
      <w:rFonts w:ascii="Arial" w:hAnsi="Arial" w:eastAsia="Arial" w:cs="Arial"/>
      <w:sz w:val="30"/>
      <w:szCs w:val="30"/>
    </w:rPr>
  </w:style>
  <w:style w:type="character" w:styleId="704">
    <w:name w:val="Heading 4 Char"/>
    <w:basedOn w:val="746"/>
    <w:link w:val="740"/>
    <w:uiPriority w:val="9"/>
    <w:rPr>
      <w:rFonts w:ascii="Arial" w:hAnsi="Arial" w:eastAsia="Arial" w:cs="Arial"/>
      <w:b/>
      <w:bCs/>
      <w:sz w:val="26"/>
      <w:szCs w:val="26"/>
    </w:rPr>
  </w:style>
  <w:style w:type="character" w:styleId="705">
    <w:name w:val="Heading 5 Char"/>
    <w:basedOn w:val="746"/>
    <w:link w:val="741"/>
    <w:uiPriority w:val="9"/>
    <w:rPr>
      <w:rFonts w:ascii="Arial" w:hAnsi="Arial" w:eastAsia="Arial" w:cs="Arial"/>
      <w:b/>
      <w:bCs/>
      <w:sz w:val="24"/>
      <w:szCs w:val="24"/>
    </w:rPr>
  </w:style>
  <w:style w:type="character" w:styleId="706">
    <w:name w:val="Heading 6 Char"/>
    <w:basedOn w:val="746"/>
    <w:link w:val="742"/>
    <w:uiPriority w:val="9"/>
    <w:rPr>
      <w:rFonts w:ascii="Arial" w:hAnsi="Arial" w:eastAsia="Arial" w:cs="Arial"/>
      <w:b/>
      <w:bCs/>
      <w:sz w:val="22"/>
      <w:szCs w:val="22"/>
    </w:rPr>
  </w:style>
  <w:style w:type="character" w:styleId="707">
    <w:name w:val="Heading 7 Char"/>
    <w:basedOn w:val="746"/>
    <w:link w:val="743"/>
    <w:uiPriority w:val="9"/>
    <w:rPr>
      <w:rFonts w:ascii="Arial" w:hAnsi="Arial" w:eastAsia="Arial" w:cs="Arial"/>
      <w:b/>
      <w:bCs/>
      <w:i/>
      <w:iCs/>
      <w:sz w:val="22"/>
      <w:szCs w:val="22"/>
    </w:rPr>
  </w:style>
  <w:style w:type="character" w:styleId="708">
    <w:name w:val="Heading 8 Char"/>
    <w:basedOn w:val="746"/>
    <w:link w:val="744"/>
    <w:uiPriority w:val="9"/>
    <w:rPr>
      <w:rFonts w:ascii="Arial" w:hAnsi="Arial" w:eastAsia="Arial" w:cs="Arial"/>
      <w:i/>
      <w:iCs/>
      <w:sz w:val="22"/>
      <w:szCs w:val="22"/>
    </w:rPr>
  </w:style>
  <w:style w:type="character" w:styleId="709">
    <w:name w:val="Heading 9 Char"/>
    <w:basedOn w:val="746"/>
    <w:link w:val="745"/>
    <w:uiPriority w:val="9"/>
    <w:rPr>
      <w:rFonts w:ascii="Arial" w:hAnsi="Arial" w:eastAsia="Arial" w:cs="Arial"/>
      <w:i/>
      <w:iCs/>
      <w:sz w:val="21"/>
      <w:szCs w:val="21"/>
    </w:rPr>
  </w:style>
  <w:style w:type="character" w:styleId="710">
    <w:name w:val="Title Char"/>
    <w:basedOn w:val="746"/>
    <w:link w:val="771"/>
    <w:uiPriority w:val="10"/>
    <w:rPr>
      <w:sz w:val="48"/>
      <w:szCs w:val="48"/>
    </w:rPr>
  </w:style>
  <w:style w:type="character" w:styleId="711">
    <w:name w:val="Subtitle Char"/>
    <w:basedOn w:val="746"/>
    <w:link w:val="764"/>
    <w:uiPriority w:val="11"/>
    <w:rPr>
      <w:sz w:val="24"/>
      <w:szCs w:val="24"/>
    </w:rPr>
  </w:style>
  <w:style w:type="character" w:styleId="712">
    <w:name w:val="Quote Char"/>
    <w:link w:val="792"/>
    <w:uiPriority w:val="29"/>
    <w:rPr>
      <w:i/>
    </w:rPr>
  </w:style>
  <w:style w:type="character" w:styleId="713">
    <w:name w:val="Intense Quote Char"/>
    <w:link w:val="794"/>
    <w:uiPriority w:val="30"/>
    <w:rPr>
      <w:i/>
    </w:rPr>
  </w:style>
  <w:style w:type="table" w:styleId="714">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3">
    <w:name w:val="Footnote Text Char"/>
    <w:link w:val="765"/>
    <w:uiPriority w:val="99"/>
    <w:rPr>
      <w:sz w:val="18"/>
    </w:rPr>
  </w:style>
  <w:style w:type="character" w:styleId="734">
    <w:name w:val="Endnote Text Char"/>
    <w:link w:val="759"/>
    <w:uiPriority w:val="99"/>
    <w:rPr>
      <w:sz w:val="20"/>
    </w:rPr>
  </w:style>
  <w:style w:type="paragraph" w:styleId="735">
    <w:name w:val="TOC Heading"/>
    <w:uiPriority w:val="39"/>
    <w:unhideWhenUsed/>
  </w:style>
  <w:style w:type="paragraph" w:styleId="73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37">
    <w:name w:val="Heading 1"/>
    <w:next w:val="736"/>
    <w:uiPriority w:val="0"/>
    <w:qFormat/>
    <w:pPr>
      <w:jc w:val="both"/>
      <w:keepLines/>
      <w:keepNext/>
      <w:spacing w:before="340" w:after="330" w:line="578" w:lineRule="auto"/>
      <w:widowControl w:val="off"/>
      <w:outlineLvl w:val="0"/>
    </w:pPr>
    <w:rPr>
      <w:rFonts w:ascii="Times New Roman" w:hAnsi="Times New Roman" w:eastAsia="楷体_GB2312" w:cs="Times New Roman"/>
      <w:b/>
      <w:sz w:val="44"/>
      <w:lang w:val="en-US" w:eastAsia="zh-CN" w:bidi="ar-SA"/>
    </w:rPr>
  </w:style>
  <w:style w:type="paragraph" w:styleId="738">
    <w:name w:val="Heading 2"/>
    <w:basedOn w:val="736"/>
    <w:next w:val="736"/>
    <w:link w:val="780"/>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81"/>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82"/>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83"/>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784"/>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86"/>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7"/>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next w:val="736"/>
    <w:uiPriority w:val="0"/>
    <w:semiHidden/>
    <w:qFormat/>
    <w:pPr>
      <w:ind w:left="2520"/>
      <w:jc w:val="both"/>
      <w:keepLines/>
      <w:keepNext/>
      <w:spacing w:before="340" w:after="330" w:line="578" w:lineRule="auto"/>
      <w:widowControl w:val="off"/>
      <w:outlineLvl w:val="0"/>
    </w:pPr>
    <w:rPr>
      <w:rFonts w:ascii="Times New Roman" w:hAnsi="Times New Roman" w:eastAsia="楷体_GB2312" w:cs="Times New Roman"/>
      <w:b/>
      <w:sz w:val="26"/>
      <w:lang w:val="en-US" w:eastAsia="zh-CN" w:bidi="ar-SA"/>
    </w:rPr>
  </w:style>
  <w:style w:type="paragraph" w:styleId="749">
    <w:name w:val="Normal Indent"/>
    <w:next w:val="736"/>
    <w:uiPriority w:val="0"/>
    <w:qFormat/>
    <w:pPr>
      <w:ind w:firstLine="420"/>
      <w:widowControl w:val="off"/>
    </w:pPr>
    <w:rPr>
      <w:rFonts w:ascii="Times New Roman" w:hAnsi="Times New Roman" w:eastAsia="楷体_GB2312" w:cs="Times New Roman"/>
      <w:sz w:val="24"/>
      <w:lang w:val="en-US" w:eastAsia="zh-CN" w:bidi="ar-SA"/>
    </w:rPr>
  </w:style>
  <w:style w:type="paragraph" w:styleId="750">
    <w:name w:val="Caption"/>
    <w:basedOn w:val="736"/>
    <w:next w:val="73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1">
    <w:name w:val="annotation text"/>
    <w:basedOn w:val="736"/>
    <w:link w:val="948"/>
    <w:uiPriority w:val="99"/>
    <w:semiHidden/>
    <w:unhideWhenUsed/>
    <w:qFormat/>
    <w:pPr>
      <w:jc w:val="left"/>
    </w:pPr>
  </w:style>
  <w:style w:type="paragraph" w:styleId="752">
    <w:name w:val="Body Text Indent"/>
    <w:basedOn w:val="736"/>
    <w:next w:val="736"/>
    <w:uiPriority w:val="0"/>
    <w:qFormat/>
    <w:pPr>
      <w:ind w:left="570"/>
      <w:spacing w:line="520" w:lineRule="exact"/>
    </w:pPr>
    <w:rPr>
      <w:rFonts w:ascii="方正仿宋简体" w:hAnsi="创艺简仿宋" w:eastAsia="方正仿宋简体" w:cs="Times New Roman"/>
      <w:sz w:val="24"/>
      <w:szCs w:val="20"/>
    </w:rPr>
  </w:style>
  <w:style w:type="paragraph" w:styleId="753">
    <w:name w:val="List 2"/>
    <w:next w:val="748"/>
    <w:uiPriority w:val="0"/>
    <w:qFormat/>
    <w:pPr>
      <w:ind w:left="100" w:firstLine="3640"/>
      <w:jc w:val="both"/>
      <w:keepLines/>
      <w:keepNext/>
      <w:widowControl w:val="off"/>
      <w:outlineLvl w:val="0"/>
    </w:pPr>
    <w:rPr>
      <w:rFonts w:ascii="Times New Roman" w:hAnsi="Times New Roman" w:eastAsia="楷体_GB2312" w:cs="Times New Roman"/>
      <w:b/>
      <w:sz w:val="44"/>
      <w:lang w:val="en-US" w:eastAsia="zh-CN" w:bidi="ar-SA"/>
    </w:rPr>
  </w:style>
  <w:style w:type="paragraph" w:styleId="754">
    <w:name w:val="toc 5"/>
    <w:basedOn w:val="736"/>
    <w:next w:val="736"/>
    <w:uiPriority w:val="39"/>
    <w:unhideWhenUsed/>
    <w:qFormat/>
    <w:pPr>
      <w:ind w:left="1134"/>
      <w:spacing w:after="57"/>
    </w:pPr>
  </w:style>
  <w:style w:type="paragraph" w:styleId="755">
    <w:name w:val="toc 3"/>
    <w:basedOn w:val="736"/>
    <w:next w:val="736"/>
    <w:uiPriority w:val="39"/>
    <w:unhideWhenUsed/>
    <w:qFormat/>
    <w:pPr>
      <w:ind w:left="567"/>
      <w:spacing w:after="57"/>
    </w:pPr>
  </w:style>
  <w:style w:type="paragraph" w:styleId="756">
    <w:name w:val="Plain Text"/>
    <w:uiPriority w:val="0"/>
    <w:qFormat/>
    <w:pPr>
      <w:jc w:val="both"/>
      <w:widowControl w:val="off"/>
    </w:pPr>
    <w:rPr>
      <w:rFonts w:ascii="宋体" w:hAnsi="Courier New" w:eastAsia="楷体_GB2312" w:cs="Times New Roman"/>
      <w:sz w:val="26"/>
      <w:lang w:val="en-US" w:eastAsia="zh-CN" w:bidi="ar-SA"/>
    </w:rPr>
  </w:style>
  <w:style w:type="paragraph" w:styleId="757">
    <w:name w:val="toc 8"/>
    <w:basedOn w:val="736"/>
    <w:next w:val="736"/>
    <w:uiPriority w:val="39"/>
    <w:unhideWhenUsed/>
    <w:qFormat/>
    <w:pPr>
      <w:ind w:left="1984"/>
      <w:spacing w:after="57"/>
    </w:pPr>
  </w:style>
  <w:style w:type="paragraph" w:styleId="758">
    <w:name w:val="Date"/>
    <w:next w:val="736"/>
    <w:uiPriority w:val="0"/>
    <w:qFormat/>
    <w:pPr>
      <w:jc w:val="both"/>
      <w:widowControl w:val="off"/>
    </w:pPr>
    <w:rPr>
      <w:rFonts w:ascii="宋体" w:hAnsi="宋体" w:eastAsia="楷体_GB2312" w:cs="Times New Roman"/>
      <w:sz w:val="24"/>
      <w:lang w:val="en-US" w:eastAsia="zh-CN" w:bidi="ar-SA"/>
    </w:rPr>
  </w:style>
  <w:style w:type="paragraph" w:styleId="759">
    <w:name w:val="endnote text"/>
    <w:basedOn w:val="736"/>
    <w:link w:val="925"/>
    <w:uiPriority w:val="99"/>
    <w:semiHidden/>
    <w:unhideWhenUsed/>
    <w:qFormat/>
    <w:rPr>
      <w:sz w:val="20"/>
    </w:rPr>
  </w:style>
  <w:style w:type="paragraph" w:styleId="760">
    <w:name w:val="Footer"/>
    <w:uiPriority w:val="0"/>
    <w:qFormat/>
    <w:pPr>
      <w:widowControl w:val="off"/>
      <w:tabs>
        <w:tab w:val="center" w:pos="4153" w:leader="none"/>
        <w:tab w:val="right" w:pos="8306" w:leader="none"/>
      </w:tabs>
    </w:pPr>
    <w:rPr>
      <w:rFonts w:ascii="Times New Roman" w:hAnsi="Times New Roman" w:eastAsia="楷体_GB2312" w:cs="Times New Roman"/>
      <w:sz w:val="18"/>
      <w:lang w:val="en-US" w:eastAsia="zh-CN" w:bidi="ar-SA"/>
    </w:rPr>
  </w:style>
  <w:style w:type="paragraph" w:styleId="761">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楷体_GB2312" w:cs="Times New Roman"/>
      <w:sz w:val="18"/>
      <w:lang w:val="en-US" w:eastAsia="zh-CN" w:bidi="ar-SA"/>
    </w:rPr>
  </w:style>
  <w:style w:type="paragraph" w:styleId="762">
    <w:name w:val="toc 1"/>
    <w:next w:val="736"/>
    <w:uiPriority w:val="39"/>
    <w:qFormat/>
    <w:pPr>
      <w:widowControl w:val="off"/>
    </w:pPr>
    <w:rPr>
      <w:rFonts w:ascii="Times New Roman" w:hAnsi="Times New Roman" w:eastAsia="楷体_GB2312" w:cs="Times New Roman"/>
      <w:sz w:val="24"/>
      <w:lang w:val="en-US" w:eastAsia="zh-CN" w:bidi="ar-SA"/>
    </w:rPr>
  </w:style>
  <w:style w:type="paragraph" w:styleId="763">
    <w:name w:val="toc 4"/>
    <w:basedOn w:val="736"/>
    <w:next w:val="736"/>
    <w:uiPriority w:val="39"/>
    <w:unhideWhenUsed/>
    <w:qFormat/>
    <w:pPr>
      <w:ind w:left="850"/>
      <w:spacing w:after="57"/>
    </w:pPr>
  </w:style>
  <w:style w:type="paragraph" w:styleId="764">
    <w:name w:val="Subtitle"/>
    <w:basedOn w:val="736"/>
    <w:next w:val="736"/>
    <w:link w:val="791"/>
    <w:uiPriority w:val="11"/>
    <w:qFormat/>
    <w:pPr>
      <w:spacing w:before="200" w:after="200"/>
    </w:pPr>
    <w:rPr>
      <w:sz w:val="24"/>
    </w:rPr>
  </w:style>
  <w:style w:type="paragraph" w:styleId="765">
    <w:name w:val="footnote text"/>
    <w:basedOn w:val="736"/>
    <w:link w:val="924"/>
    <w:uiPriority w:val="99"/>
    <w:semiHidden/>
    <w:unhideWhenUsed/>
    <w:qFormat/>
    <w:pPr>
      <w:spacing w:after="40"/>
    </w:pPr>
    <w:rPr>
      <w:sz w:val="18"/>
    </w:rPr>
  </w:style>
  <w:style w:type="paragraph" w:styleId="766">
    <w:name w:val="toc 6"/>
    <w:basedOn w:val="736"/>
    <w:next w:val="736"/>
    <w:uiPriority w:val="39"/>
    <w:unhideWhenUsed/>
    <w:qFormat/>
    <w:pPr>
      <w:ind w:left="1417"/>
      <w:spacing w:after="57"/>
    </w:pPr>
  </w:style>
  <w:style w:type="paragraph" w:styleId="767">
    <w:name w:val="table of figures"/>
    <w:basedOn w:val="736"/>
    <w:next w:val="736"/>
    <w:uiPriority w:val="99"/>
    <w:unhideWhenUsed/>
    <w:qFormat/>
  </w:style>
  <w:style w:type="paragraph" w:styleId="768">
    <w:name w:val="toc 2"/>
    <w:basedOn w:val="736"/>
    <w:next w:val="736"/>
    <w:uiPriority w:val="39"/>
    <w:unhideWhenUsed/>
    <w:qFormat/>
    <w:pPr>
      <w:ind w:left="283"/>
      <w:spacing w:after="57"/>
    </w:pPr>
  </w:style>
  <w:style w:type="paragraph" w:styleId="769">
    <w:name w:val="toc 9"/>
    <w:basedOn w:val="736"/>
    <w:next w:val="736"/>
    <w:uiPriority w:val="39"/>
    <w:unhideWhenUsed/>
    <w:qFormat/>
    <w:pPr>
      <w:ind w:left="2268"/>
      <w:spacing w:after="57"/>
    </w:pPr>
  </w:style>
  <w:style w:type="paragraph" w:styleId="770">
    <w:name w:val="Normal (Web)"/>
    <w:next w:val="753"/>
    <w:uiPriority w:val="0"/>
    <w:qFormat/>
    <w:pPr>
      <w:spacing w:before="100" w:beforeAutospacing="1" w:after="100" w:afterAutospacing="1"/>
    </w:pPr>
    <w:rPr>
      <w:rFonts w:ascii="宋体" w:hAnsi="宋体" w:eastAsia="宋体" w:cs="宋体"/>
      <w:sz w:val="24"/>
      <w:szCs w:val="24"/>
      <w:lang w:val="en-US" w:eastAsia="zh-CN" w:bidi="ar-SA"/>
    </w:rPr>
  </w:style>
  <w:style w:type="paragraph" w:styleId="771">
    <w:name w:val="Title"/>
    <w:basedOn w:val="736"/>
    <w:next w:val="736"/>
    <w:link w:val="790"/>
    <w:uiPriority w:val="10"/>
    <w:qFormat/>
    <w:pPr>
      <w:contextualSpacing/>
      <w:spacing w:before="300" w:after="200"/>
    </w:pPr>
    <w:rPr>
      <w:sz w:val="48"/>
      <w:szCs w:val="48"/>
    </w:rPr>
  </w:style>
  <w:style w:type="paragraph" w:styleId="772">
    <w:name w:val="annotation subject"/>
    <w:basedOn w:val="751"/>
    <w:next w:val="751"/>
    <w:link w:val="949"/>
    <w:uiPriority w:val="99"/>
    <w:semiHidden/>
    <w:unhideWhenUsed/>
    <w:qFormat/>
    <w:rPr>
      <w:b/>
      <w:bCs/>
    </w:rPr>
  </w:style>
  <w:style w:type="table" w:styleId="77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basedOn w:val="746"/>
    <w:uiPriority w:val="99"/>
    <w:semiHidden/>
    <w:unhideWhenUsed/>
    <w:qFormat/>
    <w:rPr>
      <w:vertAlign w:val="superscript"/>
    </w:rPr>
  </w:style>
  <w:style w:type="character" w:styleId="775">
    <w:name w:val="page number"/>
    <w:uiPriority w:val="0"/>
    <w:qFormat/>
  </w:style>
  <w:style w:type="character" w:styleId="776">
    <w:name w:val="Hyperlink"/>
    <w:uiPriority w:val="99"/>
    <w:unhideWhenUsed/>
    <w:qFormat/>
    <w:rPr>
      <w:color w:val="0026e5" w:themeColor="hyperlink"/>
      <w:u w:val="single"/>
      <w14:textFill>
        <w14:solidFill>
          <w14:schemeClr w14:val="hlink"/>
        </w14:solidFill>
      </w14:textFill>
    </w:rPr>
  </w:style>
  <w:style w:type="character" w:styleId="777">
    <w:name w:val="annotation reference"/>
    <w:basedOn w:val="746"/>
    <w:uiPriority w:val="99"/>
    <w:semiHidden/>
    <w:unhideWhenUsed/>
    <w:qFormat/>
    <w:rPr>
      <w:sz w:val="21"/>
      <w:szCs w:val="21"/>
    </w:rPr>
  </w:style>
  <w:style w:type="character" w:styleId="778">
    <w:name w:val="footnote reference"/>
    <w:basedOn w:val="746"/>
    <w:uiPriority w:val="99"/>
    <w:unhideWhenUsed/>
    <w:qFormat/>
    <w:rPr>
      <w:vertAlign w:val="superscript"/>
    </w:rPr>
  </w:style>
  <w:style w:type="character" w:styleId="779" w:customStyle="1">
    <w:name w:val="Heading 1 Char"/>
    <w:basedOn w:val="746"/>
    <w:uiPriority w:val="9"/>
    <w:qFormat/>
    <w:rPr>
      <w:rFonts w:ascii="Arial" w:hAnsi="Arial" w:eastAsia="Arial" w:cs="Arial"/>
      <w:sz w:val="40"/>
      <w:szCs w:val="40"/>
    </w:rPr>
  </w:style>
  <w:style w:type="character" w:styleId="780" w:customStyle="1">
    <w:name w:val="标题 2 字符"/>
    <w:basedOn w:val="746"/>
    <w:link w:val="738"/>
    <w:uiPriority w:val="9"/>
    <w:qFormat/>
    <w:rPr>
      <w:rFonts w:ascii="Arial" w:hAnsi="Arial" w:eastAsia="Arial" w:cs="Arial"/>
      <w:sz w:val="34"/>
    </w:rPr>
  </w:style>
  <w:style w:type="character" w:styleId="781" w:customStyle="1">
    <w:name w:val="标题 3 字符"/>
    <w:basedOn w:val="746"/>
    <w:link w:val="739"/>
    <w:uiPriority w:val="9"/>
    <w:qFormat/>
    <w:rPr>
      <w:rFonts w:ascii="Arial" w:hAnsi="Arial" w:eastAsia="Arial" w:cs="Arial"/>
      <w:sz w:val="30"/>
      <w:szCs w:val="30"/>
    </w:rPr>
  </w:style>
  <w:style w:type="character" w:styleId="782" w:customStyle="1">
    <w:name w:val="标题 4 字符"/>
    <w:basedOn w:val="746"/>
    <w:link w:val="740"/>
    <w:uiPriority w:val="9"/>
    <w:qFormat/>
    <w:rPr>
      <w:rFonts w:ascii="Arial" w:hAnsi="Arial" w:eastAsia="Arial" w:cs="Arial"/>
      <w:b/>
      <w:bCs/>
      <w:sz w:val="26"/>
      <w:szCs w:val="26"/>
    </w:rPr>
  </w:style>
  <w:style w:type="character" w:styleId="783" w:customStyle="1">
    <w:name w:val="标题 5 字符"/>
    <w:basedOn w:val="746"/>
    <w:link w:val="741"/>
    <w:uiPriority w:val="9"/>
    <w:qFormat/>
    <w:rPr>
      <w:rFonts w:ascii="Arial" w:hAnsi="Arial" w:eastAsia="Arial" w:cs="Arial"/>
      <w:b/>
      <w:bCs/>
      <w:sz w:val="24"/>
      <w:szCs w:val="24"/>
    </w:rPr>
  </w:style>
  <w:style w:type="character" w:styleId="784" w:customStyle="1">
    <w:name w:val="标题 6 字符"/>
    <w:basedOn w:val="746"/>
    <w:link w:val="742"/>
    <w:uiPriority w:val="9"/>
    <w:qFormat/>
    <w:rPr>
      <w:rFonts w:ascii="Arial" w:hAnsi="Arial" w:eastAsia="Arial" w:cs="Arial"/>
      <w:b/>
      <w:bCs/>
      <w:sz w:val="22"/>
      <w:szCs w:val="22"/>
    </w:rPr>
  </w:style>
  <w:style w:type="character" w:styleId="785" w:customStyle="1">
    <w:name w:val="标题 7 字符"/>
    <w:basedOn w:val="746"/>
    <w:link w:val="743"/>
    <w:uiPriority w:val="9"/>
    <w:qFormat/>
    <w:rPr>
      <w:rFonts w:ascii="Arial" w:hAnsi="Arial" w:eastAsia="Arial" w:cs="Arial"/>
      <w:b/>
      <w:bCs/>
      <w:i/>
      <w:iCs/>
      <w:sz w:val="22"/>
      <w:szCs w:val="22"/>
    </w:rPr>
  </w:style>
  <w:style w:type="character" w:styleId="786" w:customStyle="1">
    <w:name w:val="标题 8 字符"/>
    <w:basedOn w:val="746"/>
    <w:link w:val="744"/>
    <w:uiPriority w:val="9"/>
    <w:qFormat/>
    <w:rPr>
      <w:rFonts w:ascii="Arial" w:hAnsi="Arial" w:eastAsia="Arial" w:cs="Arial"/>
      <w:i/>
      <w:iCs/>
      <w:sz w:val="22"/>
      <w:szCs w:val="22"/>
    </w:rPr>
  </w:style>
  <w:style w:type="character" w:styleId="787" w:customStyle="1">
    <w:name w:val="标题 9 字符"/>
    <w:basedOn w:val="746"/>
    <w:link w:val="745"/>
    <w:uiPriority w:val="9"/>
    <w:qFormat/>
    <w:rPr>
      <w:rFonts w:ascii="Arial" w:hAnsi="Arial" w:eastAsia="Arial" w:cs="Arial"/>
      <w:i/>
      <w:iCs/>
      <w:sz w:val="21"/>
      <w:szCs w:val="21"/>
    </w:rPr>
  </w:style>
  <w:style w:type="paragraph" w:styleId="788">
    <w:name w:val="List Paragraph"/>
    <w:basedOn w:val="736"/>
    <w:uiPriority w:val="34"/>
    <w:qFormat/>
    <w:pPr>
      <w:contextualSpacing/>
      <w:ind w:left="720"/>
    </w:pPr>
  </w:style>
  <w:style w:type="paragraph" w:styleId="789">
    <w:name w:val="No Spacing"/>
    <w:uiPriority w:val="1"/>
    <w:qFormat/>
    <w:rPr>
      <w:rFonts w:asciiTheme="minorHAnsi" w:hAnsiTheme="minorHAnsi" w:eastAsiaTheme="minorEastAsia" w:cstheme="minorBidi"/>
      <w:lang w:val="en-US" w:eastAsia="zh-CN" w:bidi="ar-SA"/>
    </w:rPr>
  </w:style>
  <w:style w:type="character" w:styleId="790" w:customStyle="1">
    <w:name w:val="标题 字符"/>
    <w:basedOn w:val="746"/>
    <w:link w:val="771"/>
    <w:uiPriority w:val="10"/>
    <w:qFormat/>
    <w:rPr>
      <w:sz w:val="48"/>
      <w:szCs w:val="48"/>
    </w:rPr>
  </w:style>
  <w:style w:type="character" w:styleId="791" w:customStyle="1">
    <w:name w:val="副标题 字符"/>
    <w:basedOn w:val="746"/>
    <w:link w:val="764"/>
    <w:uiPriority w:val="11"/>
    <w:qFormat/>
    <w:rPr>
      <w:sz w:val="24"/>
      <w:szCs w:val="24"/>
    </w:rPr>
  </w:style>
  <w:style w:type="paragraph" w:styleId="792">
    <w:name w:val="Quote"/>
    <w:basedOn w:val="736"/>
    <w:next w:val="736"/>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736"/>
    <w:next w:val="736"/>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Header Char"/>
    <w:basedOn w:val="746"/>
    <w:uiPriority w:val="99"/>
    <w:qFormat/>
  </w:style>
  <w:style w:type="character" w:styleId="797" w:customStyle="1">
    <w:name w:val="Footer Char"/>
    <w:basedOn w:val="746"/>
    <w:uiPriority w:val="99"/>
    <w:qFormat/>
  </w:style>
  <w:style w:type="character" w:styleId="798" w:customStyle="1">
    <w:name w:val="Caption Char"/>
    <w:uiPriority w:val="99"/>
    <w:qFormat/>
  </w:style>
  <w:style w:type="table" w:styleId="799"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0"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4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4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4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4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4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4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4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4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4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4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4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4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9"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4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4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4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4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4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4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4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8" w:customStyle="1">
    <w:name w:val="Grid Table 4 - Accent 2"/>
    <w:basedOn w:val="74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9" w:customStyle="1">
    <w:name w:val="Grid Table 4 - Accent 3"/>
    <w:basedOn w:val="74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0" w:customStyle="1">
    <w:name w:val="Grid Table 4 - Accent 4"/>
    <w:basedOn w:val="74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1" w:customStyle="1">
    <w:name w:val="Grid Table 4 - Accent 5"/>
    <w:basedOn w:val="74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2" w:customStyle="1">
    <w:name w:val="Grid Table 4 - Accent 6"/>
    <w:basedOn w:val="74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3"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5"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6"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7"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8"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9"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0"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4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4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4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44" w:customStyle="1">
    <w:name w:val="Grid Table 6 Colorful - Accent 4"/>
    <w:basedOn w:val="74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4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6" w:customStyle="1">
    <w:name w:val="Grid Table 6 Colorful - Accent 6"/>
    <w:basedOn w:val="74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7"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4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4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4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4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4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4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basedOn w:val="7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4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4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4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4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4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4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1"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4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3" w:customStyle="1">
    <w:name w:val="List Table 2 - Accent 2"/>
    <w:basedOn w:val="74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4" w:customStyle="1">
    <w:name w:val="List Table 2 - Accent 3"/>
    <w:basedOn w:val="74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5" w:customStyle="1">
    <w:name w:val="List Table 2 - Accent 4"/>
    <w:basedOn w:val="74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6" w:customStyle="1">
    <w:name w:val="List Table 2 - Accent 5"/>
    <w:basedOn w:val="74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7" w:customStyle="1">
    <w:name w:val="List Table 2 - Accent 6"/>
    <w:basedOn w:val="74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8"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4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0" w:customStyle="1">
    <w:name w:val="List Table 3 - Accent 2"/>
    <w:basedOn w:val="74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4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4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4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4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5"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4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4 - Accent 2"/>
    <w:basedOn w:val="74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8" w:customStyle="1">
    <w:name w:val="List Table 4 - Accent 3"/>
    <w:basedOn w:val="74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9" w:customStyle="1">
    <w:name w:val="List Table 4 - Accent 4"/>
    <w:basedOn w:val="74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0" w:customStyle="1">
    <w:name w:val="List Table 4 - Accent 5"/>
    <w:basedOn w:val="74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1" w:customStyle="1">
    <w:name w:val="List Table 4 - Accent 6"/>
    <w:basedOn w:val="74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2"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4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4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4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4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4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4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basedOn w:val="7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4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1" w:customStyle="1">
    <w:name w:val="List Table 6 Colorful - Accent 2"/>
    <w:basedOn w:val="74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2" w:customStyle="1">
    <w:name w:val="List Table 6 Colorful - Accent 3"/>
    <w:basedOn w:val="74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3" w:customStyle="1">
    <w:name w:val="List Table 6 Colorful - Accent 4"/>
    <w:basedOn w:val="74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4" w:customStyle="1">
    <w:name w:val="List Table 6 Colorful - Accent 5"/>
    <w:basedOn w:val="74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5" w:customStyle="1">
    <w:name w:val="List Table 6 Colorful - Accent 6"/>
    <w:basedOn w:val="74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6" w:customStyle="1">
    <w:name w:val="清单表 7 彩色1"/>
    <w:basedOn w:val="7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4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4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4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4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4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4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5" w:customStyle="1">
    <w:name w:val="Lined - Accent 2"/>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6" w:customStyle="1">
    <w:name w:val="Lined - Accent 3"/>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7" w:customStyle="1">
    <w:name w:val="Lined - Accent 4"/>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8" w:customStyle="1">
    <w:name w:val="Lined - Accent 5"/>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9" w:customStyle="1">
    <w:name w:val="Lined - Accent 6"/>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0"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4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Bordered &amp; Lined - Accent 2"/>
    <w:basedOn w:val="74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Bordered &amp; Lined - Accent 3"/>
    <w:basedOn w:val="74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Bordered &amp; Lined - Accent 4"/>
    <w:basedOn w:val="74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Bordered &amp; Lined - Accent 5"/>
    <w:basedOn w:val="74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Bordered &amp; Lined - Accent 6"/>
    <w:basedOn w:val="74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4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9" w:customStyle="1">
    <w:name w:val="Bordered - Accent 2"/>
    <w:basedOn w:val="74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0" w:customStyle="1">
    <w:name w:val="Bordered - Accent 3"/>
    <w:basedOn w:val="74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1" w:customStyle="1">
    <w:name w:val="Bordered - Accent 4"/>
    <w:basedOn w:val="74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2" w:customStyle="1">
    <w:name w:val="Bordered - Accent 5"/>
    <w:basedOn w:val="74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3" w:customStyle="1">
    <w:name w:val="Bordered - Accent 6"/>
    <w:basedOn w:val="74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4" w:customStyle="1">
    <w:name w:val="脚注文本 字符"/>
    <w:link w:val="765"/>
    <w:uiPriority w:val="99"/>
    <w:qFormat/>
    <w:rPr>
      <w:sz w:val="18"/>
    </w:rPr>
  </w:style>
  <w:style w:type="character" w:styleId="925" w:customStyle="1">
    <w:name w:val="尾注文本 字符"/>
    <w:link w:val="759"/>
    <w:uiPriority w:val="99"/>
    <w:qFormat/>
    <w:rPr>
      <w:sz w:val="20"/>
    </w:rPr>
  </w:style>
  <w:style w:type="paragraph" w:styleId="926" w:customStyle="1">
    <w:name w:val="TOC 标题1"/>
    <w:uiPriority w:val="39"/>
    <w:unhideWhenUsed/>
    <w:qFormat/>
    <w:rPr>
      <w:rFonts w:asciiTheme="minorHAnsi" w:hAnsiTheme="minorHAnsi" w:eastAsiaTheme="minorEastAsia" w:cstheme="minorBidi"/>
      <w:lang w:val="en-US" w:eastAsia="zh-CN" w:bidi="ar-SA"/>
    </w:rPr>
  </w:style>
  <w:style w:type="paragraph" w:styleId="927" w:customStyle="1">
    <w:name w:val="纯文本1"/>
    <w:uiPriority w:val="0"/>
    <w:qFormat/>
    <w:pPr>
      <w:jc w:val="both"/>
      <w:widowControl w:val="off"/>
    </w:pPr>
    <w:rPr>
      <w:rFonts w:ascii="宋体" w:hAnsi="Courier New" w:eastAsia="楷体_GB2312" w:cs="Times New Roman"/>
      <w:sz w:val="26"/>
      <w:lang w:val="en-US" w:eastAsia="zh-CN" w:bidi="ar-SA"/>
    </w:rPr>
  </w:style>
  <w:style w:type="paragraph" w:styleId="928"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29" w:customStyle="1">
    <w:name w:val="段"/>
    <w:next w:val="736"/>
    <w:uiPriority w:val="0"/>
    <w:qFormat/>
    <w:pPr>
      <w:ind w:firstLine="200"/>
      <w:jc w:val="both"/>
    </w:pPr>
    <w:rPr>
      <w:rFonts w:ascii="宋体" w:hAnsi="Times New Roman" w:eastAsia="宋体" w:cs="Times New Roman"/>
      <w:sz w:val="21"/>
      <w:lang w:val="en-US" w:eastAsia="zh-CN" w:bidi="ar-SA"/>
    </w:rPr>
  </w:style>
  <w:style w:type="paragraph" w:styleId="930"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931" w:customStyle="1">
    <w:name w:val="纯文本5"/>
    <w:uiPriority w:val="0"/>
    <w:qFormat/>
    <w:pPr>
      <w:jc w:val="both"/>
      <w:widowControl w:val="off"/>
    </w:pPr>
    <w:rPr>
      <w:rFonts w:ascii="宋体" w:hAnsi="Courier New" w:eastAsia="楷体_GB2312" w:cs="Times New Roman"/>
      <w:sz w:val="26"/>
      <w:lang w:val="en-US" w:eastAsia="zh-CN" w:bidi="ar-SA"/>
    </w:rPr>
  </w:style>
  <w:style w:type="paragraph" w:styleId="932" w:customStyle="1">
    <w:name w:val="纯文本11"/>
    <w:uiPriority w:val="0"/>
    <w:qFormat/>
    <w:pPr>
      <w:jc w:val="both"/>
      <w:widowControl w:val="off"/>
    </w:pPr>
    <w:rPr>
      <w:rFonts w:ascii="宋体" w:hAnsi="Courier New" w:eastAsia="楷体_GB2312" w:cs="Times New Roman"/>
      <w:sz w:val="26"/>
      <w:lang w:val="en-US" w:eastAsia="zh-CN" w:bidi="ar-SA"/>
    </w:rPr>
  </w:style>
  <w:style w:type="character" w:styleId="933" w:customStyle="1">
    <w:name w:val="fontstyle01"/>
    <w:uiPriority w:val="0"/>
    <w:qFormat/>
    <w:rPr>
      <w:rFonts w:hint="eastAsia" w:ascii="宋体" w:hAnsi="宋体" w:eastAsia="宋体"/>
      <w:color w:val="000000"/>
      <w:sz w:val="24"/>
      <w:szCs w:val="24"/>
    </w:rPr>
  </w:style>
  <w:style w:type="character" w:styleId="934" w:customStyle="1">
    <w:name w:val="font11"/>
    <w:basedOn w:val="746"/>
    <w:uiPriority w:val="0"/>
    <w:rPr>
      <w:rFonts w:hint="eastAsia" w:ascii="宋体" w:hAnsi="宋体" w:eastAsia="宋体" w:cs="宋体"/>
      <w:color w:val="000000"/>
      <w:sz w:val="20"/>
      <w:szCs w:val="20"/>
      <w:u w:val="none"/>
    </w:rPr>
  </w:style>
  <w:style w:type="character" w:styleId="935" w:customStyle="1">
    <w:name w:val="font31"/>
    <w:basedOn w:val="746"/>
    <w:uiPriority w:val="0"/>
    <w:qFormat/>
    <w:rPr>
      <w:rFonts w:hint="default" w:ascii="Times New Roman" w:hAnsi="Times New Roman" w:cs="Times New Roman"/>
      <w:color w:val="000000"/>
      <w:sz w:val="20"/>
      <w:szCs w:val="20"/>
      <w:u w:val="none"/>
    </w:rPr>
  </w:style>
  <w:style w:type="character" w:styleId="936" w:customStyle="1">
    <w:name w:val="font41"/>
    <w:basedOn w:val="746"/>
    <w:uiPriority w:val="0"/>
    <w:rPr>
      <w:rFonts w:hint="eastAsia" w:ascii="宋体" w:hAnsi="宋体" w:eastAsia="宋体" w:cs="宋体"/>
      <w:color w:val="000000"/>
      <w:sz w:val="20"/>
      <w:szCs w:val="20"/>
      <w:u w:val="none"/>
    </w:rPr>
  </w:style>
  <w:style w:type="paragraph" w:styleId="937" w:customStyle="1">
    <w:name w:val="普通(网站)1"/>
    <w:basedOn w:val="736"/>
    <w:uiPriority w:val="0"/>
    <w:qFormat/>
    <w:pPr>
      <w:jc w:val="left"/>
      <w:spacing w:beforeAutospacing="1" w:afterAutospacing="1"/>
    </w:pPr>
    <w:rPr>
      <w:rFonts w:cs="Times New Roman"/>
      <w:sz w:val="24"/>
    </w:rPr>
  </w:style>
  <w:style w:type="paragraph" w:styleId="938" w:customStyle="1">
    <w:name w:val="Plain Text12"/>
    <w:basedOn w:val="736"/>
    <w:uiPriority w:val="0"/>
    <w:qFormat/>
    <w:rPr>
      <w:rFonts w:ascii="宋体" w:hAnsi="Courier New" w:eastAsia="楷体_GB2312" w:cs="Times New Roman"/>
      <w:sz w:val="28"/>
      <w:szCs w:val="20"/>
    </w:rPr>
  </w:style>
  <w:style w:type="paragraph" w:styleId="939" w:customStyle="1">
    <w:name w:val="head 1.1.1"/>
    <w:basedOn w:val="736"/>
    <w:uiPriority w:val="0"/>
    <w:qFormat/>
    <w:pPr>
      <w:jc w:val="left"/>
    </w:pPr>
    <w:rPr>
      <w:rFonts w:ascii="宋体" w:hAnsi="宋体" w:eastAsia="宋体" w:cs="宋体"/>
      <w:bCs/>
      <w:sz w:val="24"/>
    </w:rPr>
  </w:style>
  <w:style w:type="paragraph" w:styleId="94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41" w:customStyle="1">
    <w:name w:val="head 1.1"/>
    <w:basedOn w:val="942"/>
    <w:uiPriority w:val="0"/>
    <w:qFormat/>
    <w:pPr>
      <w:jc w:val="left"/>
    </w:pPr>
    <w:rPr>
      <w:bCs w:val="0"/>
    </w:rPr>
  </w:style>
  <w:style w:type="paragraph" w:styleId="942" w:customStyle="1">
    <w:name w:val="列表段落1"/>
    <w:basedOn w:val="736"/>
    <w:uiPriority w:val="34"/>
    <w:qFormat/>
    <w:rPr>
      <w:rFonts w:ascii="宋体" w:hAnsi="宋体" w:eastAsia="宋体" w:cs="宋体"/>
      <w:bCs/>
      <w:sz w:val="24"/>
    </w:rPr>
  </w:style>
  <w:style w:type="paragraph" w:styleId="943" w:customStyle="1">
    <w:name w:val="正文文本1111"/>
    <w:basedOn w:val="736"/>
    <w:next w:val="736"/>
    <w:uiPriority w:val="99"/>
    <w:qFormat/>
    <w:rPr>
      <w:rFonts w:ascii="宋体"/>
      <w:sz w:val="28"/>
    </w:rPr>
  </w:style>
  <w:style w:type="paragraph" w:styleId="944" w:customStyle="1">
    <w:name w:val="列出段落3"/>
    <w:basedOn w:val="736"/>
    <w:uiPriority w:val="34"/>
    <w:qFormat/>
    <w:pPr>
      <w:ind w:firstLine="420"/>
    </w:pPr>
  </w:style>
  <w:style w:type="character" w:styleId="945" w:customStyle="1">
    <w:name w:val="A3"/>
    <w:uiPriority w:val="0"/>
    <w:qFormat/>
    <w:rPr>
      <w:rFonts w:cs="Adobe Heiti Std R"/>
      <w:color w:val="57575a"/>
      <w:sz w:val="16"/>
      <w:szCs w:val="16"/>
    </w:rPr>
  </w:style>
  <w:style w:type="paragraph" w:styleId="946" w:customStyle="1">
    <w:name w:val="正文文本缩进1"/>
    <w:basedOn w:val="736"/>
    <w:next w:val="736"/>
    <w:uiPriority w:val="0"/>
    <w:qFormat/>
    <w:pPr>
      <w:ind w:firstLine="425"/>
      <w:jc w:val="left"/>
      <w:spacing w:line="360" w:lineRule="auto"/>
      <w:widowControl/>
    </w:pPr>
    <w:rPr>
      <w:rFonts w:ascii="Times New Roman" w:hAnsi="Times New Roman" w:eastAsia="宋体" w:cs="Times New Roman"/>
      <w:sz w:val="24"/>
      <w:szCs w:val="20"/>
    </w:rPr>
  </w:style>
  <w:style w:type="character" w:styleId="947" w:customStyle="1">
    <w:name w:val="要点1"/>
    <w:uiPriority w:val="0"/>
    <w:qFormat/>
    <w:rPr>
      <w:b/>
    </w:rPr>
  </w:style>
  <w:style w:type="character" w:styleId="948" w:customStyle="1">
    <w:name w:val="批注文字 字符"/>
    <w:basedOn w:val="746"/>
    <w:link w:val="751"/>
    <w:uiPriority w:val="99"/>
    <w:semiHidden/>
    <w:qFormat/>
    <w:rPr>
      <w:rFonts w:asciiTheme="minorHAnsi" w:hAnsiTheme="minorHAnsi" w:eastAsiaTheme="minorEastAsia" w:cstheme="minorBidi"/>
      <w:sz w:val="21"/>
      <w:szCs w:val="24"/>
    </w:rPr>
  </w:style>
  <w:style w:type="character" w:styleId="949" w:customStyle="1">
    <w:name w:val="批注主题 字符"/>
    <w:basedOn w:val="948"/>
    <w:link w:val="772"/>
    <w:uiPriority w:val="99"/>
    <w:semiHidden/>
    <w:qFormat/>
    <w:rPr>
      <w:rFonts w:asciiTheme="minorHAnsi" w:hAnsiTheme="minorHAnsi" w:eastAsiaTheme="minorEastAsia" w:cstheme="minorBidi"/>
      <w:b/>
      <w:bCs/>
      <w:sz w:val="21"/>
      <w:szCs w:val="24"/>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曹梦斌</cp:lastModifiedBy>
  <cp:revision>342</cp:revision>
  <dcterms:created xsi:type="dcterms:W3CDTF">2024-04-26T06:45:00Z</dcterms:created>
  <dcterms:modified xsi:type="dcterms:W3CDTF">2025-08-26T09:01:15Z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C7A2AA9886D3493DBDF5604570B53014_13</vt:lpwstr>
  </property>
  <property fmtid="{D5CDD505-2E9C-101B-9397-08002B2CF9AE}" pid="4" name="KSOTemplateDocerSaveRecord">
    <vt:lpwstr>eyJoZGlkIjoiYTM0ODUwMTk5MGNlN2UzNjMxYmIyOWVjNDIxMDE0ZjEiLCJ1c2VySWQiOiIzNzY3NjU3MzkifQ==</vt:lpwstr>
  </property>
</Properties>
</file>