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0E2D241">
      <w:pPr>
        <w:spacing w:before="156" w:after="156"/>
        <w:jc w:val="center"/>
        <w:outlineLvl w:val="0"/>
        <w:rPr>
          <w:rFonts w:ascii="宋体" w:hAnsi="宋体"/>
          <w:b/>
          <w:bCs/>
          <w:sz w:val="30"/>
          <w:szCs w:val="20"/>
        </w:rPr>
      </w:pPr>
      <w:r>
        <w:rPr>
          <w:rFonts w:hint="eastAsia" w:ascii="宋体" w:hAnsi="宋体"/>
          <w:b/>
          <w:sz w:val="30"/>
        </w:rPr>
        <w:t>常州市政府采购合同（服务）</w:t>
      </w:r>
    </w:p>
    <w:p w14:paraId="1702F761">
      <w:pPr>
        <w:pStyle w:val="4"/>
        <w:spacing w:before="120" w:after="120"/>
        <w:rPr>
          <w:rFonts w:hAnsi="宋体"/>
          <w:sz w:val="24"/>
          <w:szCs w:val="24"/>
        </w:rPr>
      </w:pPr>
      <w:r>
        <w:rPr>
          <w:rFonts w:hAnsi="宋体"/>
          <w:sz w:val="24"/>
          <w:szCs w:val="24"/>
        </w:rPr>
        <w:t>项目名称：</w:t>
      </w:r>
      <w:r>
        <w:rPr>
          <w:rFonts w:hint="eastAsia" w:hAnsi="宋体"/>
          <w:sz w:val="24"/>
          <w:szCs w:val="24"/>
        </w:rPr>
        <w:t>常州人社保障中心设备运维、网络安全服务及驻场服务项目</w:t>
      </w:r>
      <w:r>
        <w:rPr>
          <w:rFonts w:hAnsi="宋体"/>
          <w:sz w:val="24"/>
          <w:szCs w:val="24"/>
        </w:rPr>
        <w:t xml:space="preserve">                    项目编号：</w:t>
      </w:r>
      <w:r>
        <w:rPr>
          <w:rFonts w:hint="eastAsia" w:hAnsi="宋体"/>
          <w:sz w:val="24"/>
          <w:szCs w:val="24"/>
        </w:rPr>
        <w:t>JSZC-320400-JZCG-G2025-0370</w:t>
      </w:r>
    </w:p>
    <w:p w14:paraId="447C0C19">
      <w:pPr>
        <w:pStyle w:val="4"/>
        <w:spacing w:before="120" w:after="120"/>
        <w:rPr>
          <w:rFonts w:hAnsi="宋体"/>
          <w:sz w:val="24"/>
          <w:szCs w:val="24"/>
        </w:rPr>
      </w:pPr>
      <w:r>
        <w:rPr>
          <w:rFonts w:hAnsi="宋体"/>
          <w:sz w:val="24"/>
          <w:szCs w:val="24"/>
        </w:rPr>
        <w:t>甲方：（买方）</w:t>
      </w:r>
      <w:r>
        <w:rPr>
          <w:rFonts w:hint="eastAsia" w:hAnsi="宋体"/>
          <w:sz w:val="24"/>
          <w:szCs w:val="24"/>
        </w:rPr>
        <w:t>常州市人力资源和社会保障公共服务与技术保障中心</w:t>
      </w:r>
    </w:p>
    <w:p w14:paraId="67651C5B">
      <w:pPr>
        <w:pStyle w:val="4"/>
        <w:spacing w:before="120" w:after="120"/>
        <w:rPr>
          <w:rFonts w:hint="eastAsia" w:hAnsi="宋体"/>
          <w:sz w:val="24"/>
          <w:szCs w:val="24"/>
        </w:rPr>
      </w:pPr>
      <w:r>
        <w:rPr>
          <w:rFonts w:hAnsi="宋体"/>
          <w:sz w:val="24"/>
          <w:szCs w:val="24"/>
        </w:rPr>
        <w:t>乙方：（卖方）</w:t>
      </w:r>
      <w:r>
        <w:rPr>
          <w:rFonts w:hint="eastAsia" w:hAnsi="宋体"/>
          <w:sz w:val="24"/>
          <w:szCs w:val="24"/>
        </w:rPr>
        <w:t>中电鸿信信息科技有限公司</w:t>
      </w:r>
    </w:p>
    <w:p w14:paraId="080FAD61">
      <w:pPr>
        <w:pStyle w:val="4"/>
        <w:spacing w:before="120" w:after="120"/>
        <w:rPr>
          <w:rFonts w:hAnsi="宋体"/>
          <w:b/>
          <w:sz w:val="24"/>
          <w:szCs w:val="24"/>
        </w:rPr>
      </w:pPr>
      <w:r>
        <w:rPr>
          <w:rFonts w:hAnsi="宋体"/>
          <w:b/>
          <w:sz w:val="24"/>
          <w:szCs w:val="24"/>
        </w:rPr>
        <w:t xml:space="preserve">   </w:t>
      </w:r>
      <w:r>
        <w:rPr>
          <w:rFonts w:hAnsi="宋体"/>
          <w:sz w:val="24"/>
          <w:szCs w:val="24"/>
        </w:rPr>
        <w:t>甲、乙双方根据</w:t>
      </w:r>
      <w:r>
        <w:rPr>
          <w:rFonts w:hint="eastAsia" w:hAnsi="宋体"/>
          <w:sz w:val="24"/>
          <w:szCs w:val="24"/>
        </w:rPr>
        <w:t>常州市政府采购中心</w:t>
      </w:r>
      <w:r>
        <w:rPr>
          <w:rFonts w:hint="eastAsia" w:hAnsi="宋体"/>
          <w:sz w:val="24"/>
          <w:szCs w:val="24"/>
          <w:u w:val="single"/>
        </w:rPr>
        <w:t>常州人社保障中心设备运维、网络安全服务及驻场服务</w:t>
      </w:r>
      <w:r>
        <w:rPr>
          <w:rFonts w:hAnsi="宋体"/>
          <w:sz w:val="24"/>
          <w:szCs w:val="24"/>
          <w:u w:val="single"/>
        </w:rPr>
        <w:t>项目</w:t>
      </w:r>
      <w:r>
        <w:rPr>
          <w:rFonts w:hint="eastAsia" w:hAnsi="宋体"/>
          <w:sz w:val="24"/>
          <w:szCs w:val="24"/>
          <w:u w:val="single"/>
          <w:lang w:val="en-US" w:eastAsia="zh-CN"/>
        </w:rPr>
        <w:t>采购包5</w:t>
      </w:r>
      <w:r>
        <w:rPr>
          <w:rFonts w:hAnsi="宋体"/>
          <w:sz w:val="24"/>
          <w:szCs w:val="24"/>
        </w:rPr>
        <w:t>公开招标的结果，签署本合同。</w:t>
      </w:r>
    </w:p>
    <w:p w14:paraId="5B494AA1">
      <w:pPr>
        <w:pStyle w:val="4"/>
        <w:spacing w:before="120" w:after="120"/>
        <w:rPr>
          <w:rFonts w:hAnsi="宋体"/>
          <w:b/>
          <w:sz w:val="24"/>
          <w:szCs w:val="24"/>
        </w:rPr>
      </w:pPr>
      <w:r>
        <w:rPr>
          <w:rFonts w:hAnsi="宋体"/>
          <w:b/>
          <w:sz w:val="24"/>
          <w:szCs w:val="24"/>
        </w:rPr>
        <w:t>一、</w:t>
      </w:r>
      <w:r>
        <w:rPr>
          <w:rFonts w:hint="eastAsia" w:hAnsi="宋体"/>
          <w:b/>
          <w:sz w:val="24"/>
          <w:szCs w:val="24"/>
        </w:rPr>
        <w:t>合同</w:t>
      </w:r>
      <w:r>
        <w:rPr>
          <w:rFonts w:hAnsi="宋体"/>
          <w:b/>
          <w:sz w:val="24"/>
          <w:szCs w:val="24"/>
        </w:rPr>
        <w:t>内容</w:t>
      </w:r>
    </w:p>
    <w:p w14:paraId="48A0D88B">
      <w:pPr>
        <w:pStyle w:val="4"/>
        <w:spacing w:before="120" w:after="120"/>
        <w:rPr>
          <w:rFonts w:hAnsi="宋体"/>
          <w:sz w:val="24"/>
          <w:szCs w:val="24"/>
        </w:rPr>
      </w:pPr>
      <w:r>
        <w:rPr>
          <w:rFonts w:hAnsi="宋体"/>
          <w:sz w:val="24"/>
          <w:szCs w:val="24"/>
        </w:rPr>
        <w:t xml:space="preserve">1.1 </w:t>
      </w:r>
      <w:r>
        <w:rPr>
          <w:rFonts w:hint="eastAsia" w:hAnsi="宋体"/>
          <w:sz w:val="24"/>
          <w:szCs w:val="24"/>
        </w:rPr>
        <w:t>标的</w:t>
      </w:r>
      <w:r>
        <w:rPr>
          <w:rFonts w:hAnsi="宋体"/>
          <w:sz w:val="24"/>
          <w:szCs w:val="24"/>
        </w:rPr>
        <w:t>名称：</w:t>
      </w:r>
      <w:r>
        <w:rPr>
          <w:rFonts w:hint="eastAsia" w:hAnsi="宋体"/>
          <w:sz w:val="24"/>
          <w:szCs w:val="24"/>
        </w:rPr>
        <w:t>常州人社保障中心设备运维、网络安全服务及驻场服务项目</w:t>
      </w:r>
    </w:p>
    <w:p w14:paraId="2948351E">
      <w:pPr>
        <w:pStyle w:val="4"/>
        <w:spacing w:before="120" w:after="120"/>
        <w:rPr>
          <w:rFonts w:hint="eastAsia" w:hAnsi="宋体"/>
          <w:sz w:val="24"/>
          <w:szCs w:val="24"/>
        </w:rPr>
      </w:pPr>
      <w:r>
        <w:rPr>
          <w:rFonts w:hAnsi="宋体"/>
          <w:sz w:val="24"/>
          <w:szCs w:val="24"/>
        </w:rPr>
        <w:t>1.2</w:t>
      </w:r>
      <w:r>
        <w:rPr>
          <w:rFonts w:hint="eastAsia" w:hAnsi="宋体"/>
          <w:sz w:val="24"/>
          <w:szCs w:val="24"/>
        </w:rPr>
        <w:t>标的质量：</w:t>
      </w:r>
      <w:r>
        <w:rPr>
          <w:rFonts w:hint="eastAsia" w:hAnsi="宋体"/>
          <w:sz w:val="24"/>
          <w:szCs w:val="24"/>
          <w:lang w:val="en-US" w:eastAsia="zh-CN"/>
        </w:rPr>
        <w:t>乙方提供的服务应符合国家、地方及相关政府管理部门和行业与本项目有关的各项服务标准、规范、规章要求，并满足甲方实际需求。</w:t>
      </w:r>
    </w:p>
    <w:p w14:paraId="395B822E">
      <w:pPr>
        <w:pStyle w:val="4"/>
        <w:spacing w:before="120" w:after="120"/>
        <w:rPr>
          <w:rFonts w:hint="default" w:hAnsi="宋体" w:eastAsia="宋体"/>
          <w:sz w:val="24"/>
          <w:szCs w:val="24"/>
          <w:lang w:val="en-US" w:eastAsia="zh-CN"/>
        </w:rPr>
      </w:pPr>
      <w:r>
        <w:rPr>
          <w:rFonts w:hint="eastAsia" w:hAnsi="宋体"/>
          <w:sz w:val="24"/>
          <w:szCs w:val="24"/>
        </w:rPr>
        <w:t>1.3 标的数量（规模）：软硬件维保，包括存储设备、网络和安全设备、运维软件等购买原厂维保服务。涉及网络和安全设备、F5负载均衡、KVM、存储设备等统一采购专业的第三方维保服务。具体见附件1。</w:t>
      </w:r>
    </w:p>
    <w:p w14:paraId="280B9A7E">
      <w:pPr>
        <w:pStyle w:val="4"/>
        <w:spacing w:before="120" w:after="120"/>
        <w:rPr>
          <w:rFonts w:hint="default" w:hAnsi="宋体" w:eastAsia="宋体"/>
          <w:sz w:val="24"/>
          <w:szCs w:val="24"/>
          <w:lang w:val="en-US" w:eastAsia="zh-CN"/>
        </w:rPr>
      </w:pPr>
      <w:r>
        <w:rPr>
          <w:rFonts w:hint="eastAsia" w:hAnsi="宋体"/>
          <w:sz w:val="24"/>
          <w:szCs w:val="24"/>
        </w:rPr>
        <w:t>1.4 履行时间（期限）：</w:t>
      </w:r>
      <w:r>
        <w:rPr>
          <w:rFonts w:hint="eastAsia" w:hAnsi="宋体"/>
          <w:sz w:val="24"/>
          <w:szCs w:val="24"/>
          <w:lang w:val="en-US" w:eastAsia="zh-CN"/>
        </w:rPr>
        <w:t>2026年1月1日至2026年12月31日</w:t>
      </w:r>
    </w:p>
    <w:p w14:paraId="4EE91126">
      <w:pPr>
        <w:pStyle w:val="4"/>
        <w:spacing w:before="120" w:after="120"/>
        <w:rPr>
          <w:rFonts w:hint="eastAsia" w:hAnsi="宋体"/>
          <w:sz w:val="24"/>
          <w:szCs w:val="24"/>
          <w:lang w:val="en-US" w:eastAsia="zh-CN"/>
        </w:rPr>
      </w:pPr>
      <w:r>
        <w:rPr>
          <w:rFonts w:hint="eastAsia" w:hAnsi="宋体"/>
          <w:sz w:val="24"/>
          <w:szCs w:val="24"/>
        </w:rPr>
        <w:t>1.5 履行地点：</w:t>
      </w:r>
      <w:r>
        <w:rPr>
          <w:rFonts w:hint="eastAsia" w:asciiTheme="minorEastAsia" w:hAnsiTheme="minorEastAsia" w:eastAsiaTheme="minorEastAsia" w:cstheme="minorEastAsia"/>
          <w:sz w:val="24"/>
          <w:szCs w:val="24"/>
          <w:highlight w:val="none"/>
        </w:rPr>
        <w:t>常州市天宁区锦绣路2号</w:t>
      </w:r>
    </w:p>
    <w:p w14:paraId="54290D30">
      <w:pPr>
        <w:pStyle w:val="4"/>
        <w:spacing w:before="120" w:after="120"/>
        <w:rPr>
          <w:rFonts w:hint="eastAsia" w:hAnsi="宋体" w:eastAsia="宋体"/>
          <w:sz w:val="24"/>
          <w:szCs w:val="24"/>
          <w:lang w:val="en-US" w:eastAsia="zh-CN"/>
        </w:rPr>
      </w:pPr>
      <w:r>
        <w:rPr>
          <w:rFonts w:hAnsi="宋体"/>
          <w:sz w:val="24"/>
          <w:szCs w:val="24"/>
        </w:rPr>
        <w:t>1.</w:t>
      </w:r>
      <w:r>
        <w:rPr>
          <w:rFonts w:hint="eastAsia" w:hAnsi="宋体"/>
          <w:sz w:val="24"/>
          <w:szCs w:val="24"/>
        </w:rPr>
        <w:t>6履行方式：</w:t>
      </w:r>
      <w:r>
        <w:rPr>
          <w:rFonts w:hint="eastAsia" w:hAnsi="宋体"/>
          <w:sz w:val="24"/>
          <w:szCs w:val="24"/>
          <w:lang w:val="en-US" w:eastAsia="zh-CN"/>
        </w:rPr>
        <w:t>维保服务，</w:t>
      </w:r>
      <w:r>
        <w:rPr>
          <w:rFonts w:hint="eastAsia" w:hAnsi="宋体"/>
          <w:sz w:val="24"/>
          <w:szCs w:val="24"/>
        </w:rPr>
        <w:t>合同期满或者履行完毕后，按照合同约定的标准，组织对乙方履约情况进行验收，并出具验收报告。</w:t>
      </w:r>
    </w:p>
    <w:p w14:paraId="410E6731">
      <w:pPr>
        <w:pStyle w:val="4"/>
        <w:spacing w:before="120" w:after="120"/>
        <w:rPr>
          <w:rFonts w:hAnsi="宋体"/>
          <w:b/>
          <w:sz w:val="24"/>
          <w:szCs w:val="24"/>
        </w:rPr>
      </w:pPr>
      <w:r>
        <w:rPr>
          <w:rFonts w:hAnsi="宋体"/>
          <w:b/>
          <w:sz w:val="24"/>
          <w:szCs w:val="24"/>
        </w:rPr>
        <w:t>二、合同金额</w:t>
      </w:r>
    </w:p>
    <w:p w14:paraId="62B81D1D">
      <w:pPr>
        <w:pStyle w:val="4"/>
        <w:spacing w:before="120" w:after="120"/>
        <w:ind w:left="410" w:hanging="410"/>
        <w:rPr>
          <w:rFonts w:hAnsi="宋体"/>
          <w:sz w:val="24"/>
          <w:szCs w:val="24"/>
        </w:rPr>
      </w:pPr>
      <w:r>
        <w:rPr>
          <w:rFonts w:hAnsi="宋体"/>
          <w:sz w:val="24"/>
          <w:szCs w:val="24"/>
        </w:rPr>
        <w:t>2.1 本合同金额为（大写）：</w:t>
      </w:r>
      <w:r>
        <w:rPr>
          <w:rFonts w:hint="eastAsia" w:hAnsi="宋体"/>
          <w:sz w:val="24"/>
          <w:szCs w:val="24"/>
          <w:u w:val="single"/>
        </w:rPr>
        <w:t>捌拾肆万伍仟</w:t>
      </w:r>
      <w:r>
        <w:rPr>
          <w:rFonts w:hint="eastAsia" w:hAnsi="宋体"/>
          <w:sz w:val="24"/>
          <w:szCs w:val="24"/>
          <w:lang w:val="en-US" w:eastAsia="zh-CN"/>
        </w:rPr>
        <w:t>元整</w:t>
      </w:r>
      <w:r>
        <w:rPr>
          <w:rFonts w:hAnsi="宋体"/>
          <w:sz w:val="24"/>
          <w:szCs w:val="24"/>
        </w:rPr>
        <w:t>（</w:t>
      </w:r>
      <w:r>
        <w:rPr>
          <w:rFonts w:hint="eastAsia" w:hAnsi="宋体"/>
          <w:sz w:val="24"/>
          <w:szCs w:val="24"/>
          <w:u w:val="single"/>
          <w:lang w:val="en-US" w:eastAsia="zh-CN"/>
        </w:rPr>
        <w:t>845000</w:t>
      </w:r>
      <w:r>
        <w:rPr>
          <w:rFonts w:hAnsi="宋体"/>
          <w:sz w:val="24"/>
          <w:szCs w:val="24"/>
        </w:rPr>
        <w:t>元）人民币。</w:t>
      </w:r>
    </w:p>
    <w:p w14:paraId="3613DFBB">
      <w:pPr>
        <w:pStyle w:val="4"/>
        <w:spacing w:before="120" w:after="120"/>
        <w:rPr>
          <w:rFonts w:hAnsi="宋体"/>
          <w:b/>
          <w:sz w:val="24"/>
          <w:szCs w:val="24"/>
        </w:rPr>
      </w:pPr>
      <w:r>
        <w:rPr>
          <w:rFonts w:hAnsi="宋体"/>
          <w:b/>
          <w:sz w:val="24"/>
          <w:szCs w:val="24"/>
        </w:rPr>
        <w:t>三、技术资料</w:t>
      </w:r>
      <w:r>
        <w:rPr>
          <w:rFonts w:hint="eastAsia" w:hAnsi="宋体"/>
          <w:b/>
          <w:sz w:val="24"/>
          <w:szCs w:val="24"/>
        </w:rPr>
        <w:t>与保密义务</w:t>
      </w:r>
    </w:p>
    <w:p w14:paraId="701D837D">
      <w:pPr>
        <w:pStyle w:val="4"/>
        <w:spacing w:before="120" w:after="120"/>
        <w:ind w:left="410" w:hanging="410"/>
        <w:rPr>
          <w:rFonts w:hint="eastAsia" w:hAnsi="宋体"/>
          <w:sz w:val="24"/>
          <w:szCs w:val="24"/>
        </w:rPr>
      </w:pPr>
      <w:r>
        <w:rPr>
          <w:rFonts w:hAnsi="宋体"/>
          <w:sz w:val="24"/>
          <w:szCs w:val="24"/>
        </w:rPr>
        <w:t>3.1乙方应按招标文件规定的时间向甲方提供服务</w:t>
      </w:r>
      <w:r>
        <w:rPr>
          <w:rFonts w:hint="eastAsia" w:hAnsi="宋体"/>
          <w:sz w:val="24"/>
          <w:szCs w:val="24"/>
        </w:rPr>
        <w:t>（包含与服务相关的货物）</w:t>
      </w:r>
      <w:r>
        <w:rPr>
          <w:rFonts w:hAnsi="宋体"/>
          <w:sz w:val="24"/>
          <w:szCs w:val="24"/>
        </w:rPr>
        <w:t>的有关技术资料。</w:t>
      </w:r>
    </w:p>
    <w:p w14:paraId="4CF5B8B8">
      <w:pPr>
        <w:pStyle w:val="4"/>
        <w:spacing w:before="120" w:after="120"/>
        <w:ind w:left="410" w:hanging="410"/>
        <w:rPr>
          <w:rFonts w:hAnsi="宋体"/>
          <w:sz w:val="24"/>
          <w:szCs w:val="24"/>
        </w:rPr>
      </w:pPr>
      <w:r>
        <w:rPr>
          <w:rFonts w:hAnsi="宋体"/>
          <w:sz w:val="24"/>
          <w:szCs w:val="24"/>
        </w:rPr>
        <w:t xml:space="preserve">3.2 </w:t>
      </w:r>
      <w:r>
        <w:rPr>
          <w:rFonts w:hint="eastAsia" w:hAnsi="宋体"/>
          <w:sz w:val="24"/>
          <w:szCs w:val="24"/>
        </w:rPr>
        <w:t>没有甲方事先书面同意，乙方不得将由甲方提供的有关合同或任何合同条文、规格、计划、图纸、样品或资料以及履行本合同所知悉的一切信息资料（以下简称“保密信息”）等提供给与履行本合同无关的任何其他人。即使向履行本合同有关的人员提供，也应注意保密并限于履行合同的必需范围。保密期限：从乙方知悉该保密信息之日起，直至公众可通过合法途径获得、知悉相关保密信息之日止，并不因合同履行完毕而终止。</w:t>
      </w:r>
    </w:p>
    <w:p w14:paraId="460842C3">
      <w:pPr>
        <w:pStyle w:val="4"/>
        <w:spacing w:before="120" w:after="120"/>
        <w:ind w:left="412" w:hanging="412"/>
        <w:rPr>
          <w:rFonts w:hAnsi="宋体"/>
          <w:b/>
          <w:sz w:val="24"/>
          <w:szCs w:val="24"/>
        </w:rPr>
      </w:pPr>
      <w:r>
        <w:rPr>
          <w:rFonts w:hAnsi="宋体"/>
          <w:b/>
          <w:sz w:val="24"/>
          <w:szCs w:val="24"/>
        </w:rPr>
        <w:t>四、知识产权</w:t>
      </w:r>
    </w:p>
    <w:p w14:paraId="338D552B">
      <w:pPr>
        <w:pStyle w:val="4"/>
        <w:spacing w:before="120" w:after="120"/>
        <w:ind w:left="408" w:hanging="408"/>
        <w:rPr>
          <w:rFonts w:hint="eastAsia" w:hAnsi="宋体"/>
          <w:sz w:val="24"/>
          <w:szCs w:val="24"/>
        </w:rPr>
      </w:pPr>
      <w:r>
        <w:rPr>
          <w:rFonts w:hAnsi="宋体"/>
          <w:sz w:val="24"/>
          <w:szCs w:val="24"/>
        </w:rPr>
        <w:t>4.1乙</w:t>
      </w:r>
      <w:r>
        <w:rPr>
          <w:rFonts w:hint="eastAsia" w:hAnsi="宋体"/>
          <w:sz w:val="24"/>
          <w:szCs w:val="24"/>
        </w:rPr>
        <w:t>方应保证甲方在使用、接受本合同服务（包含与服务相关的货物）或其任何一部分时不受第三方提出侵犯其专利权、版权、商标权和工业设计权等知识产权的起诉。一旦出现侵权，由乙方负全部责任。</w:t>
      </w:r>
    </w:p>
    <w:p w14:paraId="71F4B4E4">
      <w:pPr>
        <w:pStyle w:val="4"/>
        <w:spacing w:before="120" w:after="120"/>
        <w:rPr>
          <w:rFonts w:hAnsi="宋体"/>
          <w:sz w:val="24"/>
          <w:szCs w:val="24"/>
          <w:u w:val="single"/>
        </w:rPr>
      </w:pPr>
      <w:r>
        <w:rPr>
          <w:rFonts w:hAnsi="宋体"/>
          <w:b/>
          <w:sz w:val="24"/>
          <w:szCs w:val="24"/>
        </w:rPr>
        <w:t>五、产权担保</w:t>
      </w:r>
    </w:p>
    <w:p w14:paraId="62EA116B">
      <w:pPr>
        <w:pStyle w:val="4"/>
        <w:spacing w:before="120" w:after="120"/>
        <w:ind w:left="408" w:hanging="408"/>
        <w:rPr>
          <w:rFonts w:hAnsi="宋体"/>
          <w:sz w:val="24"/>
          <w:szCs w:val="24"/>
          <w:u w:val="single"/>
        </w:rPr>
      </w:pPr>
      <w:r>
        <w:rPr>
          <w:rFonts w:hAnsi="宋体"/>
          <w:sz w:val="24"/>
          <w:szCs w:val="24"/>
        </w:rPr>
        <w:t>5.1 乙方保证所交付的</w:t>
      </w:r>
      <w:r>
        <w:rPr>
          <w:rFonts w:hint="eastAsia" w:hAnsi="宋体"/>
          <w:sz w:val="24"/>
          <w:szCs w:val="24"/>
        </w:rPr>
        <w:t>服务（包含与服务相关的货物）</w:t>
      </w:r>
      <w:r>
        <w:rPr>
          <w:rFonts w:hAnsi="宋体"/>
          <w:sz w:val="24"/>
          <w:szCs w:val="24"/>
        </w:rPr>
        <w:t>的所有权完全属于乙方且无任何抵押、查封等产权瑕疵。</w:t>
      </w:r>
    </w:p>
    <w:p w14:paraId="606E8269">
      <w:pPr>
        <w:pStyle w:val="4"/>
        <w:spacing w:before="120" w:after="120"/>
        <w:ind w:left="410" w:hanging="410"/>
        <w:rPr>
          <w:rFonts w:hAnsi="宋体"/>
          <w:b/>
          <w:sz w:val="24"/>
          <w:szCs w:val="24"/>
        </w:rPr>
      </w:pPr>
      <w:r>
        <w:rPr>
          <w:rFonts w:hAnsi="宋体"/>
          <w:b/>
          <w:sz w:val="24"/>
          <w:szCs w:val="24"/>
        </w:rPr>
        <w:t>六、履约保证金</w:t>
      </w:r>
    </w:p>
    <w:p w14:paraId="7A53F1E1">
      <w:pPr>
        <w:pStyle w:val="4"/>
        <w:spacing w:before="120" w:after="120"/>
        <w:ind w:left="408" w:hanging="408"/>
        <w:rPr>
          <w:rFonts w:hAnsi="宋体"/>
          <w:sz w:val="24"/>
          <w:szCs w:val="24"/>
        </w:rPr>
      </w:pPr>
      <w:r>
        <w:rPr>
          <w:rFonts w:hint="eastAsia" w:hAnsi="宋体"/>
          <w:sz w:val="24"/>
          <w:szCs w:val="24"/>
        </w:rPr>
        <w:t>本项目</w:t>
      </w:r>
      <w:r>
        <w:rPr>
          <w:rFonts w:hint="eastAsia" w:hAnsi="宋体"/>
          <w:sz w:val="24"/>
          <w:szCs w:val="24"/>
          <w:u w:val="single"/>
        </w:rPr>
        <w:t>(不收取)</w:t>
      </w:r>
      <w:r>
        <w:rPr>
          <w:rFonts w:hint="eastAsia" w:hAnsi="宋体"/>
          <w:sz w:val="24"/>
          <w:szCs w:val="24"/>
        </w:rPr>
        <w:t>履约保证金。</w:t>
      </w:r>
    </w:p>
    <w:p w14:paraId="2EE7026C">
      <w:pPr>
        <w:spacing w:before="156" w:after="156"/>
        <w:rPr>
          <w:rFonts w:ascii="宋体" w:hAnsi="宋体" w:eastAsia="仿宋_GB2312"/>
          <w:b/>
          <w:sz w:val="24"/>
          <w:szCs w:val="24"/>
        </w:rPr>
      </w:pPr>
      <w:r>
        <w:rPr>
          <w:rFonts w:hint="eastAsia" w:ascii="宋体" w:hAnsi="宋体"/>
          <w:b/>
          <w:sz w:val="24"/>
          <w:szCs w:val="24"/>
        </w:rPr>
        <w:t>七、合同转包或分包</w:t>
      </w:r>
    </w:p>
    <w:p w14:paraId="0A9E4801">
      <w:pPr>
        <w:spacing w:before="156" w:after="156"/>
        <w:rPr>
          <w:rFonts w:hint="eastAsia" w:ascii="宋体" w:hAnsi="宋体"/>
          <w:sz w:val="24"/>
          <w:szCs w:val="24"/>
        </w:rPr>
      </w:pPr>
      <w:r>
        <w:rPr>
          <w:rFonts w:hint="eastAsia" w:ascii="宋体" w:hAnsi="宋体"/>
          <w:sz w:val="24"/>
          <w:szCs w:val="24"/>
        </w:rPr>
        <w:t>7.1乙方不得将合同标的转包给他人履行。</w:t>
      </w:r>
    </w:p>
    <w:p w14:paraId="1FE75F94">
      <w:pPr>
        <w:spacing w:before="156" w:after="156"/>
        <w:rPr>
          <w:rFonts w:hint="eastAsia" w:ascii="宋体" w:hAnsi="宋体"/>
          <w:sz w:val="24"/>
          <w:szCs w:val="24"/>
        </w:rPr>
      </w:pPr>
      <w:r>
        <w:rPr>
          <w:rFonts w:hint="eastAsia" w:ascii="宋体" w:hAnsi="宋体"/>
          <w:sz w:val="24"/>
          <w:szCs w:val="24"/>
        </w:rPr>
        <w:t>7.2乙方不得将合同标的分包给他人履行。</w:t>
      </w:r>
    </w:p>
    <w:p w14:paraId="755CC5C8">
      <w:pPr>
        <w:spacing w:before="156" w:after="156"/>
        <w:rPr>
          <w:rFonts w:ascii="宋体" w:hAnsi="宋体" w:eastAsia="仿宋_GB2312"/>
          <w:sz w:val="24"/>
          <w:szCs w:val="24"/>
        </w:rPr>
      </w:pPr>
      <w:r>
        <w:rPr>
          <w:rFonts w:ascii="宋体" w:hAnsi="宋体"/>
          <w:sz w:val="24"/>
          <w:szCs w:val="24"/>
        </w:rPr>
        <w:t>7.3</w:t>
      </w:r>
      <w:r>
        <w:rPr>
          <w:rFonts w:hint="eastAsia" w:ascii="宋体" w:hAnsi="宋体"/>
          <w:sz w:val="24"/>
          <w:szCs w:val="24"/>
        </w:rPr>
        <w:t>乙方如有转包或未经甲方同意的分包行为，甲方有权解除合同。</w:t>
      </w:r>
    </w:p>
    <w:p w14:paraId="6569126B">
      <w:pPr>
        <w:pStyle w:val="4"/>
        <w:spacing w:before="120" w:after="120"/>
        <w:rPr>
          <w:rFonts w:hAnsi="宋体"/>
          <w:b/>
          <w:sz w:val="24"/>
          <w:szCs w:val="24"/>
        </w:rPr>
      </w:pPr>
      <w:r>
        <w:rPr>
          <w:rFonts w:hint="eastAsia" w:hAnsi="宋体"/>
          <w:b/>
          <w:sz w:val="24"/>
          <w:szCs w:val="24"/>
        </w:rPr>
        <w:t>八</w:t>
      </w:r>
      <w:r>
        <w:rPr>
          <w:rFonts w:hAnsi="宋体"/>
          <w:b/>
          <w:sz w:val="24"/>
          <w:szCs w:val="24"/>
        </w:rPr>
        <w:t>、</w:t>
      </w:r>
      <w:r>
        <w:rPr>
          <w:rFonts w:hint="eastAsia" w:hAnsi="宋体"/>
          <w:b/>
          <w:sz w:val="24"/>
          <w:szCs w:val="24"/>
        </w:rPr>
        <w:t>合同款项</w:t>
      </w:r>
      <w:r>
        <w:rPr>
          <w:rFonts w:hAnsi="宋体"/>
          <w:b/>
          <w:sz w:val="24"/>
          <w:szCs w:val="24"/>
        </w:rPr>
        <w:t>支付</w:t>
      </w:r>
    </w:p>
    <w:p w14:paraId="17DCDFBD">
      <w:pPr>
        <w:spacing w:before="156" w:after="156"/>
        <w:rPr>
          <w:rFonts w:ascii="宋体" w:hAnsi="宋体"/>
          <w:sz w:val="24"/>
          <w:u w:val="single"/>
        </w:rPr>
      </w:pPr>
      <w:r>
        <w:rPr>
          <w:rFonts w:hint="eastAsia" w:ascii="宋体" w:hAnsi="宋体"/>
          <w:sz w:val="24"/>
        </w:rPr>
        <w:t>8.1分期付款：</w:t>
      </w:r>
      <w:r>
        <w:rPr>
          <w:rFonts w:hint="eastAsia" w:ascii="宋体" w:hAnsi="宋体"/>
          <w:sz w:val="24"/>
          <w:u w:val="single"/>
        </w:rPr>
        <w:t>合同签订后，预付款支付比例：合同金额的90 %。满足合同约定支付条件的，自收到发票后10个工作日内支付。尾款支付时间：服务到期并验收通过，尾款支付比例：合同金额的10 %。满足合同约定支付条件的，自收到发票后10个工作日内支付。</w:t>
      </w:r>
    </w:p>
    <w:p w14:paraId="3588DC5F">
      <w:pPr>
        <w:spacing w:before="156" w:after="156"/>
        <w:rPr>
          <w:rFonts w:ascii="宋体" w:hAnsi="宋体" w:eastAsia="仿宋_GB2312"/>
          <w:b/>
          <w:sz w:val="24"/>
          <w:szCs w:val="24"/>
        </w:rPr>
      </w:pPr>
      <w:r>
        <w:rPr>
          <w:rFonts w:hint="eastAsia" w:ascii="宋体" w:hAnsi="宋体"/>
          <w:b/>
          <w:sz w:val="24"/>
          <w:szCs w:val="24"/>
        </w:rPr>
        <w:t>九、税费</w:t>
      </w:r>
    </w:p>
    <w:p w14:paraId="03EB5352">
      <w:pPr>
        <w:spacing w:before="156" w:after="156"/>
        <w:rPr>
          <w:rFonts w:ascii="宋体" w:hAnsi="宋体" w:eastAsia="仿宋_GB2312"/>
          <w:sz w:val="24"/>
          <w:szCs w:val="24"/>
        </w:rPr>
      </w:pPr>
      <w:r>
        <w:rPr>
          <w:rFonts w:hint="eastAsia" w:ascii="宋体" w:hAnsi="宋体"/>
          <w:sz w:val="24"/>
          <w:szCs w:val="24"/>
        </w:rPr>
        <w:t>9</w:t>
      </w:r>
      <w:r>
        <w:rPr>
          <w:rFonts w:ascii="宋体" w:hAnsi="宋体"/>
          <w:sz w:val="24"/>
          <w:szCs w:val="24"/>
        </w:rPr>
        <w:t>.1</w:t>
      </w:r>
      <w:r>
        <w:rPr>
          <w:rFonts w:hint="eastAsia" w:ascii="宋体" w:hAnsi="宋体"/>
          <w:sz w:val="24"/>
          <w:szCs w:val="24"/>
        </w:rPr>
        <w:t>本合同执行中相关的一切税费均由乙方负担。</w:t>
      </w:r>
    </w:p>
    <w:p w14:paraId="1F8013F4">
      <w:pPr>
        <w:pStyle w:val="4"/>
        <w:spacing w:before="120" w:after="120"/>
        <w:rPr>
          <w:rFonts w:hAnsi="宋体"/>
          <w:b/>
          <w:sz w:val="24"/>
          <w:szCs w:val="24"/>
        </w:rPr>
      </w:pPr>
      <w:r>
        <w:rPr>
          <w:rFonts w:hAnsi="宋体"/>
          <w:b/>
          <w:sz w:val="24"/>
          <w:szCs w:val="24"/>
        </w:rPr>
        <w:t>十、</w:t>
      </w:r>
      <w:r>
        <w:rPr>
          <w:rFonts w:hint="eastAsia" w:hAnsi="宋体"/>
          <w:b/>
          <w:sz w:val="24"/>
          <w:szCs w:val="24"/>
        </w:rPr>
        <w:t>项目</w:t>
      </w:r>
      <w:r>
        <w:rPr>
          <w:rFonts w:hAnsi="宋体"/>
          <w:b/>
          <w:sz w:val="24"/>
          <w:szCs w:val="24"/>
        </w:rPr>
        <w:t>验收</w:t>
      </w:r>
    </w:p>
    <w:p w14:paraId="73EB9989">
      <w:pPr>
        <w:pStyle w:val="4"/>
        <w:spacing w:before="120" w:after="120"/>
        <w:ind w:left="480" w:hanging="480"/>
        <w:rPr>
          <w:rFonts w:hint="eastAsia" w:hAnsi="宋体"/>
          <w:sz w:val="24"/>
          <w:szCs w:val="24"/>
        </w:rPr>
      </w:pPr>
      <w:r>
        <w:rPr>
          <w:rFonts w:hint="eastAsia" w:hAnsi="宋体"/>
          <w:sz w:val="24"/>
          <w:szCs w:val="24"/>
        </w:rPr>
        <w:t>10.1 甲方依法组织履约验收工作。</w:t>
      </w:r>
    </w:p>
    <w:p w14:paraId="23306E69">
      <w:pPr>
        <w:pStyle w:val="4"/>
        <w:spacing w:before="120" w:after="120"/>
        <w:ind w:left="480" w:hanging="480"/>
        <w:rPr>
          <w:rFonts w:hint="eastAsia" w:hAnsi="宋体"/>
          <w:sz w:val="24"/>
          <w:szCs w:val="24"/>
        </w:rPr>
      </w:pPr>
      <w:r>
        <w:rPr>
          <w:rFonts w:hint="eastAsia" w:hAnsi="宋体"/>
          <w:sz w:val="24"/>
          <w:szCs w:val="24"/>
        </w:rPr>
        <w:t>10.2 甲方在组织履约验收前，将根据项目特点制定验收方案，明确履约验收的时间、方式、程序等内容，并可根据项目特点对服务期内的服务实施情况进行分期考核，综合考核情况和服务效果进行验收。乙方应根据验收方案内容做好相应配合工作。</w:t>
      </w:r>
    </w:p>
    <w:p w14:paraId="38604EE2">
      <w:pPr>
        <w:pStyle w:val="4"/>
        <w:spacing w:before="120" w:after="120"/>
        <w:ind w:left="480" w:hanging="480"/>
        <w:rPr>
          <w:rFonts w:hint="eastAsia" w:hAnsi="宋体"/>
          <w:sz w:val="24"/>
          <w:szCs w:val="24"/>
        </w:rPr>
      </w:pPr>
      <w:r>
        <w:rPr>
          <w:rFonts w:hint="eastAsia" w:hAnsi="宋体"/>
          <w:sz w:val="24"/>
          <w:szCs w:val="24"/>
        </w:rPr>
        <w:t>10.3 对于实际使用人和甲方分离的项目，甲方邀请实际使用人参与验收。</w:t>
      </w:r>
    </w:p>
    <w:p w14:paraId="277AB960">
      <w:pPr>
        <w:pStyle w:val="4"/>
        <w:spacing w:before="120" w:after="120"/>
        <w:ind w:left="480" w:hanging="480"/>
        <w:rPr>
          <w:rFonts w:hint="eastAsia" w:hAnsi="宋体"/>
          <w:sz w:val="24"/>
          <w:szCs w:val="24"/>
        </w:rPr>
      </w:pPr>
      <w:r>
        <w:rPr>
          <w:rFonts w:hint="eastAsia" w:hAnsi="宋体"/>
          <w:sz w:val="24"/>
          <w:szCs w:val="24"/>
        </w:rPr>
        <w:t>10.4 如有必要，甲方邀请参加本项目的其他供应商或第三方专业机构及专家参与验收，相关意见将作为验收书的参考资料。</w:t>
      </w:r>
    </w:p>
    <w:p w14:paraId="78F05A08">
      <w:pPr>
        <w:pStyle w:val="4"/>
        <w:spacing w:before="120" w:after="120"/>
        <w:ind w:left="480" w:hanging="480"/>
        <w:rPr>
          <w:rFonts w:hint="eastAsia" w:hAnsi="宋体"/>
          <w:sz w:val="24"/>
          <w:szCs w:val="24"/>
        </w:rPr>
      </w:pPr>
      <w:r>
        <w:rPr>
          <w:rFonts w:hint="eastAsia" w:hAnsi="宋体"/>
          <w:sz w:val="24"/>
          <w:szCs w:val="24"/>
        </w:rPr>
        <w:t>10.5 甲方成立验收小组，按照采购合同的约定对乙方的履约情况进行验收。验收时,甲方按照采购合同的约定对每一项技术、服务、安全标准的履约情况进行确认。验收结束后,验收小组出具验收书,列明各项标准的验收情况及项目总体评价,由验收双方共同签署。验收结果与采购合同约定的资金支付及履约保证金返还条件挂钩。履约验收的各项资料存档备查。</w:t>
      </w:r>
    </w:p>
    <w:p w14:paraId="472D21CA">
      <w:pPr>
        <w:pStyle w:val="4"/>
        <w:spacing w:before="120" w:after="120"/>
        <w:ind w:left="480" w:hanging="480"/>
        <w:rPr>
          <w:rFonts w:hint="eastAsia" w:hAnsi="宋体"/>
          <w:sz w:val="24"/>
          <w:szCs w:val="24"/>
        </w:rPr>
      </w:pPr>
      <w:r>
        <w:rPr>
          <w:rFonts w:hint="eastAsia" w:hAnsi="宋体"/>
          <w:sz w:val="24"/>
          <w:szCs w:val="24"/>
        </w:rPr>
        <w:t>10.6 验收合格的项目,甲方根据采购合同的约定及时向乙方支付合同款项、退还履约保证金。验收不合格的项目，甲方依法及时处理。采购合同的履行、违约责任和解决争议的方式等适用《民法典》。乙方在履约过程中有政府采购法律法规规定的违法违规情形的,甲方将及时报告本级财政部门。</w:t>
      </w:r>
    </w:p>
    <w:p w14:paraId="5D5672BF">
      <w:pPr>
        <w:pStyle w:val="4"/>
        <w:spacing w:before="120" w:after="120"/>
        <w:rPr>
          <w:rFonts w:hAnsi="宋体"/>
          <w:b/>
          <w:sz w:val="24"/>
          <w:szCs w:val="24"/>
        </w:rPr>
      </w:pPr>
      <w:r>
        <w:rPr>
          <w:rFonts w:hAnsi="宋体"/>
          <w:b/>
          <w:sz w:val="24"/>
          <w:szCs w:val="24"/>
        </w:rPr>
        <w:t>十</w:t>
      </w:r>
      <w:r>
        <w:rPr>
          <w:rFonts w:hint="eastAsia" w:hAnsi="宋体"/>
          <w:b/>
          <w:sz w:val="24"/>
          <w:szCs w:val="24"/>
        </w:rPr>
        <w:t>一</w:t>
      </w:r>
      <w:r>
        <w:rPr>
          <w:rFonts w:hAnsi="宋体"/>
          <w:b/>
          <w:sz w:val="24"/>
          <w:szCs w:val="24"/>
        </w:rPr>
        <w:t>、违约责任</w:t>
      </w:r>
    </w:p>
    <w:p w14:paraId="1DC021C5">
      <w:pPr>
        <w:pStyle w:val="4"/>
        <w:spacing w:before="120" w:after="120"/>
        <w:ind w:left="410" w:hanging="410"/>
        <w:rPr>
          <w:rFonts w:hAnsi="宋体"/>
          <w:sz w:val="24"/>
          <w:szCs w:val="24"/>
        </w:rPr>
      </w:pPr>
      <w:r>
        <w:rPr>
          <w:rFonts w:hAnsi="宋体"/>
          <w:sz w:val="24"/>
          <w:szCs w:val="24"/>
        </w:rPr>
        <w:t>1</w:t>
      </w:r>
      <w:r>
        <w:rPr>
          <w:rFonts w:hint="eastAsia" w:hAnsi="宋体"/>
          <w:sz w:val="24"/>
          <w:szCs w:val="24"/>
        </w:rPr>
        <w:t>1</w:t>
      </w:r>
      <w:r>
        <w:rPr>
          <w:rFonts w:hAnsi="宋体"/>
          <w:sz w:val="24"/>
          <w:szCs w:val="24"/>
        </w:rPr>
        <w:t>.1 甲方无正当理由</w:t>
      </w:r>
      <w:r>
        <w:rPr>
          <w:rFonts w:hint="eastAsia" w:hAnsi="宋体"/>
          <w:sz w:val="24"/>
          <w:szCs w:val="24"/>
        </w:rPr>
        <w:t>拒绝接受乙方提供服务</w:t>
      </w:r>
      <w:r>
        <w:rPr>
          <w:rFonts w:hAnsi="宋体"/>
          <w:sz w:val="24"/>
          <w:szCs w:val="24"/>
        </w:rPr>
        <w:t>的，甲方向乙方偿付</w:t>
      </w:r>
      <w:r>
        <w:rPr>
          <w:rFonts w:hint="eastAsia" w:hAnsi="宋体"/>
          <w:sz w:val="24"/>
          <w:szCs w:val="24"/>
        </w:rPr>
        <w:t>拒绝接受服务合同价款</w:t>
      </w:r>
      <w:r>
        <w:rPr>
          <w:rFonts w:hAnsi="宋体"/>
          <w:sz w:val="24"/>
          <w:szCs w:val="24"/>
        </w:rPr>
        <w:t>总值</w:t>
      </w:r>
      <w:r>
        <w:rPr>
          <w:rFonts w:hint="eastAsia" w:hAnsi="宋体"/>
          <w:sz w:val="24"/>
          <w:szCs w:val="24"/>
          <w:u w:val="single"/>
        </w:rPr>
        <w:t>0.1%</w:t>
      </w:r>
      <w:r>
        <w:rPr>
          <w:rFonts w:hAnsi="宋体"/>
          <w:sz w:val="24"/>
          <w:szCs w:val="24"/>
        </w:rPr>
        <w:t>的违约金。</w:t>
      </w:r>
    </w:p>
    <w:p w14:paraId="1A849509">
      <w:pPr>
        <w:pStyle w:val="4"/>
        <w:spacing w:before="120" w:after="120"/>
        <w:ind w:left="410" w:hanging="410"/>
        <w:rPr>
          <w:rFonts w:hAnsi="宋体"/>
          <w:sz w:val="24"/>
          <w:szCs w:val="24"/>
        </w:rPr>
      </w:pPr>
      <w:r>
        <w:rPr>
          <w:rFonts w:hAnsi="宋体"/>
          <w:sz w:val="24"/>
          <w:szCs w:val="24"/>
        </w:rPr>
        <w:t>1</w:t>
      </w:r>
      <w:r>
        <w:rPr>
          <w:rFonts w:hint="eastAsia" w:hAnsi="宋体"/>
          <w:sz w:val="24"/>
          <w:szCs w:val="24"/>
        </w:rPr>
        <w:t>1</w:t>
      </w:r>
      <w:r>
        <w:rPr>
          <w:rFonts w:hAnsi="宋体"/>
          <w:sz w:val="24"/>
          <w:szCs w:val="24"/>
        </w:rPr>
        <w:t>.2 甲方无故逾期验收和办理</w:t>
      </w:r>
      <w:r>
        <w:rPr>
          <w:rFonts w:hint="eastAsia" w:hAnsi="宋体"/>
          <w:sz w:val="24"/>
          <w:szCs w:val="24"/>
        </w:rPr>
        <w:t>合同款项</w:t>
      </w:r>
      <w:r>
        <w:rPr>
          <w:rFonts w:hAnsi="宋体"/>
          <w:sz w:val="24"/>
          <w:szCs w:val="24"/>
        </w:rPr>
        <w:t>支付手续的,甲方应按逾期付款总额</w:t>
      </w:r>
      <w:r>
        <w:rPr>
          <w:rFonts w:hint="eastAsia" w:hAnsi="宋体"/>
          <w:sz w:val="24"/>
          <w:szCs w:val="24"/>
          <w:lang w:val="en-US" w:eastAsia="zh-CN"/>
        </w:rPr>
        <w:t>万分之四</w:t>
      </w:r>
      <w:r>
        <w:rPr>
          <w:rFonts w:hAnsi="宋体"/>
          <w:sz w:val="24"/>
          <w:szCs w:val="24"/>
        </w:rPr>
        <w:t>每日向乙方支付违约金</w:t>
      </w:r>
      <w:r>
        <w:rPr>
          <w:rFonts w:hint="eastAsia" w:hAnsi="宋体"/>
          <w:sz w:val="24"/>
          <w:szCs w:val="24"/>
          <w:lang w:eastAsia="zh-CN"/>
        </w:rPr>
        <w:t>，</w:t>
      </w:r>
      <w:r>
        <w:rPr>
          <w:rFonts w:hint="eastAsia" w:hAnsi="宋体"/>
          <w:sz w:val="24"/>
          <w:szCs w:val="24"/>
          <w:lang w:val="en-US" w:eastAsia="zh-CN"/>
        </w:rPr>
        <w:t>但累计违约金总额不超过逾期付款总额的5%</w:t>
      </w:r>
      <w:r>
        <w:rPr>
          <w:rFonts w:hAnsi="宋体"/>
          <w:sz w:val="24"/>
          <w:szCs w:val="24"/>
        </w:rPr>
        <w:t>。</w:t>
      </w:r>
    </w:p>
    <w:p w14:paraId="51CC858D">
      <w:pPr>
        <w:pStyle w:val="4"/>
        <w:spacing w:before="120" w:after="120"/>
        <w:ind w:left="410" w:hanging="410"/>
        <w:rPr>
          <w:rFonts w:hint="eastAsia" w:hAnsi="宋体"/>
          <w:sz w:val="24"/>
          <w:szCs w:val="24"/>
        </w:rPr>
      </w:pPr>
      <w:r>
        <w:rPr>
          <w:rFonts w:hAnsi="宋体"/>
          <w:sz w:val="24"/>
          <w:szCs w:val="24"/>
        </w:rPr>
        <w:t>1</w:t>
      </w:r>
      <w:r>
        <w:rPr>
          <w:rFonts w:hint="eastAsia" w:hAnsi="宋体"/>
          <w:sz w:val="24"/>
          <w:szCs w:val="24"/>
        </w:rPr>
        <w:t>1</w:t>
      </w:r>
      <w:r>
        <w:rPr>
          <w:rFonts w:hAnsi="宋体"/>
          <w:sz w:val="24"/>
          <w:szCs w:val="24"/>
        </w:rPr>
        <w:t xml:space="preserve">.3 </w:t>
      </w:r>
      <w:r>
        <w:rPr>
          <w:rFonts w:hint="eastAsia" w:hAnsi="宋体"/>
          <w:sz w:val="24"/>
          <w:szCs w:val="24"/>
        </w:rPr>
        <w:t xml:space="preserve">乙方逾期提供服务或无故中断服务的，每违约1天，应向甲方支付合同总价万分之四的违约金，违约达30日，甲方有权解除合同，解除合同的通知自发出之日生效。 </w:t>
      </w:r>
    </w:p>
    <w:p w14:paraId="6E5DB78F">
      <w:pPr>
        <w:pStyle w:val="4"/>
        <w:spacing w:before="120" w:after="120"/>
        <w:ind w:left="410" w:hanging="410"/>
        <w:rPr>
          <w:rFonts w:hint="eastAsia" w:hAnsi="宋体"/>
          <w:sz w:val="24"/>
          <w:szCs w:val="24"/>
        </w:rPr>
      </w:pPr>
      <w:r>
        <w:rPr>
          <w:rFonts w:hint="eastAsia" w:hAnsi="宋体"/>
          <w:sz w:val="24"/>
          <w:szCs w:val="24"/>
        </w:rPr>
        <w:t>11.</w:t>
      </w:r>
      <w:r>
        <w:rPr>
          <w:rFonts w:hint="eastAsia" w:hAnsi="宋体"/>
          <w:sz w:val="24"/>
          <w:szCs w:val="24"/>
          <w:lang w:val="en-US" w:eastAsia="zh-CN"/>
        </w:rPr>
        <w:t>4</w:t>
      </w:r>
      <w:r>
        <w:rPr>
          <w:rFonts w:hint="eastAsia" w:hAnsi="宋体"/>
          <w:sz w:val="24"/>
          <w:szCs w:val="24"/>
        </w:rPr>
        <w:t xml:space="preserve"> 如乙方不能按本合同约定进行服务的，甲方有权要求乙方在限期内整改。乙方不能在限期内整改或拒绝整改的，甲方有权解除合同，同时要求乙方按照合同总价5%的标准向甲方支付违约金，解除合同的通知自发出之日生效。</w:t>
      </w:r>
    </w:p>
    <w:p w14:paraId="5879FC3E">
      <w:pPr>
        <w:pStyle w:val="4"/>
        <w:spacing w:before="120" w:after="120"/>
        <w:ind w:left="410" w:hanging="410"/>
        <w:rPr>
          <w:rFonts w:hAnsi="宋体"/>
          <w:sz w:val="24"/>
          <w:szCs w:val="24"/>
        </w:rPr>
      </w:pPr>
      <w:r>
        <w:rPr>
          <w:rFonts w:hint="eastAsia" w:hAnsi="宋体"/>
          <w:sz w:val="24"/>
          <w:szCs w:val="24"/>
        </w:rPr>
        <w:t>11.</w:t>
      </w:r>
      <w:r>
        <w:rPr>
          <w:rFonts w:hint="eastAsia" w:hAnsi="宋体"/>
          <w:sz w:val="24"/>
          <w:szCs w:val="24"/>
          <w:lang w:val="en-US" w:eastAsia="zh-CN"/>
        </w:rPr>
        <w:t>5</w:t>
      </w:r>
      <w:r>
        <w:rPr>
          <w:rFonts w:hint="eastAsia" w:hAnsi="宋体"/>
          <w:sz w:val="24"/>
          <w:szCs w:val="24"/>
        </w:rPr>
        <w:t xml:space="preserve"> 乙方违反本合同第三条约定的，甲方有权解除合同，同时乙方应按合同总价的30%向甲方承担违约责任，解除合同的通知自发出之日生效。</w:t>
      </w:r>
    </w:p>
    <w:p w14:paraId="7B24B057">
      <w:pPr>
        <w:pStyle w:val="4"/>
        <w:spacing w:before="120" w:after="120"/>
        <w:rPr>
          <w:rFonts w:hAnsi="宋体"/>
          <w:b/>
          <w:sz w:val="24"/>
          <w:szCs w:val="24"/>
        </w:rPr>
      </w:pPr>
      <w:r>
        <w:rPr>
          <w:rFonts w:hAnsi="宋体"/>
          <w:b/>
          <w:sz w:val="24"/>
          <w:szCs w:val="24"/>
        </w:rPr>
        <w:t>十</w:t>
      </w:r>
      <w:r>
        <w:rPr>
          <w:rFonts w:hint="eastAsia" w:hAnsi="宋体"/>
          <w:b/>
          <w:sz w:val="24"/>
          <w:szCs w:val="24"/>
        </w:rPr>
        <w:t>二</w:t>
      </w:r>
      <w:r>
        <w:rPr>
          <w:rFonts w:hAnsi="宋体"/>
          <w:b/>
          <w:sz w:val="24"/>
          <w:szCs w:val="24"/>
        </w:rPr>
        <w:t>、不可抗力事件处理</w:t>
      </w:r>
    </w:p>
    <w:p w14:paraId="69741783">
      <w:pPr>
        <w:pStyle w:val="4"/>
        <w:spacing w:before="120" w:after="120"/>
        <w:ind w:left="480" w:hanging="480"/>
        <w:rPr>
          <w:rFonts w:hAnsi="宋体"/>
          <w:sz w:val="24"/>
          <w:szCs w:val="24"/>
        </w:rPr>
      </w:pPr>
      <w:r>
        <w:rPr>
          <w:rFonts w:hAnsi="宋体"/>
          <w:sz w:val="24"/>
          <w:szCs w:val="24"/>
        </w:rPr>
        <w:t>1</w:t>
      </w:r>
      <w:r>
        <w:rPr>
          <w:rFonts w:hint="eastAsia" w:hAnsi="宋体"/>
          <w:sz w:val="24"/>
          <w:szCs w:val="24"/>
        </w:rPr>
        <w:t>2</w:t>
      </w:r>
      <w:r>
        <w:rPr>
          <w:rFonts w:hAnsi="宋体"/>
          <w:sz w:val="24"/>
          <w:szCs w:val="24"/>
        </w:rPr>
        <w:t>.1 在合同有效期内，任何一方因不可抗力事件导致不能履行合同，则合同履行期可延长，其延长期与不可抗力影响期相同。</w:t>
      </w:r>
    </w:p>
    <w:p w14:paraId="0839B026">
      <w:pPr>
        <w:pStyle w:val="4"/>
        <w:spacing w:before="120" w:after="120"/>
        <w:rPr>
          <w:rFonts w:hAnsi="宋体"/>
          <w:sz w:val="24"/>
          <w:szCs w:val="24"/>
        </w:rPr>
      </w:pPr>
      <w:r>
        <w:rPr>
          <w:rFonts w:hAnsi="宋体"/>
          <w:sz w:val="24"/>
          <w:szCs w:val="24"/>
        </w:rPr>
        <w:t>1</w:t>
      </w:r>
      <w:r>
        <w:rPr>
          <w:rFonts w:hint="eastAsia" w:hAnsi="宋体"/>
          <w:sz w:val="24"/>
          <w:szCs w:val="24"/>
        </w:rPr>
        <w:t>2</w:t>
      </w:r>
      <w:r>
        <w:rPr>
          <w:rFonts w:hAnsi="宋体"/>
          <w:sz w:val="24"/>
          <w:szCs w:val="24"/>
        </w:rPr>
        <w:t>.2 不可抗力事件发生后，应立即通知对方，并寄送有关权威机构出具的证明。</w:t>
      </w:r>
    </w:p>
    <w:p w14:paraId="0ABA4D5F">
      <w:pPr>
        <w:pStyle w:val="4"/>
        <w:spacing w:before="120" w:after="120"/>
        <w:rPr>
          <w:rFonts w:hAnsi="宋体"/>
          <w:sz w:val="24"/>
          <w:szCs w:val="24"/>
        </w:rPr>
      </w:pPr>
      <w:r>
        <w:rPr>
          <w:rFonts w:hAnsi="宋体"/>
          <w:sz w:val="24"/>
          <w:szCs w:val="24"/>
        </w:rPr>
        <w:t>1</w:t>
      </w:r>
      <w:r>
        <w:rPr>
          <w:rFonts w:hint="eastAsia" w:hAnsi="宋体"/>
          <w:sz w:val="24"/>
          <w:szCs w:val="24"/>
        </w:rPr>
        <w:t>2</w:t>
      </w:r>
      <w:r>
        <w:rPr>
          <w:rFonts w:hAnsi="宋体"/>
          <w:sz w:val="24"/>
          <w:szCs w:val="24"/>
        </w:rPr>
        <w:t>.3 不可抗力事件延续120天以上，双方应通过友好协商，确定是否继续履行合同。</w:t>
      </w:r>
    </w:p>
    <w:p w14:paraId="3507C6B6">
      <w:pPr>
        <w:pStyle w:val="4"/>
        <w:spacing w:before="120" w:after="120"/>
        <w:rPr>
          <w:rFonts w:hAnsi="宋体"/>
          <w:b/>
          <w:sz w:val="24"/>
          <w:szCs w:val="24"/>
        </w:rPr>
      </w:pPr>
      <w:r>
        <w:rPr>
          <w:rFonts w:hAnsi="宋体"/>
          <w:b/>
          <w:sz w:val="24"/>
          <w:szCs w:val="24"/>
        </w:rPr>
        <w:t>十</w:t>
      </w:r>
      <w:r>
        <w:rPr>
          <w:rFonts w:hint="eastAsia" w:hAnsi="宋体"/>
          <w:b/>
          <w:sz w:val="24"/>
          <w:szCs w:val="24"/>
        </w:rPr>
        <w:t>三</w:t>
      </w:r>
      <w:r>
        <w:rPr>
          <w:rFonts w:hAnsi="宋体"/>
          <w:b/>
          <w:sz w:val="24"/>
          <w:szCs w:val="24"/>
        </w:rPr>
        <w:t>、</w:t>
      </w:r>
      <w:r>
        <w:rPr>
          <w:rFonts w:hint="eastAsia" w:hAnsi="宋体"/>
          <w:b/>
          <w:sz w:val="24"/>
          <w:szCs w:val="24"/>
        </w:rPr>
        <w:t>解决争议的方法</w:t>
      </w:r>
    </w:p>
    <w:p w14:paraId="5D509559">
      <w:pPr>
        <w:pStyle w:val="4"/>
        <w:spacing w:before="120" w:after="120"/>
        <w:rPr>
          <w:rFonts w:hint="eastAsia" w:hAnsi="宋体"/>
          <w:sz w:val="24"/>
          <w:szCs w:val="24"/>
        </w:rPr>
      </w:pPr>
      <w:r>
        <w:rPr>
          <w:rFonts w:hint="eastAsia" w:hAnsi="宋体"/>
          <w:sz w:val="24"/>
          <w:szCs w:val="24"/>
        </w:rPr>
        <w:t>13.1双方在签订、履行合同中所发生的一切争议，应通过友好协商解决。如协商不成，由甲方住所地人民法院管辖。守约方为解决争议所产生的各项费用（包括但不限于诉讼费、公证费、律师费、鉴定费、差旅费、保全费、担保费等）均由违约方承担。</w:t>
      </w:r>
    </w:p>
    <w:p w14:paraId="36DD4148">
      <w:pPr>
        <w:pStyle w:val="4"/>
        <w:spacing w:before="120" w:after="120"/>
        <w:rPr>
          <w:rFonts w:hAnsi="宋体"/>
          <w:b/>
          <w:sz w:val="24"/>
          <w:szCs w:val="24"/>
        </w:rPr>
      </w:pPr>
      <w:r>
        <w:rPr>
          <w:rFonts w:hAnsi="宋体"/>
          <w:b/>
          <w:sz w:val="24"/>
          <w:szCs w:val="24"/>
        </w:rPr>
        <w:t>十</w:t>
      </w:r>
      <w:r>
        <w:rPr>
          <w:rFonts w:hint="eastAsia" w:hAnsi="宋体"/>
          <w:b/>
          <w:sz w:val="24"/>
          <w:szCs w:val="24"/>
        </w:rPr>
        <w:t>四</w:t>
      </w:r>
      <w:r>
        <w:rPr>
          <w:rFonts w:hAnsi="宋体"/>
          <w:b/>
          <w:sz w:val="24"/>
          <w:szCs w:val="24"/>
        </w:rPr>
        <w:t>、合同生效及其它</w:t>
      </w:r>
    </w:p>
    <w:p w14:paraId="5B8FB176">
      <w:pPr>
        <w:pStyle w:val="4"/>
        <w:spacing w:before="120" w:after="120"/>
        <w:rPr>
          <w:rFonts w:hAnsi="宋体"/>
          <w:sz w:val="24"/>
          <w:szCs w:val="24"/>
        </w:rPr>
      </w:pPr>
      <w:r>
        <w:rPr>
          <w:rFonts w:hAnsi="宋体"/>
          <w:sz w:val="24"/>
          <w:szCs w:val="24"/>
        </w:rPr>
        <w:t>1</w:t>
      </w:r>
      <w:r>
        <w:rPr>
          <w:rFonts w:hint="eastAsia" w:hAnsi="宋体"/>
          <w:sz w:val="24"/>
          <w:szCs w:val="24"/>
        </w:rPr>
        <w:t>4</w:t>
      </w:r>
      <w:r>
        <w:rPr>
          <w:rFonts w:hAnsi="宋体"/>
          <w:sz w:val="24"/>
          <w:szCs w:val="24"/>
        </w:rPr>
        <w:t>.1 合同经双方法定代表人或授权委托代</w:t>
      </w:r>
      <w:r>
        <w:rPr>
          <w:rFonts w:hint="eastAsia" w:hAnsi="宋体"/>
          <w:sz w:val="24"/>
          <w:szCs w:val="24"/>
        </w:rPr>
        <w:t>表</w:t>
      </w:r>
      <w:r>
        <w:rPr>
          <w:rFonts w:hAnsi="宋体"/>
          <w:sz w:val="24"/>
          <w:szCs w:val="24"/>
        </w:rPr>
        <w:t>人签字并加盖单位公章后生效。</w:t>
      </w:r>
    </w:p>
    <w:p w14:paraId="070011E2">
      <w:pPr>
        <w:pStyle w:val="4"/>
        <w:spacing w:before="120" w:after="120"/>
        <w:rPr>
          <w:rFonts w:hAnsi="宋体"/>
          <w:sz w:val="24"/>
          <w:szCs w:val="24"/>
        </w:rPr>
      </w:pPr>
      <w:r>
        <w:rPr>
          <w:rFonts w:hAnsi="宋体"/>
          <w:sz w:val="24"/>
          <w:szCs w:val="24"/>
        </w:rPr>
        <w:t>1</w:t>
      </w:r>
      <w:r>
        <w:rPr>
          <w:rFonts w:hint="eastAsia" w:hAnsi="宋体"/>
          <w:sz w:val="24"/>
          <w:szCs w:val="24"/>
        </w:rPr>
        <w:t>4</w:t>
      </w:r>
      <w:r>
        <w:rPr>
          <w:rFonts w:hAnsi="宋体"/>
          <w:sz w:val="24"/>
          <w:szCs w:val="24"/>
        </w:rPr>
        <w:t>.2本合同未尽事宜，遵照</w:t>
      </w:r>
      <w:r>
        <w:rPr>
          <w:rFonts w:hint="eastAsia" w:hAnsi="宋体"/>
          <w:sz w:val="24"/>
          <w:szCs w:val="24"/>
        </w:rPr>
        <w:t>《民法典》、《政府采购法》</w:t>
      </w:r>
      <w:r>
        <w:rPr>
          <w:rFonts w:hAnsi="宋体"/>
          <w:sz w:val="24"/>
          <w:szCs w:val="24"/>
        </w:rPr>
        <w:t>有关条文执行。</w:t>
      </w:r>
    </w:p>
    <w:p w14:paraId="00B97D94">
      <w:pPr>
        <w:pStyle w:val="4"/>
        <w:spacing w:before="120" w:after="120"/>
        <w:ind w:left="480" w:hanging="480"/>
        <w:rPr>
          <w:rFonts w:hAnsi="宋体"/>
          <w:sz w:val="24"/>
          <w:szCs w:val="24"/>
        </w:rPr>
      </w:pPr>
      <w:r>
        <w:rPr>
          <w:rFonts w:hAnsi="宋体"/>
          <w:sz w:val="24"/>
          <w:szCs w:val="24"/>
        </w:rPr>
        <w:t>1</w:t>
      </w:r>
      <w:r>
        <w:rPr>
          <w:rFonts w:hint="eastAsia" w:hAnsi="宋体"/>
          <w:sz w:val="24"/>
          <w:szCs w:val="24"/>
        </w:rPr>
        <w:t>4</w:t>
      </w:r>
      <w:r>
        <w:rPr>
          <w:rFonts w:hAnsi="宋体"/>
          <w:sz w:val="24"/>
          <w:szCs w:val="24"/>
        </w:rPr>
        <w:t>.</w:t>
      </w:r>
      <w:r>
        <w:rPr>
          <w:rFonts w:hint="eastAsia" w:hAnsi="宋体"/>
          <w:sz w:val="24"/>
          <w:szCs w:val="24"/>
        </w:rPr>
        <w:t>3</w:t>
      </w:r>
      <w:r>
        <w:rPr>
          <w:rFonts w:hAnsi="宋体"/>
          <w:sz w:val="24"/>
          <w:szCs w:val="24"/>
        </w:rPr>
        <w:t xml:space="preserve"> 本合同正本一式</w:t>
      </w:r>
      <w:r>
        <w:rPr>
          <w:rFonts w:hint="eastAsia" w:hAnsi="宋体"/>
          <w:sz w:val="24"/>
          <w:szCs w:val="24"/>
        </w:rPr>
        <w:t>两</w:t>
      </w:r>
      <w:r>
        <w:rPr>
          <w:rFonts w:hAnsi="宋体"/>
          <w:sz w:val="24"/>
          <w:szCs w:val="24"/>
        </w:rPr>
        <w:t>份，具有同等法律效力，甲</w:t>
      </w:r>
      <w:r>
        <w:rPr>
          <w:rFonts w:hint="eastAsia" w:hAnsi="宋体"/>
          <w:sz w:val="24"/>
          <w:szCs w:val="24"/>
        </w:rPr>
        <w:t>方、</w:t>
      </w:r>
      <w:r>
        <w:rPr>
          <w:rFonts w:hAnsi="宋体"/>
          <w:sz w:val="24"/>
          <w:szCs w:val="24"/>
        </w:rPr>
        <w:t>乙方各执一份。</w:t>
      </w:r>
    </w:p>
    <w:p w14:paraId="2537EEC3">
      <w:pPr>
        <w:pStyle w:val="4"/>
        <w:spacing w:before="120" w:after="120" w:line="0" w:lineRule="atLeast"/>
        <w:ind w:left="480" w:hanging="480"/>
        <w:rPr>
          <w:rFonts w:hAnsi="宋体"/>
          <w:sz w:val="24"/>
          <w:szCs w:val="24"/>
        </w:rPr>
      </w:pPr>
      <w:r>
        <w:rPr>
          <w:rFonts w:hAnsi="宋体"/>
          <w:sz w:val="24"/>
          <w:szCs w:val="24"/>
        </w:rPr>
        <w:t xml:space="preserve">  甲方：                        乙方：</w:t>
      </w:r>
      <w:r>
        <w:rPr>
          <w:rFonts w:hint="eastAsia" w:hAnsi="宋体"/>
          <w:sz w:val="24"/>
          <w:szCs w:val="24"/>
        </w:rPr>
        <w:t>中电鸿信信息科技有限公司</w:t>
      </w:r>
    </w:p>
    <w:p w14:paraId="7E94E15F">
      <w:pPr>
        <w:pStyle w:val="4"/>
        <w:spacing w:before="120" w:after="120" w:line="0" w:lineRule="atLeast"/>
        <w:rPr>
          <w:rFonts w:hAnsi="宋体"/>
          <w:sz w:val="24"/>
          <w:szCs w:val="24"/>
        </w:rPr>
      </w:pPr>
      <w:r>
        <w:rPr>
          <w:rFonts w:hAnsi="宋体"/>
          <w:sz w:val="24"/>
          <w:szCs w:val="24"/>
        </w:rPr>
        <w:t xml:space="preserve">  地址：                       </w:t>
      </w:r>
      <w:r>
        <w:rPr>
          <w:rFonts w:hint="eastAsia" w:hAnsi="宋体"/>
          <w:sz w:val="24"/>
          <w:szCs w:val="24"/>
        </w:rPr>
        <w:t xml:space="preserve"> </w:t>
      </w:r>
      <w:r>
        <w:rPr>
          <w:rFonts w:hAnsi="宋体"/>
          <w:sz w:val="24"/>
          <w:szCs w:val="24"/>
        </w:rPr>
        <w:t>地址：</w:t>
      </w:r>
      <w:r>
        <w:rPr>
          <w:rFonts w:hint="eastAsia" w:hAnsi="宋体"/>
          <w:sz w:val="24"/>
          <w:szCs w:val="24"/>
        </w:rPr>
        <w:t>南京市玄武大道699-1号</w:t>
      </w:r>
    </w:p>
    <w:p w14:paraId="78EAB2C5">
      <w:pPr>
        <w:pStyle w:val="4"/>
        <w:spacing w:before="120" w:after="120" w:line="0" w:lineRule="atLeast"/>
        <w:rPr>
          <w:rFonts w:hAnsi="宋体"/>
          <w:sz w:val="24"/>
          <w:szCs w:val="24"/>
        </w:rPr>
      </w:pPr>
      <w:r>
        <w:rPr>
          <w:rFonts w:hAnsi="宋体"/>
          <w:sz w:val="24"/>
          <w:szCs w:val="24"/>
        </w:rPr>
        <w:t xml:space="preserve">  法定代表人</w:t>
      </w:r>
      <w:r>
        <w:rPr>
          <w:rFonts w:hint="eastAsia" w:hAnsi="宋体"/>
          <w:sz w:val="24"/>
          <w:szCs w:val="24"/>
        </w:rPr>
        <w:t>或授权代表</w:t>
      </w:r>
      <w:r>
        <w:rPr>
          <w:rFonts w:hAnsi="宋体"/>
          <w:sz w:val="24"/>
          <w:szCs w:val="24"/>
        </w:rPr>
        <w:t>：        法定代表人</w:t>
      </w:r>
      <w:r>
        <w:rPr>
          <w:rFonts w:hint="eastAsia" w:hAnsi="宋体"/>
          <w:sz w:val="24"/>
          <w:szCs w:val="24"/>
        </w:rPr>
        <w:t>或授权代表</w:t>
      </w:r>
      <w:r>
        <w:rPr>
          <w:rFonts w:hAnsi="宋体"/>
          <w:sz w:val="24"/>
          <w:szCs w:val="24"/>
        </w:rPr>
        <w:t>：</w:t>
      </w:r>
    </w:p>
    <w:p w14:paraId="52874106">
      <w:pPr>
        <w:pStyle w:val="4"/>
        <w:spacing w:before="120" w:after="120" w:line="0" w:lineRule="atLeast"/>
        <w:ind w:firstLine="240"/>
        <w:rPr>
          <w:rFonts w:hint="eastAsia"/>
        </w:rPr>
      </w:pPr>
      <w:r>
        <w:rPr>
          <w:rFonts w:hint="eastAsia" w:hAnsi="宋体"/>
          <w:sz w:val="24"/>
          <w:szCs w:val="24"/>
        </w:rPr>
        <w:t xml:space="preserve">联系电话：                    联系电话：025-86588381      </w:t>
      </w:r>
    </w:p>
    <w:p w14:paraId="046967DC">
      <w:pPr>
        <w:pStyle w:val="4"/>
        <w:spacing w:before="120" w:after="120" w:line="0" w:lineRule="atLeast"/>
        <w:jc w:val="center"/>
        <w:rPr>
          <w:rFonts w:hint="eastAsia" w:ascii="黑体" w:eastAsia="黑体"/>
          <w:bCs/>
          <w:sz w:val="44"/>
        </w:rPr>
      </w:pPr>
      <w:r>
        <w:rPr>
          <w:rFonts w:hint="eastAsia"/>
        </w:rPr>
        <w:t xml:space="preserve">                                          </w:t>
      </w:r>
      <w:r>
        <w:t xml:space="preserve">签订日期：      年  </w:t>
      </w:r>
      <w:r>
        <w:rPr>
          <w:rFonts w:hint="eastAsia"/>
        </w:rPr>
        <w:t xml:space="preserve">  </w:t>
      </w:r>
      <w:r>
        <w:t xml:space="preserve">月  </w:t>
      </w:r>
      <w:r>
        <w:rPr>
          <w:rFonts w:hint="eastAsia"/>
        </w:rPr>
        <w:t xml:space="preserve"> </w:t>
      </w:r>
      <w:r>
        <w:t>日</w:t>
      </w:r>
      <w:bookmarkStart w:id="0" w:name="_Hlt16619369"/>
      <w:bookmarkEnd w:id="0"/>
    </w:p>
    <w:p w14:paraId="4F5BEDCE">
      <w:pPr>
        <w:pStyle w:val="4"/>
        <w:spacing w:before="120" w:after="120" w:line="0" w:lineRule="atLeast"/>
        <w:jc w:val="center"/>
        <w:rPr>
          <w:rFonts w:hint="eastAsia" w:ascii="黑体" w:eastAsia="黑体"/>
          <w:bCs/>
          <w:sz w:val="44"/>
        </w:rPr>
      </w:pPr>
    </w:p>
    <w:p w14:paraId="26F1BD70">
      <w:pPr>
        <w:pStyle w:val="4"/>
        <w:spacing w:before="120" w:after="120" w:line="0" w:lineRule="atLeast"/>
        <w:jc w:val="center"/>
        <w:rPr>
          <w:rFonts w:hint="eastAsia" w:ascii="黑体" w:eastAsia="黑体"/>
          <w:bCs/>
          <w:sz w:val="44"/>
        </w:rPr>
      </w:pPr>
    </w:p>
    <w:p w14:paraId="606A5CDA">
      <w:pPr>
        <w:sectPr>
          <w:pgSz w:w="11906" w:h="16838"/>
          <w:pgMar w:top="1440" w:right="1800" w:bottom="1440" w:left="1800" w:header="851" w:footer="992" w:gutter="0"/>
          <w:cols w:space="425" w:num="1"/>
          <w:docGrid w:type="lines" w:linePitch="312" w:charSpace="0"/>
        </w:sectPr>
      </w:pPr>
    </w:p>
    <w:p w14:paraId="763CA30C">
      <w:pPr>
        <w:rPr>
          <w:rFonts w:hint="default"/>
          <w:lang w:val="en-US" w:eastAsia="zh-CN"/>
        </w:rPr>
      </w:pPr>
      <w:r>
        <w:rPr>
          <w:rFonts w:hint="eastAsia"/>
          <w:lang w:val="en-US" w:eastAsia="zh-CN"/>
        </w:rPr>
        <w:t>附件1：服务清单</w:t>
      </w:r>
    </w:p>
    <w:tbl>
      <w:tblPr>
        <w:tblStyle w:val="2"/>
        <w:tblW w:w="5000" w:type="pct"/>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454"/>
        <w:gridCol w:w="596"/>
        <w:gridCol w:w="4871"/>
        <w:gridCol w:w="454"/>
        <w:gridCol w:w="454"/>
        <w:gridCol w:w="846"/>
        <w:gridCol w:w="847"/>
      </w:tblGrid>
      <w:tr w14:paraId="74A4D6C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0" w:hRule="atLeast"/>
        </w:trPr>
        <w:tc>
          <w:tcPr>
            <w:tcW w:w="0" w:type="auto"/>
            <w:noWrap w:val="0"/>
            <w:vAlign w:val="center"/>
          </w:tcPr>
          <w:p w14:paraId="26A1D514">
            <w:r>
              <w:rPr>
                <w:rFonts w:hint="eastAsia"/>
              </w:rPr>
              <w:t>序号</w:t>
            </w:r>
          </w:p>
        </w:tc>
        <w:tc>
          <w:tcPr>
            <w:tcW w:w="0" w:type="auto"/>
            <w:noWrap w:val="0"/>
            <w:vAlign w:val="center"/>
          </w:tcPr>
          <w:p w14:paraId="02482015">
            <w:r>
              <w:rPr>
                <w:rFonts w:hint="eastAsia"/>
              </w:rPr>
              <w:t>服务名称</w:t>
            </w:r>
          </w:p>
        </w:tc>
        <w:tc>
          <w:tcPr>
            <w:tcW w:w="0" w:type="auto"/>
            <w:noWrap w:val="0"/>
            <w:vAlign w:val="center"/>
          </w:tcPr>
          <w:p w14:paraId="07957DCB">
            <w:r>
              <w:rPr>
                <w:rFonts w:hint="eastAsia"/>
              </w:rPr>
              <w:t>服务内容</w:t>
            </w:r>
          </w:p>
        </w:tc>
        <w:tc>
          <w:tcPr>
            <w:tcW w:w="0" w:type="auto"/>
            <w:noWrap w:val="0"/>
            <w:vAlign w:val="center"/>
          </w:tcPr>
          <w:p w14:paraId="2A0385B5">
            <w:r>
              <w:rPr>
                <w:rFonts w:hint="eastAsia"/>
              </w:rPr>
              <w:t>单位</w:t>
            </w:r>
          </w:p>
        </w:tc>
        <w:tc>
          <w:tcPr>
            <w:tcW w:w="0" w:type="auto"/>
            <w:noWrap w:val="0"/>
            <w:vAlign w:val="center"/>
          </w:tcPr>
          <w:p w14:paraId="639DA98C">
            <w:r>
              <w:rPr>
                <w:rFonts w:hint="eastAsia"/>
              </w:rPr>
              <w:t>数量</w:t>
            </w:r>
          </w:p>
        </w:tc>
        <w:tc>
          <w:tcPr>
            <w:tcW w:w="0" w:type="auto"/>
            <w:noWrap w:val="0"/>
            <w:vAlign w:val="center"/>
          </w:tcPr>
          <w:p w14:paraId="48E41C97">
            <w:r>
              <w:rPr>
                <w:rFonts w:hint="eastAsia"/>
              </w:rPr>
              <w:t>单价</w:t>
            </w:r>
          </w:p>
        </w:tc>
        <w:tc>
          <w:tcPr>
            <w:tcW w:w="0" w:type="auto"/>
            <w:noWrap w:val="0"/>
            <w:vAlign w:val="center"/>
          </w:tcPr>
          <w:p w14:paraId="6A6A94C7">
            <w:r>
              <w:rPr>
                <w:rFonts w:hint="eastAsia"/>
              </w:rPr>
              <w:t>总价</w:t>
            </w:r>
          </w:p>
        </w:tc>
      </w:tr>
      <w:tr w14:paraId="5800F26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0" w:hRule="atLeast"/>
        </w:trPr>
        <w:tc>
          <w:tcPr>
            <w:tcW w:w="0" w:type="auto"/>
            <w:noWrap w:val="0"/>
            <w:vAlign w:val="center"/>
          </w:tcPr>
          <w:p w14:paraId="57BBFF3A">
            <w:r>
              <w:rPr>
                <w:rFonts w:hint="eastAsia"/>
              </w:rPr>
              <w:t>1</w:t>
            </w:r>
          </w:p>
        </w:tc>
        <w:tc>
          <w:tcPr>
            <w:tcW w:w="0" w:type="auto"/>
            <w:noWrap w:val="0"/>
            <w:vAlign w:val="center"/>
          </w:tcPr>
          <w:p w14:paraId="790193A1">
            <w:pPr>
              <w:rPr>
                <w:rFonts w:hint="eastAsia"/>
                <w:lang w:eastAsia="zh-CN"/>
              </w:rPr>
            </w:pPr>
            <w:r>
              <w:rPr>
                <w:rFonts w:hint="eastAsia"/>
                <w:lang w:eastAsia="zh-CN"/>
              </w:rPr>
              <w:t>第三方维保服务</w:t>
            </w:r>
          </w:p>
        </w:tc>
        <w:tc>
          <w:tcPr>
            <w:tcW w:w="0" w:type="auto"/>
            <w:noWrap w:val="0"/>
            <w:vAlign w:val="center"/>
          </w:tcPr>
          <w:tbl>
            <w:tblPr>
              <w:tblStyle w:val="2"/>
              <w:tblW w:w="0" w:type="auto"/>
              <w:jc w:val="center"/>
              <w:tblLayout w:type="autofit"/>
              <w:tblCellMar>
                <w:top w:w="0" w:type="dxa"/>
                <w:left w:w="108" w:type="dxa"/>
                <w:bottom w:w="0" w:type="dxa"/>
                <w:right w:w="108" w:type="dxa"/>
              </w:tblCellMar>
            </w:tblPr>
            <w:tblGrid>
              <w:gridCol w:w="460"/>
              <w:gridCol w:w="887"/>
              <w:gridCol w:w="1040"/>
              <w:gridCol w:w="1267"/>
              <w:gridCol w:w="476"/>
              <w:gridCol w:w="525"/>
            </w:tblGrid>
            <w:tr w14:paraId="078F9070">
              <w:tblPrEx>
                <w:tblCellMar>
                  <w:top w:w="0" w:type="dxa"/>
                  <w:left w:w="108" w:type="dxa"/>
                  <w:bottom w:w="0" w:type="dxa"/>
                  <w:right w:w="108" w:type="dxa"/>
                </w:tblCellMar>
              </w:tblPrEx>
              <w:trPr>
                <w:trHeight w:val="270" w:hRule="atLeast"/>
                <w:jc w:val="center"/>
              </w:trPr>
              <w:tc>
                <w:tcPr>
                  <w:tcW w:w="678" w:type="dxa"/>
                  <w:tcBorders>
                    <w:top w:val="single" w:color="000000" w:sz="4" w:space="0"/>
                    <w:left w:val="single" w:color="000000" w:sz="4" w:space="0"/>
                    <w:bottom w:val="single" w:color="000000" w:sz="4" w:space="0"/>
                    <w:right w:val="single" w:color="000000" w:sz="4" w:space="0"/>
                  </w:tcBorders>
                  <w:noWrap w:val="0"/>
                  <w:vAlign w:val="center"/>
                </w:tcPr>
                <w:p w14:paraId="1E4806C5">
                  <w:pPr>
                    <w:rPr>
                      <w:rFonts w:hint="eastAsia"/>
                    </w:rPr>
                  </w:pPr>
                  <w:r>
                    <w:rPr>
                      <w:rFonts w:hint="eastAsia"/>
                    </w:rPr>
                    <w:t>序号</w:t>
                  </w:r>
                </w:p>
              </w:tc>
              <w:tc>
                <w:tcPr>
                  <w:tcW w:w="2787" w:type="dxa"/>
                  <w:tcBorders>
                    <w:top w:val="single" w:color="000000" w:sz="4" w:space="0"/>
                    <w:left w:val="single" w:color="000000" w:sz="4" w:space="0"/>
                    <w:bottom w:val="single" w:color="000000" w:sz="4" w:space="0"/>
                    <w:right w:val="single" w:color="000000" w:sz="4" w:space="0"/>
                  </w:tcBorders>
                  <w:noWrap w:val="0"/>
                  <w:vAlign w:val="center"/>
                </w:tcPr>
                <w:p w14:paraId="27B3BE47">
                  <w:pPr>
                    <w:rPr>
                      <w:rFonts w:hint="eastAsia"/>
                    </w:rPr>
                  </w:pPr>
                  <w:r>
                    <w:rPr>
                      <w:rFonts w:hint="eastAsia"/>
                    </w:rPr>
                    <w:t>设备分类</w:t>
                  </w:r>
                </w:p>
              </w:tc>
              <w:tc>
                <w:tcPr>
                  <w:tcW w:w="1384" w:type="dxa"/>
                  <w:tcBorders>
                    <w:top w:val="single" w:color="000000" w:sz="4" w:space="0"/>
                    <w:left w:val="single" w:color="000000" w:sz="4" w:space="0"/>
                    <w:bottom w:val="single" w:color="000000" w:sz="4" w:space="0"/>
                    <w:right w:val="single" w:color="000000" w:sz="4" w:space="0"/>
                  </w:tcBorders>
                  <w:noWrap w:val="0"/>
                  <w:vAlign w:val="center"/>
                </w:tcPr>
                <w:p w14:paraId="4B66A9DD">
                  <w:pPr>
                    <w:rPr>
                      <w:rFonts w:hint="eastAsia"/>
                    </w:rPr>
                  </w:pPr>
                  <w:r>
                    <w:rPr>
                      <w:rFonts w:hint="eastAsia"/>
                    </w:rPr>
                    <w:t>到保时间</w:t>
                  </w:r>
                </w:p>
              </w:tc>
              <w:tc>
                <w:tcPr>
                  <w:tcW w:w="1718" w:type="dxa"/>
                  <w:tcBorders>
                    <w:top w:val="single" w:color="000000" w:sz="4" w:space="0"/>
                    <w:left w:val="single" w:color="000000" w:sz="4" w:space="0"/>
                    <w:bottom w:val="single" w:color="000000" w:sz="4" w:space="0"/>
                    <w:right w:val="single" w:color="000000" w:sz="4" w:space="0"/>
                  </w:tcBorders>
                  <w:noWrap w:val="0"/>
                  <w:vAlign w:val="center"/>
                </w:tcPr>
                <w:p w14:paraId="1A94F48B">
                  <w:pPr>
                    <w:rPr>
                      <w:rFonts w:hint="eastAsia"/>
                    </w:rPr>
                  </w:pPr>
                  <w:r>
                    <w:rPr>
                      <w:rFonts w:hint="eastAsia"/>
                    </w:rPr>
                    <w:t>续至日期</w:t>
                  </w:r>
                </w:p>
              </w:tc>
              <w:tc>
                <w:tcPr>
                  <w:tcW w:w="798" w:type="dxa"/>
                  <w:tcBorders>
                    <w:top w:val="single" w:color="000000" w:sz="4" w:space="0"/>
                    <w:left w:val="single" w:color="000000" w:sz="4" w:space="0"/>
                    <w:bottom w:val="single" w:color="000000" w:sz="4" w:space="0"/>
                    <w:right w:val="single" w:color="000000" w:sz="4" w:space="0"/>
                  </w:tcBorders>
                  <w:noWrap w:val="0"/>
                  <w:vAlign w:val="center"/>
                </w:tcPr>
                <w:p w14:paraId="760A4D73">
                  <w:pPr>
                    <w:rPr>
                      <w:rFonts w:hint="eastAsia"/>
                    </w:rPr>
                  </w:pPr>
                  <w:r>
                    <w:rPr>
                      <w:rFonts w:hint="eastAsia"/>
                    </w:rPr>
                    <w:t>数量</w:t>
                  </w:r>
                </w:p>
              </w:tc>
              <w:tc>
                <w:tcPr>
                  <w:tcW w:w="1157" w:type="dxa"/>
                  <w:tcBorders>
                    <w:top w:val="single" w:color="000000" w:sz="4" w:space="0"/>
                    <w:left w:val="single" w:color="000000" w:sz="4" w:space="0"/>
                    <w:bottom w:val="single" w:color="000000" w:sz="4" w:space="0"/>
                    <w:right w:val="single" w:color="000000" w:sz="4" w:space="0"/>
                  </w:tcBorders>
                  <w:noWrap w:val="0"/>
                  <w:vAlign w:val="center"/>
                </w:tcPr>
                <w:p w14:paraId="57E84F39">
                  <w:pPr>
                    <w:rPr>
                      <w:rFonts w:hint="eastAsia"/>
                    </w:rPr>
                  </w:pPr>
                  <w:r>
                    <w:rPr>
                      <w:rFonts w:hint="eastAsia"/>
                    </w:rPr>
                    <w:t>时间</w:t>
                  </w:r>
                </w:p>
              </w:tc>
            </w:tr>
            <w:tr w14:paraId="5B6BB7EB">
              <w:tblPrEx>
                <w:tblCellMar>
                  <w:top w:w="0" w:type="dxa"/>
                  <w:left w:w="108" w:type="dxa"/>
                  <w:bottom w:w="0" w:type="dxa"/>
                  <w:right w:w="108" w:type="dxa"/>
                </w:tblCellMar>
              </w:tblPrEx>
              <w:trPr>
                <w:trHeight w:val="270" w:hRule="atLeast"/>
                <w:jc w:val="center"/>
              </w:trPr>
              <w:tc>
                <w:tcPr>
                  <w:tcW w:w="678" w:type="dxa"/>
                  <w:tcBorders>
                    <w:top w:val="single" w:color="000000" w:sz="4" w:space="0"/>
                    <w:left w:val="single" w:color="000000" w:sz="4" w:space="0"/>
                    <w:bottom w:val="single" w:color="000000" w:sz="4" w:space="0"/>
                    <w:right w:val="single" w:color="000000" w:sz="4" w:space="0"/>
                  </w:tcBorders>
                  <w:noWrap w:val="0"/>
                  <w:vAlign w:val="center"/>
                </w:tcPr>
                <w:p w14:paraId="7D9503C9">
                  <w:pPr>
                    <w:rPr>
                      <w:rFonts w:hint="eastAsia"/>
                    </w:rPr>
                  </w:pPr>
                  <w:r>
                    <w:rPr>
                      <w:rFonts w:hint="eastAsia"/>
                    </w:rPr>
                    <w:t>1</w:t>
                  </w:r>
                </w:p>
              </w:tc>
              <w:tc>
                <w:tcPr>
                  <w:tcW w:w="2787" w:type="dxa"/>
                  <w:tcBorders>
                    <w:top w:val="single" w:color="000000" w:sz="4" w:space="0"/>
                    <w:left w:val="single" w:color="000000" w:sz="4" w:space="0"/>
                    <w:bottom w:val="single" w:color="000000" w:sz="4" w:space="0"/>
                    <w:right w:val="single" w:color="000000" w:sz="4" w:space="0"/>
                  </w:tcBorders>
                  <w:noWrap w:val="0"/>
                  <w:vAlign w:val="center"/>
                </w:tcPr>
                <w:p w14:paraId="5B5FC2A2">
                  <w:pPr>
                    <w:rPr>
                      <w:rFonts w:hint="eastAsia"/>
                    </w:rPr>
                  </w:pPr>
                  <w:r>
                    <w:rPr>
                      <w:rFonts w:hint="eastAsia"/>
                    </w:rPr>
                    <w:t>网络和安全设备</w:t>
                  </w:r>
                </w:p>
              </w:tc>
              <w:tc>
                <w:tcPr>
                  <w:tcW w:w="1384" w:type="dxa"/>
                  <w:tcBorders>
                    <w:top w:val="single" w:color="000000" w:sz="4" w:space="0"/>
                    <w:left w:val="single" w:color="000000" w:sz="4" w:space="0"/>
                    <w:bottom w:val="single" w:color="000000" w:sz="4" w:space="0"/>
                    <w:right w:val="single" w:color="000000" w:sz="4" w:space="0"/>
                  </w:tcBorders>
                  <w:noWrap w:val="0"/>
                  <w:vAlign w:val="center"/>
                </w:tcPr>
                <w:p w14:paraId="07AB49EE">
                  <w:pPr>
                    <w:rPr>
                      <w:rFonts w:hint="eastAsia"/>
                    </w:rPr>
                  </w:pPr>
                  <w:r>
                    <w:rPr>
                      <w:rFonts w:hint="eastAsia"/>
                    </w:rPr>
                    <w:t>2026-1-1</w:t>
                  </w:r>
                </w:p>
              </w:tc>
              <w:tc>
                <w:tcPr>
                  <w:tcW w:w="1718" w:type="dxa"/>
                  <w:tcBorders>
                    <w:top w:val="single" w:color="000000" w:sz="4" w:space="0"/>
                    <w:left w:val="single" w:color="000000" w:sz="4" w:space="0"/>
                    <w:bottom w:val="single" w:color="000000" w:sz="4" w:space="0"/>
                    <w:right w:val="single" w:color="000000" w:sz="4" w:space="0"/>
                  </w:tcBorders>
                  <w:noWrap w:val="0"/>
                  <w:vAlign w:val="center"/>
                </w:tcPr>
                <w:p w14:paraId="7F7D9345">
                  <w:pPr>
                    <w:rPr>
                      <w:rFonts w:hint="eastAsia"/>
                    </w:rPr>
                  </w:pPr>
                  <w:r>
                    <w:rPr>
                      <w:rFonts w:hint="eastAsia"/>
                    </w:rPr>
                    <w:t>2026-12-31</w:t>
                  </w:r>
                </w:p>
              </w:tc>
              <w:tc>
                <w:tcPr>
                  <w:tcW w:w="798" w:type="dxa"/>
                  <w:tcBorders>
                    <w:top w:val="single" w:color="000000" w:sz="4" w:space="0"/>
                    <w:left w:val="single" w:color="000000" w:sz="4" w:space="0"/>
                    <w:bottom w:val="single" w:color="000000" w:sz="4" w:space="0"/>
                    <w:right w:val="single" w:color="000000" w:sz="4" w:space="0"/>
                  </w:tcBorders>
                  <w:noWrap w:val="0"/>
                  <w:vAlign w:val="center"/>
                </w:tcPr>
                <w:p w14:paraId="112A40AC">
                  <w:pPr>
                    <w:rPr>
                      <w:rFonts w:hint="eastAsia"/>
                    </w:rPr>
                  </w:pPr>
                  <w:r>
                    <w:rPr>
                      <w:rFonts w:hint="eastAsia"/>
                    </w:rPr>
                    <w:t>50台</w:t>
                  </w:r>
                </w:p>
              </w:tc>
              <w:tc>
                <w:tcPr>
                  <w:tcW w:w="1157" w:type="dxa"/>
                  <w:tcBorders>
                    <w:top w:val="single" w:color="000000" w:sz="4" w:space="0"/>
                    <w:left w:val="single" w:color="000000" w:sz="4" w:space="0"/>
                    <w:bottom w:val="single" w:color="000000" w:sz="4" w:space="0"/>
                    <w:right w:val="single" w:color="000000" w:sz="4" w:space="0"/>
                  </w:tcBorders>
                  <w:noWrap w:val="0"/>
                  <w:vAlign w:val="center"/>
                </w:tcPr>
                <w:p w14:paraId="7395A9C5">
                  <w:pPr>
                    <w:rPr>
                      <w:rFonts w:hint="eastAsia"/>
                    </w:rPr>
                  </w:pPr>
                  <w:r>
                    <w:rPr>
                      <w:rFonts w:hint="eastAsia"/>
                    </w:rPr>
                    <w:t>12个月</w:t>
                  </w:r>
                </w:p>
              </w:tc>
            </w:tr>
            <w:tr w14:paraId="4978C230">
              <w:tblPrEx>
                <w:tblCellMar>
                  <w:top w:w="0" w:type="dxa"/>
                  <w:left w:w="108" w:type="dxa"/>
                  <w:bottom w:w="0" w:type="dxa"/>
                  <w:right w:w="108" w:type="dxa"/>
                </w:tblCellMar>
              </w:tblPrEx>
              <w:trPr>
                <w:trHeight w:val="270" w:hRule="atLeast"/>
                <w:jc w:val="center"/>
              </w:trPr>
              <w:tc>
                <w:tcPr>
                  <w:tcW w:w="678" w:type="dxa"/>
                  <w:tcBorders>
                    <w:top w:val="single" w:color="000000" w:sz="4" w:space="0"/>
                    <w:left w:val="single" w:color="000000" w:sz="4" w:space="0"/>
                    <w:bottom w:val="single" w:color="000000" w:sz="4" w:space="0"/>
                    <w:right w:val="single" w:color="000000" w:sz="4" w:space="0"/>
                  </w:tcBorders>
                  <w:noWrap w:val="0"/>
                  <w:vAlign w:val="center"/>
                </w:tcPr>
                <w:p w14:paraId="5F6BB403">
                  <w:pPr>
                    <w:rPr>
                      <w:rFonts w:hint="eastAsia"/>
                    </w:rPr>
                  </w:pPr>
                  <w:r>
                    <w:rPr>
                      <w:rFonts w:hint="eastAsia"/>
                    </w:rPr>
                    <w:t>2</w:t>
                  </w:r>
                </w:p>
              </w:tc>
              <w:tc>
                <w:tcPr>
                  <w:tcW w:w="2787" w:type="dxa"/>
                  <w:tcBorders>
                    <w:top w:val="single" w:color="000000" w:sz="4" w:space="0"/>
                    <w:left w:val="single" w:color="000000" w:sz="4" w:space="0"/>
                    <w:bottom w:val="single" w:color="000000" w:sz="4" w:space="0"/>
                    <w:right w:val="single" w:color="000000" w:sz="4" w:space="0"/>
                  </w:tcBorders>
                  <w:noWrap w:val="0"/>
                  <w:vAlign w:val="center"/>
                </w:tcPr>
                <w:p w14:paraId="793AAE50">
                  <w:pPr>
                    <w:rPr>
                      <w:rFonts w:hint="eastAsia"/>
                    </w:rPr>
                  </w:pPr>
                  <w:r>
                    <w:rPr>
                      <w:rFonts w:hint="eastAsia"/>
                    </w:rPr>
                    <w:t>F5负载均衡</w:t>
                  </w:r>
                </w:p>
              </w:tc>
              <w:tc>
                <w:tcPr>
                  <w:tcW w:w="1384" w:type="dxa"/>
                  <w:tcBorders>
                    <w:top w:val="single" w:color="000000" w:sz="4" w:space="0"/>
                    <w:left w:val="single" w:color="000000" w:sz="4" w:space="0"/>
                    <w:bottom w:val="single" w:color="000000" w:sz="4" w:space="0"/>
                    <w:right w:val="single" w:color="000000" w:sz="4" w:space="0"/>
                  </w:tcBorders>
                  <w:noWrap w:val="0"/>
                  <w:vAlign w:val="center"/>
                </w:tcPr>
                <w:p w14:paraId="40D00669">
                  <w:pPr>
                    <w:rPr>
                      <w:rFonts w:hint="eastAsia"/>
                    </w:rPr>
                  </w:pPr>
                  <w:r>
                    <w:rPr>
                      <w:rFonts w:hint="eastAsia"/>
                    </w:rPr>
                    <w:t>2026-1-1</w:t>
                  </w:r>
                </w:p>
              </w:tc>
              <w:tc>
                <w:tcPr>
                  <w:tcW w:w="1718" w:type="dxa"/>
                  <w:tcBorders>
                    <w:top w:val="single" w:color="000000" w:sz="4" w:space="0"/>
                    <w:left w:val="single" w:color="000000" w:sz="4" w:space="0"/>
                    <w:bottom w:val="single" w:color="000000" w:sz="4" w:space="0"/>
                    <w:right w:val="single" w:color="000000" w:sz="4" w:space="0"/>
                  </w:tcBorders>
                  <w:noWrap w:val="0"/>
                  <w:vAlign w:val="center"/>
                </w:tcPr>
                <w:p w14:paraId="55185369">
                  <w:pPr>
                    <w:rPr>
                      <w:rFonts w:hint="eastAsia"/>
                    </w:rPr>
                  </w:pPr>
                  <w:r>
                    <w:rPr>
                      <w:rFonts w:hint="eastAsia"/>
                    </w:rPr>
                    <w:t>2026-12-31</w:t>
                  </w:r>
                </w:p>
              </w:tc>
              <w:tc>
                <w:tcPr>
                  <w:tcW w:w="798" w:type="dxa"/>
                  <w:tcBorders>
                    <w:top w:val="single" w:color="000000" w:sz="4" w:space="0"/>
                    <w:left w:val="single" w:color="000000" w:sz="4" w:space="0"/>
                    <w:bottom w:val="single" w:color="000000" w:sz="4" w:space="0"/>
                    <w:right w:val="single" w:color="000000" w:sz="4" w:space="0"/>
                  </w:tcBorders>
                  <w:noWrap w:val="0"/>
                  <w:vAlign w:val="center"/>
                </w:tcPr>
                <w:p w14:paraId="5F0D322E">
                  <w:pPr>
                    <w:rPr>
                      <w:rFonts w:hint="eastAsia"/>
                    </w:rPr>
                  </w:pPr>
                  <w:r>
                    <w:rPr>
                      <w:rFonts w:hint="eastAsia"/>
                    </w:rPr>
                    <w:t>4台</w:t>
                  </w:r>
                </w:p>
              </w:tc>
              <w:tc>
                <w:tcPr>
                  <w:tcW w:w="1157" w:type="dxa"/>
                  <w:tcBorders>
                    <w:top w:val="single" w:color="000000" w:sz="4" w:space="0"/>
                    <w:left w:val="single" w:color="000000" w:sz="4" w:space="0"/>
                    <w:bottom w:val="single" w:color="000000" w:sz="4" w:space="0"/>
                    <w:right w:val="single" w:color="000000" w:sz="4" w:space="0"/>
                  </w:tcBorders>
                  <w:noWrap w:val="0"/>
                  <w:vAlign w:val="center"/>
                </w:tcPr>
                <w:p w14:paraId="33C1A638">
                  <w:pPr>
                    <w:rPr>
                      <w:rFonts w:hint="eastAsia"/>
                    </w:rPr>
                  </w:pPr>
                  <w:r>
                    <w:rPr>
                      <w:rFonts w:hint="eastAsia"/>
                    </w:rPr>
                    <w:t>12个月</w:t>
                  </w:r>
                </w:p>
              </w:tc>
            </w:tr>
            <w:tr w14:paraId="45F0612F">
              <w:tblPrEx>
                <w:tblCellMar>
                  <w:top w:w="0" w:type="dxa"/>
                  <w:left w:w="108" w:type="dxa"/>
                  <w:bottom w:w="0" w:type="dxa"/>
                  <w:right w:w="108" w:type="dxa"/>
                </w:tblCellMar>
              </w:tblPrEx>
              <w:trPr>
                <w:trHeight w:val="270" w:hRule="atLeast"/>
                <w:jc w:val="center"/>
              </w:trPr>
              <w:tc>
                <w:tcPr>
                  <w:tcW w:w="678" w:type="dxa"/>
                  <w:tcBorders>
                    <w:top w:val="single" w:color="000000" w:sz="4" w:space="0"/>
                    <w:left w:val="single" w:color="000000" w:sz="4" w:space="0"/>
                    <w:bottom w:val="single" w:color="000000" w:sz="4" w:space="0"/>
                    <w:right w:val="single" w:color="000000" w:sz="4" w:space="0"/>
                  </w:tcBorders>
                  <w:noWrap w:val="0"/>
                  <w:vAlign w:val="center"/>
                </w:tcPr>
                <w:p w14:paraId="3304B03F">
                  <w:pPr>
                    <w:rPr>
                      <w:rFonts w:hint="eastAsia"/>
                    </w:rPr>
                  </w:pPr>
                  <w:r>
                    <w:rPr>
                      <w:rFonts w:hint="eastAsia"/>
                    </w:rPr>
                    <w:t>3</w:t>
                  </w:r>
                </w:p>
              </w:tc>
              <w:tc>
                <w:tcPr>
                  <w:tcW w:w="2787" w:type="dxa"/>
                  <w:tcBorders>
                    <w:top w:val="single" w:color="000000" w:sz="4" w:space="0"/>
                    <w:left w:val="single" w:color="000000" w:sz="4" w:space="0"/>
                    <w:bottom w:val="single" w:color="000000" w:sz="4" w:space="0"/>
                    <w:right w:val="single" w:color="000000" w:sz="4" w:space="0"/>
                  </w:tcBorders>
                  <w:noWrap w:val="0"/>
                  <w:vAlign w:val="center"/>
                </w:tcPr>
                <w:p w14:paraId="7F657A45">
                  <w:pPr>
                    <w:rPr>
                      <w:rFonts w:hint="eastAsia"/>
                    </w:rPr>
                  </w:pPr>
                  <w:r>
                    <w:rPr>
                      <w:rFonts w:hint="eastAsia"/>
                    </w:rPr>
                    <w:t>存储设备</w:t>
                  </w:r>
                </w:p>
              </w:tc>
              <w:tc>
                <w:tcPr>
                  <w:tcW w:w="1384" w:type="dxa"/>
                  <w:tcBorders>
                    <w:top w:val="single" w:color="000000" w:sz="4" w:space="0"/>
                    <w:left w:val="single" w:color="000000" w:sz="4" w:space="0"/>
                    <w:bottom w:val="single" w:color="000000" w:sz="4" w:space="0"/>
                    <w:right w:val="single" w:color="000000" w:sz="4" w:space="0"/>
                  </w:tcBorders>
                  <w:noWrap w:val="0"/>
                  <w:vAlign w:val="center"/>
                </w:tcPr>
                <w:p w14:paraId="21870572">
                  <w:pPr>
                    <w:rPr>
                      <w:rFonts w:hint="eastAsia"/>
                    </w:rPr>
                  </w:pPr>
                  <w:r>
                    <w:rPr>
                      <w:rFonts w:hint="eastAsia"/>
                    </w:rPr>
                    <w:t>2026-1-1</w:t>
                  </w:r>
                </w:p>
              </w:tc>
              <w:tc>
                <w:tcPr>
                  <w:tcW w:w="1718" w:type="dxa"/>
                  <w:tcBorders>
                    <w:top w:val="single" w:color="000000" w:sz="4" w:space="0"/>
                    <w:left w:val="single" w:color="000000" w:sz="4" w:space="0"/>
                    <w:bottom w:val="single" w:color="000000" w:sz="4" w:space="0"/>
                    <w:right w:val="single" w:color="000000" w:sz="4" w:space="0"/>
                  </w:tcBorders>
                  <w:noWrap w:val="0"/>
                  <w:vAlign w:val="center"/>
                </w:tcPr>
                <w:p w14:paraId="598ACD17">
                  <w:pPr>
                    <w:rPr>
                      <w:rFonts w:hint="eastAsia"/>
                    </w:rPr>
                  </w:pPr>
                  <w:r>
                    <w:rPr>
                      <w:rFonts w:hint="eastAsia"/>
                    </w:rPr>
                    <w:t>2026-12-31</w:t>
                  </w:r>
                </w:p>
              </w:tc>
              <w:tc>
                <w:tcPr>
                  <w:tcW w:w="798" w:type="dxa"/>
                  <w:tcBorders>
                    <w:top w:val="single" w:color="000000" w:sz="4" w:space="0"/>
                    <w:left w:val="single" w:color="000000" w:sz="4" w:space="0"/>
                    <w:bottom w:val="single" w:color="000000" w:sz="4" w:space="0"/>
                    <w:right w:val="single" w:color="000000" w:sz="4" w:space="0"/>
                  </w:tcBorders>
                  <w:noWrap w:val="0"/>
                  <w:vAlign w:val="center"/>
                </w:tcPr>
                <w:p w14:paraId="5DA59FBC">
                  <w:pPr>
                    <w:rPr>
                      <w:rFonts w:hint="eastAsia"/>
                    </w:rPr>
                  </w:pPr>
                  <w:r>
                    <w:rPr>
                      <w:rFonts w:hint="eastAsia"/>
                    </w:rPr>
                    <w:t>7套</w:t>
                  </w:r>
                </w:p>
              </w:tc>
              <w:tc>
                <w:tcPr>
                  <w:tcW w:w="1157" w:type="dxa"/>
                  <w:tcBorders>
                    <w:top w:val="single" w:color="000000" w:sz="4" w:space="0"/>
                    <w:left w:val="single" w:color="000000" w:sz="4" w:space="0"/>
                    <w:bottom w:val="single" w:color="000000" w:sz="4" w:space="0"/>
                    <w:right w:val="single" w:color="000000" w:sz="4" w:space="0"/>
                  </w:tcBorders>
                  <w:noWrap w:val="0"/>
                  <w:vAlign w:val="center"/>
                </w:tcPr>
                <w:p w14:paraId="33A1F281">
                  <w:pPr>
                    <w:rPr>
                      <w:rFonts w:hint="eastAsia"/>
                    </w:rPr>
                  </w:pPr>
                  <w:r>
                    <w:rPr>
                      <w:rFonts w:hint="eastAsia"/>
                    </w:rPr>
                    <w:t>12个月</w:t>
                  </w:r>
                </w:p>
              </w:tc>
            </w:tr>
            <w:tr w14:paraId="4B8CAFD8">
              <w:tblPrEx>
                <w:tblCellMar>
                  <w:top w:w="0" w:type="dxa"/>
                  <w:left w:w="108" w:type="dxa"/>
                  <w:bottom w:w="0" w:type="dxa"/>
                  <w:right w:w="108" w:type="dxa"/>
                </w:tblCellMar>
              </w:tblPrEx>
              <w:trPr>
                <w:trHeight w:val="270" w:hRule="atLeast"/>
                <w:jc w:val="center"/>
              </w:trPr>
              <w:tc>
                <w:tcPr>
                  <w:tcW w:w="678" w:type="dxa"/>
                  <w:tcBorders>
                    <w:top w:val="single" w:color="000000" w:sz="4" w:space="0"/>
                    <w:left w:val="single" w:color="000000" w:sz="4" w:space="0"/>
                    <w:bottom w:val="single" w:color="000000" w:sz="4" w:space="0"/>
                    <w:right w:val="single" w:color="000000" w:sz="4" w:space="0"/>
                  </w:tcBorders>
                  <w:noWrap w:val="0"/>
                  <w:vAlign w:val="center"/>
                </w:tcPr>
                <w:p w14:paraId="0CC520FF">
                  <w:pPr>
                    <w:rPr>
                      <w:rFonts w:hint="eastAsia"/>
                    </w:rPr>
                  </w:pPr>
                  <w:r>
                    <w:rPr>
                      <w:rFonts w:hint="eastAsia"/>
                    </w:rPr>
                    <w:t>4</w:t>
                  </w:r>
                </w:p>
              </w:tc>
              <w:tc>
                <w:tcPr>
                  <w:tcW w:w="2787" w:type="dxa"/>
                  <w:tcBorders>
                    <w:top w:val="single" w:color="000000" w:sz="4" w:space="0"/>
                    <w:left w:val="single" w:color="000000" w:sz="4" w:space="0"/>
                    <w:bottom w:val="single" w:color="000000" w:sz="4" w:space="0"/>
                    <w:right w:val="single" w:color="000000" w:sz="4" w:space="0"/>
                  </w:tcBorders>
                  <w:noWrap w:val="0"/>
                  <w:vAlign w:val="center"/>
                </w:tcPr>
                <w:p w14:paraId="5E6694C8">
                  <w:pPr>
                    <w:rPr>
                      <w:rFonts w:hint="eastAsia"/>
                    </w:rPr>
                  </w:pPr>
                  <w:r>
                    <w:t>kvm</w:t>
                  </w:r>
                </w:p>
              </w:tc>
              <w:tc>
                <w:tcPr>
                  <w:tcW w:w="1384" w:type="dxa"/>
                  <w:tcBorders>
                    <w:top w:val="single" w:color="000000" w:sz="4" w:space="0"/>
                    <w:left w:val="single" w:color="000000" w:sz="4" w:space="0"/>
                    <w:bottom w:val="single" w:color="000000" w:sz="4" w:space="0"/>
                    <w:right w:val="single" w:color="000000" w:sz="4" w:space="0"/>
                  </w:tcBorders>
                  <w:noWrap w:val="0"/>
                  <w:vAlign w:val="center"/>
                </w:tcPr>
                <w:p w14:paraId="7694D187">
                  <w:pPr>
                    <w:rPr>
                      <w:rFonts w:hint="eastAsia"/>
                    </w:rPr>
                  </w:pPr>
                  <w:r>
                    <w:rPr>
                      <w:rFonts w:hint="eastAsia"/>
                    </w:rPr>
                    <w:t>2026-1-1</w:t>
                  </w:r>
                </w:p>
              </w:tc>
              <w:tc>
                <w:tcPr>
                  <w:tcW w:w="1718" w:type="dxa"/>
                  <w:tcBorders>
                    <w:top w:val="single" w:color="000000" w:sz="4" w:space="0"/>
                    <w:left w:val="single" w:color="000000" w:sz="4" w:space="0"/>
                    <w:bottom w:val="single" w:color="000000" w:sz="4" w:space="0"/>
                    <w:right w:val="single" w:color="000000" w:sz="4" w:space="0"/>
                  </w:tcBorders>
                  <w:noWrap w:val="0"/>
                  <w:vAlign w:val="center"/>
                </w:tcPr>
                <w:p w14:paraId="627A9357">
                  <w:pPr>
                    <w:rPr>
                      <w:rFonts w:hint="eastAsia"/>
                    </w:rPr>
                  </w:pPr>
                  <w:r>
                    <w:rPr>
                      <w:rFonts w:hint="eastAsia"/>
                    </w:rPr>
                    <w:t>2026-12-31</w:t>
                  </w:r>
                </w:p>
              </w:tc>
              <w:tc>
                <w:tcPr>
                  <w:tcW w:w="798" w:type="dxa"/>
                  <w:tcBorders>
                    <w:top w:val="single" w:color="000000" w:sz="4" w:space="0"/>
                    <w:left w:val="single" w:color="000000" w:sz="4" w:space="0"/>
                    <w:bottom w:val="single" w:color="000000" w:sz="4" w:space="0"/>
                    <w:right w:val="single" w:color="000000" w:sz="4" w:space="0"/>
                  </w:tcBorders>
                  <w:noWrap w:val="0"/>
                  <w:vAlign w:val="center"/>
                </w:tcPr>
                <w:p w14:paraId="635FA2EC">
                  <w:pPr>
                    <w:rPr>
                      <w:rFonts w:hint="eastAsia"/>
                    </w:rPr>
                  </w:pPr>
                  <w:r>
                    <w:rPr>
                      <w:rFonts w:hint="eastAsia"/>
                    </w:rPr>
                    <w:t>2台</w:t>
                  </w:r>
                </w:p>
              </w:tc>
              <w:tc>
                <w:tcPr>
                  <w:tcW w:w="1157" w:type="dxa"/>
                  <w:tcBorders>
                    <w:top w:val="single" w:color="000000" w:sz="4" w:space="0"/>
                    <w:left w:val="single" w:color="000000" w:sz="4" w:space="0"/>
                    <w:bottom w:val="single" w:color="000000" w:sz="4" w:space="0"/>
                    <w:right w:val="single" w:color="000000" w:sz="4" w:space="0"/>
                  </w:tcBorders>
                  <w:noWrap w:val="0"/>
                  <w:vAlign w:val="center"/>
                </w:tcPr>
                <w:p w14:paraId="7A507BAE">
                  <w:pPr>
                    <w:rPr>
                      <w:rFonts w:hint="eastAsia"/>
                    </w:rPr>
                  </w:pPr>
                  <w:r>
                    <w:rPr>
                      <w:rFonts w:hint="eastAsia"/>
                    </w:rPr>
                    <w:t>12个月</w:t>
                  </w:r>
                </w:p>
              </w:tc>
            </w:tr>
          </w:tbl>
          <w:p w14:paraId="2C9F0653"/>
        </w:tc>
        <w:tc>
          <w:tcPr>
            <w:tcW w:w="0" w:type="auto"/>
            <w:noWrap w:val="0"/>
            <w:vAlign w:val="center"/>
          </w:tcPr>
          <w:p w14:paraId="50AEEDD5">
            <w:pPr>
              <w:rPr>
                <w:rFonts w:hint="eastAsia"/>
                <w:lang w:val="en-US" w:eastAsia="zh-CN"/>
              </w:rPr>
            </w:pPr>
            <w:r>
              <w:rPr>
                <w:rFonts w:hint="eastAsia"/>
                <w:lang w:val="en-US" w:eastAsia="zh-CN"/>
              </w:rPr>
              <w:t>项</w:t>
            </w:r>
          </w:p>
        </w:tc>
        <w:tc>
          <w:tcPr>
            <w:tcW w:w="0" w:type="auto"/>
            <w:noWrap w:val="0"/>
            <w:vAlign w:val="center"/>
          </w:tcPr>
          <w:p w14:paraId="6E2008E1">
            <w:pPr>
              <w:rPr>
                <w:rFonts w:hint="eastAsia"/>
                <w:lang w:val="en-US" w:eastAsia="zh-CN"/>
              </w:rPr>
            </w:pPr>
            <w:r>
              <w:rPr>
                <w:rFonts w:hint="eastAsia"/>
                <w:lang w:val="en-US" w:eastAsia="zh-CN"/>
              </w:rPr>
              <w:t>1</w:t>
            </w:r>
          </w:p>
        </w:tc>
        <w:tc>
          <w:tcPr>
            <w:tcW w:w="0" w:type="auto"/>
            <w:noWrap w:val="0"/>
            <w:vAlign w:val="center"/>
          </w:tcPr>
          <w:p w14:paraId="31C7026D">
            <w:pPr>
              <w:rPr>
                <w:rFonts w:hint="default"/>
                <w:lang w:val="en-US" w:eastAsia="zh-CN"/>
              </w:rPr>
            </w:pPr>
            <w:r>
              <w:rPr>
                <w:rFonts w:hint="eastAsia"/>
                <w:lang w:val="en-US" w:eastAsia="zh-CN"/>
              </w:rPr>
              <w:t>375000</w:t>
            </w:r>
          </w:p>
        </w:tc>
        <w:tc>
          <w:tcPr>
            <w:tcW w:w="0" w:type="auto"/>
            <w:noWrap w:val="0"/>
            <w:vAlign w:val="center"/>
          </w:tcPr>
          <w:p w14:paraId="79E181A6">
            <w:pPr>
              <w:rPr>
                <w:rFonts w:hint="default"/>
                <w:lang w:val="en-US" w:eastAsia="zh-CN"/>
              </w:rPr>
            </w:pPr>
            <w:r>
              <w:rPr>
                <w:rFonts w:hint="eastAsia"/>
                <w:lang w:val="en-US" w:eastAsia="zh-CN"/>
              </w:rPr>
              <w:t>375000</w:t>
            </w:r>
          </w:p>
        </w:tc>
      </w:tr>
      <w:tr w14:paraId="01AD1ED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0" w:hRule="atLeast"/>
        </w:trPr>
        <w:tc>
          <w:tcPr>
            <w:tcW w:w="0" w:type="auto"/>
            <w:noWrap w:val="0"/>
            <w:vAlign w:val="center"/>
          </w:tcPr>
          <w:p w14:paraId="346D4EC5">
            <w:pPr>
              <w:rPr>
                <w:rFonts w:hint="eastAsia"/>
                <w:lang w:val="en-US" w:eastAsia="zh-CN"/>
              </w:rPr>
            </w:pPr>
            <w:r>
              <w:rPr>
                <w:rFonts w:hint="eastAsia"/>
                <w:lang w:val="en-US" w:eastAsia="zh-CN"/>
              </w:rPr>
              <w:t>2</w:t>
            </w:r>
          </w:p>
        </w:tc>
        <w:tc>
          <w:tcPr>
            <w:tcW w:w="0" w:type="auto"/>
            <w:noWrap w:val="0"/>
            <w:vAlign w:val="center"/>
          </w:tcPr>
          <w:p w14:paraId="7739ED28">
            <w:pPr>
              <w:rPr>
                <w:rFonts w:hint="eastAsia"/>
                <w:lang w:eastAsia="zh-CN"/>
              </w:rPr>
            </w:pPr>
            <w:r>
              <w:rPr>
                <w:rFonts w:hint="eastAsia"/>
                <w:lang w:eastAsia="zh-CN"/>
              </w:rPr>
              <w:t>原厂维保服务</w:t>
            </w:r>
          </w:p>
        </w:tc>
        <w:tc>
          <w:tcPr>
            <w:tcW w:w="0" w:type="auto"/>
            <w:noWrap w:val="0"/>
            <w:vAlign w:val="center"/>
          </w:tcPr>
          <w:tbl>
            <w:tblPr>
              <w:tblStyle w:val="2"/>
              <w:tblW w:w="0" w:type="auto"/>
              <w:jc w:val="center"/>
              <w:tblLayout w:type="autofit"/>
              <w:tblCellMar>
                <w:top w:w="0" w:type="dxa"/>
                <w:left w:w="108" w:type="dxa"/>
                <w:bottom w:w="0" w:type="dxa"/>
                <w:right w:w="108" w:type="dxa"/>
              </w:tblCellMar>
            </w:tblPr>
            <w:tblGrid>
              <w:gridCol w:w="467"/>
              <w:gridCol w:w="818"/>
              <w:gridCol w:w="1052"/>
              <w:gridCol w:w="1283"/>
              <w:gridCol w:w="488"/>
              <w:gridCol w:w="547"/>
            </w:tblGrid>
            <w:tr w14:paraId="039082E6">
              <w:tblPrEx>
                <w:tblCellMar>
                  <w:top w:w="0" w:type="dxa"/>
                  <w:left w:w="108" w:type="dxa"/>
                  <w:bottom w:w="0" w:type="dxa"/>
                  <w:right w:w="108" w:type="dxa"/>
                </w:tblCellMar>
              </w:tblPrEx>
              <w:trPr>
                <w:trHeight w:val="270" w:hRule="atLeast"/>
                <w:jc w:val="center"/>
              </w:trPr>
              <w:tc>
                <w:tcPr>
                  <w:tcW w:w="678" w:type="dxa"/>
                  <w:tcBorders>
                    <w:top w:val="single" w:color="000000" w:sz="4" w:space="0"/>
                    <w:left w:val="single" w:color="000000" w:sz="4" w:space="0"/>
                    <w:bottom w:val="single" w:color="000000" w:sz="4" w:space="0"/>
                    <w:right w:val="single" w:color="000000" w:sz="4" w:space="0"/>
                  </w:tcBorders>
                  <w:noWrap w:val="0"/>
                  <w:vAlign w:val="center"/>
                </w:tcPr>
                <w:p w14:paraId="0E80D82A">
                  <w:pPr>
                    <w:rPr>
                      <w:rFonts w:hint="eastAsia"/>
                    </w:rPr>
                  </w:pPr>
                  <w:r>
                    <w:rPr>
                      <w:rFonts w:hint="eastAsia"/>
                    </w:rPr>
                    <w:t>序号</w:t>
                  </w:r>
                </w:p>
              </w:tc>
              <w:tc>
                <w:tcPr>
                  <w:tcW w:w="2787" w:type="dxa"/>
                  <w:tcBorders>
                    <w:top w:val="single" w:color="000000" w:sz="4" w:space="0"/>
                    <w:left w:val="single" w:color="000000" w:sz="4" w:space="0"/>
                    <w:bottom w:val="single" w:color="000000" w:sz="4" w:space="0"/>
                    <w:right w:val="single" w:color="000000" w:sz="4" w:space="0"/>
                  </w:tcBorders>
                  <w:noWrap w:val="0"/>
                  <w:vAlign w:val="center"/>
                </w:tcPr>
                <w:p w14:paraId="6D5CEEFB">
                  <w:pPr>
                    <w:rPr>
                      <w:rFonts w:hint="eastAsia"/>
                    </w:rPr>
                  </w:pPr>
                  <w:r>
                    <w:rPr>
                      <w:rFonts w:hint="eastAsia"/>
                    </w:rPr>
                    <w:t>设备分类</w:t>
                  </w:r>
                </w:p>
              </w:tc>
              <w:tc>
                <w:tcPr>
                  <w:tcW w:w="1384" w:type="dxa"/>
                  <w:tcBorders>
                    <w:top w:val="single" w:color="000000" w:sz="4" w:space="0"/>
                    <w:left w:val="single" w:color="000000" w:sz="4" w:space="0"/>
                    <w:bottom w:val="single" w:color="000000" w:sz="4" w:space="0"/>
                    <w:right w:val="single" w:color="000000" w:sz="4" w:space="0"/>
                  </w:tcBorders>
                  <w:noWrap w:val="0"/>
                  <w:vAlign w:val="center"/>
                </w:tcPr>
                <w:p w14:paraId="23D45CB4">
                  <w:pPr>
                    <w:rPr>
                      <w:rFonts w:hint="eastAsia"/>
                    </w:rPr>
                  </w:pPr>
                  <w:r>
                    <w:rPr>
                      <w:rFonts w:hint="eastAsia"/>
                    </w:rPr>
                    <w:t>到保时间</w:t>
                  </w:r>
                </w:p>
              </w:tc>
              <w:tc>
                <w:tcPr>
                  <w:tcW w:w="1718" w:type="dxa"/>
                  <w:tcBorders>
                    <w:top w:val="single" w:color="000000" w:sz="4" w:space="0"/>
                    <w:left w:val="single" w:color="000000" w:sz="4" w:space="0"/>
                    <w:bottom w:val="single" w:color="000000" w:sz="4" w:space="0"/>
                    <w:right w:val="single" w:color="000000" w:sz="4" w:space="0"/>
                  </w:tcBorders>
                  <w:noWrap w:val="0"/>
                  <w:vAlign w:val="center"/>
                </w:tcPr>
                <w:p w14:paraId="445C86B7">
                  <w:pPr>
                    <w:rPr>
                      <w:rFonts w:hint="eastAsia"/>
                    </w:rPr>
                  </w:pPr>
                  <w:r>
                    <w:rPr>
                      <w:rFonts w:hint="eastAsia"/>
                    </w:rPr>
                    <w:t>续至日期</w:t>
                  </w:r>
                </w:p>
              </w:tc>
              <w:tc>
                <w:tcPr>
                  <w:tcW w:w="798" w:type="dxa"/>
                  <w:tcBorders>
                    <w:top w:val="single" w:color="000000" w:sz="4" w:space="0"/>
                    <w:left w:val="single" w:color="000000" w:sz="4" w:space="0"/>
                    <w:bottom w:val="single" w:color="000000" w:sz="4" w:space="0"/>
                    <w:right w:val="single" w:color="000000" w:sz="4" w:space="0"/>
                  </w:tcBorders>
                  <w:noWrap w:val="0"/>
                  <w:vAlign w:val="center"/>
                </w:tcPr>
                <w:p w14:paraId="0ACC61C2">
                  <w:pPr>
                    <w:rPr>
                      <w:rFonts w:hint="eastAsia"/>
                    </w:rPr>
                  </w:pPr>
                  <w:r>
                    <w:rPr>
                      <w:rFonts w:hint="eastAsia"/>
                    </w:rPr>
                    <w:t>数量</w:t>
                  </w:r>
                </w:p>
              </w:tc>
              <w:tc>
                <w:tcPr>
                  <w:tcW w:w="1157" w:type="dxa"/>
                  <w:tcBorders>
                    <w:top w:val="single" w:color="000000" w:sz="4" w:space="0"/>
                    <w:left w:val="single" w:color="000000" w:sz="4" w:space="0"/>
                    <w:bottom w:val="single" w:color="000000" w:sz="4" w:space="0"/>
                    <w:right w:val="single" w:color="000000" w:sz="4" w:space="0"/>
                  </w:tcBorders>
                  <w:noWrap w:val="0"/>
                  <w:vAlign w:val="center"/>
                </w:tcPr>
                <w:p w14:paraId="19B02B5F">
                  <w:pPr>
                    <w:rPr>
                      <w:rFonts w:hint="eastAsia"/>
                    </w:rPr>
                  </w:pPr>
                  <w:r>
                    <w:rPr>
                      <w:rFonts w:hint="eastAsia"/>
                    </w:rPr>
                    <w:t>时间</w:t>
                  </w:r>
                </w:p>
              </w:tc>
            </w:tr>
            <w:tr w14:paraId="740545DC">
              <w:tblPrEx>
                <w:tblCellMar>
                  <w:top w:w="0" w:type="dxa"/>
                  <w:left w:w="108" w:type="dxa"/>
                  <w:bottom w:w="0" w:type="dxa"/>
                  <w:right w:w="108" w:type="dxa"/>
                </w:tblCellMar>
              </w:tblPrEx>
              <w:trPr>
                <w:trHeight w:val="270" w:hRule="atLeast"/>
                <w:jc w:val="center"/>
              </w:trPr>
              <w:tc>
                <w:tcPr>
                  <w:tcW w:w="678" w:type="dxa"/>
                  <w:tcBorders>
                    <w:top w:val="single" w:color="000000" w:sz="4" w:space="0"/>
                    <w:left w:val="single" w:color="000000" w:sz="4" w:space="0"/>
                    <w:bottom w:val="single" w:color="000000" w:sz="4" w:space="0"/>
                    <w:right w:val="single" w:color="000000" w:sz="4" w:space="0"/>
                  </w:tcBorders>
                  <w:noWrap w:val="0"/>
                  <w:vAlign w:val="center"/>
                </w:tcPr>
                <w:p w14:paraId="75C80CD6">
                  <w:pPr>
                    <w:rPr>
                      <w:rFonts w:hint="eastAsia"/>
                    </w:rPr>
                  </w:pPr>
                  <w:r>
                    <w:rPr>
                      <w:rFonts w:hint="eastAsia"/>
                    </w:rPr>
                    <w:t>1</w:t>
                  </w:r>
                </w:p>
              </w:tc>
              <w:tc>
                <w:tcPr>
                  <w:tcW w:w="2787" w:type="dxa"/>
                  <w:tcBorders>
                    <w:top w:val="single" w:color="000000" w:sz="4" w:space="0"/>
                    <w:left w:val="single" w:color="000000" w:sz="4" w:space="0"/>
                    <w:bottom w:val="single" w:color="000000" w:sz="4" w:space="0"/>
                    <w:right w:val="single" w:color="000000" w:sz="4" w:space="0"/>
                  </w:tcBorders>
                  <w:noWrap w:val="0"/>
                  <w:vAlign w:val="center"/>
                </w:tcPr>
                <w:p w14:paraId="0AEDC23B">
                  <w:pPr>
                    <w:rPr>
                      <w:rFonts w:hint="eastAsia"/>
                    </w:rPr>
                  </w:pPr>
                  <w:r>
                    <w:rPr>
                      <w:rFonts w:hint="eastAsia"/>
                    </w:rPr>
                    <w:t>网络和安全设备</w:t>
                  </w:r>
                </w:p>
              </w:tc>
              <w:tc>
                <w:tcPr>
                  <w:tcW w:w="1384" w:type="dxa"/>
                  <w:tcBorders>
                    <w:top w:val="single" w:color="000000" w:sz="4" w:space="0"/>
                    <w:left w:val="single" w:color="000000" w:sz="4" w:space="0"/>
                    <w:bottom w:val="single" w:color="000000" w:sz="4" w:space="0"/>
                    <w:right w:val="single" w:color="000000" w:sz="4" w:space="0"/>
                  </w:tcBorders>
                  <w:noWrap w:val="0"/>
                  <w:vAlign w:val="center"/>
                </w:tcPr>
                <w:p w14:paraId="67AB0532">
                  <w:pPr>
                    <w:rPr>
                      <w:rFonts w:hint="eastAsia"/>
                    </w:rPr>
                  </w:pPr>
                  <w:r>
                    <w:rPr>
                      <w:rFonts w:hint="eastAsia"/>
                    </w:rPr>
                    <w:t>2026-1-1</w:t>
                  </w:r>
                </w:p>
              </w:tc>
              <w:tc>
                <w:tcPr>
                  <w:tcW w:w="1718" w:type="dxa"/>
                  <w:tcBorders>
                    <w:top w:val="single" w:color="000000" w:sz="4" w:space="0"/>
                    <w:left w:val="single" w:color="000000" w:sz="4" w:space="0"/>
                    <w:bottom w:val="single" w:color="000000" w:sz="4" w:space="0"/>
                    <w:right w:val="single" w:color="000000" w:sz="4" w:space="0"/>
                  </w:tcBorders>
                  <w:noWrap w:val="0"/>
                  <w:vAlign w:val="center"/>
                </w:tcPr>
                <w:p w14:paraId="1319D588">
                  <w:pPr>
                    <w:rPr>
                      <w:rFonts w:hint="eastAsia"/>
                    </w:rPr>
                  </w:pPr>
                  <w:r>
                    <w:rPr>
                      <w:rFonts w:hint="eastAsia"/>
                    </w:rPr>
                    <w:t>2026-12-31</w:t>
                  </w:r>
                </w:p>
              </w:tc>
              <w:tc>
                <w:tcPr>
                  <w:tcW w:w="798" w:type="dxa"/>
                  <w:tcBorders>
                    <w:top w:val="single" w:color="000000" w:sz="4" w:space="0"/>
                    <w:left w:val="single" w:color="000000" w:sz="4" w:space="0"/>
                    <w:bottom w:val="single" w:color="000000" w:sz="4" w:space="0"/>
                    <w:right w:val="single" w:color="000000" w:sz="4" w:space="0"/>
                  </w:tcBorders>
                  <w:noWrap w:val="0"/>
                  <w:vAlign w:val="center"/>
                </w:tcPr>
                <w:p w14:paraId="1CB1AC22">
                  <w:pPr>
                    <w:rPr>
                      <w:rFonts w:hint="eastAsia"/>
                    </w:rPr>
                  </w:pPr>
                  <w:r>
                    <w:rPr>
                      <w:rFonts w:hint="eastAsia"/>
                    </w:rPr>
                    <w:t>9台</w:t>
                  </w:r>
                </w:p>
              </w:tc>
              <w:tc>
                <w:tcPr>
                  <w:tcW w:w="1157" w:type="dxa"/>
                  <w:tcBorders>
                    <w:top w:val="single" w:color="000000" w:sz="4" w:space="0"/>
                    <w:left w:val="single" w:color="000000" w:sz="4" w:space="0"/>
                    <w:bottom w:val="single" w:color="000000" w:sz="4" w:space="0"/>
                    <w:right w:val="single" w:color="000000" w:sz="4" w:space="0"/>
                  </w:tcBorders>
                  <w:noWrap w:val="0"/>
                  <w:vAlign w:val="center"/>
                </w:tcPr>
                <w:p w14:paraId="332302BF">
                  <w:pPr>
                    <w:rPr>
                      <w:rFonts w:hint="eastAsia"/>
                    </w:rPr>
                  </w:pPr>
                  <w:r>
                    <w:rPr>
                      <w:rFonts w:hint="eastAsia"/>
                    </w:rPr>
                    <w:t>12个月</w:t>
                  </w:r>
                </w:p>
              </w:tc>
            </w:tr>
            <w:tr w14:paraId="6D066C7C">
              <w:tblPrEx>
                <w:tblCellMar>
                  <w:top w:w="0" w:type="dxa"/>
                  <w:left w:w="108" w:type="dxa"/>
                  <w:bottom w:w="0" w:type="dxa"/>
                  <w:right w:w="108" w:type="dxa"/>
                </w:tblCellMar>
              </w:tblPrEx>
              <w:trPr>
                <w:trHeight w:val="270" w:hRule="atLeast"/>
                <w:jc w:val="center"/>
              </w:trPr>
              <w:tc>
                <w:tcPr>
                  <w:tcW w:w="678" w:type="dxa"/>
                  <w:tcBorders>
                    <w:top w:val="single" w:color="000000" w:sz="4" w:space="0"/>
                    <w:left w:val="single" w:color="000000" w:sz="4" w:space="0"/>
                    <w:bottom w:val="single" w:color="000000" w:sz="4" w:space="0"/>
                    <w:right w:val="single" w:color="000000" w:sz="4" w:space="0"/>
                  </w:tcBorders>
                  <w:noWrap w:val="0"/>
                  <w:vAlign w:val="center"/>
                </w:tcPr>
                <w:p w14:paraId="5C4F0573">
                  <w:pPr>
                    <w:rPr>
                      <w:rFonts w:hint="eastAsia"/>
                    </w:rPr>
                  </w:pPr>
                  <w:r>
                    <w:rPr>
                      <w:rFonts w:hint="eastAsia"/>
                    </w:rPr>
                    <w:t>2</w:t>
                  </w:r>
                </w:p>
              </w:tc>
              <w:tc>
                <w:tcPr>
                  <w:tcW w:w="2787" w:type="dxa"/>
                  <w:tcBorders>
                    <w:top w:val="single" w:color="000000" w:sz="4" w:space="0"/>
                    <w:left w:val="single" w:color="000000" w:sz="4" w:space="0"/>
                    <w:bottom w:val="single" w:color="000000" w:sz="4" w:space="0"/>
                    <w:right w:val="single" w:color="000000" w:sz="4" w:space="0"/>
                  </w:tcBorders>
                  <w:noWrap w:val="0"/>
                  <w:vAlign w:val="center"/>
                </w:tcPr>
                <w:p w14:paraId="10A727B3">
                  <w:pPr>
                    <w:rPr>
                      <w:rFonts w:hint="eastAsia"/>
                    </w:rPr>
                  </w:pPr>
                  <w:r>
                    <w:rPr>
                      <w:rFonts w:hint="eastAsia"/>
                    </w:rPr>
                    <w:t>存储设备</w:t>
                  </w:r>
                </w:p>
              </w:tc>
              <w:tc>
                <w:tcPr>
                  <w:tcW w:w="1384" w:type="dxa"/>
                  <w:tcBorders>
                    <w:top w:val="single" w:color="000000" w:sz="4" w:space="0"/>
                    <w:left w:val="single" w:color="000000" w:sz="4" w:space="0"/>
                    <w:bottom w:val="single" w:color="000000" w:sz="4" w:space="0"/>
                    <w:right w:val="single" w:color="000000" w:sz="4" w:space="0"/>
                  </w:tcBorders>
                  <w:noWrap w:val="0"/>
                  <w:vAlign w:val="center"/>
                </w:tcPr>
                <w:p w14:paraId="014E4CA1">
                  <w:pPr>
                    <w:rPr>
                      <w:rFonts w:hint="eastAsia"/>
                    </w:rPr>
                  </w:pPr>
                  <w:r>
                    <w:rPr>
                      <w:rFonts w:hint="eastAsia"/>
                    </w:rPr>
                    <w:t>2026-1-1</w:t>
                  </w:r>
                </w:p>
              </w:tc>
              <w:tc>
                <w:tcPr>
                  <w:tcW w:w="1718" w:type="dxa"/>
                  <w:tcBorders>
                    <w:top w:val="single" w:color="000000" w:sz="4" w:space="0"/>
                    <w:left w:val="single" w:color="000000" w:sz="4" w:space="0"/>
                    <w:bottom w:val="single" w:color="000000" w:sz="4" w:space="0"/>
                    <w:right w:val="single" w:color="000000" w:sz="4" w:space="0"/>
                  </w:tcBorders>
                  <w:noWrap w:val="0"/>
                  <w:vAlign w:val="center"/>
                </w:tcPr>
                <w:p w14:paraId="4154B8E1">
                  <w:pPr>
                    <w:rPr>
                      <w:rFonts w:hint="eastAsia"/>
                    </w:rPr>
                  </w:pPr>
                  <w:r>
                    <w:rPr>
                      <w:rFonts w:hint="eastAsia"/>
                    </w:rPr>
                    <w:t>2026-12-31</w:t>
                  </w:r>
                </w:p>
              </w:tc>
              <w:tc>
                <w:tcPr>
                  <w:tcW w:w="798" w:type="dxa"/>
                  <w:tcBorders>
                    <w:top w:val="single" w:color="000000" w:sz="4" w:space="0"/>
                    <w:left w:val="single" w:color="000000" w:sz="4" w:space="0"/>
                    <w:bottom w:val="single" w:color="000000" w:sz="4" w:space="0"/>
                    <w:right w:val="single" w:color="000000" w:sz="4" w:space="0"/>
                  </w:tcBorders>
                  <w:noWrap w:val="0"/>
                  <w:vAlign w:val="center"/>
                </w:tcPr>
                <w:p w14:paraId="4D05768F">
                  <w:pPr>
                    <w:rPr>
                      <w:rFonts w:hint="eastAsia"/>
                    </w:rPr>
                  </w:pPr>
                  <w:r>
                    <w:rPr>
                      <w:rFonts w:hint="eastAsia"/>
                    </w:rPr>
                    <w:t>3套</w:t>
                  </w:r>
                </w:p>
              </w:tc>
              <w:tc>
                <w:tcPr>
                  <w:tcW w:w="1157" w:type="dxa"/>
                  <w:tcBorders>
                    <w:top w:val="single" w:color="000000" w:sz="4" w:space="0"/>
                    <w:left w:val="single" w:color="000000" w:sz="4" w:space="0"/>
                    <w:bottom w:val="single" w:color="000000" w:sz="4" w:space="0"/>
                    <w:right w:val="single" w:color="000000" w:sz="4" w:space="0"/>
                  </w:tcBorders>
                  <w:noWrap w:val="0"/>
                  <w:vAlign w:val="center"/>
                </w:tcPr>
                <w:p w14:paraId="59FA9653">
                  <w:pPr>
                    <w:rPr>
                      <w:rFonts w:hint="eastAsia"/>
                    </w:rPr>
                  </w:pPr>
                  <w:r>
                    <w:rPr>
                      <w:rFonts w:hint="eastAsia"/>
                    </w:rPr>
                    <w:t>12个月</w:t>
                  </w:r>
                </w:p>
              </w:tc>
            </w:tr>
            <w:tr w14:paraId="6D86FF27">
              <w:tblPrEx>
                <w:tblCellMar>
                  <w:top w:w="0" w:type="dxa"/>
                  <w:left w:w="108" w:type="dxa"/>
                  <w:bottom w:w="0" w:type="dxa"/>
                  <w:right w:w="108" w:type="dxa"/>
                </w:tblCellMar>
              </w:tblPrEx>
              <w:trPr>
                <w:trHeight w:val="270" w:hRule="atLeast"/>
                <w:jc w:val="center"/>
              </w:trPr>
              <w:tc>
                <w:tcPr>
                  <w:tcW w:w="678" w:type="dxa"/>
                  <w:tcBorders>
                    <w:top w:val="single" w:color="000000" w:sz="4" w:space="0"/>
                    <w:left w:val="single" w:color="000000" w:sz="4" w:space="0"/>
                    <w:bottom w:val="single" w:color="000000" w:sz="4" w:space="0"/>
                    <w:right w:val="single" w:color="000000" w:sz="4" w:space="0"/>
                  </w:tcBorders>
                  <w:noWrap w:val="0"/>
                  <w:vAlign w:val="center"/>
                </w:tcPr>
                <w:p w14:paraId="26623F9C">
                  <w:pPr>
                    <w:rPr>
                      <w:rFonts w:hint="eastAsia"/>
                    </w:rPr>
                  </w:pPr>
                  <w:r>
                    <w:rPr>
                      <w:rFonts w:hint="eastAsia"/>
                    </w:rPr>
                    <w:t>3</w:t>
                  </w:r>
                </w:p>
              </w:tc>
              <w:tc>
                <w:tcPr>
                  <w:tcW w:w="2787" w:type="dxa"/>
                  <w:tcBorders>
                    <w:top w:val="single" w:color="000000" w:sz="4" w:space="0"/>
                    <w:left w:val="single" w:color="000000" w:sz="4" w:space="0"/>
                    <w:bottom w:val="single" w:color="000000" w:sz="4" w:space="0"/>
                    <w:right w:val="single" w:color="000000" w:sz="4" w:space="0"/>
                  </w:tcBorders>
                  <w:noWrap w:val="0"/>
                  <w:vAlign w:val="center"/>
                </w:tcPr>
                <w:p w14:paraId="29FB5ACB">
                  <w:pPr>
                    <w:rPr>
                      <w:rFonts w:hint="eastAsia"/>
                    </w:rPr>
                  </w:pPr>
                  <w:r>
                    <w:rPr>
                      <w:rFonts w:hint="eastAsia"/>
                    </w:rPr>
                    <w:t>运维软件</w:t>
                  </w:r>
                </w:p>
              </w:tc>
              <w:tc>
                <w:tcPr>
                  <w:tcW w:w="1384" w:type="dxa"/>
                  <w:tcBorders>
                    <w:top w:val="single" w:color="000000" w:sz="4" w:space="0"/>
                    <w:left w:val="single" w:color="000000" w:sz="4" w:space="0"/>
                    <w:bottom w:val="single" w:color="000000" w:sz="4" w:space="0"/>
                    <w:right w:val="single" w:color="000000" w:sz="4" w:space="0"/>
                  </w:tcBorders>
                  <w:noWrap w:val="0"/>
                  <w:vAlign w:val="center"/>
                </w:tcPr>
                <w:p w14:paraId="78C2C397">
                  <w:pPr>
                    <w:rPr>
                      <w:rFonts w:hint="eastAsia"/>
                    </w:rPr>
                  </w:pPr>
                  <w:r>
                    <w:rPr>
                      <w:rFonts w:hint="eastAsia"/>
                    </w:rPr>
                    <w:t>2026-1-1</w:t>
                  </w:r>
                </w:p>
              </w:tc>
              <w:tc>
                <w:tcPr>
                  <w:tcW w:w="1718" w:type="dxa"/>
                  <w:tcBorders>
                    <w:top w:val="single" w:color="000000" w:sz="4" w:space="0"/>
                    <w:left w:val="single" w:color="000000" w:sz="4" w:space="0"/>
                    <w:bottom w:val="single" w:color="000000" w:sz="4" w:space="0"/>
                    <w:right w:val="single" w:color="000000" w:sz="4" w:space="0"/>
                  </w:tcBorders>
                  <w:noWrap w:val="0"/>
                  <w:vAlign w:val="center"/>
                </w:tcPr>
                <w:p w14:paraId="33FC96C7">
                  <w:pPr>
                    <w:rPr>
                      <w:rFonts w:hint="eastAsia"/>
                    </w:rPr>
                  </w:pPr>
                  <w:r>
                    <w:rPr>
                      <w:rFonts w:hint="eastAsia"/>
                    </w:rPr>
                    <w:t>2026-12-31</w:t>
                  </w:r>
                </w:p>
              </w:tc>
              <w:tc>
                <w:tcPr>
                  <w:tcW w:w="798" w:type="dxa"/>
                  <w:tcBorders>
                    <w:top w:val="single" w:color="000000" w:sz="4" w:space="0"/>
                    <w:left w:val="single" w:color="000000" w:sz="4" w:space="0"/>
                    <w:bottom w:val="single" w:color="000000" w:sz="4" w:space="0"/>
                    <w:right w:val="single" w:color="000000" w:sz="4" w:space="0"/>
                  </w:tcBorders>
                  <w:noWrap w:val="0"/>
                  <w:vAlign w:val="center"/>
                </w:tcPr>
                <w:p w14:paraId="2A392AA6">
                  <w:pPr>
                    <w:rPr>
                      <w:rFonts w:hint="eastAsia"/>
                    </w:rPr>
                  </w:pPr>
                  <w:r>
                    <w:rPr>
                      <w:rFonts w:hint="eastAsia"/>
                    </w:rPr>
                    <w:t>2套</w:t>
                  </w:r>
                </w:p>
              </w:tc>
              <w:tc>
                <w:tcPr>
                  <w:tcW w:w="1157" w:type="dxa"/>
                  <w:tcBorders>
                    <w:top w:val="single" w:color="000000" w:sz="4" w:space="0"/>
                    <w:left w:val="single" w:color="000000" w:sz="4" w:space="0"/>
                    <w:bottom w:val="single" w:color="000000" w:sz="4" w:space="0"/>
                    <w:right w:val="single" w:color="000000" w:sz="4" w:space="0"/>
                  </w:tcBorders>
                  <w:noWrap w:val="0"/>
                  <w:vAlign w:val="center"/>
                </w:tcPr>
                <w:p w14:paraId="5C8D9026">
                  <w:pPr>
                    <w:rPr>
                      <w:rFonts w:hint="eastAsia"/>
                    </w:rPr>
                  </w:pPr>
                  <w:r>
                    <w:rPr>
                      <w:rFonts w:hint="eastAsia"/>
                    </w:rPr>
                    <w:t>12个月</w:t>
                  </w:r>
                </w:p>
              </w:tc>
            </w:tr>
          </w:tbl>
          <w:p w14:paraId="15CAFE03"/>
        </w:tc>
        <w:tc>
          <w:tcPr>
            <w:tcW w:w="0" w:type="auto"/>
            <w:noWrap w:val="0"/>
            <w:vAlign w:val="center"/>
          </w:tcPr>
          <w:p w14:paraId="562AF3D3">
            <w:pPr>
              <w:rPr>
                <w:rFonts w:hint="default"/>
                <w:lang w:val="en-US" w:eastAsia="zh-CN"/>
              </w:rPr>
            </w:pPr>
            <w:r>
              <w:rPr>
                <w:rFonts w:hint="eastAsia"/>
                <w:lang w:val="en-US" w:eastAsia="zh-CN"/>
              </w:rPr>
              <w:t>项</w:t>
            </w:r>
          </w:p>
        </w:tc>
        <w:tc>
          <w:tcPr>
            <w:tcW w:w="0" w:type="auto"/>
            <w:noWrap w:val="0"/>
            <w:vAlign w:val="center"/>
          </w:tcPr>
          <w:p w14:paraId="3606EA5E">
            <w:pPr>
              <w:rPr>
                <w:rFonts w:hint="default"/>
                <w:lang w:val="en-US" w:eastAsia="zh-CN"/>
              </w:rPr>
            </w:pPr>
            <w:r>
              <w:rPr>
                <w:rFonts w:hint="eastAsia"/>
                <w:lang w:val="en-US" w:eastAsia="zh-CN"/>
              </w:rPr>
              <w:t>1</w:t>
            </w:r>
          </w:p>
        </w:tc>
        <w:tc>
          <w:tcPr>
            <w:tcW w:w="0" w:type="auto"/>
            <w:noWrap w:val="0"/>
            <w:vAlign w:val="center"/>
          </w:tcPr>
          <w:p w14:paraId="10D1F13E">
            <w:pPr>
              <w:rPr>
                <w:rFonts w:hint="default"/>
                <w:lang w:val="en-US" w:eastAsia="zh-CN"/>
              </w:rPr>
            </w:pPr>
            <w:r>
              <w:rPr>
                <w:rFonts w:hint="eastAsia"/>
                <w:lang w:val="en-US" w:eastAsia="zh-CN"/>
              </w:rPr>
              <w:t>470000</w:t>
            </w:r>
          </w:p>
        </w:tc>
        <w:tc>
          <w:tcPr>
            <w:tcW w:w="0" w:type="auto"/>
            <w:noWrap w:val="0"/>
            <w:vAlign w:val="center"/>
          </w:tcPr>
          <w:p w14:paraId="36AEC367">
            <w:pPr>
              <w:rPr>
                <w:rFonts w:hint="default"/>
                <w:lang w:val="en-US" w:eastAsia="zh-CN"/>
              </w:rPr>
            </w:pPr>
            <w:r>
              <w:rPr>
                <w:rFonts w:hint="eastAsia"/>
                <w:lang w:val="en-US" w:eastAsia="zh-CN"/>
              </w:rPr>
              <w:t>470000</w:t>
            </w:r>
          </w:p>
        </w:tc>
      </w:tr>
      <w:tr w14:paraId="78B9F66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0" w:hRule="atLeast"/>
        </w:trPr>
        <w:tc>
          <w:tcPr>
            <w:tcW w:w="0" w:type="auto"/>
            <w:gridSpan w:val="6"/>
            <w:noWrap w:val="0"/>
            <w:vAlign w:val="center"/>
          </w:tcPr>
          <w:p w14:paraId="563084B2">
            <w:r>
              <w:rPr>
                <w:rFonts w:hint="eastAsia"/>
              </w:rPr>
              <w:t>投标总报价（人民币：元）</w:t>
            </w:r>
          </w:p>
        </w:tc>
        <w:tc>
          <w:tcPr>
            <w:tcW w:w="0" w:type="auto"/>
            <w:noWrap w:val="0"/>
            <w:vAlign w:val="top"/>
          </w:tcPr>
          <w:p w14:paraId="2B959BDC">
            <w:pPr>
              <w:rPr>
                <w:rFonts w:hint="default"/>
                <w:lang w:val="en-US" w:eastAsia="zh-CN"/>
              </w:rPr>
            </w:pPr>
            <w:r>
              <w:rPr>
                <w:rFonts w:hint="eastAsia"/>
                <w:lang w:val="en-US" w:eastAsia="zh-CN"/>
              </w:rPr>
              <w:t>845000</w:t>
            </w:r>
          </w:p>
        </w:tc>
      </w:tr>
    </w:tbl>
    <w:p w14:paraId="3C7864F7">
      <w:pPr>
        <w:rPr>
          <w:rFonts w:hint="default"/>
          <w:lang w:val="en-US" w:eastAsia="zh-CN"/>
        </w:rPr>
      </w:pPr>
    </w:p>
    <w:p w14:paraId="2C9641E4">
      <w:pPr>
        <w:sectPr>
          <w:pgSz w:w="11906" w:h="16838"/>
          <w:pgMar w:top="1440" w:right="1800" w:bottom="1440" w:left="1800" w:header="851" w:footer="992" w:gutter="0"/>
          <w:cols w:space="425" w:num="1"/>
          <w:docGrid w:type="lines" w:linePitch="312" w:charSpace="0"/>
        </w:sectPr>
      </w:pPr>
    </w:p>
    <w:p w14:paraId="758FAD40">
      <w:pPr>
        <w:widowControl/>
        <w:adjustRightInd w:val="0"/>
        <w:snapToGrid w:val="0"/>
        <w:spacing w:line="500" w:lineRule="exact"/>
        <w:jc w:val="left"/>
        <w:rPr>
          <w:rFonts w:hint="eastAsia" w:ascii="宋体" w:hAnsi="宋体" w:cs="宋体"/>
          <w:b/>
          <w:spacing w:val="20"/>
          <w:sz w:val="24"/>
        </w:rPr>
      </w:pPr>
      <w:r>
        <w:rPr>
          <w:rFonts w:hint="eastAsia" w:ascii="宋体" w:hAnsi="宋体" w:cs="宋体"/>
          <w:b/>
          <w:spacing w:val="20"/>
          <w:sz w:val="24"/>
        </w:rPr>
        <w:t>附件：外包网络安全协议</w:t>
      </w:r>
    </w:p>
    <w:p w14:paraId="3B2AE6C0">
      <w:pPr>
        <w:spacing w:line="579" w:lineRule="exact"/>
        <w:ind w:firstLine="480" w:firstLineChars="200"/>
        <w:rPr>
          <w:rFonts w:hint="eastAsia" w:ascii="宋体" w:hAnsi="宋体" w:eastAsia="宋体" w:cs="宋体"/>
          <w:sz w:val="24"/>
          <w:szCs w:val="24"/>
        </w:rPr>
      </w:pPr>
      <w:r>
        <w:rPr>
          <w:rFonts w:hint="eastAsia" w:ascii="宋体" w:hAnsi="宋体" w:eastAsia="宋体" w:cs="宋体"/>
          <w:sz w:val="24"/>
          <w:szCs w:val="24"/>
        </w:rPr>
        <w:t>一、协议依据及类型要点</w:t>
      </w:r>
    </w:p>
    <w:p w14:paraId="6A0CC95E">
      <w:pPr>
        <w:spacing w:line="579" w:lineRule="exact"/>
        <w:ind w:firstLine="480" w:firstLineChars="200"/>
        <w:rPr>
          <w:rFonts w:hint="eastAsia" w:ascii="宋体" w:hAnsi="宋体" w:eastAsia="宋体" w:cs="宋体"/>
          <w:sz w:val="24"/>
          <w:szCs w:val="24"/>
        </w:rPr>
      </w:pPr>
      <w:r>
        <w:rPr>
          <w:rFonts w:hint="eastAsia" w:ascii="宋体" w:hAnsi="宋体" w:eastAsia="宋体" w:cs="宋体"/>
          <w:sz w:val="24"/>
          <w:szCs w:val="24"/>
        </w:rPr>
        <w:t>根据《中华人民共和国民法典》及《中华人民共和国网络安全法》《中华人民共和国数据安全法》《中华人民共和国个人信息保护法》等有关法律法规及规范性文件的规定，甲（委托单位）、乙（承包单位）双方经协商一致，就</w:t>
      </w:r>
      <w:r>
        <w:rPr>
          <w:rFonts w:hint="eastAsia" w:ascii="宋体" w:hAnsi="宋体" w:eastAsia="宋体" w:cs="宋体"/>
          <w:sz w:val="24"/>
          <w:szCs w:val="24"/>
          <w:u w:val="single"/>
        </w:rPr>
        <w:t xml:space="preserve"> ⑨</w:t>
      </w:r>
      <w:r>
        <w:rPr>
          <w:rFonts w:hint="eastAsia" w:ascii="宋体" w:hAnsi="宋体" w:eastAsia="宋体" w:cs="宋体"/>
          <w:sz w:val="24"/>
          <w:szCs w:val="24"/>
          <w:u w:val="single"/>
        </w:rPr>
        <w:t xml:space="preserve">         </w:t>
      </w:r>
      <w:r>
        <w:rPr>
          <w:rFonts w:hint="eastAsia" w:ascii="宋体" w:hAnsi="宋体" w:eastAsia="宋体" w:cs="宋体"/>
          <w:sz w:val="24"/>
          <w:szCs w:val="24"/>
        </w:rPr>
        <w:t>的服务项目（可选填：①建设信息系统或云平台&lt;以下统称“信息平台”&gt;；②运维信息平台；③检查、监测、测评信息平台；④采购使用云计算服务；⑤采用社会网络平台提供对公服务；⑥采用社会网络平台发布政务信息；⑦采用社会网络平台实施社会管理；⑧采用社会网络平台处理党政事务；⑨其他信息技术）（以下简称“本服务项目”），签订本网络安全协议。</w:t>
      </w:r>
    </w:p>
    <w:p w14:paraId="23AB3420">
      <w:pPr>
        <w:spacing w:line="579" w:lineRule="exact"/>
        <w:ind w:firstLine="480" w:firstLineChars="200"/>
        <w:rPr>
          <w:rFonts w:hint="eastAsia" w:ascii="宋体" w:hAnsi="宋体" w:eastAsia="宋体" w:cs="宋体"/>
          <w:sz w:val="24"/>
          <w:szCs w:val="24"/>
        </w:rPr>
      </w:pPr>
      <w:r>
        <w:rPr>
          <w:rFonts w:hint="eastAsia" w:ascii="宋体" w:hAnsi="宋体" w:eastAsia="宋体" w:cs="宋体"/>
          <w:sz w:val="24"/>
          <w:szCs w:val="24"/>
        </w:rPr>
        <w:t>二、甲方的权利和义务要点</w:t>
      </w:r>
    </w:p>
    <w:p w14:paraId="14C37A76">
      <w:pPr>
        <w:spacing w:line="579" w:lineRule="exact"/>
        <w:ind w:firstLine="480" w:firstLineChars="200"/>
        <w:rPr>
          <w:rFonts w:hint="eastAsia" w:ascii="宋体" w:hAnsi="宋体" w:eastAsia="宋体" w:cs="宋体"/>
          <w:sz w:val="24"/>
          <w:szCs w:val="24"/>
        </w:rPr>
      </w:pPr>
      <w:r>
        <w:rPr>
          <w:rFonts w:hint="eastAsia" w:ascii="宋体" w:hAnsi="宋体" w:eastAsia="宋体" w:cs="宋体"/>
          <w:sz w:val="24"/>
          <w:szCs w:val="24"/>
        </w:rPr>
        <w:t>1. 本服务项目中产生的政务数据、系统运行数据及收集的个人信息等数据资产（以下简称“外包数据资产”）归甲方所有并可以随时在相关法律法规规定的范围内访问、利用、支配，在服务项目终止时有权要求乙方销毁或转移相关数据资产。</w:t>
      </w:r>
    </w:p>
    <w:p w14:paraId="252BDD8D">
      <w:pPr>
        <w:spacing w:line="579" w:lineRule="exact"/>
        <w:ind w:firstLine="480" w:firstLineChars="200"/>
        <w:rPr>
          <w:rFonts w:hint="eastAsia" w:ascii="宋体" w:hAnsi="宋体" w:eastAsia="宋体" w:cs="宋体"/>
          <w:sz w:val="24"/>
          <w:szCs w:val="24"/>
        </w:rPr>
      </w:pPr>
      <w:r>
        <w:rPr>
          <w:rFonts w:hint="eastAsia" w:ascii="宋体" w:hAnsi="宋体" w:eastAsia="宋体" w:cs="宋体"/>
          <w:sz w:val="24"/>
          <w:szCs w:val="24"/>
        </w:rPr>
        <w:t>2. 甲方建立对本服务项目的常态化网络安全监督管理，有权采取随机抽查、派驻人员或委托第三方机构等方式，对本服务项目网络安全管理情况开展常态化检查评估，通报问题隐患，责令限期整改；乙方应配合检查并及时整改。</w:t>
      </w:r>
    </w:p>
    <w:p w14:paraId="7FE6E619">
      <w:pPr>
        <w:spacing w:line="579" w:lineRule="exact"/>
        <w:ind w:firstLine="480" w:firstLineChars="200"/>
        <w:rPr>
          <w:rFonts w:hint="eastAsia" w:ascii="宋体" w:hAnsi="宋体" w:eastAsia="宋体" w:cs="宋体"/>
          <w:sz w:val="24"/>
          <w:szCs w:val="24"/>
        </w:rPr>
      </w:pPr>
      <w:r>
        <w:rPr>
          <w:rFonts w:hint="eastAsia" w:ascii="宋体" w:hAnsi="宋体" w:eastAsia="宋体" w:cs="宋体"/>
          <w:sz w:val="24"/>
          <w:szCs w:val="24"/>
        </w:rPr>
        <w:t>3. 甲方应提供乙方必要的工作条件，并按照最小必要原则授予乙方提供服务所需的相应权限，授权期满后及时收回相关权限，乙方应予以协助配合，不得设置后门程序或者恶意程序。</w:t>
      </w:r>
    </w:p>
    <w:p w14:paraId="0629272E">
      <w:pPr>
        <w:spacing w:line="579" w:lineRule="exact"/>
        <w:ind w:firstLine="480" w:firstLineChars="200"/>
        <w:rPr>
          <w:rFonts w:hint="eastAsia" w:ascii="宋体" w:hAnsi="宋体" w:eastAsia="宋体" w:cs="宋体"/>
          <w:sz w:val="24"/>
          <w:szCs w:val="24"/>
        </w:rPr>
      </w:pPr>
      <w:r>
        <w:rPr>
          <w:rFonts w:hint="eastAsia" w:ascii="宋体" w:hAnsi="宋体" w:eastAsia="宋体" w:cs="宋体"/>
          <w:sz w:val="24"/>
          <w:szCs w:val="24"/>
        </w:rPr>
        <w:t>4. 在接受服务过程中，甲方发现乙方存在如下情形之一，导致合同继续履行将损害国家利益和社会公共利益的，甲方有权单方终止合同，且仅支付乙方相应服务期限内合理费用的</w:t>
      </w:r>
      <w:r>
        <w:rPr>
          <w:rFonts w:hint="eastAsia" w:ascii="宋体" w:hAnsi="宋体" w:eastAsia="宋体" w:cs="宋体"/>
          <w:sz w:val="24"/>
          <w:szCs w:val="24"/>
          <w:u w:val="single"/>
        </w:rPr>
        <w:t xml:space="preserve">  %</w:t>
      </w:r>
      <w:r>
        <w:rPr>
          <w:rFonts w:hint="eastAsia" w:ascii="宋体" w:hAnsi="宋体" w:eastAsia="宋体" w:cs="宋体"/>
          <w:sz w:val="24"/>
          <w:szCs w:val="24"/>
        </w:rPr>
        <w:t>（注：划线部分自行协商确定）；乙方应及时返还多收取的价款（如从履约保证金中扣除）：</w:t>
      </w:r>
    </w:p>
    <w:p w14:paraId="1D3C290A">
      <w:pPr>
        <w:spacing w:line="579" w:lineRule="exact"/>
        <w:ind w:firstLine="480" w:firstLineChars="200"/>
        <w:rPr>
          <w:rFonts w:hint="eastAsia" w:ascii="宋体" w:hAnsi="宋体" w:eastAsia="宋体" w:cs="宋体"/>
          <w:sz w:val="24"/>
          <w:szCs w:val="24"/>
        </w:rPr>
      </w:pPr>
      <w:r>
        <w:rPr>
          <w:rFonts w:hint="eastAsia" w:ascii="宋体" w:hAnsi="宋体" w:eastAsia="宋体" w:cs="宋体"/>
          <w:sz w:val="24"/>
          <w:szCs w:val="24"/>
        </w:rPr>
        <w:t>（1）乙方规模能力、经营范围、资本构成、高管背景、技术水平、安全团队以及企业信用等方面发生重大变化，可能造成本服务项目存在重大网络和数据安全风险的；</w:t>
      </w:r>
    </w:p>
    <w:p w14:paraId="120C698B">
      <w:pPr>
        <w:spacing w:line="579" w:lineRule="exact"/>
        <w:ind w:firstLine="480" w:firstLineChars="200"/>
        <w:rPr>
          <w:rFonts w:hint="eastAsia" w:ascii="宋体" w:hAnsi="宋体" w:eastAsia="宋体" w:cs="宋体"/>
          <w:sz w:val="24"/>
          <w:szCs w:val="24"/>
        </w:rPr>
      </w:pPr>
      <w:r>
        <w:rPr>
          <w:rFonts w:hint="eastAsia" w:ascii="宋体" w:hAnsi="宋体" w:eastAsia="宋体" w:cs="宋体"/>
          <w:sz w:val="24"/>
          <w:szCs w:val="24"/>
        </w:rPr>
        <w:t>（2）乙方（含相关工作人员及委托服务的第三方）因涉嫌违反网络安全、数据安全和个人信息保护相关法律法规，正接受有关主管部门立案调查（乙方应主动告知甲方该情况），甲方经评估后认为，乙方继续本服务项目可能存在重大网络和数据安全风险的；</w:t>
      </w:r>
    </w:p>
    <w:p w14:paraId="4BF5E9C7">
      <w:pPr>
        <w:spacing w:line="579" w:lineRule="exact"/>
        <w:ind w:firstLine="480" w:firstLineChars="200"/>
        <w:rPr>
          <w:rFonts w:hint="eastAsia" w:ascii="宋体" w:hAnsi="宋体" w:eastAsia="宋体" w:cs="宋体"/>
          <w:sz w:val="24"/>
          <w:szCs w:val="24"/>
        </w:rPr>
      </w:pPr>
      <w:r>
        <w:rPr>
          <w:rFonts w:hint="eastAsia" w:ascii="宋体" w:hAnsi="宋体" w:eastAsia="宋体" w:cs="宋体"/>
          <w:sz w:val="24"/>
          <w:szCs w:val="24"/>
        </w:rPr>
        <w:t>（3）因乙方对服务合同中约定的网络和数据安全保护措施建设、使用不到位等，导致发生网络和数据安全事件，造成重大影响，或者产生网络和数据安全风险隐患被省级以上有关主管部门通报的；</w:t>
      </w:r>
    </w:p>
    <w:p w14:paraId="57B580C2">
      <w:pPr>
        <w:spacing w:line="579" w:lineRule="exact"/>
        <w:ind w:firstLine="480" w:firstLineChars="200"/>
        <w:rPr>
          <w:rFonts w:hint="eastAsia" w:ascii="宋体" w:hAnsi="宋体" w:eastAsia="宋体" w:cs="宋体"/>
          <w:sz w:val="24"/>
          <w:szCs w:val="24"/>
        </w:rPr>
      </w:pPr>
      <w:r>
        <w:rPr>
          <w:rFonts w:hint="eastAsia" w:ascii="宋体" w:hAnsi="宋体" w:eastAsia="宋体" w:cs="宋体"/>
          <w:sz w:val="24"/>
          <w:szCs w:val="24"/>
        </w:rPr>
        <w:t>（4）乙方违反本协议的约定、承诺或保证，尚未造成严重后果，甲方责令限期整改，乙方拒不整改或者整改不到位的。</w:t>
      </w:r>
    </w:p>
    <w:p w14:paraId="0AE159FF">
      <w:pPr>
        <w:spacing w:line="579" w:lineRule="exact"/>
        <w:ind w:firstLine="480" w:firstLineChars="200"/>
        <w:rPr>
          <w:rFonts w:hint="eastAsia" w:ascii="宋体" w:hAnsi="宋体" w:eastAsia="宋体" w:cs="宋体"/>
          <w:sz w:val="24"/>
          <w:szCs w:val="24"/>
        </w:rPr>
      </w:pPr>
      <w:r>
        <w:rPr>
          <w:rFonts w:hint="eastAsia" w:ascii="宋体" w:hAnsi="宋体" w:eastAsia="宋体" w:cs="宋体"/>
          <w:sz w:val="24"/>
          <w:szCs w:val="24"/>
        </w:rPr>
        <w:t>5. 在接受服务过程中，甲方发现乙方存在如下情形之一，导致合同履行将损害国家利益和社会公共利益的，甲方有权单方终止合同，并要求乙方返还全部合同价款，同时追究乙方的法律责任；乙方应及时返还已收取的合同价款：</w:t>
      </w:r>
    </w:p>
    <w:p w14:paraId="1DF7D9DF">
      <w:pPr>
        <w:spacing w:line="579" w:lineRule="exact"/>
        <w:ind w:firstLine="480" w:firstLineChars="200"/>
        <w:rPr>
          <w:rFonts w:hint="eastAsia" w:ascii="宋体" w:hAnsi="宋体" w:eastAsia="宋体" w:cs="宋体"/>
          <w:sz w:val="24"/>
          <w:szCs w:val="24"/>
        </w:rPr>
      </w:pPr>
      <w:r>
        <w:rPr>
          <w:rFonts w:hint="eastAsia" w:ascii="宋体" w:hAnsi="宋体" w:eastAsia="宋体" w:cs="宋体"/>
          <w:sz w:val="24"/>
          <w:szCs w:val="24"/>
        </w:rPr>
        <w:t>（1）在服务合同签订前的三年内，乙方因违反网络安全、数据安全和个人信息保护相关法律法规，受到过行政处罚、刑事处罚，或者仍在接受有关主管部门立案调查，但未主动告知甲方该信息的，被甲方通过其他方式获知的；</w:t>
      </w:r>
    </w:p>
    <w:p w14:paraId="62120C9A">
      <w:pPr>
        <w:spacing w:line="579" w:lineRule="exact"/>
        <w:ind w:firstLine="480" w:firstLineChars="200"/>
        <w:rPr>
          <w:rFonts w:hint="eastAsia" w:ascii="宋体" w:hAnsi="宋体" w:eastAsia="宋体" w:cs="宋体"/>
          <w:sz w:val="24"/>
          <w:szCs w:val="24"/>
        </w:rPr>
      </w:pPr>
      <w:r>
        <w:rPr>
          <w:rFonts w:hint="eastAsia" w:ascii="宋体" w:hAnsi="宋体" w:eastAsia="宋体" w:cs="宋体"/>
          <w:sz w:val="24"/>
          <w:szCs w:val="24"/>
        </w:rPr>
        <w:t>（2）乙方在本服务项目中的相关管理人员、操作运维人员经公安或国安部门背景审查存在问题，甲方要求乙方更换相关人员，乙方拒不更换的；</w:t>
      </w:r>
    </w:p>
    <w:p w14:paraId="552D85B7">
      <w:pPr>
        <w:spacing w:line="579" w:lineRule="exact"/>
        <w:ind w:firstLine="480" w:firstLineChars="200"/>
        <w:rPr>
          <w:rFonts w:hint="eastAsia" w:ascii="宋体" w:hAnsi="宋体" w:eastAsia="宋体" w:cs="宋体"/>
          <w:sz w:val="24"/>
          <w:szCs w:val="24"/>
        </w:rPr>
      </w:pPr>
      <w:r>
        <w:rPr>
          <w:rFonts w:hint="eastAsia" w:ascii="宋体" w:hAnsi="宋体" w:eastAsia="宋体" w:cs="宋体"/>
          <w:sz w:val="24"/>
          <w:szCs w:val="24"/>
        </w:rPr>
        <w:t>（3）违反网络安全、数据安全和个人信息保护等相关法律法规，拒不按照甲方要求改正、补救的。</w:t>
      </w:r>
    </w:p>
    <w:p w14:paraId="41BC38DA">
      <w:pPr>
        <w:spacing w:line="579" w:lineRule="exact"/>
        <w:ind w:firstLine="480" w:firstLineChars="200"/>
        <w:rPr>
          <w:rFonts w:hint="eastAsia" w:ascii="宋体" w:hAnsi="宋体" w:eastAsia="宋体" w:cs="宋体"/>
          <w:sz w:val="24"/>
          <w:szCs w:val="24"/>
        </w:rPr>
      </w:pPr>
      <w:r>
        <w:rPr>
          <w:rFonts w:hint="eastAsia" w:ascii="宋体" w:hAnsi="宋体" w:eastAsia="宋体" w:cs="宋体"/>
          <w:sz w:val="24"/>
          <w:szCs w:val="24"/>
        </w:rPr>
        <w:t>（4）违反网络安全、数据安全和个人信息保护相关法律法规的规定，或者违反本协议的约定、承诺或保证，导致本服务项目发生重大网络和数据安全事件，或造成其他严重后果的。</w:t>
      </w:r>
    </w:p>
    <w:p w14:paraId="13F4B1F9">
      <w:pPr>
        <w:spacing w:line="579" w:lineRule="exact"/>
        <w:ind w:firstLine="480" w:firstLineChars="200"/>
        <w:rPr>
          <w:rFonts w:hint="eastAsia" w:ascii="宋体" w:hAnsi="宋体" w:eastAsia="宋体" w:cs="宋体"/>
          <w:sz w:val="24"/>
          <w:szCs w:val="24"/>
        </w:rPr>
      </w:pPr>
      <w:r>
        <w:rPr>
          <w:rFonts w:hint="eastAsia" w:ascii="宋体" w:hAnsi="宋体" w:eastAsia="宋体" w:cs="宋体"/>
          <w:sz w:val="24"/>
          <w:szCs w:val="24"/>
        </w:rPr>
        <w:t>三、乙方的权利和义务要点</w:t>
      </w:r>
    </w:p>
    <w:p w14:paraId="4A9C148C">
      <w:pPr>
        <w:spacing w:line="579" w:lineRule="exact"/>
        <w:ind w:firstLine="480" w:firstLineChars="200"/>
        <w:rPr>
          <w:rFonts w:hint="eastAsia" w:ascii="宋体" w:hAnsi="宋体" w:eastAsia="宋体" w:cs="宋体"/>
          <w:sz w:val="24"/>
          <w:szCs w:val="24"/>
        </w:rPr>
      </w:pPr>
      <w:r>
        <w:rPr>
          <w:rFonts w:hint="eastAsia" w:ascii="宋体" w:hAnsi="宋体" w:eastAsia="宋体" w:cs="宋体"/>
          <w:sz w:val="24"/>
          <w:szCs w:val="24"/>
        </w:rPr>
        <w:t>1. 在签订服务合同前，乙方应向甲方如实、完整提供其规模能力、经营范围、资本构成、高管背景、技术水平、安全团队、信用等级等经营管理信息，以及近三年因违反网络安全、数据安全和个人信息保护有关法律法规而受到约谈、行政处罚或刑事处罚等信息；未经乙方同意，甲方不得公开或向第三方提供相关信息。</w:t>
      </w:r>
    </w:p>
    <w:p w14:paraId="04997A24">
      <w:pPr>
        <w:spacing w:line="579" w:lineRule="exact"/>
        <w:ind w:firstLine="480" w:firstLineChars="200"/>
        <w:rPr>
          <w:rFonts w:hint="eastAsia" w:ascii="宋体" w:hAnsi="宋体" w:eastAsia="宋体" w:cs="宋体"/>
          <w:sz w:val="24"/>
          <w:szCs w:val="24"/>
        </w:rPr>
      </w:pPr>
      <w:r>
        <w:rPr>
          <w:rFonts w:hint="eastAsia" w:ascii="宋体" w:hAnsi="宋体" w:eastAsia="宋体" w:cs="宋体"/>
          <w:sz w:val="24"/>
          <w:szCs w:val="24"/>
        </w:rPr>
        <w:t>2. 乙方应当严格按照网络安全、数据安全和个人信息保护相关法律法规、国家标准及政策文件的规定提供安全可靠的产品、平台或服务，确保网络系统运行安全及相关数据资产的保密性、完整性、可用性；对在服务过程中接触到的甲方工作信息及相关文件，应予以严格保护，不得对外提供、公开、泄露或利用。</w:t>
      </w:r>
    </w:p>
    <w:p w14:paraId="0195DBD5">
      <w:pPr>
        <w:spacing w:line="579" w:lineRule="exact"/>
        <w:ind w:firstLine="480" w:firstLineChars="200"/>
        <w:rPr>
          <w:rFonts w:hint="eastAsia" w:ascii="宋体" w:hAnsi="宋体" w:eastAsia="宋体" w:cs="宋体"/>
          <w:sz w:val="24"/>
          <w:szCs w:val="24"/>
        </w:rPr>
      </w:pPr>
      <w:r>
        <w:rPr>
          <w:rFonts w:hint="eastAsia" w:ascii="宋体" w:hAnsi="宋体" w:eastAsia="宋体" w:cs="宋体"/>
          <w:sz w:val="24"/>
          <w:szCs w:val="24"/>
        </w:rPr>
        <w:t>3. 乙方应建立相对独立的管理技术团队，具体提供服务的相关人员应为乙方正式员工，并指定网络安全负责人。</w:t>
      </w:r>
    </w:p>
    <w:p w14:paraId="691C25F5">
      <w:pPr>
        <w:spacing w:line="579" w:lineRule="exact"/>
        <w:ind w:firstLine="480" w:firstLineChars="200"/>
        <w:rPr>
          <w:rFonts w:hint="eastAsia" w:ascii="宋体" w:hAnsi="宋体" w:eastAsia="宋体" w:cs="宋体"/>
          <w:sz w:val="24"/>
          <w:szCs w:val="24"/>
        </w:rPr>
      </w:pPr>
      <w:r>
        <w:rPr>
          <w:rFonts w:hint="eastAsia" w:ascii="宋体" w:hAnsi="宋体" w:eastAsia="宋体" w:cs="宋体"/>
          <w:sz w:val="24"/>
          <w:szCs w:val="24"/>
        </w:rPr>
        <w:t>4. 乙方不得转包合同任务；确需分包的，应报经甲方同意，并在分包合同中明确相应的网络安全义务和责任，但不得对合同任务主体和关键部分进行分包。</w:t>
      </w:r>
    </w:p>
    <w:p w14:paraId="2FAEF8C7">
      <w:pPr>
        <w:spacing w:line="579" w:lineRule="exact"/>
        <w:ind w:firstLine="480" w:firstLineChars="200"/>
        <w:rPr>
          <w:rFonts w:hint="eastAsia" w:ascii="宋体" w:hAnsi="宋体" w:eastAsia="宋体" w:cs="宋体"/>
          <w:sz w:val="24"/>
          <w:szCs w:val="24"/>
        </w:rPr>
      </w:pPr>
      <w:r>
        <w:rPr>
          <w:rFonts w:hint="eastAsia" w:ascii="宋体" w:hAnsi="宋体" w:eastAsia="宋体" w:cs="宋体"/>
          <w:sz w:val="24"/>
          <w:szCs w:val="24"/>
        </w:rPr>
        <w:t>5. 乙方应严格按照法律法规规定及服务合同约定，收集、使用、存储、处理数据和个人信息。</w:t>
      </w:r>
    </w:p>
    <w:p w14:paraId="7DFDD13B">
      <w:pPr>
        <w:spacing w:line="579" w:lineRule="exact"/>
        <w:ind w:firstLine="480" w:firstLineChars="200"/>
        <w:rPr>
          <w:rFonts w:hint="eastAsia" w:ascii="宋体" w:hAnsi="宋体" w:eastAsia="宋体" w:cs="宋体"/>
          <w:sz w:val="24"/>
          <w:szCs w:val="24"/>
        </w:rPr>
      </w:pPr>
      <w:r>
        <w:rPr>
          <w:rFonts w:hint="eastAsia" w:ascii="宋体" w:hAnsi="宋体" w:eastAsia="宋体" w:cs="宋体"/>
          <w:sz w:val="24"/>
          <w:szCs w:val="24"/>
        </w:rPr>
        <w:t>6. 乙方应采取必要技术措施防范甲方所属数据资产的泄露、流失和违规操作。</w:t>
      </w:r>
    </w:p>
    <w:p w14:paraId="2043E9D8">
      <w:pPr>
        <w:spacing w:line="579" w:lineRule="exact"/>
        <w:ind w:firstLine="480" w:firstLineChars="200"/>
        <w:rPr>
          <w:rFonts w:hint="eastAsia" w:ascii="宋体" w:hAnsi="宋体" w:eastAsia="宋体" w:cs="宋体"/>
          <w:sz w:val="24"/>
          <w:szCs w:val="24"/>
        </w:rPr>
      </w:pPr>
      <w:r>
        <w:rPr>
          <w:rFonts w:hint="eastAsia" w:ascii="宋体" w:hAnsi="宋体" w:eastAsia="宋体" w:cs="宋体"/>
          <w:sz w:val="24"/>
          <w:szCs w:val="24"/>
        </w:rPr>
        <w:t>7. 乙方应将政务数据与其他数据分开存储、处理，未经甲方同意，不得变更用途、用法，不得访问、修改、公开、披露、利用、转让、销毁、私自留存或向第三方提供。</w:t>
      </w:r>
    </w:p>
    <w:p w14:paraId="35719537">
      <w:pPr>
        <w:spacing w:line="579" w:lineRule="exact"/>
        <w:ind w:firstLine="480" w:firstLineChars="200"/>
        <w:rPr>
          <w:rFonts w:hint="eastAsia" w:ascii="宋体" w:hAnsi="宋体" w:eastAsia="宋体" w:cs="宋体"/>
          <w:sz w:val="24"/>
          <w:szCs w:val="24"/>
        </w:rPr>
      </w:pPr>
      <w:r>
        <w:rPr>
          <w:rFonts w:hint="eastAsia" w:ascii="宋体" w:hAnsi="宋体" w:eastAsia="宋体" w:cs="宋体"/>
          <w:sz w:val="24"/>
          <w:szCs w:val="24"/>
        </w:rPr>
        <w:t>8. 乙方在本服务项目中涉及采购相关产品和服务的，应当严格遵守如下规定要求：</w:t>
      </w:r>
    </w:p>
    <w:p w14:paraId="297AE245">
      <w:pPr>
        <w:spacing w:line="579" w:lineRule="exact"/>
        <w:ind w:firstLine="480" w:firstLineChars="200"/>
        <w:rPr>
          <w:rFonts w:hint="eastAsia" w:ascii="宋体" w:hAnsi="宋体" w:eastAsia="宋体" w:cs="宋体"/>
          <w:sz w:val="24"/>
          <w:szCs w:val="24"/>
        </w:rPr>
      </w:pPr>
      <w:r>
        <w:rPr>
          <w:rFonts w:hint="eastAsia" w:ascii="宋体" w:hAnsi="宋体" w:eastAsia="宋体" w:cs="宋体"/>
          <w:sz w:val="24"/>
          <w:szCs w:val="24"/>
        </w:rPr>
        <w:t>（1）建设政务信息平台的，应当优先采用安全可信的软硬件产品；确无相关安全可信产品的，应当研究制定针对性措施防范安全风险；</w:t>
      </w:r>
    </w:p>
    <w:p w14:paraId="2CF85B34">
      <w:pPr>
        <w:spacing w:line="579" w:lineRule="exact"/>
        <w:ind w:firstLine="480" w:firstLineChars="200"/>
        <w:rPr>
          <w:rFonts w:hint="eastAsia" w:ascii="宋体" w:hAnsi="宋体" w:eastAsia="宋体" w:cs="宋体"/>
          <w:sz w:val="24"/>
          <w:szCs w:val="24"/>
        </w:rPr>
      </w:pPr>
      <w:r>
        <w:rPr>
          <w:rFonts w:hint="eastAsia" w:ascii="宋体" w:hAnsi="宋体" w:eastAsia="宋体" w:cs="宋体"/>
          <w:sz w:val="24"/>
          <w:szCs w:val="24"/>
        </w:rPr>
        <w:t>（2）建设云平台的，应当选择供应链来源可靠的云平台管理软件、业务系统以及服务器CPU、操作系统、数据库等；</w:t>
      </w:r>
    </w:p>
    <w:p w14:paraId="139E7EF0">
      <w:pPr>
        <w:spacing w:line="579" w:lineRule="exact"/>
        <w:ind w:firstLine="480" w:firstLineChars="200"/>
        <w:rPr>
          <w:rFonts w:hint="eastAsia" w:ascii="宋体" w:hAnsi="宋体" w:eastAsia="宋体" w:cs="宋体"/>
          <w:sz w:val="24"/>
          <w:szCs w:val="24"/>
        </w:rPr>
      </w:pPr>
      <w:r>
        <w:rPr>
          <w:rFonts w:hint="eastAsia" w:ascii="宋体" w:hAnsi="宋体" w:eastAsia="宋体" w:cs="宋体"/>
          <w:sz w:val="24"/>
          <w:szCs w:val="24"/>
        </w:rPr>
        <w:t>（3）使用云计算服务（含PaaS、IaaS、SaaS等）的，应当按要求采用安全可信的云计算服务，并明确云服务商的网络和数据安全责任；</w:t>
      </w:r>
    </w:p>
    <w:p w14:paraId="1CF04663">
      <w:pPr>
        <w:spacing w:line="579" w:lineRule="exact"/>
        <w:ind w:firstLine="480" w:firstLineChars="200"/>
        <w:rPr>
          <w:rFonts w:hint="eastAsia" w:ascii="宋体" w:hAnsi="宋体" w:eastAsia="宋体" w:cs="宋体"/>
          <w:sz w:val="24"/>
          <w:szCs w:val="24"/>
        </w:rPr>
      </w:pPr>
      <w:r>
        <w:rPr>
          <w:rFonts w:hint="eastAsia" w:ascii="宋体" w:hAnsi="宋体" w:eastAsia="宋体" w:cs="宋体"/>
          <w:sz w:val="24"/>
          <w:szCs w:val="24"/>
        </w:rPr>
        <w:t>（4）使用商用密码的，应当符合国家密码管理规定。</w:t>
      </w:r>
    </w:p>
    <w:p w14:paraId="25F40CFC">
      <w:pPr>
        <w:spacing w:line="579" w:lineRule="exact"/>
        <w:ind w:firstLine="480" w:firstLineChars="200"/>
        <w:rPr>
          <w:rFonts w:hint="eastAsia" w:ascii="宋体" w:hAnsi="宋体" w:eastAsia="宋体" w:cs="宋体"/>
          <w:sz w:val="24"/>
          <w:szCs w:val="24"/>
        </w:rPr>
      </w:pPr>
      <w:r>
        <w:rPr>
          <w:rFonts w:hint="eastAsia" w:ascii="宋体" w:hAnsi="宋体" w:eastAsia="宋体" w:cs="宋体"/>
          <w:sz w:val="24"/>
          <w:szCs w:val="24"/>
        </w:rPr>
        <w:t>9. 乙方发现本服务项目中存在网络安全漏洞、缺陷或其他严重网络安全风险，应及时向甲方报告，或者直接向同级网信、公安部门报告；未经网信或公安部门同意，不得公开或向第三方提供。</w:t>
      </w:r>
    </w:p>
    <w:p w14:paraId="2449FC2C">
      <w:pPr>
        <w:spacing w:line="579" w:lineRule="exact"/>
        <w:ind w:firstLine="480" w:firstLineChars="200"/>
        <w:rPr>
          <w:rFonts w:hint="eastAsia" w:ascii="宋体" w:hAnsi="宋体" w:eastAsia="宋体" w:cs="宋体"/>
          <w:sz w:val="24"/>
          <w:szCs w:val="24"/>
        </w:rPr>
      </w:pPr>
      <w:r>
        <w:rPr>
          <w:rFonts w:hint="eastAsia" w:ascii="宋体" w:hAnsi="宋体" w:eastAsia="宋体" w:cs="宋体"/>
          <w:sz w:val="24"/>
          <w:szCs w:val="24"/>
        </w:rPr>
        <w:t>10. 乙方应严格落实相关开放性、兼容性标准和规范要求，优先采用通用系统解决方案，避免采用特定的技术架构、应用接口、数据格式等，确保系统的开放性和可移植性。</w:t>
      </w:r>
    </w:p>
    <w:p w14:paraId="3C091BF4">
      <w:pPr>
        <w:spacing w:line="579" w:lineRule="exact"/>
        <w:ind w:firstLine="480" w:firstLineChars="200"/>
        <w:rPr>
          <w:rFonts w:hint="eastAsia" w:ascii="宋体" w:hAnsi="宋体" w:eastAsia="宋体" w:cs="宋体"/>
          <w:sz w:val="24"/>
          <w:szCs w:val="24"/>
        </w:rPr>
      </w:pPr>
      <w:r>
        <w:rPr>
          <w:rFonts w:hint="eastAsia" w:ascii="宋体" w:hAnsi="宋体" w:eastAsia="宋体" w:cs="宋体"/>
          <w:sz w:val="24"/>
          <w:szCs w:val="24"/>
        </w:rPr>
        <w:t>11. 乙方发生业务转型、合并重组、投资并购等重大事项，或者管理技术团队人员发生重大变更，应提前向甲方报告。</w:t>
      </w:r>
    </w:p>
    <w:p w14:paraId="3D23D870">
      <w:pPr>
        <w:spacing w:line="579" w:lineRule="exact"/>
        <w:ind w:firstLine="480" w:firstLineChars="200"/>
        <w:rPr>
          <w:rFonts w:hint="eastAsia" w:ascii="宋体" w:hAnsi="宋体" w:eastAsia="宋体" w:cs="宋体"/>
          <w:sz w:val="24"/>
          <w:szCs w:val="24"/>
        </w:rPr>
      </w:pPr>
      <w:r>
        <w:rPr>
          <w:rFonts w:hint="eastAsia" w:ascii="宋体" w:hAnsi="宋体" w:eastAsia="宋体" w:cs="宋体"/>
          <w:sz w:val="24"/>
          <w:szCs w:val="24"/>
        </w:rPr>
        <w:t>12. 乙方建设、运维的政务信息平台注册用户超过100万人或者涉及人民群众出行、教育、求职、医疗、缴费等重要业务，乙方应每年向甲方提交网络安全报告，报告至少包括网络安全管理、数据安全管理、平台关键软硬件安全、管理技术团队变化等情况。</w:t>
      </w:r>
    </w:p>
    <w:p w14:paraId="2055CB85">
      <w:pPr>
        <w:spacing w:line="579" w:lineRule="exact"/>
        <w:ind w:firstLine="480" w:firstLineChars="200"/>
        <w:rPr>
          <w:rFonts w:hint="eastAsia" w:ascii="宋体" w:hAnsi="宋体" w:eastAsia="宋体" w:cs="宋体"/>
          <w:sz w:val="24"/>
          <w:szCs w:val="24"/>
        </w:rPr>
      </w:pPr>
      <w:r>
        <w:rPr>
          <w:rFonts w:hint="eastAsia" w:ascii="宋体" w:hAnsi="宋体" w:eastAsia="宋体" w:cs="宋体"/>
          <w:sz w:val="24"/>
          <w:szCs w:val="24"/>
        </w:rPr>
        <w:t>13. 乙方应建立外包服务项目安全管理工作规范，明确本单位及相关工作人员的网络安全责任，不断提升网络安全防护能力水平；定期组织本服务项目相关人员开展网络安全培训，规范安全操作规程，增强安全风险意识。</w:t>
      </w:r>
    </w:p>
    <w:p w14:paraId="36BE083C">
      <w:pPr>
        <w:spacing w:line="579" w:lineRule="exact"/>
        <w:ind w:firstLine="480" w:firstLineChars="200"/>
        <w:rPr>
          <w:rFonts w:hint="eastAsia" w:ascii="宋体" w:hAnsi="宋体" w:eastAsia="宋体" w:cs="宋体"/>
          <w:sz w:val="24"/>
          <w:szCs w:val="24"/>
        </w:rPr>
      </w:pPr>
      <w:r>
        <w:rPr>
          <w:rFonts w:hint="eastAsia" w:ascii="宋体" w:hAnsi="宋体" w:eastAsia="宋体" w:cs="宋体"/>
          <w:sz w:val="24"/>
          <w:szCs w:val="24"/>
        </w:rPr>
        <w:t>14. 本服务项目终止时，乙方应配合甲方销毁或转移相关数据，并向甲方提供《网络安全承诺书》，承诺采取必要措施保证相关数据不可恢复，不私自留存、非法买卖或提供给第三方，不公开、披露、利用服务中知悉各类信息，否则乙方应承担一切法律责任。</w:t>
      </w:r>
    </w:p>
    <w:p w14:paraId="7336ADC2">
      <w:pPr>
        <w:spacing w:line="579" w:lineRule="exact"/>
        <w:ind w:firstLine="480" w:firstLineChars="200"/>
        <w:rPr>
          <w:rFonts w:hint="eastAsia" w:ascii="宋体" w:hAnsi="宋体" w:eastAsia="宋体" w:cs="宋体"/>
          <w:sz w:val="24"/>
          <w:szCs w:val="24"/>
        </w:rPr>
      </w:pPr>
      <w:r>
        <w:rPr>
          <w:rFonts w:hint="eastAsia" w:ascii="宋体" w:hAnsi="宋体" w:eastAsia="宋体" w:cs="宋体"/>
          <w:sz w:val="24"/>
          <w:szCs w:val="24"/>
        </w:rPr>
        <w:t>15. 因乙方提供外包服务导致甲方产品或服务存在安全隐患，乙方应采取有效措施予以补救，最大限度地降低影响范围。</w:t>
      </w:r>
    </w:p>
    <w:p w14:paraId="09041917">
      <w:pPr>
        <w:spacing w:line="579" w:lineRule="exact"/>
        <w:ind w:firstLine="480" w:firstLineChars="200"/>
        <w:rPr>
          <w:rFonts w:hint="eastAsia" w:ascii="宋体" w:hAnsi="宋体" w:eastAsia="宋体" w:cs="宋体"/>
          <w:sz w:val="24"/>
          <w:szCs w:val="24"/>
        </w:rPr>
      </w:pPr>
      <w:r>
        <w:rPr>
          <w:rFonts w:hint="eastAsia" w:ascii="宋体" w:hAnsi="宋体" w:eastAsia="宋体" w:cs="宋体"/>
          <w:sz w:val="24"/>
          <w:szCs w:val="24"/>
        </w:rPr>
        <w:t>16. 乙方应积极配合网信、公安、审计、保密、密码管理等部门开展网络安全检查、测评、审计等监督管理工作，如实、完整提供相关网络安全管理情况，不得拒绝、隐匿、瞒报。</w:t>
      </w:r>
    </w:p>
    <w:p w14:paraId="317DDBF0">
      <w:pPr>
        <w:spacing w:line="579" w:lineRule="exact"/>
        <w:ind w:firstLine="480" w:firstLineChars="200"/>
        <w:rPr>
          <w:rFonts w:hint="eastAsia" w:ascii="宋体" w:hAnsi="宋体" w:eastAsia="宋体" w:cs="宋体"/>
          <w:sz w:val="24"/>
          <w:szCs w:val="24"/>
        </w:rPr>
      </w:pPr>
      <w:r>
        <w:rPr>
          <w:rFonts w:hint="eastAsia" w:ascii="宋体" w:hAnsi="宋体" w:eastAsia="宋体" w:cs="宋体"/>
          <w:sz w:val="24"/>
          <w:szCs w:val="24"/>
        </w:rPr>
        <w:t>四、违约责任要点</w:t>
      </w:r>
    </w:p>
    <w:p w14:paraId="00A33BE8">
      <w:pPr>
        <w:spacing w:line="579" w:lineRule="exact"/>
        <w:ind w:firstLine="480" w:firstLineChars="200"/>
        <w:rPr>
          <w:rFonts w:hint="eastAsia" w:ascii="宋体" w:hAnsi="宋体" w:eastAsia="宋体" w:cs="宋体"/>
          <w:sz w:val="24"/>
          <w:szCs w:val="24"/>
        </w:rPr>
      </w:pPr>
      <w:r>
        <w:rPr>
          <w:rFonts w:hint="eastAsia" w:ascii="宋体" w:hAnsi="宋体" w:eastAsia="宋体" w:cs="宋体"/>
          <w:sz w:val="24"/>
          <w:szCs w:val="24"/>
        </w:rPr>
        <w:t>1. 乙方违反网络安全、数据安全和个人信息保护相关法律法规，或者违反本协议的约定、承诺或保证的，甲方有权追究乙方责任，乙方应按</w:t>
      </w:r>
      <w:r>
        <w:rPr>
          <w:rFonts w:hint="eastAsia" w:ascii="宋体" w:hAnsi="宋体" w:eastAsia="宋体" w:cs="宋体"/>
          <w:sz w:val="24"/>
          <w:szCs w:val="24"/>
          <w:u w:val="single"/>
        </w:rPr>
        <w:t>服务合同总价款的20%或人民币10万元的金额（以两者中较高的金额为准）</w:t>
      </w:r>
      <w:r>
        <w:rPr>
          <w:rFonts w:hint="eastAsia" w:ascii="宋体" w:hAnsi="宋体" w:eastAsia="宋体" w:cs="宋体"/>
          <w:sz w:val="24"/>
          <w:szCs w:val="24"/>
        </w:rPr>
        <w:t>（注：划线部分自行协商确定）向甲方支付违约金；如造成甲方损失的，乙方应当全额赔偿。</w:t>
      </w:r>
    </w:p>
    <w:p w14:paraId="310EBB6C">
      <w:pPr>
        <w:spacing w:line="579" w:lineRule="exact"/>
        <w:ind w:firstLine="480" w:firstLineChars="200"/>
        <w:rPr>
          <w:rFonts w:hint="eastAsia" w:ascii="宋体" w:hAnsi="宋体" w:eastAsia="宋体" w:cs="宋体"/>
          <w:sz w:val="24"/>
          <w:szCs w:val="24"/>
        </w:rPr>
      </w:pPr>
      <w:r>
        <w:rPr>
          <w:rFonts w:hint="eastAsia" w:ascii="宋体" w:hAnsi="宋体" w:eastAsia="宋体" w:cs="宋体"/>
          <w:sz w:val="24"/>
          <w:szCs w:val="24"/>
        </w:rPr>
        <w:t>五、争议解决要点</w:t>
      </w:r>
    </w:p>
    <w:p w14:paraId="2F875C8A">
      <w:pPr>
        <w:spacing w:line="579" w:lineRule="exact"/>
        <w:ind w:firstLine="480" w:firstLineChars="200"/>
        <w:rPr>
          <w:rFonts w:hint="eastAsia" w:ascii="宋体" w:hAnsi="宋体" w:eastAsia="宋体" w:cs="宋体"/>
          <w:sz w:val="24"/>
          <w:szCs w:val="24"/>
        </w:rPr>
      </w:pPr>
      <w:r>
        <w:rPr>
          <w:rFonts w:hint="eastAsia" w:ascii="宋体" w:hAnsi="宋体" w:eastAsia="宋体" w:cs="宋体"/>
          <w:sz w:val="24"/>
          <w:szCs w:val="24"/>
        </w:rPr>
        <w:t>本协议履行期间存在争议的，双方协商解决；无法协商的，双方均有权向</w:t>
      </w:r>
      <w:r>
        <w:rPr>
          <w:rFonts w:hint="eastAsia" w:hAnsi="宋体" w:eastAsia="宋体" w:cs="宋体"/>
          <w:sz w:val="24"/>
          <w:szCs w:val="24"/>
          <w:lang w:val="en-US" w:eastAsia="zh-CN"/>
        </w:rPr>
        <w:t>常州仲裁委员会申请仲裁</w:t>
      </w:r>
      <w:r>
        <w:rPr>
          <w:rFonts w:hint="eastAsia" w:ascii="宋体" w:hAnsi="宋体" w:eastAsia="宋体" w:cs="宋体"/>
          <w:sz w:val="24"/>
          <w:szCs w:val="24"/>
        </w:rPr>
        <w:t>。守约方为解决争议所产生的各项费用（包括但不限于</w:t>
      </w:r>
      <w:r>
        <w:rPr>
          <w:rFonts w:hint="eastAsia" w:hAnsi="宋体" w:eastAsia="宋体" w:cs="宋体"/>
          <w:sz w:val="24"/>
          <w:szCs w:val="24"/>
          <w:lang w:val="en-US" w:eastAsia="zh-CN"/>
        </w:rPr>
        <w:t>仲裁</w:t>
      </w:r>
      <w:r>
        <w:rPr>
          <w:rFonts w:hint="eastAsia" w:ascii="宋体" w:hAnsi="宋体" w:eastAsia="宋体" w:cs="宋体"/>
          <w:sz w:val="24"/>
          <w:szCs w:val="24"/>
        </w:rPr>
        <w:t>费、公证费、律师费、鉴定费、差旅费、保全费、担保费等）均由违约方承担。</w:t>
      </w:r>
    </w:p>
    <w:p w14:paraId="6F8FB704">
      <w:pPr>
        <w:spacing w:line="579" w:lineRule="exact"/>
        <w:ind w:firstLine="480" w:firstLineChars="200"/>
        <w:rPr>
          <w:rFonts w:hint="eastAsia" w:ascii="宋体" w:hAnsi="宋体" w:eastAsia="宋体" w:cs="宋体"/>
          <w:sz w:val="24"/>
          <w:szCs w:val="24"/>
        </w:rPr>
      </w:pPr>
      <w:r>
        <w:rPr>
          <w:rFonts w:hint="eastAsia" w:ascii="宋体" w:hAnsi="宋体" w:eastAsia="宋体" w:cs="宋体"/>
          <w:sz w:val="24"/>
          <w:szCs w:val="24"/>
        </w:rPr>
        <w:t>六、协议期限要点</w:t>
      </w:r>
    </w:p>
    <w:p w14:paraId="04FCA22A">
      <w:pPr>
        <w:spacing w:line="579" w:lineRule="exact"/>
        <w:ind w:firstLine="480" w:firstLineChars="200"/>
      </w:pPr>
      <w:r>
        <w:rPr>
          <w:rFonts w:hint="eastAsia" w:ascii="宋体" w:hAnsi="宋体" w:eastAsia="宋体" w:cs="宋体"/>
          <w:sz w:val="24"/>
          <w:szCs w:val="24"/>
        </w:rPr>
        <w:t>与服务合同起止期限相同，但相关法律法规规定的网络和数据安全责任义务不受该期限的限制。</w:t>
      </w:r>
    </w:p>
    <w:p w14:paraId="0C119DB6">
      <w:pPr>
        <w:spacing w:line="500" w:lineRule="exact"/>
        <w:ind w:firstLine="480" w:firstLineChars="200"/>
        <w:rPr>
          <w:rFonts w:hint="eastAsia" w:ascii="宋体" w:hAnsi="宋体" w:eastAsia="宋体" w:cs="宋体"/>
          <w:sz w:val="24"/>
          <w:lang w:val="en-US" w:eastAsia="zh-CN"/>
        </w:rPr>
      </w:pPr>
      <w:r>
        <w:rPr>
          <w:rFonts w:hint="eastAsia" w:ascii="宋体" w:hAnsi="宋体" w:cs="宋体"/>
          <w:sz w:val="24"/>
          <w:lang w:val="en-US" w:eastAsia="zh-CN"/>
        </w:rPr>
        <w:t>七</w:t>
      </w:r>
      <w:r>
        <w:rPr>
          <w:rFonts w:hint="eastAsia" w:ascii="宋体" w:hAnsi="宋体" w:cs="宋体"/>
          <w:sz w:val="24"/>
        </w:rPr>
        <w:t>、</w:t>
      </w:r>
      <w:r>
        <w:rPr>
          <w:rFonts w:hint="eastAsia" w:ascii="宋体" w:hAnsi="宋体" w:cs="宋体"/>
          <w:sz w:val="24"/>
          <w:lang w:val="en-US" w:eastAsia="zh-CN"/>
        </w:rPr>
        <w:t>其他</w:t>
      </w:r>
    </w:p>
    <w:p w14:paraId="7F1E25B5">
      <w:pPr>
        <w:spacing w:line="500" w:lineRule="exact"/>
        <w:ind w:firstLine="480" w:firstLineChars="200"/>
        <w:rPr>
          <w:rFonts w:hint="eastAsia" w:ascii="宋体" w:hAnsi="宋体" w:cs="宋体"/>
          <w:sz w:val="24"/>
        </w:rPr>
      </w:pPr>
      <w:r>
        <w:rPr>
          <w:rFonts w:hint="eastAsia" w:ascii="宋体" w:hAnsi="宋体" w:cs="宋体"/>
          <w:sz w:val="24"/>
        </w:rPr>
        <w:t>本协议自甲、乙双方盖章之日起生效。</w:t>
      </w:r>
    </w:p>
    <w:p w14:paraId="0D7E00C9">
      <w:pPr>
        <w:pStyle w:val="5"/>
      </w:pPr>
    </w:p>
    <w:p w14:paraId="69CD4A72">
      <w:pPr>
        <w:pStyle w:val="5"/>
      </w:pPr>
    </w:p>
    <w:p w14:paraId="352D0562">
      <w:pPr>
        <w:spacing w:line="500" w:lineRule="exact"/>
        <w:ind w:firstLine="480" w:firstLineChars="200"/>
        <w:rPr>
          <w:rFonts w:hint="eastAsia" w:ascii="宋体" w:hAnsi="宋体" w:cs="宋体"/>
          <w:sz w:val="24"/>
        </w:rPr>
      </w:pPr>
      <w:r>
        <w:rPr>
          <w:rFonts w:hint="eastAsia" w:ascii="宋体" w:hAnsi="宋体" w:cs="宋体"/>
          <w:sz w:val="24"/>
        </w:rPr>
        <w:t>甲方</w:t>
      </w:r>
      <w:r>
        <w:rPr>
          <w:rFonts w:ascii="宋体" w:hAnsi="宋体" w:cs="宋体"/>
          <w:sz w:val="24"/>
        </w:rPr>
        <w:t>:（章）</w:t>
      </w:r>
      <w:r>
        <w:rPr>
          <w:rFonts w:hint="eastAsia" w:ascii="宋体" w:hAnsi="宋体" w:cs="宋体"/>
          <w:sz w:val="24"/>
        </w:rPr>
        <w:t>常州市人力资源和社会保障公共服务与技术保障中心</w:t>
      </w:r>
    </w:p>
    <w:p w14:paraId="017EFF7E">
      <w:pPr>
        <w:spacing w:line="500" w:lineRule="exact"/>
        <w:rPr>
          <w:rFonts w:hint="eastAsia" w:ascii="宋体" w:hAnsi="宋体" w:cs="宋体"/>
          <w:sz w:val="24"/>
        </w:rPr>
      </w:pPr>
    </w:p>
    <w:p w14:paraId="06EDD1B2">
      <w:pPr>
        <w:spacing w:line="500" w:lineRule="exact"/>
        <w:rPr>
          <w:rFonts w:hint="eastAsia" w:ascii="宋体" w:hAnsi="宋体" w:cs="宋体"/>
          <w:sz w:val="24"/>
        </w:rPr>
      </w:pPr>
    </w:p>
    <w:p w14:paraId="21E6448A">
      <w:pPr>
        <w:spacing w:line="500" w:lineRule="exact"/>
        <w:ind w:firstLine="480" w:firstLineChars="200"/>
        <w:rPr>
          <w:rFonts w:hint="eastAsia" w:ascii="宋体" w:hAnsi="宋体" w:cs="宋体"/>
          <w:sz w:val="24"/>
        </w:rPr>
      </w:pPr>
      <w:r>
        <w:rPr>
          <w:rFonts w:hint="eastAsia" w:ascii="宋体" w:hAnsi="宋体" w:cs="宋体"/>
          <w:sz w:val="24"/>
        </w:rPr>
        <w:t>乙方</w:t>
      </w:r>
      <w:r>
        <w:rPr>
          <w:rFonts w:ascii="宋体" w:hAnsi="宋体" w:cs="宋体"/>
          <w:sz w:val="24"/>
        </w:rPr>
        <w:t>:（章）</w:t>
      </w:r>
      <w:r>
        <w:rPr>
          <w:rFonts w:hint="eastAsia" w:ascii="宋体" w:hAnsi="宋体" w:cs="宋体"/>
          <w:sz w:val="24"/>
        </w:rPr>
        <w:t>中电鸿信信息科技有限公司</w:t>
      </w:r>
    </w:p>
    <w:p w14:paraId="4541924D">
      <w:bookmarkStart w:id="1" w:name="_GoBack"/>
      <w:bookmarkEnd w:id="1"/>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13786C2B"/>
    <w:rsid w:val="208E407A"/>
    <w:rsid w:val="223B2ABD"/>
    <w:rsid w:val="238429E0"/>
    <w:rsid w:val="307F7874"/>
    <w:rsid w:val="48457423"/>
    <w:rsid w:val="491D727D"/>
    <w:rsid w:val="6F1A6D88"/>
    <w:rsid w:val="704C261F"/>
    <w:rsid w:val="782D1058"/>
    <w:rsid w:val="7BFE9F89"/>
    <w:rsid w:val="7C5C0BE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hint="default" w:ascii="Times New Roman" w:hAnsi="Times New Roman" w:eastAsia="宋体" w:cs="Times New Roman"/>
      <w:sz w:val="21"/>
      <w:szCs w:val="21"/>
      <w:lang w:val="en-US" w:eastAsia="zh-CN" w:bidi="ar-SA"/>
    </w:rPr>
  </w:style>
  <w:style w:type="character" w:default="1" w:styleId="3">
    <w:name w:val="Default Paragraph Font"/>
    <w:semiHidden/>
    <w:uiPriority w:val="0"/>
  </w:style>
  <w:style w:type="table" w:default="1" w:styleId="2">
    <w:name w:val="Normal Table"/>
    <w:semiHidden/>
    <w:qFormat/>
    <w:uiPriority w:val="0"/>
    <w:tblPr>
      <w:tblCellMar>
        <w:top w:w="0" w:type="dxa"/>
        <w:left w:w="108" w:type="dxa"/>
        <w:bottom w:w="0" w:type="dxa"/>
        <w:right w:w="108" w:type="dxa"/>
      </w:tblCellMar>
    </w:tblPr>
  </w:style>
  <w:style w:type="paragraph" w:customStyle="1" w:styleId="4">
    <w:name w:val="纯文本1"/>
    <w:basedOn w:val="1"/>
    <w:qFormat/>
    <w:uiPriority w:val="0"/>
    <w:rPr>
      <w:rFonts w:ascii="宋体" w:hAnsi="Courier New" w:cs="Courier New"/>
    </w:rPr>
  </w:style>
  <w:style w:type="paragraph" w:customStyle="1" w:styleId="5">
    <w:name w:val="Default"/>
    <w:qFormat/>
    <w:uiPriority w:val="0"/>
    <w:pPr>
      <w:widowControl w:val="0"/>
      <w:autoSpaceDE w:val="0"/>
      <w:autoSpaceDN w:val="0"/>
      <w:adjustRightInd w:val="0"/>
    </w:pPr>
    <w:rPr>
      <w:rFonts w:ascii="宋体" w:hAnsi="Calibri" w:eastAsia="宋体" w:cs="宋体"/>
      <w:color w:val="000000"/>
      <w:sz w:val="24"/>
      <w:szCs w:val="24"/>
      <w:lang w:val="en-US" w:eastAsia="zh-CN" w:bidi="ar-SA"/>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10</Pages>
  <Words>2584</Words>
  <Characters>2889</Characters>
  <Lines>0</Lines>
  <Paragraphs>0</Paragraphs>
  <TotalTime>0</TotalTime>
  <ScaleCrop>false</ScaleCrop>
  <LinksUpToDate>false</LinksUpToDate>
  <CharactersWithSpaces>3081</CharactersWithSpaces>
  <Application>WPS Office_12.1.0.23542_F1E327BC-269C-435d-A152-05C5408002CA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2025-10-22T17:44:00Z</dcterms:created>
  <dc:creator>yongzhen</dc:creator>
  <cp:lastModifiedBy>WPS_1655450439</cp:lastModifiedBy>
  <dcterms:modified xsi:type="dcterms:W3CDTF">2025-10-31T08:22:28Z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2052-12.1.0.23542</vt:lpwstr>
  </property>
  <property fmtid="{D5CDD505-2E9C-101B-9397-08002B2CF9AE}" pid="3" name="KSOTemplateDocerSaveRecord">
    <vt:lpwstr>eyJoZGlkIjoiMTQwNjIyYzM5ZjgwMzczNWNiNTRiNDRkZDY0ZmI5ZTUiLCJ1c2VySWQiOiIxMzg2OTUwODMxIn0=</vt:lpwstr>
  </property>
  <property fmtid="{D5CDD505-2E9C-101B-9397-08002B2CF9AE}" pid="4" name="ICV">
    <vt:lpwstr>42650C993FE5BBEBEE3EFF68CAA58924_43</vt:lpwstr>
  </property>
</Properties>
</file>