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5"/>
        <w:spacing w:line="360" w:lineRule="auto"/>
        <w:rPr>
          <w:rFonts w:hint="eastAsia" w:hAnsi="宋体" w:eastAsia="宋体" w:cs="宋体"/>
          <w:color w:val="000000"/>
          <w:highlight w:val="none"/>
        </w:rPr>
      </w:pPr>
      <w:r>
        <w:rPr>
          <w:rFonts w:hint="eastAsia" w:hAnsi="宋体" w:eastAsia="宋体" w:cs="宋体"/>
          <w:color w:val="000000"/>
          <w:highlight w:val="none"/>
        </w:rPr>
      </w:r>
      <w:r/>
    </w:p>
    <w:p>
      <w:pPr>
        <w:pStyle w:val="97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6"/>
        <w:jc w:val="center"/>
        <w:spacing w:line="360" w:lineRule="auto"/>
        <w:rPr>
          <w:rFonts w:hint="eastAsia" w:ascii="宋体" w:hAnsi="宋体" w:eastAsia="宋体" w:cs="宋体"/>
          <w:color w:val="000000"/>
          <w:sz w:val="84"/>
          <w:szCs w:val="84"/>
          <w:highlight w:val="none"/>
        </w:rPr>
      </w:pPr>
      <w:r>
        <w:rPr>
          <w:rFonts w:hint="eastAsia" w:ascii="宋体" w:hAnsi="宋体" w:eastAsia="宋体" w:cs="宋体"/>
          <w:color w:val="000000"/>
          <w:sz w:val="84"/>
          <w:szCs w:val="84"/>
          <w:highlight w:val="none"/>
        </w:rPr>
        <w:t xml:space="preserve">苏州市政府采购</w:t>
      </w:r>
      <w:r>
        <w:rPr>
          <w:rFonts w:hint="eastAsia" w:ascii="宋体" w:hAnsi="宋体" w:eastAsia="宋体" w:cs="宋体"/>
          <w:color w:val="000000"/>
          <w:sz w:val="84"/>
          <w:szCs w:val="84"/>
          <w:highlight w:val="none"/>
        </w:rPr>
      </w:r>
      <w:r/>
    </w:p>
    <w:p>
      <w:pPr>
        <w:pStyle w:val="976"/>
        <w:jc w:val="center"/>
        <w:spacing w:line="360" w:lineRule="auto"/>
        <w:rPr>
          <w:rFonts w:hint="eastAsia" w:ascii="宋体" w:hAnsi="宋体" w:eastAsia="宋体" w:cs="宋体"/>
          <w:color w:val="000000"/>
          <w:highlight w:val="none"/>
        </w:rPr>
      </w:pPr>
      <w:r>
        <w:rPr>
          <w:rFonts w:hint="eastAsia" w:ascii="宋体" w:hAnsi="宋体" w:eastAsia="宋体" w:cs="宋体"/>
          <w:color w:val="000000"/>
          <w:sz w:val="84"/>
          <w:szCs w:val="84"/>
          <w:highlight w:val="none"/>
        </w:rPr>
        <w:t xml:space="preserve">招  标  文  件</w:t>
      </w:r>
      <w:r>
        <w:rPr>
          <w:rFonts w:hint="eastAsia" w:ascii="宋体" w:hAnsi="宋体" w:eastAsia="宋体" w:cs="宋体"/>
          <w:color w:val="000000"/>
          <w:highlight w:val="none"/>
        </w:rPr>
      </w:r>
      <w:r/>
    </w:p>
    <w:p>
      <w:pPr>
        <w:pStyle w:val="98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6"/>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1437894" cy="1437894"/>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437894" cy="14378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3.2pt;height:113.2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000000"/>
          <w:highlight w:val="none"/>
        </w:rPr>
      </w:r>
      <w:r/>
    </w:p>
    <w:p>
      <w:pPr>
        <w:pStyle w:val="97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4"/>
        <w:spacing w:line="360" w:lineRule="auto"/>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pStyle w:val="976"/>
        <w:spacing w:line="360" w:lineRule="auto"/>
        <w:rPr>
          <w:rFonts w:hint="eastAsia" w:ascii="宋体" w:hAnsi="宋体" w:eastAsia="宋体" w:cs="宋体"/>
          <w:bCs/>
          <w:color w:val="000000"/>
          <w:sz w:val="32"/>
          <w:highlight w:val="none"/>
          <w:lang w:eastAsia="zh-CN"/>
        </w:rPr>
      </w:pPr>
      <w:r>
        <w:rPr>
          <w:rFonts w:hint="eastAsia" w:ascii="宋体" w:hAnsi="宋体" w:eastAsia="宋体" w:cs="宋体"/>
          <w:bCs/>
          <w:color w:val="000000"/>
          <w:sz w:val="32"/>
          <w:highlight w:val="none"/>
        </w:rPr>
        <w:t xml:space="preserve">项目编号：</w:t>
      </w:r>
      <w:r>
        <w:rPr>
          <w:rFonts w:hint="eastAsia" w:ascii="宋体" w:hAnsi="宋体" w:eastAsia="宋体" w:cs="宋体"/>
          <w:color w:val="000000"/>
          <w:sz w:val="32"/>
          <w:szCs w:val="32"/>
          <w:highlight w:val="none"/>
          <w:lang w:eastAsia="zh-CN"/>
        </w:rPr>
        <w:t xml:space="preserve">JSZC-320506-SZZJ-G2024-0056</w:t>
      </w:r>
      <w:r>
        <w:rPr>
          <w:rFonts w:hint="eastAsia" w:ascii="宋体" w:hAnsi="宋体" w:eastAsia="宋体" w:cs="宋体"/>
          <w:bCs/>
          <w:color w:val="000000"/>
          <w:sz w:val="32"/>
          <w:highlight w:val="none"/>
          <w:lang w:eastAsia="zh-CN"/>
        </w:rPr>
      </w:r>
      <w:r/>
    </w:p>
    <w:p>
      <w:pPr>
        <w:pStyle w:val="976"/>
        <w:spacing w:line="360" w:lineRule="auto"/>
        <w:tabs>
          <w:tab w:val="left" w:pos="1744" w:leader="none"/>
        </w:tabs>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t xml:space="preserve">采 购 人：苏州市吴中区疾病预防控制中心</w:t>
      </w:r>
      <w:r>
        <w:rPr>
          <w:rFonts w:hint="eastAsia" w:ascii="宋体" w:hAnsi="宋体" w:eastAsia="宋体" w:cs="宋体"/>
          <w:bCs/>
          <w:color w:val="000000"/>
          <w:sz w:val="32"/>
          <w:highlight w:val="none"/>
        </w:rPr>
      </w:r>
      <w:r/>
    </w:p>
    <w:p>
      <w:pPr>
        <w:pStyle w:val="976"/>
        <w:spacing w:line="360" w:lineRule="auto"/>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t xml:space="preserve">项目名称：苏州市吴中区公共卫生中心新建项目污水垃圾处理系统</w:t>
      </w:r>
      <w:r>
        <w:rPr>
          <w:rFonts w:hint="eastAsia" w:ascii="宋体" w:hAnsi="宋体" w:eastAsia="宋体" w:cs="宋体"/>
          <w:bCs/>
          <w:color w:val="000000"/>
          <w:sz w:val="32"/>
          <w:highlight w:val="none"/>
        </w:rPr>
      </w:r>
      <w:r/>
    </w:p>
    <w:p>
      <w:pPr>
        <w:pStyle w:val="976"/>
        <w:jc w:val="left"/>
        <w:spacing w:line="360" w:lineRule="auto"/>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t xml:space="preserve">项目类别：货物类</w:t>
      </w:r>
      <w:r>
        <w:rPr>
          <w:rFonts w:hint="eastAsia" w:ascii="宋体" w:hAnsi="宋体" w:eastAsia="宋体" w:cs="宋体"/>
          <w:bCs/>
          <w:color w:val="000000"/>
          <w:sz w:val="32"/>
          <w:highlight w:val="none"/>
        </w:rPr>
      </w:r>
      <w:r/>
    </w:p>
    <w:p>
      <w:pPr>
        <w:pStyle w:val="97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6"/>
        <w:jc w:val="center"/>
        <w:spacing w:line="36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t xml:space="preserve">苏州正杰招投标咨询服务有限公司</w:t>
      </w:r>
      <w:r>
        <w:rPr>
          <w:rFonts w:hint="eastAsia" w:ascii="宋体" w:hAnsi="宋体" w:eastAsia="宋体" w:cs="宋体"/>
          <w:color w:val="000000"/>
          <w:sz w:val="32"/>
          <w:highlight w:val="none"/>
        </w:rPr>
      </w:r>
      <w:r/>
    </w:p>
    <w:p>
      <w:pPr>
        <w:pStyle w:val="976"/>
        <w:jc w:val="center"/>
        <w:spacing w:line="36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t xml:space="preserve">二○二四年十</w:t>
      </w:r>
      <w:r>
        <w:rPr>
          <w:rFonts w:hint="eastAsia" w:ascii="宋体" w:hAnsi="宋体" w:eastAsia="宋体" w:cs="宋体"/>
          <w:color w:val="000000"/>
          <w:sz w:val="32"/>
          <w:highlight w:val="none"/>
          <w:lang w:val="en-US" w:eastAsia="zh-CN"/>
        </w:rPr>
        <w:t xml:space="preserve">二</w:t>
      </w:r>
      <w:r>
        <w:rPr>
          <w:rFonts w:hint="eastAsia" w:ascii="宋体" w:hAnsi="宋体" w:eastAsia="宋体" w:cs="宋体"/>
          <w:color w:val="000000"/>
          <w:sz w:val="32"/>
          <w:highlight w:val="none"/>
        </w:rPr>
        <w:t xml:space="preserve">月</w:t>
      </w:r>
      <w:r>
        <w:rPr>
          <w:rFonts w:hint="eastAsia" w:ascii="宋体" w:hAnsi="宋体" w:eastAsia="宋体" w:cs="宋体"/>
          <w:color w:val="000000"/>
          <w:sz w:val="32"/>
          <w:highlight w:val="none"/>
        </w:rPr>
      </w:r>
      <w:r/>
    </w:p>
    <w:p>
      <w:pPr>
        <w:pStyle w:val="980"/>
        <w:ind w:firstLine="0"/>
        <w:jc w:val="center"/>
        <w:spacing w:line="360" w:lineRule="auto"/>
        <w:rPr>
          <w:rFonts w:hint="eastAsia" w:ascii="宋体" w:hAnsi="宋体" w:eastAsia="宋体" w:cs="宋体"/>
          <w:color w:val="000000"/>
          <w:sz w:val="52"/>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eastAsia="宋体" w:cs="宋体"/>
          <w:color w:val="000000"/>
          <w:sz w:val="52"/>
          <w:highlight w:val="none"/>
        </w:rPr>
      </w:r>
      <w:r/>
    </w:p>
    <w:p>
      <w:pPr>
        <w:pStyle w:val="980"/>
        <w:ind w:firstLine="0"/>
        <w:jc w:val="center"/>
        <w:spacing w:line="360" w:lineRule="auto"/>
        <w:rPr>
          <w:rFonts w:hint="eastAsia" w:ascii="宋体" w:hAnsi="宋体" w:eastAsia="宋体" w:cs="宋体"/>
          <w:color w:val="000000"/>
          <w:sz w:val="52"/>
          <w:highlight w:val="none"/>
        </w:rPr>
      </w:pPr>
      <w:r>
        <w:rPr>
          <w:rFonts w:hint="eastAsia" w:ascii="宋体" w:hAnsi="宋体" w:eastAsia="宋体" w:cs="宋体"/>
          <w:color w:val="000000"/>
          <w:sz w:val="52"/>
          <w:highlight w:val="none"/>
        </w:rPr>
      </w:r>
      <w:r/>
    </w:p>
    <w:p>
      <w:pPr>
        <w:pStyle w:val="980"/>
        <w:ind w:firstLine="0"/>
        <w:jc w:val="center"/>
        <w:spacing w:line="360" w:lineRule="auto"/>
        <w:rPr>
          <w:rFonts w:hint="eastAsia" w:ascii="宋体" w:hAnsi="宋体" w:eastAsia="宋体" w:cs="宋体"/>
          <w:color w:val="000000"/>
          <w:sz w:val="52"/>
          <w:highlight w:val="none"/>
        </w:rPr>
      </w:pPr>
      <w:r>
        <w:rPr>
          <w:rFonts w:hint="eastAsia" w:ascii="宋体" w:hAnsi="宋体" w:eastAsia="宋体" w:cs="宋体"/>
          <w:color w:val="000000"/>
          <w:sz w:val="52"/>
          <w:highlight w:val="none"/>
        </w:rPr>
        <w:t xml:space="preserve">目录</w:t>
      </w:r>
      <w:r>
        <w:rPr>
          <w:rFonts w:hint="eastAsia" w:ascii="宋体" w:hAnsi="宋体" w:eastAsia="宋体" w:cs="宋体"/>
          <w:color w:val="000000"/>
          <w:sz w:val="52"/>
          <w:highlight w:val="none"/>
        </w:rPr>
      </w:r>
      <w:r/>
    </w:p>
    <w:p>
      <w:pPr>
        <w:pStyle w:val="980"/>
        <w:ind w:firstLine="0"/>
        <w:jc w:val="center"/>
        <w:spacing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r>
      <w:r/>
    </w:p>
    <w:p>
      <w:pPr>
        <w:pStyle w:val="980"/>
        <w:ind w:firstLine="0"/>
        <w:jc w:val="center"/>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76"/>
        <w:spacing w:line="360" w:lineRule="auto"/>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第一章 投标邀请函........................................</w:t>
      </w:r>
      <w:r>
        <w:rPr>
          <w:rFonts w:hint="eastAsia" w:ascii="宋体" w:hAnsi="宋体" w:eastAsia="宋体" w:cs="宋体"/>
          <w:color w:val="000000"/>
          <w:sz w:val="30"/>
          <w:szCs w:val="30"/>
          <w:highlight w:val="none"/>
        </w:rPr>
      </w:r>
      <w:r/>
    </w:p>
    <w:p>
      <w:pPr>
        <w:pStyle w:val="976"/>
        <w:spacing w:line="360" w:lineRule="auto"/>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第二章 投标人须知........................................</w:t>
      </w:r>
      <w:r>
        <w:rPr>
          <w:rFonts w:hint="eastAsia" w:ascii="宋体" w:hAnsi="宋体" w:eastAsia="宋体" w:cs="宋体"/>
          <w:color w:val="000000"/>
          <w:sz w:val="30"/>
          <w:szCs w:val="30"/>
          <w:highlight w:val="none"/>
        </w:rPr>
      </w:r>
      <w:r/>
    </w:p>
    <w:p>
      <w:pPr>
        <w:pStyle w:val="976"/>
        <w:spacing w:line="360" w:lineRule="auto"/>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第三章 投标文件格式......................................</w:t>
      </w:r>
      <w:r>
        <w:rPr>
          <w:rFonts w:hint="eastAsia" w:ascii="宋体" w:hAnsi="宋体" w:eastAsia="宋体" w:cs="宋体"/>
          <w:color w:val="000000"/>
          <w:sz w:val="30"/>
          <w:szCs w:val="30"/>
          <w:highlight w:val="none"/>
        </w:rPr>
      </w:r>
      <w:r/>
    </w:p>
    <w:p>
      <w:pPr>
        <w:pStyle w:val="976"/>
        <w:spacing w:line="360" w:lineRule="auto"/>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第四章 采购需求..........................................</w:t>
      </w:r>
      <w:r>
        <w:rPr>
          <w:rFonts w:hint="eastAsia" w:ascii="宋体" w:hAnsi="宋体" w:eastAsia="宋体" w:cs="宋体"/>
          <w:color w:val="000000"/>
          <w:sz w:val="30"/>
          <w:szCs w:val="30"/>
          <w:highlight w:val="none"/>
        </w:rPr>
      </w:r>
      <w:r/>
    </w:p>
    <w:p>
      <w:pPr>
        <w:pStyle w:val="976"/>
        <w:spacing w:line="360" w:lineRule="auto"/>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第五章 合同主要条款......................................</w:t>
      </w:r>
      <w:r>
        <w:rPr>
          <w:rFonts w:hint="eastAsia" w:ascii="宋体" w:hAnsi="宋体" w:eastAsia="宋体" w:cs="宋体"/>
          <w:color w:val="000000"/>
          <w:sz w:val="30"/>
          <w:szCs w:val="30"/>
          <w:highlight w:val="none"/>
        </w:rPr>
      </w:r>
      <w:r/>
    </w:p>
    <w:p>
      <w:pPr>
        <w:pStyle w:val="976"/>
        <w:spacing w:line="360" w:lineRule="auto"/>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第六章 评分方法和评分标准................................</w:t>
      </w:r>
      <w:r>
        <w:rPr>
          <w:rFonts w:hint="eastAsia" w:ascii="宋体" w:hAnsi="宋体" w:eastAsia="宋体" w:cs="宋体"/>
          <w:color w:val="000000"/>
          <w:sz w:val="30"/>
          <w:szCs w:val="30"/>
          <w:highlight w:val="none"/>
        </w:rPr>
      </w:r>
      <w:r/>
    </w:p>
    <w:p>
      <w:pPr>
        <w:pStyle w:val="980"/>
        <w:ind w:firstLine="0"/>
        <w:jc w:val="center"/>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76"/>
        <w:jc w:val="center"/>
        <w:spacing w:line="360" w:lineRule="auto"/>
        <w:widowControl/>
        <w:rPr>
          <w:rFonts w:hint="eastAsia" w:ascii="宋体" w:hAnsi="宋体" w:eastAsia="宋体" w:cs="宋体"/>
          <w:color w:val="000000"/>
          <w:sz w:val="30"/>
          <w:szCs w:val="30"/>
          <w:highlight w:val="none"/>
        </w:rPr>
        <w:sectPr>
          <w:footerReference w:type="default" r:id="rId15"/>
          <w:footerReference w:type="first" r:id="rId16"/>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eastAsia="宋体" w:cs="宋体"/>
          <w:color w:val="000000"/>
          <w:sz w:val="30"/>
          <w:szCs w:val="30"/>
          <w:highlight w:val="none"/>
        </w:rPr>
      </w:r>
      <w:r/>
    </w:p>
    <w:p>
      <w:pPr>
        <w:pStyle w:val="976"/>
        <w:jc w:val="center"/>
        <w:spacing w:line="360" w:lineRule="auto"/>
        <w:widowControl/>
        <w:rPr>
          <w:rFonts w:hint="eastAsia" w:ascii="宋体" w:hAnsi="宋体" w:eastAsia="宋体" w:cs="宋体"/>
          <w:color w:val="000000"/>
          <w:sz w:val="32"/>
          <w:highlight w:val="none"/>
        </w:rPr>
      </w:pPr>
      <w:r>
        <w:rPr>
          <w:rFonts w:hint="eastAsia" w:ascii="宋体" w:hAnsi="宋体" w:eastAsia="宋体" w:cs="宋体"/>
          <w:color w:val="000000"/>
          <w:sz w:val="24"/>
          <w:szCs w:val="24"/>
          <w:highlight w:val="none"/>
        </w:rPr>
        <w:t xml:space="preserve">第一章 投标邀请函</w:t>
      </w:r>
      <w:r>
        <w:rPr>
          <w:rFonts w:hint="eastAsia" w:ascii="宋体" w:hAnsi="宋体" w:eastAsia="宋体" w:cs="宋体"/>
          <w:color w:val="000000"/>
          <w:sz w:val="32"/>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苏州正杰招投标咨询服务有限公司受苏州市吴中区疾病预防控制中心的委托，就其所需的</w:t>
      </w:r>
      <w:r>
        <w:rPr>
          <w:rFonts w:hint="eastAsia" w:ascii="宋体" w:hAnsi="宋体" w:eastAsia="宋体" w:cs="宋体"/>
          <w:color w:val="000000"/>
          <w:sz w:val="24"/>
          <w:szCs w:val="24"/>
          <w:highlight w:val="none"/>
        </w:rPr>
        <w:t xml:space="preserve">苏州市吴中区公共卫生中心新建项目污水垃圾处理系统项目</w:t>
      </w:r>
      <w:r>
        <w:rPr>
          <w:rFonts w:hint="eastAsia" w:ascii="宋体" w:hAnsi="宋体" w:eastAsia="宋体" w:cs="宋体"/>
          <w:color w:val="000000"/>
          <w:sz w:val="24"/>
          <w:szCs w:val="24"/>
          <w:highlight w:val="none"/>
        </w:rPr>
        <w:t xml:space="preserve">进行公开招标，欢迎符合资格条件和具备履约能力的供应商单位前来参与。</w:t>
      </w:r>
      <w:r>
        <w:rPr>
          <w:rFonts w:hint="eastAsia" w:ascii="宋体" w:hAnsi="宋体" w:eastAsia="宋体" w:cs="宋体"/>
          <w:color w:val="000000"/>
          <w:sz w:val="24"/>
          <w:szCs w:val="24"/>
          <w:highlight w:val="none"/>
        </w:rPr>
      </w:r>
      <w:r/>
    </w:p>
    <w:p>
      <w:pPr>
        <w:pStyle w:val="976"/>
        <w:ind w:firstLine="482"/>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一、项目基本情况：</w:t>
      </w:r>
      <w:r>
        <w:rPr>
          <w:rFonts w:hint="eastAsia" w:ascii="宋体" w:hAnsi="宋体" w:eastAsia="宋体" w:cs="宋体"/>
          <w:b/>
          <w:bCs/>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JSZC-320506-SZZJ-G2024-0056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4"/>
          <w:szCs w:val="24"/>
          <w:highlight w:val="none"/>
        </w:rPr>
        <w:t xml:space="preserve">项目名称：苏州市吴中区公共卫生中心新建项目污水垃圾处理系统。</w:t>
      </w:r>
      <w:r>
        <w:rPr>
          <w:rFonts w:hint="eastAsia" w:ascii="宋体" w:hAnsi="宋体" w:eastAsia="宋体" w:cs="宋体"/>
          <w:color w:val="000000"/>
          <w:sz w:val="21"/>
          <w:szCs w:val="21"/>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预算金额：人民币1731604.00元。</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最高限价：人民币1731604.00元。</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1、标的的名称：苏州市吴中区公共卫生中心新建项目污水垃圾处理系统。</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2、数量：1项。</w:t>
      </w:r>
      <w:r>
        <w:rPr>
          <w:rFonts w:hint="eastAsia" w:ascii="宋体" w:hAnsi="宋体" w:eastAsia="宋体" w:cs="宋体"/>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3、简要技术需求或服务要求等：</w:t>
      </w:r>
      <w:r>
        <w:rPr>
          <w:rFonts w:hint="eastAsia" w:ascii="宋体" w:hAnsi="宋体" w:eastAsia="宋体" w:cs="宋体"/>
          <w:bCs/>
          <w:color w:val="000000"/>
          <w:sz w:val="24"/>
          <w:szCs w:val="24"/>
          <w:highlight w:val="none"/>
        </w:rPr>
        <w:t xml:space="preserve">具体详见招标文件采购需求。</w:t>
      </w:r>
      <w:r>
        <w:rPr>
          <w:rFonts w:hint="eastAsia" w:ascii="宋体" w:hAnsi="宋体" w:eastAsia="宋体" w:cs="宋体"/>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4、合同履行期限：</w:t>
      </w:r>
      <w:r>
        <w:rPr>
          <w:rFonts w:hint="eastAsia" w:ascii="宋体" w:hAnsi="宋体" w:eastAsia="宋体" w:cs="宋体"/>
          <w:color w:val="000000"/>
          <w:sz w:val="24"/>
          <w:szCs w:val="24"/>
          <w:highlight w:val="none"/>
        </w:rPr>
        <w:t xml:space="preserve">自202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年1月</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日起至2025年</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日止</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本项不接受联合体投标、不接受进口产品、不允许转包。</w:t>
      </w:r>
      <w:r>
        <w:rPr>
          <w:rFonts w:hint="eastAsia" w:ascii="宋体" w:hAnsi="宋体" w:eastAsia="宋体" w:cs="宋体"/>
          <w:color w:val="000000"/>
          <w:sz w:val="24"/>
          <w:szCs w:val="24"/>
          <w:highlight w:val="none"/>
        </w:rPr>
      </w:r>
      <w:r/>
    </w:p>
    <w:p>
      <w:pPr>
        <w:pStyle w:val="976"/>
        <w:ind w:firstLine="482"/>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二、申请人的资格要求：</w:t>
      </w:r>
      <w:r>
        <w:rPr>
          <w:rFonts w:hint="eastAsia" w:ascii="宋体" w:hAnsi="宋体" w:eastAsia="宋体" w:cs="宋体"/>
          <w:b/>
          <w:bCs/>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1、合格供应商的一般条件：</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1.1具有独立承担民事责任的能力。</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1.2具有良好的商业信誉和健全的财务会计制度。</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1.3具有履行合同所必需的设备和专业技术能力。</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1.4有依法缴纳税收和社会保障资金的良好记录。</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1.5参加政府采购活动前三年内，在经营活动中没有重大违法记录。</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1.6法律、行政法规规定的其他条件。</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2、落实政府采购政策需满足的资格要求：根据《政府采购促进中小企业发展管理办法》的相关规定，本项目专门面向中小企业，所属行业为工业，投标人应为中小微企业、监狱企业、残疾人福利性单位。</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3、本项目的特定资格要求：无。</w:t>
      </w:r>
      <w:r>
        <w:rPr>
          <w:rFonts w:hint="eastAsia" w:ascii="宋体" w:hAnsi="宋体" w:eastAsia="宋体" w:cs="宋体"/>
          <w:color w:val="000000"/>
          <w:sz w:val="24"/>
          <w:szCs w:val="24"/>
          <w:highlight w:val="none"/>
        </w:rPr>
      </w:r>
      <w:r/>
    </w:p>
    <w:p>
      <w:pPr>
        <w:pStyle w:val="976"/>
        <w:ind w:firstLine="482"/>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三、获取招标文件：</w:t>
      </w:r>
      <w:r>
        <w:rPr>
          <w:rFonts w:hint="eastAsia" w:ascii="宋体" w:hAnsi="宋体" w:eastAsia="宋体" w:cs="宋体"/>
          <w:b/>
          <w:bCs/>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时间：自招标文件公告发布之日起5个工作日。</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地点：“苏采云”系统自行下载招标文件。</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方式（网上报名）：</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（1）CA办理：</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供应商通过“苏采云”政府采购交易系统（以下简称苏采云系统，网址：h</w:t>
      </w:r>
      <w:r>
        <w:rPr>
          <w:rFonts w:hint="eastAsia" w:ascii="宋体" w:hAnsi="宋体" w:eastAsia="宋体" w:cs="宋体"/>
          <w:color w:val="000000"/>
          <w:sz w:val="24"/>
          <w:szCs w:val="24"/>
          <w:highlight w:val="none"/>
        </w:rPr>
        <w:t xml:space="preserve">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（2）依法获取采购文件：</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插入CA证书登录“苏采云”系统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考虑到熟悉“苏采云”系统、办理CA证书都需要一定的时间，请提早准备以免耽误招标采购活动。</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未依照采购公告要求获取采购文件的供应商，视为未参加该项政府采购活动，不具备对该政府采购项目提出质疑的法定权利。</w:t>
      </w:r>
      <w:r>
        <w:rPr>
          <w:rFonts w:hint="eastAsia" w:ascii="宋体" w:hAnsi="宋体" w:eastAsia="宋体" w:cs="宋体"/>
          <w:color w:val="000000"/>
          <w:sz w:val="24"/>
          <w:szCs w:val="24"/>
          <w:highlight w:val="none"/>
        </w:rPr>
      </w:r>
      <w:r/>
    </w:p>
    <w:p>
      <w:pPr>
        <w:pStyle w:val="976"/>
        <w:ind w:firstLine="480"/>
        <w:spacing w:line="360" w:lineRule="auto"/>
        <w:rPr>
          <w:rFonts w:ascii="宋体" w:hAnsi="宋体" w:eastAsia="宋体"/>
          <w:color w:val="000000"/>
          <w:szCs w:val="21"/>
          <w:highlight w:val="none"/>
        </w:rPr>
      </w:pPr>
      <w:r>
        <w:rPr>
          <w:rFonts w:hint="eastAsia" w:ascii="宋体" w:hAnsi="宋体" w:eastAsia="宋体" w:cs="宋体"/>
          <w:color w:val="000000"/>
          <w:sz w:val="24"/>
          <w:szCs w:val="24"/>
          <w:highlight w:val="none"/>
        </w:rPr>
        <w:t xml:space="preserve">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ascii="宋体" w:hAnsi="宋体" w:eastAsia="宋体"/>
          <w:color w:val="000000"/>
          <w:szCs w:val="21"/>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（3）技术咨询服务电话：</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CA技术咨询服务电话：400-608-6099；</w:t>
      </w:r>
      <w:r>
        <w:rPr>
          <w:rFonts w:hint="eastAsia" w:ascii="宋体" w:hAnsi="宋体" w:eastAsia="宋体" w:cs="宋体"/>
          <w:color w:val="000000"/>
          <w:sz w:val="24"/>
          <w:szCs w:val="24"/>
          <w:highlight w:val="none"/>
        </w:rPr>
      </w:r>
      <w:r/>
    </w:p>
    <w:p>
      <w:pPr>
        <w:pStyle w:val="976"/>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电子签章技术咨询服务电话：025-83633811、025-83633812、15380932027、15371015030；</w:t>
      </w:r>
      <w:r>
        <w:rPr>
          <w:rFonts w:hint="eastAsia" w:ascii="宋体" w:hAnsi="宋体" w:eastAsia="宋体" w:cs="宋体"/>
          <w:color w:val="000000"/>
          <w:sz w:val="24"/>
          <w:szCs w:val="24"/>
          <w:highlight w:val="none"/>
        </w:rPr>
      </w:r>
      <w:r/>
    </w:p>
    <w:p>
      <w:pPr>
        <w:pStyle w:val="976"/>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苏州市及区县“苏采云”系统使用指导与咨询：联系电话：0512-69820854、18261002950；QQ：3048755361、1315179389、895706745；智能客服：登录苏采云系统后，联系系统右下方智能客服图标进行咨询。</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售价：本项目免费下载电子采购文件。</w:t>
      </w:r>
      <w:r>
        <w:rPr>
          <w:rFonts w:hint="eastAsia" w:ascii="宋体" w:hAnsi="宋体" w:eastAsia="宋体" w:cs="宋体"/>
          <w:color w:val="000000"/>
          <w:sz w:val="24"/>
          <w:szCs w:val="24"/>
          <w:highlight w:val="none"/>
        </w:rPr>
      </w:r>
      <w:r/>
    </w:p>
    <w:p>
      <w:pPr>
        <w:pStyle w:val="976"/>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四、提交投标文件截止时间、开标时间和地点： </w:t>
      </w:r>
      <w:r>
        <w:rPr>
          <w:rFonts w:hint="eastAsia" w:ascii="宋体" w:hAnsi="宋体" w:eastAsia="宋体" w:cs="宋体"/>
          <w:b/>
          <w:bCs/>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1、时间：2025年1</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none"/>
        </w:rPr>
        <w:t xml:space="preserve">6</w:t>
      </w:r>
      <w:r>
        <w:rPr>
          <w:rFonts w:hint="eastAsia" w:ascii="宋体" w:hAnsi="宋体" w:eastAsia="宋体" w:cs="宋体"/>
          <w:color w:val="000000"/>
          <w:sz w:val="24"/>
          <w:szCs w:val="24"/>
          <w:highlight w:val="none"/>
        </w:rPr>
        <w:t xml:space="preserve">日9点30分（北京时间）。</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2、地点：“苏采云”系统（网址：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"http://jszfcg.jsczt.cn/）\“开标大厅\”。" </w:instrText>
      </w:r>
      <w:r>
        <w:rPr>
          <w:rFonts w:hint="eastAsia" w:ascii="宋体" w:hAnsi="宋体" w:eastAsia="宋体" w:cs="宋体"/>
          <w:color w:val="000000"/>
          <w:sz w:val="24"/>
          <w:szCs w:val="24"/>
          <w:highlight w:val="none"/>
        </w:rPr>
        <w:fldChar w:fldCharType="separate"/>
      </w:r>
      <w:r>
        <w:rPr>
          <w:rStyle w:val="993"/>
          <w:rFonts w:hint="eastAsia" w:ascii="宋体" w:hAnsi="宋体" w:eastAsia="宋体" w:cs="宋体"/>
          <w:color w:val="000000"/>
          <w:sz w:val="24"/>
          <w:szCs w:val="24"/>
          <w:highlight w:val="none"/>
        </w:rPr>
        <w:t xml:space="preserve">http：//jszfcg.jsczt.cn/）。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t xml:space="preserve">、方式：投标文件网上递交</w:t>
      </w:r>
      <w:bookmarkStart w:id="0" w:name="_Hlk90650305"/>
      <w:r/>
      <w:bookmarkEnd w:id="0"/>
      <w:r/>
      <w:bookmarkStart w:id="1" w:name="_Hlk90650417"/>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，不需要现场参加采购活动。</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线上参加开标（开启）会方式：供应商登录</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苏采云</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系统，点击</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开标大厅</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，选择对应项目，点击进入不见面开标系统。</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本项目为不见面开标（开启）项目，</w:t>
      </w:r>
      <w:r>
        <w:rPr>
          <w:rFonts w:hint="eastAsia" w:ascii="宋体" w:hAnsi="宋体" w:eastAsia="宋体" w:cs="宋体"/>
          <w:b/>
          <w:bCs/>
          <w:color w:val="000000"/>
          <w:sz w:val="24"/>
          <w:szCs w:val="24"/>
          <w:highlight w:val="none"/>
        </w:rPr>
        <w:t xml:space="preserve">开启阶段供应商在【解密环节】必须使用</w:t>
      </w:r>
      <w:r>
        <w:rPr>
          <w:rFonts w:ascii="宋体" w:hAnsi="宋体" w:eastAsia="宋体" w:cs="宋体"/>
          <w:b/>
          <w:bCs/>
          <w:color w:val="000000"/>
          <w:sz w:val="24"/>
          <w:szCs w:val="24"/>
          <w:highlight w:val="none"/>
        </w:rPr>
        <w:t xml:space="preserve"> CA</w:t>
      </w:r>
      <w:r>
        <w:rPr>
          <w:rFonts w:hint="eastAsia" w:ascii="宋体" w:hAnsi="宋体" w:eastAsia="宋体" w:cs="宋体"/>
          <w:b/>
          <w:bCs/>
          <w:color w:val="000000"/>
          <w:sz w:val="24"/>
          <w:szCs w:val="24"/>
          <w:highlight w:val="none"/>
        </w:rPr>
        <w:t xml:space="preserve">证书解密电子投标（响应）文件，如在</w:t>
      </w:r>
      <w:r>
        <w:rPr>
          <w:rFonts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t xml:space="preserve">苏采云</w:t>
      </w:r>
      <w:r>
        <w:rPr>
          <w:rFonts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t xml:space="preserve">系统规定的时间内未能成功解密的视为放弃参与本项目，投标无效。</w:t>
      </w:r>
      <w:r>
        <w:rPr>
          <w:rFonts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请供应商确保电脑、系统及其他设备（视频输入输出设备等）无误，且开启直至项目结束始终保持系统在线状态。</w:t>
      </w:r>
      <w:r>
        <w:rPr>
          <w:rFonts w:ascii="宋体" w:hAnsi="宋体" w:eastAsia="宋体" w:cs="宋体"/>
          <w:color w:val="000000"/>
          <w:sz w:val="24"/>
          <w:szCs w:val="24"/>
          <w:highlight w:val="none"/>
        </w:rPr>
        <w:t xml:space="preserve"> </w:t>
      </w:r>
      <w:bookmarkEnd w:id="1"/>
      <w:r>
        <w:rPr>
          <w:rFonts w:hint="eastAsia" w:ascii="宋体" w:hAnsi="宋体" w:eastAsia="宋体" w:cs="宋体"/>
          <w:color w:val="000000"/>
          <w:sz w:val="24"/>
          <w:szCs w:val="24"/>
          <w:highlight w:val="none"/>
        </w:rPr>
      </w:r>
      <w:r/>
    </w:p>
    <w:p>
      <w:pPr>
        <w:pStyle w:val="976"/>
        <w:ind w:firstLine="482"/>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五、公告期限：</w:t>
      </w:r>
      <w:r>
        <w:rPr>
          <w:rFonts w:hint="eastAsia" w:ascii="宋体" w:hAnsi="宋体" w:eastAsia="宋体" w:cs="宋体"/>
          <w:b/>
          <w:bCs/>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自本公告发布之日起5个工作日。</w:t>
      </w:r>
      <w:r>
        <w:rPr>
          <w:rFonts w:hint="eastAsia" w:ascii="宋体" w:hAnsi="宋体" w:eastAsia="宋体" w:cs="宋体"/>
          <w:color w:val="000000"/>
          <w:sz w:val="24"/>
          <w:szCs w:val="24"/>
          <w:highlight w:val="none"/>
        </w:rPr>
      </w:r>
      <w:r/>
    </w:p>
    <w:p>
      <w:pPr>
        <w:pStyle w:val="976"/>
        <w:ind w:firstLine="482"/>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六、其他补充事宜：</w:t>
      </w:r>
      <w:r>
        <w:rPr>
          <w:rFonts w:hint="eastAsia" w:ascii="宋体" w:hAnsi="宋体" w:eastAsia="宋体" w:cs="宋体"/>
          <w:b/>
          <w:bCs/>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1、采购项目需要落实的政府采购政策：</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促进中小企业发展管理办法》（财库〔2020〕46号）、《关于做好政府采购支持企业发展有关事项的通知》（苏财购〔2020〕52号）及《关于印发＜苏州市政府采购促进中小企业发展实施意见&gt;的通知》（苏财购〔2022〕16号）的规定。</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《关于政府采购支持监狱企业发展有关问题的通知》（财库〔2014〕68号）。</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《关于促进残疾人就业政府采购政策的通知》（财库〔2017〕141号）。</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开评标过程中如有问题采购代理机构工作人员会及时通过报名时在投标确认函模块留存的手机号与供应商联系。此号码在开标截止之前可修改，以投标文件中投标函保存的最新号码为准，请供应商确保该手机号开评标当日通讯畅通，否则导致的对供应商不利的后果由供应商自行承担。</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3、如不同供应商使用同一台电脑制作的电子响应文件的，双方“文件制作机器码”一致的，则其投标文件将被认定为无效响应。</w:t>
      </w:r>
      <w:r>
        <w:rPr>
          <w:rFonts w:hint="eastAsia" w:ascii="宋体" w:hAnsi="宋体" w:eastAsia="宋体" w:cs="宋体"/>
          <w:color w:val="000000"/>
          <w:sz w:val="24"/>
          <w:szCs w:val="24"/>
          <w:highlight w:val="none"/>
          <w:lang w:val="zh-CN"/>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4、本项目获取招标文件截止日期之后仍可以下载招标文件，但截止日期之后下载的招标文件，视为非有效方式且不作为供应商权益受到损害的证明材料和依据。</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5、政府采购监督电话：</w:t>
      </w:r>
      <w:r>
        <w:rPr>
          <w:rFonts w:hint="eastAsia" w:ascii="宋体" w:hAnsi="宋体" w:cs="宋体"/>
          <w:bCs/>
          <w:color w:val="000000"/>
          <w:sz w:val="24"/>
          <w:szCs w:val="24"/>
          <w:highlight w:val="none"/>
        </w:rPr>
        <w:t xml:space="preserve">0512-</w:t>
      </w:r>
      <w:r>
        <w:rPr>
          <w:rFonts w:ascii="宋体" w:hAnsi="宋体"/>
          <w:color w:val="000000"/>
          <w:sz w:val="24"/>
          <w:szCs w:val="24"/>
          <w:highlight w:val="none"/>
        </w:rPr>
        <w:t xml:space="preserve">65283947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6"/>
        <w:ind w:firstLine="482"/>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七、对本次招标提出询问，请按以下方式联系：</w:t>
      </w:r>
      <w:r>
        <w:rPr>
          <w:rFonts w:hint="eastAsia" w:ascii="宋体" w:hAnsi="宋体" w:eastAsia="宋体" w:cs="宋体"/>
          <w:b/>
          <w:bCs/>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lang w:val="zh-CN"/>
        </w:rPr>
        <w:outlineLvl w:val="1"/>
      </w:pPr>
      <w:r>
        <w:rPr>
          <w:rFonts w:hint="eastAsia" w:ascii="宋体" w:hAnsi="宋体" w:eastAsia="宋体" w:cs="宋体"/>
          <w:color w:val="000000"/>
          <w:sz w:val="24"/>
          <w:szCs w:val="24"/>
          <w:highlight w:val="none"/>
          <w:lang w:val="zh-CN"/>
        </w:rPr>
        <w:t xml:space="preserve">1、采购人信息：</w:t>
      </w:r>
      <w:r>
        <w:rPr>
          <w:rFonts w:hint="eastAsia" w:ascii="宋体" w:hAnsi="宋体" w:eastAsia="宋体" w:cs="宋体"/>
          <w:color w:val="000000"/>
          <w:sz w:val="24"/>
          <w:szCs w:val="24"/>
          <w:highlight w:val="none"/>
          <w:lang w:val="zh-CN"/>
        </w:rPr>
      </w:r>
      <w:r/>
    </w:p>
    <w:p>
      <w:pPr>
        <w:pStyle w:val="976"/>
        <w:ind w:firstLine="480"/>
        <w:spacing w:line="360" w:lineRule="auto"/>
        <w:rPr>
          <w:rFonts w:hint="eastAsia" w:ascii="宋体" w:hAnsi="宋体" w:eastAsia="宋体" w:cs="宋体"/>
          <w:color w:val="000000"/>
          <w:sz w:val="24"/>
          <w:szCs w:val="24"/>
          <w:highlight w:val="none"/>
          <w:lang w:val="zh-CN"/>
        </w:rPr>
        <w:outlineLvl w:val="1"/>
      </w:pPr>
      <w:r>
        <w:rPr>
          <w:rFonts w:hint="eastAsia" w:ascii="宋体" w:hAnsi="宋体" w:eastAsia="宋体" w:cs="宋体"/>
          <w:color w:val="000000"/>
          <w:sz w:val="24"/>
          <w:szCs w:val="24"/>
          <w:highlight w:val="none"/>
          <w:lang w:val="zh-CN"/>
        </w:rPr>
        <w:t xml:space="preserve">名称：苏州市吴中区疾病预防控制中心。</w:t>
      </w:r>
      <w:r>
        <w:rPr>
          <w:rFonts w:hint="eastAsia" w:ascii="宋体" w:hAnsi="宋体" w:eastAsia="宋体" w:cs="宋体"/>
          <w:color w:val="000000"/>
          <w:sz w:val="24"/>
          <w:szCs w:val="24"/>
          <w:highlight w:val="none"/>
          <w:lang w:val="zh-CN"/>
        </w:rPr>
      </w:r>
      <w:r/>
    </w:p>
    <w:p>
      <w:pPr>
        <w:pStyle w:val="976"/>
        <w:ind w:firstLine="480"/>
        <w:spacing w:line="360" w:lineRule="auto"/>
        <w:rPr>
          <w:rFonts w:hint="eastAsia" w:ascii="宋体" w:hAnsi="宋体" w:eastAsia="宋体" w:cs="宋体"/>
          <w:color w:val="000000"/>
          <w:sz w:val="24"/>
          <w:szCs w:val="24"/>
          <w:highlight w:val="none"/>
          <w:lang w:val="zh-CN"/>
        </w:rPr>
        <w:outlineLvl w:val="1"/>
      </w:pPr>
      <w:r>
        <w:rPr>
          <w:rFonts w:hint="eastAsia" w:ascii="宋体" w:hAnsi="宋体" w:eastAsia="宋体" w:cs="宋体"/>
          <w:color w:val="000000"/>
          <w:sz w:val="24"/>
          <w:szCs w:val="24"/>
          <w:highlight w:val="none"/>
          <w:lang w:val="zh-CN"/>
        </w:rPr>
        <w:t xml:space="preserve">地址：苏州市吴中区太湖西路269号。</w:t>
      </w:r>
      <w:r>
        <w:rPr>
          <w:rFonts w:hint="eastAsia" w:ascii="宋体" w:hAnsi="宋体" w:eastAsia="宋体" w:cs="宋体"/>
          <w:color w:val="000000"/>
          <w:sz w:val="24"/>
          <w:szCs w:val="24"/>
          <w:highlight w:val="none"/>
          <w:lang w:val="zh-CN"/>
        </w:rPr>
      </w:r>
      <w:r/>
    </w:p>
    <w:p>
      <w:pPr>
        <w:pStyle w:val="976"/>
        <w:ind w:firstLine="480"/>
        <w:spacing w:line="360" w:lineRule="auto"/>
        <w:rPr>
          <w:rFonts w:hint="eastAsia" w:ascii="宋体" w:hAnsi="宋体" w:eastAsia="宋体" w:cs="宋体"/>
          <w:color w:val="000000"/>
          <w:sz w:val="24"/>
          <w:szCs w:val="24"/>
          <w:highlight w:val="none"/>
          <w:lang w:val="zh-CN"/>
        </w:rPr>
        <w:outlineLvl w:val="1"/>
      </w:pPr>
      <w:r>
        <w:rPr>
          <w:rFonts w:hint="eastAsia" w:ascii="宋体" w:hAnsi="宋体" w:eastAsia="宋体" w:cs="宋体"/>
          <w:color w:val="000000"/>
          <w:sz w:val="24"/>
          <w:szCs w:val="24"/>
          <w:highlight w:val="none"/>
          <w:lang w:val="zh-CN"/>
        </w:rPr>
        <w:t xml:space="preserve">联系方式：电话0512-65137005。</w:t>
      </w:r>
      <w:r>
        <w:rPr>
          <w:rFonts w:hint="eastAsia" w:ascii="宋体" w:hAnsi="宋体" w:eastAsia="宋体" w:cs="宋体"/>
          <w:color w:val="000000"/>
          <w:sz w:val="24"/>
          <w:szCs w:val="24"/>
          <w:highlight w:val="none"/>
          <w:lang w:val="zh-CN"/>
        </w:rPr>
      </w:r>
      <w:r/>
    </w:p>
    <w:p>
      <w:pPr>
        <w:pStyle w:val="976"/>
        <w:ind w:firstLine="480"/>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lang w:val="zh-CN"/>
        </w:rPr>
        <w:t xml:space="preserve">陆益彰</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lang w:val="zh-CN"/>
        </w:rPr>
        <w:outlineLvl w:val="1"/>
      </w:pPr>
      <w:r>
        <w:rPr>
          <w:rFonts w:hint="eastAsia" w:ascii="宋体" w:hAnsi="宋体" w:eastAsia="宋体" w:cs="宋体"/>
          <w:color w:val="000000"/>
          <w:sz w:val="24"/>
          <w:szCs w:val="24"/>
          <w:highlight w:val="none"/>
          <w:lang w:val="zh-CN"/>
        </w:rPr>
        <w:t xml:space="preserve">2、采购代理机构信息：</w:t>
      </w:r>
      <w:r>
        <w:rPr>
          <w:rFonts w:hint="eastAsia" w:ascii="宋体" w:hAnsi="宋体" w:eastAsia="宋体" w:cs="宋体"/>
          <w:color w:val="000000"/>
          <w:sz w:val="24"/>
          <w:szCs w:val="24"/>
          <w:highlight w:val="none"/>
          <w:lang w:val="zh-CN"/>
        </w:rPr>
      </w:r>
      <w:r/>
    </w:p>
    <w:p>
      <w:pPr>
        <w:pStyle w:val="976"/>
        <w:ind w:firstLine="480"/>
        <w:spacing w:line="360" w:lineRule="auto"/>
        <w:rPr>
          <w:rFonts w:hint="eastAsia" w:ascii="宋体" w:hAnsi="宋体" w:eastAsia="宋体" w:cs="宋体"/>
          <w:color w:val="000000"/>
          <w:sz w:val="24"/>
          <w:szCs w:val="24"/>
          <w:highlight w:val="none"/>
          <w:lang w:val="zh-CN"/>
        </w:rPr>
        <w:outlineLvl w:val="1"/>
      </w:pPr>
      <w:r>
        <w:rPr>
          <w:rFonts w:hint="eastAsia" w:ascii="宋体" w:hAnsi="宋体" w:eastAsia="宋体" w:cs="宋体"/>
          <w:color w:val="000000"/>
          <w:sz w:val="24"/>
          <w:szCs w:val="24"/>
          <w:highlight w:val="none"/>
          <w:lang w:val="zh-CN"/>
        </w:rPr>
        <w:t xml:space="preserve">名称：苏州正杰招投标咨询服务有限公司。</w:t>
      </w:r>
      <w:r>
        <w:rPr>
          <w:rFonts w:hint="eastAsia" w:ascii="宋体" w:hAnsi="宋体" w:eastAsia="宋体" w:cs="宋体"/>
          <w:color w:val="000000"/>
          <w:sz w:val="24"/>
          <w:szCs w:val="24"/>
          <w:highlight w:val="none"/>
          <w:lang w:val="zh-CN"/>
        </w:rPr>
      </w:r>
      <w:r/>
    </w:p>
    <w:p>
      <w:pPr>
        <w:pStyle w:val="976"/>
        <w:ind w:firstLine="480"/>
        <w:spacing w:line="360" w:lineRule="auto"/>
        <w:rPr>
          <w:rFonts w:hint="eastAsia" w:ascii="宋体" w:hAnsi="宋体" w:eastAsia="宋体" w:cs="宋体"/>
          <w:color w:val="000000"/>
          <w:sz w:val="24"/>
          <w:szCs w:val="24"/>
          <w:highlight w:val="none"/>
          <w:lang w:val="zh-CN"/>
        </w:rPr>
        <w:outlineLvl w:val="1"/>
      </w:pPr>
      <w:r>
        <w:rPr>
          <w:rFonts w:hint="eastAsia" w:ascii="宋体" w:hAnsi="宋体" w:eastAsia="宋体" w:cs="宋体"/>
          <w:color w:val="000000"/>
          <w:sz w:val="24"/>
          <w:szCs w:val="24"/>
          <w:highlight w:val="none"/>
          <w:lang w:val="zh-CN"/>
        </w:rPr>
        <w:t xml:space="preserve">地址：苏州市平泷路251号苏州城市生活广场B座1557室。</w:t>
      </w:r>
      <w:r>
        <w:rPr>
          <w:rFonts w:hint="eastAsia" w:ascii="宋体" w:hAnsi="宋体" w:eastAsia="宋体" w:cs="宋体"/>
          <w:color w:val="000000"/>
          <w:sz w:val="24"/>
          <w:szCs w:val="24"/>
          <w:highlight w:val="none"/>
          <w:lang w:val="zh-CN"/>
        </w:rPr>
      </w:r>
      <w:r/>
    </w:p>
    <w:p>
      <w:pPr>
        <w:pStyle w:val="976"/>
        <w:ind w:firstLine="480"/>
        <w:spacing w:line="360" w:lineRule="auto"/>
        <w:rPr>
          <w:rFonts w:hint="eastAsia" w:ascii="宋体" w:hAnsi="宋体" w:eastAsia="宋体" w:cs="宋体"/>
          <w:color w:val="000000"/>
          <w:sz w:val="24"/>
          <w:szCs w:val="24"/>
          <w:highlight w:val="none"/>
          <w:lang w:val="zh-CN"/>
        </w:rPr>
        <w:outlineLvl w:val="1"/>
      </w:pPr>
      <w:r>
        <w:rPr>
          <w:rFonts w:hint="eastAsia" w:ascii="宋体" w:hAnsi="宋体" w:eastAsia="宋体" w:cs="宋体"/>
          <w:color w:val="000000"/>
          <w:sz w:val="24"/>
          <w:szCs w:val="24"/>
          <w:highlight w:val="none"/>
          <w:lang w:val="zh-CN"/>
        </w:rPr>
        <w:t xml:space="preserve">联系方式：电话0512-62826523。</w:t>
      </w:r>
      <w:r>
        <w:rPr>
          <w:rFonts w:hint="eastAsia" w:ascii="宋体" w:hAnsi="宋体" w:eastAsia="宋体" w:cs="宋体"/>
          <w:color w:val="000000"/>
          <w:sz w:val="24"/>
          <w:szCs w:val="24"/>
          <w:highlight w:val="none"/>
          <w:lang w:val="zh-CN"/>
        </w:rPr>
      </w:r>
      <w:r/>
    </w:p>
    <w:p>
      <w:pPr>
        <w:pStyle w:val="976"/>
        <w:ind w:firstLine="480"/>
        <w:spacing w:line="360" w:lineRule="auto"/>
        <w:rPr>
          <w:rFonts w:hint="eastAsia" w:ascii="宋体" w:hAnsi="宋体" w:eastAsia="宋体" w:cs="宋体"/>
          <w:color w:val="000000"/>
          <w:sz w:val="24"/>
          <w:szCs w:val="24"/>
          <w:highlight w:val="none"/>
          <w:lang w:val="zh-CN"/>
        </w:rPr>
        <w:outlineLvl w:val="1"/>
      </w:pPr>
      <w:r>
        <w:rPr>
          <w:rFonts w:hint="eastAsia" w:ascii="宋体" w:hAnsi="宋体" w:eastAsia="宋体" w:cs="宋体"/>
          <w:color w:val="000000"/>
          <w:sz w:val="24"/>
          <w:szCs w:val="24"/>
          <w:highlight w:val="none"/>
          <w:lang w:val="zh-CN"/>
        </w:rPr>
        <w:t xml:space="preserve">项目联系人：</w:t>
      </w:r>
      <w:r>
        <w:rPr>
          <w:rFonts w:hint="eastAsia" w:ascii="宋体" w:hAnsi="宋体" w:eastAsia="宋体" w:cs="宋体"/>
          <w:color w:val="000000"/>
          <w:sz w:val="24"/>
          <w:szCs w:val="24"/>
          <w:highlight w:val="none"/>
        </w:rPr>
        <w:t xml:space="preserve">沈鹰、徐杰、刘木兰</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90"/>
        <w:ind w:firstLine="241"/>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76"/>
        <w:jc w:val="center"/>
        <w:spacing w:line="360" w:lineRule="auto"/>
        <w:widowControl/>
        <w:rPr>
          <w:rFonts w:hint="eastAsia" w:ascii="宋体" w:hAnsi="宋体" w:eastAsia="宋体" w:cs="宋体"/>
          <w:b/>
          <w:bCs/>
          <w:color w:val="000000"/>
          <w:sz w:val="24"/>
          <w:szCs w:val="24"/>
          <w:highlight w:val="none"/>
        </w:rPr>
        <w:sectPr>
          <w:footerReference w:type="default" r:id="rId17"/>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eastAsia="宋体" w:cs="宋体"/>
          <w:b/>
          <w:bCs/>
          <w:color w:val="000000"/>
          <w:sz w:val="24"/>
          <w:szCs w:val="24"/>
          <w:highlight w:val="none"/>
        </w:rPr>
      </w:r>
      <w:r/>
    </w:p>
    <w:p>
      <w:pPr>
        <w:pStyle w:val="976"/>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第二章 投标人须知</w:t>
      </w:r>
      <w:r>
        <w:rPr>
          <w:rFonts w:hint="eastAsia" w:ascii="宋体" w:hAnsi="宋体" w:eastAsia="宋体" w:cs="宋体"/>
          <w:b/>
          <w:bCs/>
          <w:color w:val="000000"/>
          <w:sz w:val="24"/>
          <w:szCs w:val="24"/>
          <w:highlight w:val="none"/>
        </w:rPr>
      </w:r>
      <w:r/>
    </w:p>
    <w:p>
      <w:pPr>
        <w:pStyle w:val="976"/>
        <w:ind w:firstLine="426"/>
        <w:spacing w:line="360" w:lineRule="auto"/>
        <w:tabs>
          <w:tab w:val="left" w:pos="540" w:leader="none"/>
          <w:tab w:val="left" w:pos="6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1、总则</w:t>
      </w:r>
      <w:r>
        <w:rPr>
          <w:rFonts w:hint="eastAsia" w:ascii="宋体" w:hAnsi="宋体" w:eastAsia="宋体" w:cs="宋体"/>
          <w:b/>
          <w:bCs/>
          <w:color w:val="000000"/>
          <w:sz w:val="24"/>
          <w:szCs w:val="24"/>
          <w:highlight w:val="none"/>
        </w:rPr>
      </w:r>
      <w:r/>
    </w:p>
    <w:p>
      <w:pPr>
        <w:pStyle w:val="976"/>
        <w:ind w:firstLine="426"/>
        <w:spacing w:line="360" w:lineRule="auto"/>
        <w:tabs>
          <w:tab w:val="left" w:pos="540" w:leader="none"/>
          <w:tab w:val="left" w:pos="6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1.1投标人资格要求</w:t>
      </w:r>
      <w:r>
        <w:rPr>
          <w:rFonts w:hint="eastAsia" w:ascii="宋体" w:hAnsi="宋体" w:eastAsia="宋体" w:cs="宋体"/>
          <w:b/>
          <w:bCs/>
          <w:color w:val="000000"/>
          <w:sz w:val="24"/>
          <w:szCs w:val="24"/>
          <w:highlight w:val="none"/>
        </w:rPr>
      </w:r>
      <w:r/>
    </w:p>
    <w:p>
      <w:pPr>
        <w:pStyle w:val="976"/>
        <w:ind w:firstLine="426"/>
        <w:spacing w:line="360" w:lineRule="auto"/>
        <w:tabs>
          <w:tab w:val="left" w:pos="540"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1.1.1详见第一章投标邀请函中“二、申请人的资格要求”。</w:t>
      </w:r>
      <w:r>
        <w:rPr>
          <w:rFonts w:hint="eastAsia" w:ascii="宋体" w:hAnsi="宋体" w:eastAsia="宋体" w:cs="宋体"/>
          <w:color w:val="000000"/>
          <w:sz w:val="24"/>
          <w:szCs w:val="24"/>
          <w:highlight w:val="none"/>
        </w:rPr>
      </w:r>
      <w:r/>
    </w:p>
    <w:p>
      <w:pPr>
        <w:pStyle w:val="976"/>
        <w:ind w:firstLine="426"/>
        <w:spacing w:line="360" w:lineRule="auto"/>
        <w:tabs>
          <w:tab w:val="left" w:pos="540"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1.1.2投标人不得存在下列情形之一：</w:t>
      </w:r>
      <w:r>
        <w:rPr>
          <w:rFonts w:hint="eastAsia" w:ascii="宋体" w:hAnsi="宋体" w:eastAsia="宋体" w:cs="宋体"/>
          <w:color w:val="000000"/>
          <w:sz w:val="24"/>
          <w:szCs w:val="24"/>
          <w:highlight w:val="none"/>
        </w:rPr>
      </w:r>
      <w:r/>
    </w:p>
    <w:p>
      <w:pPr>
        <w:pStyle w:val="976"/>
        <w:ind w:firstLine="426"/>
        <w:spacing w:line="360" w:lineRule="auto"/>
        <w:tabs>
          <w:tab w:val="left" w:pos="540"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（1）苏州市财政局《关于印发苏州市市级政府采购信用记录查询和使用工作试行办法的通知》（苏财购（2017）11号）文件规定应拒绝的失信信息。</w:t>
      </w:r>
      <w:r>
        <w:rPr>
          <w:rFonts w:hint="eastAsia" w:ascii="宋体" w:hAnsi="宋体" w:eastAsia="宋体" w:cs="宋体"/>
          <w:color w:val="000000"/>
          <w:sz w:val="24"/>
          <w:szCs w:val="24"/>
          <w:highlight w:val="none"/>
        </w:rPr>
      </w:r>
      <w:r/>
    </w:p>
    <w:p>
      <w:pPr>
        <w:pStyle w:val="976"/>
        <w:ind w:firstLine="426"/>
        <w:spacing w:line="360" w:lineRule="auto"/>
        <w:tabs>
          <w:tab w:val="left" w:pos="540"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（2）为采购项目提供整体设计、规范编制或者项目管理、监理、监测等服务的供应商，不得再参加该采购项目的其他采购活动；本项目的此类供应商是：无。</w:t>
      </w:r>
      <w:r>
        <w:rPr>
          <w:rFonts w:hint="eastAsia" w:ascii="宋体" w:hAnsi="宋体" w:eastAsia="宋体" w:cs="宋体"/>
          <w:color w:val="000000"/>
          <w:sz w:val="24"/>
          <w:szCs w:val="24"/>
          <w:highlight w:val="none"/>
        </w:rPr>
      </w:r>
      <w:r/>
    </w:p>
    <w:p>
      <w:pPr>
        <w:pStyle w:val="976"/>
        <w:ind w:firstLine="426"/>
        <w:spacing w:line="360" w:lineRule="auto"/>
        <w:tabs>
          <w:tab w:val="left" w:pos="540"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rPr>
      </w:r>
      <w:r/>
    </w:p>
    <w:p>
      <w:pPr>
        <w:pStyle w:val="976"/>
        <w:numPr>
          <w:ilvl w:val="2"/>
          <w:numId w:val="0"/>
        </w:numPr>
        <w:ind w:firstLine="484"/>
        <w:spacing w:line="360" w:lineRule="auto"/>
        <w:tabs>
          <w:tab w:val="left" w:pos="851"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1.1.3联合体投标：</w:t>
      </w:r>
      <w:r>
        <w:rPr>
          <w:rFonts w:hint="eastAsia" w:ascii="宋体" w:hAnsi="宋体" w:eastAsia="宋体" w:cs="宋体"/>
          <w:bCs/>
          <w:color w:val="000000"/>
          <w:sz w:val="24"/>
          <w:szCs w:val="24"/>
          <w:highlight w:val="none"/>
        </w:rPr>
        <w:t xml:space="preserve">第一章投标邀请函规定接受联合体投标的，联合体除应符合上述资格要求外，还应遵守以下规定：</w:t>
      </w:r>
      <w:r>
        <w:rPr>
          <w:rFonts w:hint="eastAsia" w:ascii="宋体" w:hAnsi="宋体" w:eastAsia="宋体" w:cs="宋体"/>
          <w:bCs/>
          <w:color w:val="000000"/>
          <w:sz w:val="24"/>
          <w:szCs w:val="24"/>
          <w:highlight w:val="none"/>
        </w:rPr>
      </w:r>
      <w:r/>
    </w:p>
    <w:p>
      <w:pPr>
        <w:pStyle w:val="976"/>
        <w:ind w:firstLine="484"/>
        <w:spacing w:line="360" w:lineRule="auto"/>
        <w:tabs>
          <w:tab w:val="left" w:pos="851"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（1）联合体各方应当向采购人提交联合体协议书，载明联合体各方承担的工作和义务，否则投标无效。</w:t>
      </w:r>
      <w:r>
        <w:rPr>
          <w:rFonts w:hint="eastAsia" w:ascii="宋体" w:hAnsi="宋体" w:eastAsia="宋体" w:cs="宋体"/>
          <w:bCs/>
          <w:color w:val="000000"/>
          <w:sz w:val="24"/>
          <w:szCs w:val="24"/>
          <w:highlight w:val="none"/>
        </w:rPr>
      </w:r>
      <w:r/>
    </w:p>
    <w:p>
      <w:pPr>
        <w:pStyle w:val="976"/>
        <w:ind w:firstLine="484"/>
        <w:spacing w:line="360" w:lineRule="auto"/>
        <w:tabs>
          <w:tab w:val="left" w:pos="851"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（2）本项目接受联合体投标，但一个联合体最多接受两个单位进行联合投标。</w:t>
      </w:r>
      <w:r>
        <w:rPr>
          <w:rFonts w:hint="eastAsia" w:ascii="宋体" w:hAnsi="宋体" w:eastAsia="宋体" w:cs="宋体"/>
          <w:bCs/>
          <w:color w:val="000000"/>
          <w:sz w:val="24"/>
          <w:szCs w:val="24"/>
          <w:highlight w:val="none"/>
        </w:rPr>
      </w:r>
      <w:r/>
    </w:p>
    <w:p>
      <w:pPr>
        <w:pStyle w:val="976"/>
        <w:ind w:firstLine="484"/>
        <w:spacing w:line="360" w:lineRule="auto"/>
        <w:tabs>
          <w:tab w:val="left" w:pos="851"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（3）联合体中有同类资质的供应商按照联合体分工承担相同工作的，应当按照资质等级较低的供应商确定资质等级。</w:t>
      </w:r>
      <w:r>
        <w:rPr>
          <w:rFonts w:hint="eastAsia" w:ascii="宋体" w:hAnsi="宋体" w:eastAsia="宋体" w:cs="宋体"/>
          <w:bCs/>
          <w:color w:val="000000"/>
          <w:sz w:val="24"/>
          <w:szCs w:val="24"/>
          <w:highlight w:val="none"/>
        </w:rPr>
      </w:r>
      <w:r/>
    </w:p>
    <w:p>
      <w:pPr>
        <w:pStyle w:val="976"/>
        <w:ind w:firstLine="484"/>
        <w:spacing w:line="360" w:lineRule="auto"/>
        <w:tabs>
          <w:tab w:val="left" w:pos="851"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（4）联合体各方不得再单独参加或者与其他供应商另外组成联合体参加同一合同项下的政府采购活动，否则各相关投标均无效。</w:t>
      </w:r>
      <w:r>
        <w:rPr>
          <w:rFonts w:hint="eastAsia" w:ascii="宋体" w:hAnsi="宋体" w:eastAsia="宋体" w:cs="宋体"/>
          <w:bCs/>
          <w:color w:val="000000"/>
          <w:sz w:val="24"/>
          <w:szCs w:val="24"/>
          <w:highlight w:val="none"/>
        </w:rPr>
      </w:r>
      <w:r/>
    </w:p>
    <w:p>
      <w:pPr>
        <w:pStyle w:val="976"/>
        <w:ind w:firstLine="484"/>
        <w:spacing w:line="360" w:lineRule="auto"/>
        <w:tabs>
          <w:tab w:val="left" w:pos="851"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（5）联合体各方应当共同与采购人签订采购合同，就采购合同约定的事项对采购人承担连带责任。</w:t>
      </w:r>
      <w:r>
        <w:rPr>
          <w:rFonts w:hint="eastAsia" w:ascii="宋体" w:hAnsi="宋体" w:eastAsia="宋体" w:cs="宋体"/>
          <w:bCs/>
          <w:color w:val="000000"/>
          <w:sz w:val="24"/>
          <w:szCs w:val="24"/>
          <w:highlight w:val="none"/>
        </w:rPr>
      </w:r>
      <w:r/>
    </w:p>
    <w:p>
      <w:pPr>
        <w:pStyle w:val="976"/>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1.2 分包、转包</w:t>
      </w:r>
      <w:r>
        <w:rPr>
          <w:rFonts w:hint="eastAsia" w:ascii="宋体" w:hAnsi="宋体" w:eastAsia="宋体" w:cs="宋体"/>
          <w:b/>
          <w:bCs/>
          <w:color w:val="000000"/>
          <w:sz w:val="24"/>
          <w:szCs w:val="24"/>
          <w:highlight w:val="none"/>
        </w:rPr>
      </w:r>
      <w:r/>
    </w:p>
    <w:p>
      <w:pPr>
        <w:pStyle w:val="976"/>
        <w:ind w:left="525"/>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本项目不允许分包或转包。</w:t>
      </w:r>
      <w:r>
        <w:rPr>
          <w:rFonts w:hint="eastAsia" w:ascii="宋体" w:hAnsi="宋体" w:eastAsia="宋体" w:cs="宋体"/>
          <w:color w:val="000000"/>
          <w:sz w:val="24"/>
          <w:szCs w:val="24"/>
          <w:highlight w:val="none"/>
        </w:rPr>
      </w:r>
      <w:r/>
    </w:p>
    <w:p>
      <w:pPr>
        <w:pStyle w:val="976"/>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1.3投标费用</w:t>
      </w:r>
      <w:r>
        <w:rPr>
          <w:rFonts w:hint="eastAsia" w:ascii="宋体" w:hAnsi="宋体" w:eastAsia="宋体" w:cs="宋体"/>
          <w:b/>
          <w:bCs/>
          <w:color w:val="000000"/>
          <w:sz w:val="24"/>
          <w:szCs w:val="24"/>
          <w:highlight w:val="none"/>
        </w:rPr>
      </w:r>
      <w:r/>
    </w:p>
    <w:p>
      <w:pPr>
        <w:pStyle w:val="976"/>
        <w:ind w:left="525"/>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（1）投标人应自行承担所有准备及参加投标的相关费用。</w:t>
      </w:r>
      <w:r>
        <w:rPr>
          <w:rFonts w:hint="eastAsia" w:ascii="宋体" w:hAnsi="宋体" w:eastAsia="宋体" w:cs="宋体"/>
          <w:color w:val="000000"/>
          <w:sz w:val="24"/>
          <w:szCs w:val="24"/>
          <w:highlight w:val="none"/>
        </w:rPr>
      </w:r>
      <w:r/>
    </w:p>
    <w:p>
      <w:pPr>
        <w:pStyle w:val="976"/>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1.4保密</w:t>
      </w:r>
      <w:r>
        <w:rPr>
          <w:rFonts w:hint="eastAsia" w:ascii="宋体" w:hAnsi="宋体" w:eastAsia="宋体" w:cs="宋体"/>
          <w:b/>
          <w:bCs/>
          <w:color w:val="000000"/>
          <w:sz w:val="24"/>
          <w:szCs w:val="24"/>
          <w:highlight w:val="none"/>
        </w:rPr>
      </w:r>
      <w:r/>
    </w:p>
    <w:p>
      <w:pPr>
        <w:pStyle w:val="976"/>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参与采购活动的各方应对招标文件和投标文件中的商业和技术等秘密保密，否则应承担相应的法律责任。</w:t>
      </w:r>
      <w:r>
        <w:rPr>
          <w:rFonts w:hint="eastAsia" w:ascii="宋体" w:hAnsi="宋体" w:eastAsia="宋体" w:cs="宋体"/>
          <w:color w:val="000000"/>
          <w:sz w:val="24"/>
          <w:szCs w:val="24"/>
          <w:highlight w:val="none"/>
        </w:rPr>
      </w:r>
      <w:r/>
    </w:p>
    <w:p>
      <w:pPr>
        <w:pStyle w:val="976"/>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1.5语言文字</w:t>
      </w:r>
      <w:r>
        <w:rPr>
          <w:rFonts w:hint="eastAsia" w:ascii="宋体" w:hAnsi="宋体" w:eastAsia="宋体" w:cs="宋体"/>
          <w:b/>
          <w:bCs/>
          <w:color w:val="000000"/>
          <w:sz w:val="24"/>
          <w:szCs w:val="24"/>
          <w:highlight w:val="none"/>
        </w:rPr>
      </w:r>
      <w:r/>
    </w:p>
    <w:p>
      <w:pPr>
        <w:pStyle w:val="976"/>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投标文件使用的语言文字为中文。使用外文的，应附有中文注释或译本，对不同文本投标文件的解释发生异议的，以中文文本为准。因未附注释或译本引起的对投标人不利的后果由投标人自行承担。</w:t>
      </w:r>
      <w:r>
        <w:rPr>
          <w:rFonts w:hint="eastAsia" w:ascii="宋体" w:hAnsi="宋体" w:eastAsia="宋体" w:cs="宋体"/>
          <w:color w:val="000000"/>
          <w:sz w:val="24"/>
          <w:szCs w:val="24"/>
          <w:highlight w:val="none"/>
        </w:rPr>
      </w:r>
      <w:r/>
    </w:p>
    <w:p>
      <w:pPr>
        <w:pStyle w:val="976"/>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1.6计量单位</w:t>
      </w:r>
      <w:r>
        <w:rPr>
          <w:rFonts w:hint="eastAsia" w:ascii="宋体" w:hAnsi="宋体" w:eastAsia="宋体" w:cs="宋体"/>
          <w:b/>
          <w:bCs/>
          <w:color w:val="000000"/>
          <w:sz w:val="24"/>
          <w:szCs w:val="24"/>
          <w:highlight w:val="none"/>
        </w:rPr>
      </w:r>
      <w:r/>
    </w:p>
    <w:p>
      <w:pPr>
        <w:pStyle w:val="976"/>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除招标文件有特殊要求外，所有计量均采用中华人民共和国法定计量单位。</w:t>
      </w:r>
      <w:r>
        <w:rPr>
          <w:rFonts w:hint="eastAsia" w:ascii="宋体" w:hAnsi="宋体" w:eastAsia="宋体" w:cs="宋体"/>
          <w:color w:val="000000"/>
          <w:sz w:val="24"/>
          <w:szCs w:val="24"/>
          <w:highlight w:val="none"/>
        </w:rPr>
      </w:r>
      <w:r/>
    </w:p>
    <w:p>
      <w:pPr>
        <w:pStyle w:val="976"/>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1.7知识产权</w:t>
      </w:r>
      <w:r>
        <w:rPr>
          <w:rFonts w:hint="eastAsia" w:ascii="宋体" w:hAnsi="宋体" w:eastAsia="宋体" w:cs="宋体"/>
          <w:b/>
          <w:bCs/>
          <w:color w:val="000000"/>
          <w:sz w:val="24"/>
          <w:szCs w:val="24"/>
          <w:highlight w:val="none"/>
        </w:rPr>
      </w:r>
      <w:r/>
    </w:p>
    <w:p>
      <w:pPr>
        <w:pStyle w:val="976"/>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ascii="宋体" w:hAnsi="宋体" w:eastAsia="宋体" w:cs="宋体"/>
          <w:color w:val="000000"/>
          <w:sz w:val="24"/>
          <w:szCs w:val="24"/>
          <w:highlight w:val="none"/>
        </w:rPr>
      </w:r>
      <w:r/>
    </w:p>
    <w:p>
      <w:pPr>
        <w:pStyle w:val="976"/>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2、招标文件的说明</w:t>
      </w:r>
      <w:r>
        <w:rPr>
          <w:rFonts w:hint="eastAsia" w:ascii="宋体" w:hAnsi="宋体" w:eastAsia="宋体" w:cs="宋体"/>
          <w:b/>
          <w:bCs/>
          <w:color w:val="000000"/>
          <w:sz w:val="24"/>
          <w:szCs w:val="24"/>
          <w:highlight w:val="none"/>
        </w:rPr>
      </w:r>
      <w:r/>
    </w:p>
    <w:p>
      <w:pPr>
        <w:pStyle w:val="976"/>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2.1招标文件的获取见第一章投标邀请函。</w:t>
      </w:r>
      <w:r>
        <w:rPr>
          <w:rFonts w:hint="eastAsia" w:ascii="宋体" w:hAnsi="宋体" w:eastAsia="宋体" w:cs="宋体"/>
          <w:b/>
          <w:bCs/>
          <w:color w:val="000000"/>
          <w:sz w:val="24"/>
          <w:szCs w:val="24"/>
          <w:highlight w:val="none"/>
        </w:rPr>
      </w:r>
      <w:r/>
    </w:p>
    <w:p>
      <w:pPr>
        <w:pStyle w:val="976"/>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2.2招标文件的询问</w:t>
      </w:r>
      <w:r>
        <w:rPr>
          <w:rFonts w:hint="eastAsia" w:ascii="宋体" w:hAnsi="宋体" w:eastAsia="宋体" w:cs="宋体"/>
          <w:b/>
          <w:bCs/>
          <w:color w:val="000000"/>
          <w:sz w:val="24"/>
          <w:szCs w:val="24"/>
          <w:highlight w:val="none"/>
        </w:rPr>
      </w:r>
      <w:r/>
    </w:p>
    <w:p>
      <w:pPr>
        <w:pStyle w:val="976"/>
        <w:ind w:firstLine="420"/>
        <w:spacing w:line="360" w:lineRule="auto"/>
        <w:tabs>
          <w:tab w:val="left" w:pos="540" w:leader="none"/>
          <w:tab w:val="left" w:pos="851"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供应商在收到</w:t>
      </w:r>
      <w:r>
        <w:rPr>
          <w:rFonts w:hint="eastAsia" w:ascii="宋体" w:hAnsi="宋体" w:eastAsia="宋体" w:cs="宋体"/>
          <w:color w:val="000000"/>
          <w:sz w:val="24"/>
          <w:szCs w:val="24"/>
          <w:highlight w:val="none"/>
        </w:rPr>
        <w:t xml:space="preserve">招标</w:t>
      </w:r>
      <w:r>
        <w:rPr>
          <w:rFonts w:ascii="宋体" w:hAnsi="宋体" w:eastAsia="宋体" w:cs="宋体"/>
          <w:color w:val="000000"/>
          <w:sz w:val="24"/>
          <w:szCs w:val="24"/>
          <w:highlight w:val="none"/>
        </w:rPr>
        <w:t xml:space="preserve">文件后，若有问题需要询问，应于下载</w:t>
      </w:r>
      <w:r>
        <w:rPr>
          <w:rFonts w:hint="eastAsia" w:ascii="宋体" w:hAnsi="宋体" w:eastAsia="宋体" w:cs="宋体"/>
          <w:color w:val="000000"/>
          <w:sz w:val="24"/>
          <w:szCs w:val="24"/>
          <w:highlight w:val="none"/>
        </w:rPr>
        <w:t xml:space="preserve">招标</w:t>
      </w:r>
      <w:r>
        <w:rPr>
          <w:rFonts w:ascii="宋体" w:hAnsi="宋体" w:eastAsia="宋体" w:cs="宋体"/>
          <w:color w:val="000000"/>
          <w:sz w:val="24"/>
          <w:szCs w:val="24"/>
          <w:highlight w:val="none"/>
        </w:rPr>
        <w:t xml:space="preserve">文件后</w:t>
      </w:r>
      <w:r>
        <w:rPr>
          <w:rFonts w:hint="eastAsia" w:ascii="宋体" w:hAnsi="宋体" w:eastAsia="宋体" w:cs="宋体"/>
          <w:color w:val="000000"/>
          <w:sz w:val="24"/>
          <w:szCs w:val="24"/>
          <w:highlight w:val="none"/>
        </w:rPr>
        <w:t xml:space="preserve">，可通过投标邀请函中的联系方式</w:t>
      </w:r>
      <w:r>
        <w:rPr>
          <w:rFonts w:ascii="宋体" w:hAnsi="宋体" w:eastAsia="宋体" w:cs="宋体"/>
          <w:color w:val="000000"/>
          <w:sz w:val="24"/>
          <w:szCs w:val="24"/>
          <w:highlight w:val="none"/>
        </w:rPr>
        <w:t xml:space="preserve">及时提出，</w:t>
      </w:r>
      <w:r>
        <w:rPr>
          <w:rFonts w:hint="eastAsia" w:ascii="宋体" w:hAnsi="宋体" w:eastAsia="宋体" w:cs="宋体"/>
          <w:color w:val="000000"/>
          <w:sz w:val="24"/>
          <w:szCs w:val="24"/>
          <w:highlight w:val="none"/>
        </w:rPr>
        <w:t xml:space="preserve">采购人或</w:t>
      </w:r>
      <w:r>
        <w:rPr>
          <w:rFonts w:ascii="宋体" w:hAnsi="宋体" w:eastAsia="宋体" w:cs="宋体"/>
          <w:color w:val="000000"/>
          <w:sz w:val="24"/>
          <w:szCs w:val="24"/>
          <w:highlight w:val="none"/>
        </w:rPr>
        <w:t xml:space="preserve">采购代理机构将予以解答。</w:t>
      </w:r>
      <w:r>
        <w:rPr>
          <w:rFonts w:ascii="宋体" w:hAnsi="宋体" w:eastAsia="宋体" w:cs="宋体"/>
          <w:color w:val="000000"/>
          <w:sz w:val="24"/>
          <w:szCs w:val="24"/>
          <w:highlight w:val="none"/>
        </w:rPr>
      </w:r>
      <w:r/>
    </w:p>
    <w:p>
      <w:pPr>
        <w:pStyle w:val="976"/>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2.3招标文件的澄清或修改</w:t>
      </w:r>
      <w:r>
        <w:rPr>
          <w:rFonts w:hint="eastAsia" w:ascii="宋体" w:hAnsi="宋体" w:eastAsia="宋体" w:cs="宋体"/>
          <w:b/>
          <w:bCs/>
          <w:color w:val="000000"/>
          <w:sz w:val="24"/>
          <w:szCs w:val="24"/>
          <w:highlight w:val="none"/>
        </w:rPr>
      </w:r>
      <w:r/>
    </w:p>
    <w:p>
      <w:pPr>
        <w:pStyle w:val="976"/>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采购人或采购代理机构无论出于自己的考虑，还是出于对投标人提问的澄清，均可对已发出的招标文件用补充通知（包括更正公告）的方式进行澄清或者修改，并通过苏州市政府采购网对外进行发布，但不得改变采购标的和资格条件。澄清或者修改的内容作为招标文件的组成部分，对所有投标人具有约束力。</w:t>
      </w:r>
      <w:r>
        <w:rPr>
          <w:rFonts w:hint="eastAsia" w:ascii="宋体" w:hAnsi="宋体" w:eastAsia="宋体" w:cs="宋体"/>
          <w:color w:val="000000"/>
          <w:sz w:val="24"/>
          <w:szCs w:val="24"/>
          <w:highlight w:val="none"/>
        </w:rPr>
      </w:r>
      <w:r/>
    </w:p>
    <w:p>
      <w:pPr>
        <w:pStyle w:val="976"/>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2.3.2为保证投标人有足够时间修正投标文件，或出于其他合理原因，采购人或采购代理机构可依法顺延投标截止时间和开标时间。</w:t>
      </w:r>
      <w:r>
        <w:rPr>
          <w:rFonts w:hint="eastAsia" w:ascii="宋体" w:hAnsi="宋体" w:eastAsia="宋体" w:cs="宋体"/>
          <w:color w:val="000000"/>
          <w:sz w:val="24"/>
          <w:szCs w:val="24"/>
          <w:highlight w:val="none"/>
        </w:rPr>
      </w:r>
      <w:r/>
    </w:p>
    <w:p>
      <w:pPr>
        <w:pStyle w:val="976"/>
        <w:ind w:firstLine="484"/>
        <w:spacing w:line="360" w:lineRule="auto"/>
        <w:tabs>
          <w:tab w:val="left" w:pos="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供应商应及时关注“苏州市政府采购网”发布的补充通知（包括更正公告），同时可以在“苏采云”系统中下载更正（补充）资料，如有遗漏（包括但不限于文件未下载或下载不完整），可能无法解密投标（响应）文件，由此所造成的投标失败或损失由供应商自行负责。</w:t>
      </w:r>
      <w:r>
        <w:rPr>
          <w:rFonts w:ascii="宋体" w:hAnsi="宋体" w:eastAsia="宋体" w:cs="宋体"/>
          <w:color w:val="000000"/>
          <w:sz w:val="24"/>
          <w:szCs w:val="24"/>
          <w:highlight w:val="none"/>
        </w:rPr>
      </w:r>
      <w:r/>
    </w:p>
    <w:p>
      <w:pPr>
        <w:pStyle w:val="976"/>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2.3.4招标文件的澄清、修改、补充等内容均以苏州市政府采购网上发布的内容为准。</w:t>
      </w:r>
      <w:r>
        <w:rPr>
          <w:rFonts w:hint="eastAsia" w:ascii="宋体" w:hAnsi="宋体" w:eastAsia="宋体" w:cs="宋体"/>
          <w:color w:val="000000"/>
          <w:sz w:val="24"/>
          <w:szCs w:val="24"/>
          <w:highlight w:val="none"/>
        </w:rPr>
      </w:r>
      <w:r/>
    </w:p>
    <w:p>
      <w:pPr>
        <w:pStyle w:val="976"/>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3、投标文件的说明</w:t>
      </w:r>
      <w:r>
        <w:rPr>
          <w:rFonts w:hint="eastAsia" w:ascii="宋体" w:hAnsi="宋体" w:eastAsia="宋体" w:cs="宋体"/>
          <w:b/>
          <w:bCs/>
          <w:color w:val="000000"/>
          <w:sz w:val="24"/>
          <w:szCs w:val="24"/>
          <w:highlight w:val="none"/>
        </w:rPr>
      </w:r>
      <w:r/>
    </w:p>
    <w:p>
      <w:pPr>
        <w:pStyle w:val="976"/>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投标人应详细阅读招标文件的全部内容，不按招标文件的要求提供的投标文件和资料，其风险由投标人自行承担，并根据有关条款规定，可能导致投标无效。</w:t>
      </w:r>
      <w:r>
        <w:rPr>
          <w:rFonts w:hint="eastAsia" w:ascii="宋体" w:hAnsi="宋体" w:eastAsia="宋体" w:cs="宋体"/>
          <w:color w:val="000000"/>
          <w:sz w:val="24"/>
          <w:szCs w:val="24"/>
          <w:highlight w:val="none"/>
        </w:rPr>
      </w:r>
      <w:r/>
    </w:p>
    <w:p>
      <w:pPr>
        <w:pStyle w:val="976"/>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3.1投标保证金：无。</w:t>
      </w:r>
      <w:r>
        <w:rPr>
          <w:rFonts w:hint="eastAsia" w:ascii="宋体" w:hAnsi="宋体" w:eastAsia="宋体" w:cs="宋体"/>
          <w:b/>
          <w:bCs/>
          <w:color w:val="000000"/>
          <w:sz w:val="24"/>
          <w:szCs w:val="24"/>
          <w:highlight w:val="none"/>
        </w:rPr>
      </w:r>
      <w:r/>
    </w:p>
    <w:p>
      <w:pPr>
        <w:pStyle w:val="976"/>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3.2投标文件的组成</w:t>
      </w:r>
      <w:r>
        <w:rPr>
          <w:rFonts w:hint="eastAsia" w:ascii="宋体" w:hAnsi="宋体" w:eastAsia="宋体" w:cs="宋体"/>
          <w:b/>
          <w:bCs/>
          <w:color w:val="000000"/>
          <w:sz w:val="24"/>
          <w:szCs w:val="24"/>
          <w:highlight w:val="none"/>
        </w:rPr>
      </w:r>
      <w:r/>
    </w:p>
    <w:p>
      <w:pPr>
        <w:pStyle w:val="976"/>
        <w:ind w:left="525"/>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3.2.1封面；</w:t>
      </w:r>
      <w:r>
        <w:rPr>
          <w:rFonts w:hint="eastAsia" w:ascii="宋体" w:hAnsi="宋体" w:eastAsia="宋体" w:cs="宋体"/>
          <w:color w:val="000000"/>
          <w:sz w:val="24"/>
          <w:szCs w:val="24"/>
          <w:highlight w:val="none"/>
        </w:rPr>
      </w:r>
      <w:r/>
    </w:p>
    <w:p>
      <w:pPr>
        <w:pStyle w:val="976"/>
        <w:ind w:left="525"/>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3.2.2开标一览表（格式见第三章）；</w:t>
      </w:r>
      <w:r>
        <w:rPr>
          <w:rFonts w:hint="eastAsia" w:ascii="宋体" w:hAnsi="宋体" w:eastAsia="宋体" w:cs="宋体"/>
          <w:color w:val="000000"/>
          <w:sz w:val="24"/>
          <w:szCs w:val="24"/>
          <w:highlight w:val="none"/>
        </w:rPr>
      </w:r>
      <w:r/>
    </w:p>
    <w:p>
      <w:pPr>
        <w:pStyle w:val="976"/>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3.2.3公开分项报价表（如有，格式见第三章）；</w:t>
      </w:r>
      <w:r>
        <w:rPr>
          <w:rFonts w:hint="eastAsia" w:ascii="宋体" w:hAnsi="宋体" w:eastAsia="宋体" w:cs="宋体"/>
          <w:color w:val="000000"/>
          <w:sz w:val="24"/>
          <w:szCs w:val="24"/>
          <w:highlight w:val="none"/>
        </w:rPr>
      </w:r>
      <w:r/>
    </w:p>
    <w:p>
      <w:pPr>
        <w:pStyle w:val="976"/>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3.2.4资格审查投标文件：</w:t>
      </w:r>
      <w:r>
        <w:rPr>
          <w:rFonts w:hint="eastAsia" w:ascii="宋体" w:hAnsi="宋体" w:eastAsia="宋体" w:cs="宋体"/>
          <w:b/>
          <w:bCs/>
          <w:color w:val="000000"/>
          <w:sz w:val="24"/>
          <w:szCs w:val="24"/>
          <w:highlight w:val="none"/>
        </w:rPr>
      </w:r>
      <w:r/>
    </w:p>
    <w:p>
      <w:pPr>
        <w:pStyle w:val="976"/>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3.2.4.1供应商的资格要求：</w:t>
      </w:r>
      <w:r>
        <w:rPr>
          <w:rFonts w:hint="eastAsia" w:ascii="宋体" w:hAnsi="宋体" w:eastAsia="宋体" w:cs="宋体"/>
          <w:color w:val="000000"/>
          <w:sz w:val="24"/>
          <w:szCs w:val="24"/>
          <w:highlight w:val="none"/>
        </w:rPr>
      </w:r>
      <w:r/>
    </w:p>
    <w:p>
      <w:pPr>
        <w:pStyle w:val="976"/>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（1）具有独立承担民事责任的能力的材料复印件：包括法人或者其他组织的营业执照等证明文件，自然人的身份证明；</w:t>
      </w:r>
      <w:r>
        <w:rPr>
          <w:rFonts w:hint="eastAsia" w:ascii="宋体" w:hAnsi="宋体" w:eastAsia="宋体" w:cs="宋体"/>
          <w:color w:val="000000"/>
          <w:sz w:val="24"/>
          <w:szCs w:val="24"/>
          <w:highlight w:val="none"/>
        </w:rPr>
      </w:r>
      <w:r/>
    </w:p>
    <w:p>
      <w:pPr>
        <w:pStyle w:val="976"/>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（2）具有良好的商业信誉和健全的财务会计制度的材料：包括但不限于法人提供2023年度经审计的财务报告或基本开户银行在本年度内出具的资信证明复印件；</w:t>
      </w:r>
      <w:r>
        <w:rPr>
          <w:rFonts w:hint="eastAsia" w:ascii="宋体" w:hAnsi="宋体" w:eastAsia="宋体" w:cs="宋体"/>
          <w:color w:val="000000"/>
          <w:sz w:val="24"/>
          <w:szCs w:val="24"/>
          <w:highlight w:val="none"/>
        </w:rPr>
      </w:r>
      <w:r/>
    </w:p>
    <w:p>
      <w:pPr>
        <w:pStyle w:val="976"/>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（3）具有履行合同所必需的设备和专业技术能力的证明材料复印件或承诺；</w:t>
      </w:r>
      <w:r>
        <w:rPr>
          <w:rFonts w:hint="eastAsia" w:ascii="宋体" w:hAnsi="宋体" w:eastAsia="宋体" w:cs="宋体"/>
          <w:color w:val="000000"/>
          <w:sz w:val="24"/>
          <w:szCs w:val="24"/>
          <w:highlight w:val="none"/>
        </w:rPr>
      </w:r>
      <w:r/>
    </w:p>
    <w:p>
      <w:pPr>
        <w:pStyle w:val="976"/>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rPr>
          <w:rFonts w:hint="eastAsia" w:ascii="宋体" w:hAnsi="宋体" w:eastAsia="宋体" w:cs="宋体"/>
          <w:color w:val="000000"/>
          <w:sz w:val="24"/>
          <w:szCs w:val="24"/>
          <w:highlight w:val="none"/>
        </w:rPr>
      </w:r>
      <w:r/>
    </w:p>
    <w:p>
      <w:pPr>
        <w:pStyle w:val="976"/>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（5）参加政府采购活动前三年内，在经营活动中没有出现重大违法记录的书面声明函；</w:t>
      </w:r>
      <w:r>
        <w:rPr>
          <w:rFonts w:hint="eastAsia" w:ascii="宋体" w:hAnsi="宋体" w:eastAsia="宋体" w:cs="宋体"/>
          <w:color w:val="000000"/>
          <w:sz w:val="24"/>
          <w:szCs w:val="24"/>
          <w:highlight w:val="none"/>
        </w:rPr>
      </w:r>
      <w:r/>
    </w:p>
    <w:p>
      <w:pPr>
        <w:pStyle w:val="976"/>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（6）按照相关法律法规参与本项目所必须取得国家有关主管部门的行政许可证明资料复印件（如有须提供）；</w:t>
      </w:r>
      <w:r>
        <w:rPr>
          <w:rFonts w:hint="eastAsia" w:ascii="宋体" w:hAnsi="宋体" w:eastAsia="宋体" w:cs="宋体"/>
          <w:color w:val="000000"/>
          <w:sz w:val="24"/>
          <w:szCs w:val="24"/>
          <w:highlight w:val="none"/>
        </w:rPr>
      </w:r>
      <w:r/>
    </w:p>
    <w:p>
      <w:pPr>
        <w:pStyle w:val="976"/>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（7）《中小企业声明函》或《残疾人福利性单位声明函》或由省级以上监狱管理局、戒毒管理局（含新疆生产建设兵团）出具的属于监狱企业的证明文件。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976"/>
        <w:ind w:left="5" w:firstLine="518"/>
        <w:spacing w:line="360" w:lineRule="auto"/>
        <w:tabs>
          <w:tab w:val="left" w:pos="851" w:leader="none"/>
        </w:tabs>
        <w:rPr>
          <w:rFonts w:hint="eastAsia"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3.2.4.2</w:t>
      </w:r>
      <w:r>
        <w:rPr>
          <w:rFonts w:hint="eastAsia" w:ascii="宋体" w:hAnsi="宋体" w:eastAsia="宋体"/>
          <w:color w:val="000000"/>
          <w:sz w:val="24"/>
          <w:szCs w:val="24"/>
          <w:highlight w:val="none"/>
        </w:rPr>
        <w:t xml:space="preserve">其他有关资格证明的文件（若有）。</w:t>
      </w:r>
      <w:r>
        <w:rPr>
          <w:rFonts w:hint="eastAsia" w:ascii="宋体" w:hAnsi="宋体" w:eastAsia="宋体"/>
          <w:color w:val="000000"/>
          <w:sz w:val="24"/>
          <w:szCs w:val="24"/>
          <w:highlight w:val="none"/>
        </w:rPr>
      </w:r>
      <w:r/>
    </w:p>
    <w:p>
      <w:pPr>
        <w:pStyle w:val="976"/>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3.2.5符合性审查投标文件：</w:t>
      </w:r>
      <w:r>
        <w:rPr>
          <w:rFonts w:hint="eastAsia" w:ascii="宋体" w:hAnsi="宋体" w:eastAsia="宋体" w:cs="宋体"/>
          <w:b/>
          <w:bCs/>
          <w:color w:val="000000"/>
          <w:sz w:val="24"/>
          <w:szCs w:val="24"/>
          <w:highlight w:val="none"/>
        </w:rPr>
      </w:r>
      <w:r/>
    </w:p>
    <w:p>
      <w:pPr>
        <w:pStyle w:val="976"/>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3.2.5.1投标函（格式见第三章）；</w:t>
      </w:r>
      <w:r>
        <w:rPr>
          <w:rFonts w:hint="eastAsia" w:ascii="宋体" w:hAnsi="宋体" w:eastAsia="宋体" w:cs="宋体"/>
          <w:color w:val="000000"/>
          <w:sz w:val="24"/>
          <w:szCs w:val="24"/>
          <w:highlight w:val="none"/>
        </w:rPr>
      </w:r>
      <w:r/>
    </w:p>
    <w:p>
      <w:pPr>
        <w:pStyle w:val="976"/>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3.2.5.2关于资格文件的声明函（格式见第三章）；</w:t>
      </w:r>
      <w:r>
        <w:rPr>
          <w:rFonts w:hint="eastAsia" w:ascii="宋体" w:hAnsi="宋体" w:eastAsia="宋体" w:cs="宋体"/>
          <w:color w:val="000000"/>
          <w:sz w:val="24"/>
          <w:szCs w:val="24"/>
          <w:highlight w:val="none"/>
        </w:rPr>
      </w:r>
      <w:r/>
    </w:p>
    <w:p>
      <w:pPr>
        <w:pStyle w:val="976"/>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3.2.5.3法定代表人身份证复印件；</w:t>
      </w:r>
      <w:r>
        <w:rPr>
          <w:rFonts w:hint="eastAsia" w:ascii="宋体" w:hAnsi="宋体" w:eastAsia="宋体" w:cs="宋体"/>
          <w:color w:val="000000"/>
          <w:sz w:val="24"/>
          <w:szCs w:val="24"/>
          <w:highlight w:val="none"/>
        </w:rPr>
      </w:r>
      <w:r/>
    </w:p>
    <w:p>
      <w:pPr>
        <w:pStyle w:val="976"/>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3.2.5.4法定代表人授权委托书及授权委托人身份证复印件（如有授权，格式见第三章）；</w:t>
      </w:r>
      <w:r>
        <w:rPr>
          <w:rFonts w:hint="eastAsia" w:ascii="宋体" w:hAnsi="宋体" w:eastAsia="宋体" w:cs="宋体"/>
          <w:color w:val="000000"/>
          <w:sz w:val="24"/>
          <w:szCs w:val="24"/>
          <w:highlight w:val="none"/>
        </w:rPr>
      </w:r>
      <w:r/>
    </w:p>
    <w:p>
      <w:pPr>
        <w:pStyle w:val="976"/>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3.2.5.5未被“信用中国”、“信用江苏”及“中国政府采购网”列入失信被执行人、重大税收违法案件当事人名单、政府采购严重失信行为记录名单的查询记录页面截图；</w:t>
      </w:r>
      <w:r>
        <w:rPr>
          <w:rFonts w:hint="eastAsia" w:ascii="宋体" w:hAnsi="宋体" w:eastAsia="宋体" w:cs="宋体"/>
          <w:color w:val="000000"/>
          <w:sz w:val="24"/>
          <w:szCs w:val="24"/>
          <w:highlight w:val="none"/>
        </w:rPr>
      </w:r>
      <w:r/>
    </w:p>
    <w:p>
      <w:pPr>
        <w:pStyle w:val="976"/>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3.2.5.6对属于《节能产品政府采购品目清单》政府强制采购产品的，须提供该产品有效期内的认证等相关证明材料（若有）；</w:t>
      </w:r>
      <w:r>
        <w:rPr>
          <w:rFonts w:hint="eastAsia" w:ascii="宋体" w:hAnsi="宋体" w:eastAsia="宋体" w:cs="宋体"/>
          <w:color w:val="000000"/>
          <w:sz w:val="24"/>
          <w:szCs w:val="24"/>
          <w:highlight w:val="none"/>
        </w:rPr>
      </w:r>
      <w:r/>
    </w:p>
    <w:p>
      <w:pPr>
        <w:pStyle w:val="976"/>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3.2.5.7投标产品技术指标对照表（格式见第三章）；</w:t>
      </w:r>
      <w:r>
        <w:rPr>
          <w:rFonts w:hint="eastAsia" w:ascii="宋体" w:hAnsi="宋体" w:eastAsia="宋体" w:cs="宋体"/>
          <w:color w:val="000000"/>
          <w:sz w:val="24"/>
          <w:szCs w:val="24"/>
          <w:highlight w:val="none"/>
        </w:rPr>
      </w:r>
      <w:r/>
    </w:p>
    <w:p>
      <w:pPr>
        <w:pStyle w:val="976"/>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3.2.5.8其他有关符合性证明的文件（若有）。</w:t>
      </w:r>
      <w:r>
        <w:rPr>
          <w:rFonts w:hint="eastAsia" w:ascii="宋体" w:hAnsi="宋体" w:eastAsia="宋体" w:cs="宋体"/>
          <w:color w:val="000000"/>
          <w:sz w:val="24"/>
          <w:szCs w:val="24"/>
          <w:highlight w:val="none"/>
        </w:rPr>
      </w:r>
      <w:r/>
    </w:p>
    <w:p>
      <w:pPr>
        <w:pStyle w:val="976"/>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3.2.6综合评审投标文件（见第六章）；</w:t>
      </w:r>
      <w:r>
        <w:rPr>
          <w:rFonts w:hint="eastAsia" w:ascii="宋体" w:hAnsi="宋体" w:eastAsia="宋体" w:cs="宋体"/>
          <w:b/>
          <w:bCs/>
          <w:color w:val="000000"/>
          <w:sz w:val="24"/>
          <w:szCs w:val="24"/>
          <w:highlight w:val="none"/>
        </w:rPr>
      </w:r>
      <w:r/>
    </w:p>
    <w:p>
      <w:pPr>
        <w:pStyle w:val="976"/>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3.2.7与本次采购相关的其他证明材料。</w:t>
      </w:r>
      <w:r>
        <w:rPr>
          <w:rFonts w:hint="eastAsia" w:ascii="宋体" w:hAnsi="宋体" w:eastAsia="宋体" w:cs="宋体"/>
          <w:color w:val="000000"/>
          <w:sz w:val="24"/>
          <w:szCs w:val="24"/>
          <w:highlight w:val="none"/>
        </w:rPr>
      </w:r>
      <w:r/>
    </w:p>
    <w:p>
      <w:pPr>
        <w:pStyle w:val="976"/>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r>
      <w:r/>
    </w:p>
    <w:p>
      <w:pPr>
        <w:pStyle w:val="976"/>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以上3.2.2-3.2.3项为供应商报价的依据，投标供应商必须提供并加盖电子公章，否则，投标文件将被认定为未实质性响应。</w:t>
      </w:r>
      <w:r>
        <w:rPr>
          <w:rFonts w:hint="eastAsia" w:ascii="宋体" w:hAnsi="宋体" w:eastAsia="宋体" w:cs="宋体"/>
          <w:b/>
          <w:bCs/>
          <w:color w:val="000000"/>
          <w:sz w:val="24"/>
          <w:szCs w:val="24"/>
          <w:highlight w:val="none"/>
        </w:rPr>
      </w:r>
      <w:r/>
    </w:p>
    <w:p>
      <w:pPr>
        <w:pStyle w:val="976"/>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以上3.2.4.1项为资格审查提供的资料，是作为对供应商资格审查、质疑身份认定的依据，响应供应商必须提供并加盖电子公章，否则，投标文件将被认定为不符合资格审查要求。</w:t>
      </w:r>
      <w:r>
        <w:rPr>
          <w:rFonts w:hint="eastAsia" w:ascii="宋体" w:hAnsi="宋体" w:eastAsia="宋体" w:cs="宋体"/>
          <w:b/>
          <w:bCs/>
          <w:color w:val="000000"/>
          <w:sz w:val="24"/>
          <w:szCs w:val="24"/>
          <w:highlight w:val="none"/>
        </w:rPr>
      </w:r>
      <w:r/>
    </w:p>
    <w:p>
      <w:pPr>
        <w:pStyle w:val="976"/>
        <w:ind w:firstLine="482"/>
        <w:spacing w:line="360" w:lineRule="auto"/>
        <w:tabs>
          <w:tab w:val="left" w:pos="0" w:leader="none"/>
          <w:tab w:val="left" w:pos="600" w:leader="none"/>
        </w:tabs>
        <w:rPr>
          <w:rFonts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以上3.2.5.1-3.2.5.4为符合性审查必须提供的资料，投标供应商必须提供并加盖电子公章，否则，投标将被认定为未实质性响应。</w:t>
      </w:r>
      <w:r>
        <w:rPr>
          <w:rFonts w:ascii="宋体" w:hAnsi="宋体" w:eastAsia="宋体" w:cs="宋体"/>
          <w:b/>
          <w:color w:val="000000"/>
          <w:sz w:val="24"/>
          <w:szCs w:val="24"/>
          <w:highlight w:val="none"/>
        </w:rPr>
      </w:r>
      <w:r/>
    </w:p>
    <w:p>
      <w:pPr>
        <w:pStyle w:val="976"/>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制作电子投标文件时需与投标文件制作软件目录一一对应，将相关资料上传至相应模块。</w:t>
      </w:r>
      <w:r>
        <w:rPr>
          <w:rFonts w:hint="eastAsia" w:ascii="宋体" w:hAnsi="宋体" w:eastAsia="宋体" w:cs="宋体"/>
          <w:b/>
          <w:bCs/>
          <w:color w:val="000000"/>
          <w:sz w:val="24"/>
          <w:szCs w:val="24"/>
          <w:highlight w:val="none"/>
        </w:rPr>
      </w:r>
      <w:r/>
    </w:p>
    <w:p>
      <w:pPr>
        <w:pStyle w:val="976"/>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供应商应保证上传的投标文件完整、清晰可辨认，若因上传资料过小或模糊不清等无法辨认的都视为该资料未提供。</w:t>
      </w:r>
      <w:r>
        <w:rPr>
          <w:rFonts w:hint="eastAsia" w:ascii="宋体" w:hAnsi="宋体" w:eastAsia="宋体" w:cs="宋体"/>
          <w:b/>
          <w:bCs/>
          <w:color w:val="000000"/>
          <w:sz w:val="24"/>
          <w:szCs w:val="24"/>
          <w:highlight w:val="none"/>
        </w:rPr>
      </w:r>
      <w:r/>
    </w:p>
    <w:p>
      <w:pPr>
        <w:pStyle w:val="976"/>
        <w:ind w:firstLine="472"/>
        <w:spacing w:line="360" w:lineRule="auto"/>
        <w:tabs>
          <w:tab w:val="left" w:pos="540" w:leader="none"/>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如供应商投标文件中某些条款不响应招标文件提出的全部服务内容与要求，须在投标文件中逐条列出，未列出的视同响应。</w:t>
      </w:r>
      <w:r>
        <w:rPr>
          <w:rFonts w:hint="eastAsia" w:ascii="宋体" w:hAnsi="宋体" w:eastAsia="宋体" w:cs="宋体"/>
          <w:b/>
          <w:bCs/>
          <w:color w:val="000000"/>
          <w:sz w:val="24"/>
          <w:szCs w:val="24"/>
          <w:highlight w:val="none"/>
        </w:rPr>
      </w:r>
      <w:r/>
    </w:p>
    <w:p>
      <w:pPr>
        <w:pStyle w:val="976"/>
        <w:ind w:firstLine="482"/>
        <w:spacing w:line="360" w:lineRule="auto"/>
        <w:tabs>
          <w:tab w:val="left" w:pos="142" w:leader="none"/>
          <w:tab w:val="left" w:pos="600" w:leader="none"/>
        </w:tabs>
        <w:rPr>
          <w:rFonts w:hint="eastAsia" w:ascii="宋体" w:hAnsi="宋体" w:eastAsia="宋体" w:cs="宋体"/>
          <w:color w:val="000000"/>
          <w:highlight w:val="none"/>
        </w:rPr>
      </w:pPr>
      <w:r>
        <w:rPr>
          <w:rFonts w:hint="eastAsia" w:ascii="宋体" w:hAnsi="宋体" w:eastAsia="宋体" w:cs="宋体"/>
          <w:b/>
          <w:color w:val="000000"/>
          <w:sz w:val="24"/>
          <w:szCs w:val="24"/>
          <w:highlight w:val="none"/>
        </w:rPr>
        <w:t xml:space="preserve">如不同供应商使用同一台电脑制作的电子</w:t>
      </w:r>
      <w:r>
        <w:rPr>
          <w:rFonts w:hint="eastAsia" w:ascii="宋体" w:hAnsi="宋体" w:eastAsia="宋体" w:cs="宋体"/>
          <w:b/>
          <w:bCs/>
          <w:color w:val="000000"/>
          <w:sz w:val="24"/>
          <w:szCs w:val="24"/>
          <w:highlight w:val="none"/>
        </w:rPr>
        <w:t xml:space="preserve">投标</w:t>
      </w:r>
      <w:r>
        <w:rPr>
          <w:rFonts w:hint="eastAsia" w:ascii="宋体" w:hAnsi="宋体" w:eastAsia="宋体" w:cs="宋体"/>
          <w:b/>
          <w:color w:val="000000"/>
          <w:sz w:val="24"/>
          <w:szCs w:val="24"/>
          <w:highlight w:val="none"/>
        </w:rPr>
        <w:t xml:space="preserve">文件的，双方“文件制作机器码”一致的，则其</w:t>
      </w:r>
      <w:r>
        <w:rPr>
          <w:rFonts w:hint="eastAsia" w:ascii="宋体" w:hAnsi="宋体" w:eastAsia="宋体" w:cs="宋体"/>
          <w:b/>
          <w:bCs/>
          <w:color w:val="000000"/>
          <w:sz w:val="24"/>
          <w:szCs w:val="24"/>
          <w:highlight w:val="none"/>
        </w:rPr>
        <w:t xml:space="preserve">投标</w:t>
      </w:r>
      <w:r>
        <w:rPr>
          <w:rFonts w:hint="eastAsia" w:ascii="宋体" w:hAnsi="宋体" w:eastAsia="宋体" w:cs="宋体"/>
          <w:b/>
          <w:color w:val="000000"/>
          <w:sz w:val="24"/>
          <w:szCs w:val="24"/>
          <w:highlight w:val="none"/>
        </w:rPr>
        <w:t xml:space="preserve">文件将被认定为无效响应。</w:t>
      </w:r>
      <w:r>
        <w:rPr>
          <w:rFonts w:hint="eastAsia" w:ascii="宋体" w:hAnsi="宋体" w:eastAsia="宋体" w:cs="宋体"/>
          <w:color w:val="000000"/>
          <w:highlight w:val="none"/>
        </w:rPr>
      </w:r>
      <w:r/>
    </w:p>
    <w:p>
      <w:pPr>
        <w:pStyle w:val="976"/>
        <w:ind w:left="525"/>
        <w:spacing w:line="360" w:lineRule="auto"/>
        <w:tabs>
          <w:tab w:val="left" w:pos="142" w:leader="none"/>
          <w:tab w:val="left" w:pos="600" w:leader="none"/>
        </w:tabs>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3.3投标报价</w:t>
      </w:r>
      <w:r>
        <w:rPr>
          <w:rFonts w:hint="eastAsia" w:ascii="宋体" w:hAnsi="宋体" w:eastAsia="宋体" w:cs="宋体"/>
          <w:bCs/>
          <w:color w:val="000000"/>
          <w:sz w:val="24"/>
          <w:szCs w:val="24"/>
          <w:highlight w:val="none"/>
        </w:rPr>
      </w:r>
      <w:r/>
    </w:p>
    <w:p>
      <w:pPr>
        <w:pStyle w:val="976"/>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3.3.1投标报价应包括完成本招标项目全部内容的一切费用，除非合同条款中另有规定，投标人所报价格在合同实施期间不因市场变化因素而变动。</w:t>
      </w:r>
      <w:r>
        <w:rPr>
          <w:rFonts w:hint="eastAsia" w:ascii="宋体" w:hAnsi="宋体" w:eastAsia="宋体" w:cs="宋体"/>
          <w:color w:val="000000"/>
          <w:sz w:val="24"/>
          <w:szCs w:val="24"/>
          <w:highlight w:val="none"/>
        </w:rPr>
      </w:r>
      <w:r/>
    </w:p>
    <w:p>
      <w:pPr>
        <w:pStyle w:val="976"/>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3.3.2如果招标文件要求分标段投标的，则投标人可以根据自身经营许可范围，选择投标其中部分或者全部标段，但各标段应分别计算填写单价和总价。</w:t>
      </w:r>
      <w:r>
        <w:rPr>
          <w:rFonts w:hint="eastAsia" w:ascii="宋体" w:hAnsi="宋体" w:eastAsia="宋体" w:cs="宋体"/>
          <w:color w:val="000000"/>
          <w:sz w:val="24"/>
          <w:szCs w:val="24"/>
          <w:highlight w:val="none"/>
        </w:rPr>
      </w:r>
      <w:r/>
    </w:p>
    <w:p>
      <w:pPr>
        <w:pStyle w:val="976"/>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3.3.3投标人应对招标文件内所要采购的全部内容进行报价，只对其中部分内容报价的，投标无效。</w:t>
      </w:r>
      <w:r>
        <w:rPr>
          <w:rFonts w:hint="eastAsia" w:ascii="宋体" w:hAnsi="宋体" w:eastAsia="宋体" w:cs="宋体"/>
          <w:color w:val="000000"/>
          <w:sz w:val="24"/>
          <w:szCs w:val="24"/>
          <w:highlight w:val="none"/>
        </w:rPr>
      </w:r>
      <w:r/>
    </w:p>
    <w:p>
      <w:pPr>
        <w:pStyle w:val="976"/>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3.3.4投标报价超过招标文件中规定的预算金额或者最高限价的，或者各标的物的单价超过该项预算单价的（针对招标文件标明预算单价的项目），其投标无效。</w:t>
      </w:r>
      <w:r>
        <w:rPr>
          <w:rFonts w:hint="eastAsia" w:ascii="宋体" w:hAnsi="宋体" w:eastAsia="宋体" w:cs="宋体"/>
          <w:color w:val="000000"/>
          <w:sz w:val="24"/>
          <w:szCs w:val="24"/>
          <w:highlight w:val="none"/>
        </w:rPr>
      </w:r>
      <w:r/>
    </w:p>
    <w:p>
      <w:pPr>
        <w:pStyle w:val="976"/>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3.2.5一项投标内容只允许一个报价，任何有选择性投标报价的，其投标无效。</w:t>
      </w:r>
      <w:r>
        <w:rPr>
          <w:rFonts w:hint="eastAsia" w:ascii="宋体" w:hAnsi="宋体" w:eastAsia="宋体" w:cs="宋体"/>
          <w:color w:val="000000"/>
          <w:sz w:val="24"/>
          <w:szCs w:val="24"/>
          <w:highlight w:val="none"/>
        </w:rPr>
      </w:r>
      <w:r/>
    </w:p>
    <w:p>
      <w:pPr>
        <w:pStyle w:val="976"/>
        <w:ind w:left="5" w:firstLine="518"/>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3.3.6投标文件报价中的单价和总价全部采用人民币表示，除非另有规定。</w:t>
      </w:r>
      <w:r>
        <w:rPr>
          <w:rFonts w:hint="eastAsia" w:ascii="宋体" w:hAnsi="宋体" w:eastAsia="宋体" w:cs="宋体"/>
          <w:b/>
          <w:bCs/>
          <w:color w:val="000000"/>
          <w:sz w:val="24"/>
          <w:szCs w:val="24"/>
          <w:highlight w:val="none"/>
        </w:rPr>
      </w:r>
      <w:r/>
    </w:p>
    <w:p>
      <w:pPr>
        <w:pStyle w:val="976"/>
        <w:ind w:left="525"/>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3.4电子投标文件的编制与提交</w:t>
      </w:r>
      <w:r>
        <w:rPr>
          <w:rFonts w:hint="eastAsia" w:ascii="宋体" w:hAnsi="宋体" w:eastAsia="宋体" w:cs="宋体"/>
          <w:b/>
          <w:color w:val="000000"/>
          <w:sz w:val="24"/>
          <w:szCs w:val="24"/>
          <w:highlight w:val="none"/>
        </w:rPr>
      </w:r>
      <w:r/>
    </w:p>
    <w:p>
      <w:pPr>
        <w:pStyle w:val="976"/>
        <w:ind w:left="5" w:firstLine="518"/>
        <w:spacing w:line="360" w:lineRule="auto"/>
        <w:tabs>
          <w:tab w:val="left" w:pos="851" w:leader="none"/>
        </w:tabs>
        <w:rPr>
          <w:rFonts w:hint="eastAsia" w:ascii="宋体" w:hAnsi="宋体" w:eastAsia="宋体" w:cs="宋体"/>
          <w:color w:val="000000"/>
          <w:sz w:val="24"/>
          <w:szCs w:val="24"/>
          <w:highlight w:val="none"/>
        </w:rPr>
      </w:pPr>
      <w:r/>
      <w:bookmarkStart w:id="2" w:name="_Hlk154589874"/>
      <w:r>
        <w:rPr>
          <w:rFonts w:hint="eastAsia" w:ascii="宋体" w:hAnsi="宋体" w:eastAsia="宋体" w:cs="宋体"/>
          <w:color w:val="000000"/>
          <w:sz w:val="24"/>
          <w:szCs w:val="24"/>
          <w:highlight w:val="none"/>
        </w:rPr>
        <w:t xml:space="preserve">3.4.1投标文件编制要求：本项目为网上招投标项目，请供应商插入CA 证书登录“苏采云”系统下载客户端（参与项目页面可下载客户端及客户端使用说明），在客户端编制电子投标文件并进行CA加密。操作步骤详见“苏采云”系统页面提示和《操作手册》。</w:t>
      </w:r>
      <w:r>
        <w:rPr>
          <w:rFonts w:hint="eastAsia" w:ascii="宋体" w:hAnsi="宋体" w:eastAsia="宋体" w:cs="宋体"/>
          <w:color w:val="000000"/>
          <w:sz w:val="24"/>
          <w:szCs w:val="24"/>
          <w:highlight w:val="none"/>
        </w:rPr>
      </w:r>
      <w:r/>
    </w:p>
    <w:p>
      <w:pPr>
        <w:pStyle w:val="976"/>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 w:val="24"/>
          <w:szCs w:val="24"/>
          <w:highlight w:val="none"/>
        </w:rPr>
      </w:r>
      <w:r/>
    </w:p>
    <w:p>
      <w:pPr>
        <w:pStyle w:val="976"/>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注：（1）请供应商务必保管好编制递交电子投标文件时使用的CA，如因丢失、损坏等原因更换CA锁时，需重新制作电子投标文件并递交，否则可能无法解密，因此导致的响应失败等不利后果由供应商自行承担。</w:t>
      </w:r>
      <w:r>
        <w:rPr>
          <w:rFonts w:hint="eastAsia" w:ascii="宋体" w:hAnsi="宋体" w:eastAsia="宋体" w:cs="宋体"/>
          <w:color w:val="000000"/>
          <w:sz w:val="24"/>
          <w:szCs w:val="24"/>
          <w:highlight w:val="none"/>
        </w:rPr>
      </w:r>
      <w:r/>
    </w:p>
    <w:p>
      <w:pPr>
        <w:pStyle w:val="976"/>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本项目在政府采购信息发布媒体上发布了更正（补充）公告，请供应商务必在“苏采云”系统中下载更正（补充）资料，根据更正后的采购文件重新编制电子响应文件并递交，否则可能无法解密，因此导致的响应失败等不利后果由供应商自行承担。</w:t>
      </w:r>
      <w:r>
        <w:rPr>
          <w:rFonts w:hint="eastAsia" w:ascii="宋体" w:hAnsi="宋体" w:eastAsia="宋体" w:cs="宋体"/>
          <w:color w:val="000000"/>
          <w:sz w:val="24"/>
          <w:szCs w:val="24"/>
          <w:highlight w:val="none"/>
        </w:rPr>
      </w:r>
      <w:r/>
    </w:p>
    <w:p>
      <w:pPr>
        <w:pStyle w:val="976"/>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3.4.3投标文件未按照招标文件要求加盖CA电子公章的，响应无效。</w:t>
      </w:r>
      <w:r>
        <w:rPr>
          <w:rFonts w:hint="eastAsia" w:ascii="宋体" w:hAnsi="宋体" w:eastAsia="宋体" w:cs="宋体"/>
          <w:color w:val="000000"/>
          <w:sz w:val="24"/>
          <w:szCs w:val="24"/>
          <w:highlight w:val="none"/>
        </w:rPr>
      </w:r>
      <w:r/>
    </w:p>
    <w:p>
      <w:pPr>
        <w:pStyle w:val="976"/>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3.5投标文件的开启（解密）</w:t>
      </w:r>
      <w:r>
        <w:rPr>
          <w:rFonts w:hint="eastAsia" w:ascii="宋体" w:hAnsi="宋体" w:eastAsia="宋体" w:cs="宋体"/>
          <w:color w:val="000000"/>
          <w:sz w:val="24"/>
          <w:szCs w:val="24"/>
          <w:highlight w:val="none"/>
        </w:rPr>
      </w:r>
      <w:r/>
    </w:p>
    <w:p>
      <w:pPr>
        <w:pStyle w:val="976"/>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3.5.1线上参加（观看）开标（开启）会方式：登录苏采云系统，点击“开标大厅”，选择对应项目。</w:t>
      </w:r>
      <w:r>
        <w:rPr>
          <w:rFonts w:hint="eastAsia" w:ascii="宋体" w:hAnsi="宋体" w:eastAsia="宋体" w:cs="宋体"/>
          <w:color w:val="000000"/>
          <w:sz w:val="24"/>
          <w:szCs w:val="24"/>
          <w:highlight w:val="none"/>
        </w:rPr>
      </w:r>
      <w:r/>
    </w:p>
    <w:p>
      <w:pPr>
        <w:pStyle w:val="976"/>
        <w:ind w:left="5" w:firstLine="518"/>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3.5.2供应商应当按照《操作手册》规定，在苏采云系统规定的时间内对投标文件进行解密。等待开标流程进入“解锁环境”，点击“点击立即解密”进行标书解密，解锁完成后及时关注开标大厅、答疑澄清等提示，</w:t>
      </w:r>
      <w:r>
        <w:rPr>
          <w:rFonts w:hint="eastAsia" w:ascii="宋体" w:hAnsi="宋体" w:eastAsia="宋体" w:cs="宋体"/>
          <w:b/>
          <w:bCs/>
          <w:color w:val="000000"/>
          <w:sz w:val="24"/>
          <w:szCs w:val="24"/>
          <w:highlight w:val="none"/>
        </w:rPr>
        <w:t xml:space="preserve">否则导致的对供应商不利的后果由供应商自行承担。</w:t>
      </w:r>
      <w:r>
        <w:rPr>
          <w:rFonts w:hint="eastAsia" w:ascii="宋体" w:hAnsi="宋体" w:eastAsia="宋体" w:cs="宋体"/>
          <w:b/>
          <w:bCs/>
          <w:color w:val="000000"/>
          <w:sz w:val="24"/>
          <w:szCs w:val="24"/>
          <w:highlight w:val="none"/>
        </w:rPr>
      </w:r>
      <w:r/>
    </w:p>
    <w:p>
      <w:pPr>
        <w:pStyle w:val="976"/>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3.5.3供应商在苏采云系统规定的时间内未成功解密电子投标文件的，投标无效。</w:t>
      </w:r>
      <w:r>
        <w:rPr>
          <w:rFonts w:hint="eastAsia" w:ascii="宋体" w:hAnsi="宋体" w:eastAsia="宋体" w:cs="宋体"/>
          <w:b/>
          <w:bCs/>
          <w:color w:val="000000"/>
          <w:sz w:val="24"/>
          <w:szCs w:val="24"/>
          <w:highlight w:val="none"/>
        </w:rPr>
      </w:r>
      <w:r/>
    </w:p>
    <w:p>
      <w:pPr>
        <w:pStyle w:val="976"/>
        <w:ind w:left="5" w:firstLine="520"/>
        <w:spacing w:line="360" w:lineRule="auto"/>
        <w:tabs>
          <w:tab w:val="left" w:pos="851"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供应商在制作、上传、解密电子标书过程中若遇到问题，请及时联系CA技术人员或“苏采云”系统客服热线，否则由此产生的后果由供应商自行负责。</w:t>
      </w:r>
      <w:r>
        <w:rPr>
          <w:rFonts w:ascii="宋体" w:hAnsi="宋体" w:eastAsia="宋体" w:cs="宋体"/>
          <w:b/>
          <w:bCs/>
          <w:color w:val="000000"/>
          <w:sz w:val="24"/>
          <w:szCs w:val="24"/>
          <w:highlight w:val="none"/>
        </w:rPr>
      </w:r>
      <w:r/>
    </w:p>
    <w:p>
      <w:pPr>
        <w:pStyle w:val="976"/>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3.5.4</w:t>
      </w:r>
      <w:bookmarkEnd w:id="2"/>
      <w:r>
        <w:rPr>
          <w:rFonts w:hint="eastAsia" w:ascii="宋体" w:hAnsi="宋体" w:eastAsia="宋体" w:cs="宋体"/>
          <w:color w:val="000000"/>
          <w:sz w:val="24"/>
          <w:szCs w:val="24"/>
          <w:highlight w:val="none"/>
        </w:rPr>
        <w:t xml:space="preserve">供应商电脑环境最低要求：谷歌浏览器，版本可直接网上下载最新版本即可。如需收听现场语音需配置放音设备，如视频直播、互动交流使用异常，请刷新网页，如仍无法解决，请联系技术支持。</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3.5.5CA技术咨询服务电话：400-608-6099；</w:t>
      </w:r>
      <w:r>
        <w:rPr>
          <w:rFonts w:hint="eastAsia" w:ascii="宋体" w:hAnsi="宋体" w:eastAsia="宋体" w:cs="宋体"/>
          <w:color w:val="000000"/>
          <w:sz w:val="24"/>
          <w:szCs w:val="24"/>
          <w:highlight w:val="none"/>
        </w:rPr>
      </w:r>
      <w:r/>
    </w:p>
    <w:p>
      <w:pPr>
        <w:pStyle w:val="976"/>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电子签章技术咨询服务电话：025-83633811、025-83633812、15380932027、15371015030；</w:t>
      </w:r>
      <w:r>
        <w:rPr>
          <w:rFonts w:hint="eastAsia" w:ascii="宋体" w:hAnsi="宋体" w:eastAsia="宋体" w:cs="宋体"/>
          <w:color w:val="000000"/>
          <w:sz w:val="24"/>
          <w:szCs w:val="24"/>
          <w:highlight w:val="none"/>
        </w:rPr>
      </w:r>
      <w:r/>
    </w:p>
    <w:p>
      <w:pPr>
        <w:pStyle w:val="976"/>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苏州市及区县“苏采云”系统使用指导与咨询：联系电话：0512-69820854、18261002950；QQ：3048755361、1315179389、895706745；智能客服：登录苏采云系统后，联系系统右下方智能客服图标进行咨询。</w:t>
      </w:r>
      <w:r>
        <w:rPr>
          <w:rFonts w:hint="eastAsia" w:ascii="宋体" w:hAnsi="宋体" w:eastAsia="宋体" w:cs="宋体"/>
          <w:color w:val="000000"/>
          <w:sz w:val="24"/>
          <w:szCs w:val="24"/>
          <w:highlight w:val="none"/>
        </w:rPr>
      </w:r>
      <w:r/>
    </w:p>
    <w:p>
      <w:pPr>
        <w:pStyle w:val="976"/>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3.6响应文件的修改和撤回：</w:t>
      </w:r>
      <w:r>
        <w:rPr>
          <w:rFonts w:hint="eastAsia" w:ascii="宋体" w:hAnsi="宋体" w:eastAsia="宋体" w:cs="宋体"/>
          <w:b/>
          <w:color w:val="000000"/>
          <w:sz w:val="24"/>
          <w:szCs w:val="24"/>
          <w:highlight w:val="none"/>
        </w:rPr>
      </w:r>
      <w:r/>
    </w:p>
    <w:p>
      <w:pPr>
        <w:pStyle w:val="996"/>
        <w:ind w:firstLine="480"/>
        <w:spacing w:line="360" w:lineRule="auto"/>
        <w:rPr>
          <w:rFonts w:hint="eastAsia" w:cs="宋体"/>
          <w:color w:val="000000"/>
          <w:highlight w:val="none"/>
        </w:rPr>
      </w:pPr>
      <w:r>
        <w:rPr>
          <w:rFonts w:hint="eastAsia" w:cs="宋体"/>
          <w:color w:val="000000"/>
          <w:highlight w:val="none"/>
        </w:rPr>
        <w:t xml:space="preserve">3.6.1供应商在提交投标文件截止时间前，可以对所递交的投标文件进行补充、修改或者撤回，具体操作方法见《操作手册》。提交投标文件截止时间后供应商不得撤回投标文件。</w:t>
      </w:r>
      <w:r>
        <w:rPr>
          <w:rFonts w:hint="eastAsia" w:cs="宋体"/>
          <w:color w:val="000000"/>
          <w:highlight w:val="none"/>
        </w:rPr>
      </w:r>
      <w:r/>
    </w:p>
    <w:p>
      <w:pPr>
        <w:pStyle w:val="976"/>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4、开标和评标：</w:t>
      </w:r>
      <w:r>
        <w:rPr>
          <w:rFonts w:hint="eastAsia" w:ascii="宋体" w:hAnsi="宋体" w:eastAsia="宋体" w:cs="宋体"/>
          <w:b/>
          <w:color w:val="000000"/>
          <w:sz w:val="24"/>
          <w:szCs w:val="24"/>
          <w:highlight w:val="none"/>
        </w:rPr>
      </w:r>
      <w:r/>
    </w:p>
    <w:p>
      <w:pPr>
        <w:pStyle w:val="976"/>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4.1开标</w:t>
      </w:r>
      <w:r>
        <w:rPr>
          <w:rFonts w:hint="eastAsia" w:ascii="宋体" w:hAnsi="宋体" w:eastAsia="宋体" w:cs="宋体"/>
          <w:b/>
          <w:color w:val="000000"/>
          <w:sz w:val="24"/>
          <w:szCs w:val="24"/>
          <w:highlight w:val="none"/>
        </w:rPr>
      </w:r>
      <w:r/>
    </w:p>
    <w:p>
      <w:pPr>
        <w:pStyle w:val="997"/>
        <w:spacing w:line="360" w:lineRule="auto"/>
        <w:rPr>
          <w:rFonts w:ascii="宋体" w:hAnsi="宋体" w:cs="宋体"/>
          <w:color w:val="000000"/>
          <w:sz w:val="21"/>
          <w:szCs w:val="21"/>
          <w:highlight w:val="none"/>
        </w:rPr>
      </w:pP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lang w:val="en-US"/>
        </w:rPr>
        <w:t xml:space="preserve">1</w:t>
      </w:r>
      <w:r>
        <w:rPr>
          <w:rFonts w:hint="eastAsia" w:ascii="宋体" w:hAnsi="宋体" w:eastAsia="宋体" w:cs="宋体"/>
          <w:color w:val="000000"/>
          <w:sz w:val="24"/>
          <w:szCs w:val="24"/>
          <w:highlight w:val="none"/>
        </w:rPr>
        <w:t xml:space="preserve">开标由采购代理机构</w:t>
      </w:r>
      <w:r>
        <w:rPr>
          <w:rFonts w:hint="eastAsia" w:ascii="宋体" w:hAnsi="宋体" w:eastAsia="宋体" w:cs="宋体"/>
          <w:color w:val="000000"/>
          <w:sz w:val="24"/>
          <w:szCs w:val="24"/>
          <w:highlight w:val="none"/>
          <w:lang w:val="en-US"/>
        </w:rPr>
        <w:t xml:space="preserve">在线</w:t>
      </w:r>
      <w:r>
        <w:rPr>
          <w:rFonts w:hint="eastAsia" w:ascii="宋体" w:hAnsi="宋体" w:eastAsia="宋体" w:cs="宋体"/>
          <w:color w:val="000000"/>
          <w:sz w:val="24"/>
          <w:szCs w:val="24"/>
          <w:highlight w:val="none"/>
        </w:rPr>
        <w:t xml:space="preserve">主持，邀请投标人</w:t>
      </w:r>
      <w:r>
        <w:rPr>
          <w:rFonts w:hint="eastAsia" w:ascii="宋体" w:hAnsi="宋体" w:eastAsia="宋体" w:cs="宋体"/>
          <w:color w:val="000000"/>
          <w:sz w:val="24"/>
          <w:szCs w:val="24"/>
          <w:highlight w:val="none"/>
          <w:lang w:val="en-US"/>
        </w:rPr>
        <w:t xml:space="preserve">在线</w:t>
      </w:r>
      <w:r>
        <w:rPr>
          <w:rFonts w:hint="eastAsia" w:ascii="宋体" w:hAnsi="宋体" w:eastAsia="宋体" w:cs="宋体"/>
          <w:color w:val="000000"/>
          <w:sz w:val="24"/>
          <w:szCs w:val="24"/>
          <w:highlight w:val="none"/>
        </w:rPr>
        <w:t xml:space="preserve">参加。投标人应当按照《苏采云系统供应商操作手册》规定，</w:t>
      </w:r>
      <w:r>
        <w:rPr>
          <w:rFonts w:hint="eastAsia" w:ascii="宋体" w:hAnsi="宋体" w:eastAsia="宋体" w:cs="宋体"/>
          <w:b/>
          <w:color w:val="000000"/>
          <w:sz w:val="24"/>
          <w:szCs w:val="24"/>
          <w:highlight w:val="none"/>
        </w:rPr>
        <w:t xml:space="preserve">参加开标活动和在“苏采云”系统规定的时间内对投标文件进行解密</w:t>
      </w:r>
      <w:r>
        <w:rPr>
          <w:rFonts w:hint="eastAsia" w:ascii="宋体" w:hAnsi="宋体" w:eastAsia="宋体" w:cs="宋体"/>
          <w:color w:val="000000"/>
          <w:sz w:val="24"/>
          <w:szCs w:val="24"/>
          <w:highlight w:val="none"/>
        </w:rPr>
        <w:t xml:space="preserve">。评标委员会成员不得参加开标活动。</w:t>
      </w:r>
      <w:r>
        <w:rPr>
          <w:rFonts w:ascii="宋体" w:hAnsi="宋体" w:cs="宋体"/>
          <w:color w:val="000000"/>
          <w:sz w:val="21"/>
          <w:szCs w:val="21"/>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4.1.</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开标时，由采购代理机构</w:t>
      </w:r>
      <w:r>
        <w:rPr>
          <w:rFonts w:hint="eastAsia" w:ascii="宋体" w:hAnsi="宋体" w:eastAsia="宋体" w:cs="宋体"/>
          <w:color w:val="000000"/>
          <w:sz w:val="24"/>
          <w:szCs w:val="24"/>
          <w:highlight w:val="none"/>
        </w:rPr>
        <w:t xml:space="preserve">通过“苏采云”系统在线</w:t>
      </w:r>
      <w:r>
        <w:rPr>
          <w:rFonts w:hint="eastAsia" w:ascii="宋体" w:hAnsi="宋体" w:eastAsia="宋体" w:cs="宋体"/>
          <w:color w:val="000000"/>
          <w:sz w:val="24"/>
          <w:szCs w:val="24"/>
          <w:highlight w:val="none"/>
          <w:lang w:val="zh-CN"/>
        </w:rPr>
        <w:t xml:space="preserve">宣布投标人名称、投标价格和招标文件规定的需要宣布的其他内容。</w:t>
      </w:r>
      <w:r>
        <w:rPr>
          <w:rFonts w:hint="eastAsia" w:ascii="宋体" w:hAnsi="宋体" w:eastAsia="宋体" w:cs="宋体"/>
          <w:color w:val="000000"/>
          <w:sz w:val="24"/>
          <w:szCs w:val="24"/>
          <w:highlight w:val="none"/>
        </w:rPr>
        <w:t xml:space="preserve">投标人在不见面开标系统中确认投标价格，如</w:t>
      </w:r>
      <w:r>
        <w:rPr>
          <w:rFonts w:hint="eastAsia" w:ascii="宋体" w:hAnsi="宋体" w:eastAsia="宋体" w:cs="宋体"/>
          <w:color w:val="000000"/>
          <w:sz w:val="24"/>
          <w:szCs w:val="24"/>
          <w:highlight w:val="none"/>
          <w:lang w:val="zh-CN"/>
        </w:rPr>
        <w:t xml:space="preserve">投标人未</w:t>
      </w:r>
      <w:r>
        <w:rPr>
          <w:rFonts w:hint="eastAsia" w:ascii="宋体" w:hAnsi="宋体" w:eastAsia="宋体" w:cs="宋体"/>
          <w:color w:val="000000"/>
          <w:sz w:val="24"/>
          <w:szCs w:val="24"/>
          <w:highlight w:val="none"/>
        </w:rPr>
        <w:t xml:space="preserve">在线</w:t>
      </w:r>
      <w:r>
        <w:rPr>
          <w:rFonts w:hint="eastAsia" w:ascii="宋体" w:hAnsi="宋体" w:eastAsia="宋体" w:cs="宋体"/>
          <w:color w:val="000000"/>
          <w:sz w:val="24"/>
          <w:szCs w:val="24"/>
          <w:highlight w:val="none"/>
          <w:lang w:val="zh-CN"/>
        </w:rPr>
        <w:t xml:space="preserve">参加开标</w:t>
      </w:r>
      <w:r>
        <w:rPr>
          <w:rFonts w:hint="eastAsia" w:ascii="宋体" w:hAnsi="宋体" w:eastAsia="宋体" w:cs="宋体"/>
          <w:color w:val="000000"/>
          <w:sz w:val="24"/>
          <w:szCs w:val="24"/>
          <w:highlight w:val="none"/>
        </w:rPr>
        <w:t xml:space="preserve">或未在规定时间内确认价格</w:t>
      </w:r>
      <w:r>
        <w:rPr>
          <w:rFonts w:hint="eastAsia" w:ascii="宋体" w:hAnsi="宋体" w:eastAsia="宋体" w:cs="宋体"/>
          <w:color w:val="000000"/>
          <w:sz w:val="24"/>
          <w:szCs w:val="24"/>
          <w:highlight w:val="none"/>
          <w:lang w:val="zh-CN"/>
        </w:rPr>
        <w:t xml:space="preserve">的，视同认可开标结果。</w:t>
      </w:r>
      <w:r>
        <w:rPr>
          <w:rFonts w:hint="eastAsia" w:ascii="宋体" w:hAnsi="宋体" w:eastAsia="宋体" w:cs="宋体"/>
          <w:color w:val="000000"/>
          <w:sz w:val="24"/>
          <w:szCs w:val="24"/>
          <w:highlight w:val="none"/>
          <w:lang w:val="zh-CN"/>
        </w:rPr>
      </w:r>
      <w:r/>
    </w:p>
    <w:p>
      <w:pPr>
        <w:pStyle w:val="976"/>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4.2资格审查</w:t>
      </w:r>
      <w:r>
        <w:rPr>
          <w:rFonts w:hint="eastAsia" w:ascii="宋体" w:hAnsi="宋体" w:eastAsia="宋体" w:cs="宋体"/>
          <w:b/>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4.2.1公开招标采购项目开标结束后，采购人应当依法对投标人的资格进行审查，未通过资格审查的视为无效投标。</w:t>
      </w:r>
      <w:r>
        <w:rPr>
          <w:rFonts w:hint="eastAsia" w:ascii="宋体" w:hAnsi="宋体" w:eastAsia="宋体" w:cs="宋体"/>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4.2.2根据政府采购法及相关法规，以及苏州市财政局《关于印发苏州市市级政府采购信用记录查询和使用工作试行办法的通知》（苏财购（2017）11号）文件的规定，采购代理机构将对供应商进行信用查询。</w:t>
      </w:r>
      <w:r>
        <w:rPr>
          <w:rFonts w:hint="eastAsia" w:ascii="宋体" w:hAnsi="宋体" w:eastAsia="宋体" w:cs="宋体"/>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4.2.2.1查询时间：投标文件提交截止时间。</w:t>
      </w:r>
      <w:r>
        <w:rPr>
          <w:rFonts w:hint="eastAsia" w:ascii="宋体" w:hAnsi="宋体" w:eastAsia="宋体" w:cs="宋体"/>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4.2.2.2查询渠道：通过“信用中国”、“信用江苏”及“中国政府采购网” 上的信用信息查询供应商的信用记录。 </w:t>
      </w:r>
      <w:r>
        <w:rPr>
          <w:rFonts w:hint="eastAsia" w:ascii="宋体" w:hAnsi="宋体" w:eastAsia="宋体" w:cs="宋体"/>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4.2.2.3查询证据留存方式：对存在失信信息的供应商，评审小组应填写《苏州市级政府采购供应商失信信息确认函》，由失信供应商应签名确认。</w:t>
      </w:r>
      <w:r>
        <w:rPr>
          <w:rFonts w:hint="eastAsia" w:ascii="宋体" w:hAnsi="宋体" w:eastAsia="宋体" w:cs="宋体"/>
          <w:color w:val="000000"/>
          <w:sz w:val="24"/>
          <w:szCs w:val="24"/>
          <w:highlight w:val="none"/>
          <w:lang w:val="zh-CN"/>
        </w:rPr>
        <w:t xml:space="preserve">采购代理机构工作人员应登录到来源网站页面进行复核并打印，</w:t>
      </w:r>
      <w:r>
        <w:rPr>
          <w:rFonts w:hint="eastAsia" w:ascii="宋体" w:hAnsi="宋体" w:eastAsia="宋体" w:cs="宋体"/>
          <w:color w:val="000000"/>
          <w:sz w:val="24"/>
          <w:szCs w:val="24"/>
          <w:highlight w:val="none"/>
        </w:rPr>
        <w:t xml:space="preserve">作为证据留存。</w:t>
      </w:r>
      <w:r>
        <w:rPr>
          <w:rFonts w:hint="eastAsia" w:ascii="宋体" w:hAnsi="宋体" w:eastAsia="宋体" w:cs="宋体"/>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4.2.2.4信用记录使用规则：评审小组在对供应商进行资格性审查时，应根据查询结果对供应商的不良信用记录逐项甄别确认。按照《中华人民共和国政府采购法》第二十二条规定，</w:t>
      </w:r>
      <w:r>
        <w:rPr>
          <w:rFonts w:hint="eastAsia" w:ascii="宋体" w:hAnsi="宋体" w:eastAsia="宋体" w:cs="宋体"/>
          <w:b/>
          <w:bCs/>
          <w:color w:val="000000"/>
          <w:sz w:val="24"/>
          <w:szCs w:val="24"/>
          <w:highlight w:val="none"/>
        </w:rPr>
        <w:t xml:space="preserve">信用记录属于应依法拒绝供应商参加政府采购的失信信息，存在此类失信信息的投标人的投标无效。</w:t>
      </w:r>
      <w:r>
        <w:rPr>
          <w:rFonts w:hint="eastAsia" w:ascii="宋体" w:hAnsi="宋体" w:eastAsia="宋体" w:cs="宋体"/>
          <w:color w:val="000000"/>
          <w:sz w:val="24"/>
          <w:szCs w:val="24"/>
          <w:highlight w:val="none"/>
        </w:rPr>
      </w:r>
      <w:r/>
    </w:p>
    <w:p>
      <w:pPr>
        <w:pStyle w:val="976"/>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4.3评标委员会</w:t>
      </w:r>
      <w:r>
        <w:rPr>
          <w:rFonts w:hint="eastAsia" w:ascii="宋体" w:hAnsi="宋体" w:eastAsia="宋体" w:cs="宋体"/>
          <w:b/>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4.3.1采购人或采购代理机构负责组织评标工作，评标委员会由采购人代表和评审专家组成，负责具体评标事务，并独立履行职责。</w:t>
      </w:r>
      <w:r>
        <w:rPr>
          <w:rFonts w:hint="eastAsia" w:ascii="宋体" w:hAnsi="宋体" w:eastAsia="宋体" w:cs="宋体"/>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4.3.2评审专家与参加采购活动的供应商存在下列利害关系之一的，应当回避：</w:t>
      </w:r>
      <w:r>
        <w:rPr>
          <w:rFonts w:hint="eastAsia" w:ascii="宋体" w:hAnsi="宋体" w:eastAsia="宋体" w:cs="宋体"/>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（一）参加采购活动前三年内，与供应商存在劳动关系，或者担任过供应商的董事、监事，或者是供应商的控股股东或实际控制人；</w:t>
      </w:r>
      <w:r>
        <w:rPr>
          <w:rFonts w:hint="eastAsia" w:ascii="宋体" w:hAnsi="宋体" w:eastAsia="宋体" w:cs="宋体"/>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（二）与供应商的法定代表人或者负责人有夫妻、直系血亲、三代以内旁系血亲或者近姻亲关系；</w:t>
      </w:r>
      <w:r>
        <w:rPr>
          <w:rFonts w:hint="eastAsia" w:ascii="宋体" w:hAnsi="宋体" w:eastAsia="宋体" w:cs="宋体"/>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（三）与供应商有其他可能影响政府采购活动公平、公正进行的关系。</w:t>
      </w:r>
      <w:r>
        <w:rPr>
          <w:rFonts w:hint="eastAsia" w:ascii="宋体" w:hAnsi="宋体" w:eastAsia="宋体" w:cs="宋体"/>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评审专家发现本人与参加采购活动的供应商有利害关系的，应当主动提出回避。采购人或者采购代理机构发现评审专家与参加采购活动的供应商有利害关系的，应当要求其回避。</w:t>
      </w:r>
      <w:r>
        <w:rPr>
          <w:rFonts w:hint="eastAsia" w:ascii="宋体" w:hAnsi="宋体" w:eastAsia="宋体" w:cs="宋体"/>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4.3.3评审专家应当遵守评审工作纪律，不得泄露评审文件、评审情况和评审中获悉的商业秘密。评标委员会在评审过程中发现供应商有行贿、提供虚假材料或者串通等违法行为的，应当及时向财政部门报告。政府采购评审专家在评审过程中受到非法干预的，应当及时向财政、监察等部门举报。</w:t>
      </w:r>
      <w:r>
        <w:rPr>
          <w:rFonts w:hint="eastAsia" w:ascii="宋体" w:hAnsi="宋体" w:eastAsia="宋体" w:cs="宋体"/>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4.3.4评标委员会成员应当按照客观、公正、审慎的原则，根据采购文件规定的评审程序、评审方法和评审标准进行独立评审。</w:t>
      </w:r>
      <w:r>
        <w:rPr>
          <w:rFonts w:hint="eastAsia" w:ascii="宋体" w:hAnsi="宋体" w:eastAsia="宋体" w:cs="宋体"/>
          <w:color w:val="000000"/>
          <w:sz w:val="24"/>
          <w:szCs w:val="24"/>
          <w:highlight w:val="none"/>
        </w:rPr>
      </w:r>
      <w:r/>
    </w:p>
    <w:p>
      <w:pPr>
        <w:pStyle w:val="976"/>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4.4评标</w:t>
      </w:r>
      <w:r>
        <w:rPr>
          <w:rFonts w:hint="eastAsia" w:ascii="宋体" w:hAnsi="宋体" w:eastAsia="宋体" w:cs="宋体"/>
          <w:b/>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4.4.1符合性审查</w:t>
      </w:r>
      <w:r>
        <w:rPr>
          <w:rFonts w:hint="eastAsia" w:ascii="宋体" w:hAnsi="宋体" w:eastAsia="宋体" w:cs="宋体"/>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评标委员会应当对符合资格的投标人的投标文件进行符合性审查，以确定其是否满足招标文件的实质性要求。未满足本项目实质性要求的认定为无效投标。</w:t>
      </w:r>
      <w:r>
        <w:rPr>
          <w:rFonts w:hint="eastAsia" w:ascii="宋体" w:hAnsi="宋体" w:eastAsia="宋体" w:cs="宋体"/>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4.4.2投标文件的比较和评价</w:t>
      </w:r>
      <w:r>
        <w:rPr>
          <w:rFonts w:hint="eastAsia" w:ascii="宋体" w:hAnsi="宋体" w:eastAsia="宋体" w:cs="宋体"/>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4.4.2.1评标委员会应当按照招标文件中规定的评标方法和标准，对符合性审查合格的投标文件进行商务和技术评估，综合比较与评价。</w:t>
      </w:r>
      <w:r>
        <w:rPr>
          <w:rFonts w:hint="eastAsia" w:ascii="宋体" w:hAnsi="宋体" w:eastAsia="宋体" w:cs="宋体"/>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4.4.2.2本项目采用综合评分法，即指投标文件满足招标文件全部实质性要求，且按照评审因素的量化指标评审得分最高的投标人为中标候选人的评标方法。评标方法和评分标准见第六章。</w:t>
      </w:r>
      <w:r>
        <w:rPr>
          <w:rFonts w:hint="eastAsia" w:ascii="宋体" w:hAnsi="宋体" w:eastAsia="宋体" w:cs="宋体"/>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4.4.2.3价格修正</w:t>
      </w:r>
      <w:r>
        <w:rPr>
          <w:rFonts w:hint="eastAsia" w:ascii="宋体" w:hAnsi="宋体" w:eastAsia="宋体" w:cs="宋体"/>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投标文件报价出现前后不一致的，除招标文件另有规定外，按下列规定修正：</w:t>
      </w:r>
      <w:r>
        <w:rPr>
          <w:rFonts w:hint="eastAsia" w:ascii="宋体" w:hAnsi="宋体" w:eastAsia="宋体" w:cs="宋体"/>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（一）投标文件中开标一览表（报价表）内容与投标文件中相应内容不一致的，以开标一览表（报价表）为准；</w:t>
      </w:r>
      <w:r>
        <w:rPr>
          <w:rFonts w:hint="eastAsia" w:ascii="宋体" w:hAnsi="宋体" w:eastAsia="宋体" w:cs="宋体"/>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（二）大写金额和小写金额不一致的，以大写金额为准；</w:t>
      </w:r>
      <w:r>
        <w:rPr>
          <w:rFonts w:hint="eastAsia" w:ascii="宋体" w:hAnsi="宋体" w:eastAsia="宋体" w:cs="宋体"/>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（三）单价金额小数点或者百分比有明显错位的，以开标一览表的总价为准，并修改单价；</w:t>
      </w:r>
      <w:r>
        <w:rPr>
          <w:rFonts w:hint="eastAsia" w:ascii="宋体" w:hAnsi="宋体" w:eastAsia="宋体" w:cs="宋体"/>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（四）总价金额与按单价汇总金额不一致的，以单价金额计算结果为准。</w:t>
      </w:r>
      <w:r>
        <w:rPr>
          <w:rFonts w:hint="eastAsia" w:ascii="宋体" w:hAnsi="宋体" w:eastAsia="宋体" w:cs="宋体"/>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同时出现两种以上不一致的，按照前款规定的顺序修正。</w:t>
      </w:r>
      <w:r>
        <w:rPr>
          <w:rFonts w:hint="eastAsia" w:ascii="宋体" w:hAnsi="宋体" w:eastAsia="宋体" w:cs="宋体"/>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修正后的报价按照《中华人民共和国财政部令第87号》第五十一条第二款的规定经投标人确认后产生约束力，投标人不确认的，其投标无效。</w:t>
      </w:r>
      <w:r>
        <w:rPr>
          <w:rFonts w:hint="eastAsia" w:ascii="宋体" w:hAnsi="宋体" w:eastAsia="宋体" w:cs="宋体"/>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4.4.2.4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将其作为无效投标处理。</w:t>
      </w:r>
      <w:r>
        <w:rPr>
          <w:rFonts w:hint="eastAsia" w:ascii="宋体" w:hAnsi="宋体" w:eastAsia="宋体" w:cs="宋体"/>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4.4.2.5评标委员会成员对需要共同认定的事项存在争议的，应当按照少数服从多数的原则作出结论。持不同意见的评标委员会成员应当在评标报告上签署不同意见及理由，否则视为同意评标报告。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宋体"/>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4.4.3投标的澄清</w:t>
      </w:r>
      <w:r>
        <w:rPr>
          <w:rFonts w:hint="eastAsia" w:ascii="宋体" w:hAnsi="宋体" w:eastAsia="宋体" w:cs="宋体"/>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4.4.3.1评审小组可以要求供应商对于投标文件中含义不明确、同类问题表述不一致或者有明显文字和计算错误的内容等作出必要的澄清、说明或者更正。供应商的澄清、说明或者补正不得超出投标文件的范围或者改变投标文件的实质性内容。</w:t>
      </w:r>
      <w:r>
        <w:rPr>
          <w:rFonts w:hint="eastAsia" w:ascii="宋体" w:hAnsi="宋体" w:eastAsia="宋体" w:cs="宋体"/>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4.4.3.2本项目采用线上澄清。</w:t>
      </w:r>
      <w:r>
        <w:rPr>
          <w:rFonts w:hint="eastAsia" w:ascii="宋体" w:hAnsi="宋体" w:eastAsia="宋体" w:cs="宋体"/>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4.4.3.3线上澄清答复的方式：需要供应商进行澄清、说明和更正的，评审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rPr>
          <w:rFonts w:hint="eastAsia" w:ascii="宋体" w:hAnsi="宋体" w:eastAsia="宋体" w:cs="宋体"/>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4.4.3.4接到评审小组澄清、说明和更正要求的供应商如未按规定做出澄清、说明和更正，其风险由供应商自行承担。</w:t>
      </w:r>
      <w:r>
        <w:rPr>
          <w:rFonts w:hint="eastAsia" w:ascii="宋体" w:hAnsi="宋体" w:eastAsia="宋体" w:cs="宋体"/>
          <w:color w:val="000000"/>
          <w:sz w:val="24"/>
          <w:szCs w:val="24"/>
          <w:highlight w:val="none"/>
        </w:rPr>
      </w:r>
      <w:r/>
    </w:p>
    <w:p>
      <w:pPr>
        <w:pStyle w:val="976"/>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5、废标</w:t>
      </w:r>
      <w:r>
        <w:rPr>
          <w:rFonts w:hint="eastAsia" w:ascii="宋体" w:hAnsi="宋体" w:eastAsia="宋体" w:cs="宋体"/>
          <w:b/>
          <w:color w:val="000000"/>
          <w:sz w:val="24"/>
          <w:szCs w:val="24"/>
          <w:highlight w:val="none"/>
        </w:rPr>
      </w:r>
      <w:r/>
    </w:p>
    <w:p>
      <w:pPr>
        <w:pStyle w:val="976"/>
        <w:ind w:firstLine="482"/>
        <w:spacing w:line="360" w:lineRule="auto"/>
        <w:tabs>
          <w:tab w:val="left" w:pos="142" w:leader="none"/>
          <w:tab w:val="left" w:pos="6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5.1出现下列情形之一的，应予废标：</w:t>
      </w:r>
      <w:r>
        <w:rPr>
          <w:rFonts w:hint="eastAsia" w:ascii="宋体" w:hAnsi="宋体" w:eastAsia="宋体" w:cs="宋体"/>
          <w:b/>
          <w:bCs/>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（一）符合专业条件的供应商或者对招标文件作实质响应的供应商不足三家的；</w:t>
      </w:r>
      <w:r>
        <w:rPr>
          <w:rFonts w:hint="eastAsia" w:ascii="宋体" w:hAnsi="宋体" w:eastAsia="宋体" w:cs="宋体"/>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（二）出现影响采购公正的违法、违规行为的；</w:t>
      </w:r>
      <w:r>
        <w:rPr>
          <w:rFonts w:hint="eastAsia" w:ascii="宋体" w:hAnsi="宋体" w:eastAsia="宋体" w:cs="宋体"/>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（三）投标人的报价均超过了采购预算，采购人不能支付的；</w:t>
      </w:r>
      <w:r>
        <w:rPr>
          <w:rFonts w:hint="eastAsia" w:ascii="宋体" w:hAnsi="宋体" w:eastAsia="宋体" w:cs="宋体"/>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（四）因重大变故，采购任务取消的。</w:t>
      </w:r>
      <w:r>
        <w:rPr>
          <w:rFonts w:hint="eastAsia" w:ascii="宋体" w:hAnsi="宋体" w:eastAsia="宋体" w:cs="宋体"/>
          <w:color w:val="000000"/>
          <w:sz w:val="24"/>
          <w:szCs w:val="24"/>
          <w:highlight w:val="none"/>
        </w:rPr>
      </w:r>
      <w:r/>
    </w:p>
    <w:p>
      <w:pPr>
        <w:pStyle w:val="976"/>
        <w:ind w:firstLine="482"/>
        <w:spacing w:line="360" w:lineRule="auto"/>
        <w:tabs>
          <w:tab w:val="left" w:pos="142" w:leader="none"/>
          <w:tab w:val="left" w:pos="6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5.2废标后，采购人应当将废标理由通知所有投标人。</w:t>
      </w:r>
      <w:r>
        <w:rPr>
          <w:rFonts w:hint="eastAsia" w:ascii="宋体" w:hAnsi="宋体" w:eastAsia="宋体" w:cs="宋体"/>
          <w:b/>
          <w:bCs/>
          <w:color w:val="000000"/>
          <w:sz w:val="24"/>
          <w:szCs w:val="24"/>
          <w:highlight w:val="none"/>
        </w:rPr>
      </w:r>
      <w:r/>
    </w:p>
    <w:p>
      <w:pPr>
        <w:pStyle w:val="976"/>
        <w:ind w:firstLine="482"/>
        <w:spacing w:line="360" w:lineRule="auto"/>
        <w:tabs>
          <w:tab w:val="left" w:pos="142" w:leader="none"/>
          <w:tab w:val="left" w:pos="6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6、中标</w:t>
      </w:r>
      <w:r>
        <w:rPr>
          <w:rFonts w:hint="eastAsia" w:ascii="宋体" w:hAnsi="宋体" w:eastAsia="宋体" w:cs="宋体"/>
          <w:b/>
          <w:bCs/>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6.1本项目评标方法采用综合评分法，即指投标文件满足招标文件全部实质性要求，且按照评审因素的量化指标评审得分最高的投标人为中标候选人的评标方法。</w:t>
      </w:r>
      <w:r>
        <w:rPr>
          <w:rFonts w:hint="eastAsia" w:ascii="宋体" w:hAnsi="宋体" w:eastAsia="宋体" w:cs="宋体"/>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6.2评标结果按评审后得分由高到低顺序排列。得分相同的，按投标报价由低到高顺序排列。得分且投标报价相同的，则由评标委员会组织抽签确定中标候选人顺序。</w:t>
      </w:r>
      <w:r>
        <w:rPr>
          <w:rFonts w:hint="eastAsia" w:ascii="宋体" w:hAnsi="宋体" w:eastAsia="宋体" w:cs="宋体"/>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6.3评标委员会在确定的中标候选人名单中按顺序确定中标单位，中标候选人并列的，按照招标文件规定的方式确定中标单位。</w:t>
      </w:r>
      <w:r>
        <w:rPr>
          <w:rFonts w:hint="eastAsia" w:ascii="宋体" w:hAnsi="宋体" w:eastAsia="宋体" w:cs="宋体"/>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6.4采购人或者采购代理机构应当自中标单位确定之日起2个工作日内将中标单位在政府采购信息媒体上发布中标公告，中标公告期限为1个工作日。</w:t>
      </w:r>
      <w:r>
        <w:rPr>
          <w:rFonts w:hint="eastAsia" w:ascii="宋体" w:hAnsi="宋体" w:eastAsia="宋体" w:cs="宋体"/>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6.5采购人或采购代理机构根据相关规定发布中标公告，中标公告发出的同时应当向中标供应商发出《中标通知书》</w:t>
      </w:r>
      <w:bookmarkStart w:id="3" w:name="_Hlk132385577"/>
      <w:r/>
      <w:bookmarkStart w:id="4" w:name="_Hlk132385599"/>
      <w:r/>
      <w:bookmarkStart w:id="5" w:name="_Hlk132389804"/>
      <w:r>
        <w:rPr>
          <w:rFonts w:hint="eastAsia" w:ascii="宋体" w:hAnsi="宋体" w:eastAsia="宋体" w:cs="宋体"/>
          <w:color w:val="000000"/>
          <w:sz w:val="24"/>
          <w:szCs w:val="24"/>
          <w:highlight w:val="none"/>
        </w:rPr>
        <w:t xml:space="preserve">。请中标供应商在中标结果公告届满之日起30日内，使用CA数字证书登录苏采云系统及时下载成交通知书。因系统存储空间有限，自中标结果公告届满之日起30日后，苏采云系统不再保证提供下载成交通知书服务，因未及时下载而造成的不利后果由成交供应商自行承担）；</w:t>
      </w:r>
      <w:bookmarkEnd w:id="3"/>
      <w:r/>
      <w:bookmarkEnd w:id="4"/>
      <w:r/>
      <w:bookmarkEnd w:id="5"/>
      <w:r>
        <w:rPr>
          <w:rFonts w:hint="eastAsia" w:ascii="宋体" w:hAnsi="宋体" w:eastAsia="宋体" w:cs="宋体"/>
          <w:color w:val="000000"/>
          <w:sz w:val="24"/>
          <w:szCs w:val="24"/>
          <w:highlight w:val="none"/>
        </w:rPr>
        <w:t xml:space="preserve">对未通过资格性审查的供应商，应当告知其未通过的原因；未中标供应商须在成交公告发出之日起2个工作日内向采购代理机构另行提供用以接收《未中标通知书》的电子邮件地址，未按时提供电子邮件地址或提供信息有误的，视为自动放弃并自行承担相应后果。</w:t>
      </w:r>
      <w:r>
        <w:rPr>
          <w:rFonts w:hint="eastAsia" w:ascii="宋体" w:hAnsi="宋体" w:eastAsia="宋体" w:cs="宋体"/>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6.6中标通知书发出后，采购人不得违法改变中标结果，中标单位无正当理由不得放弃中标。</w:t>
      </w:r>
      <w:r>
        <w:rPr>
          <w:rFonts w:hint="eastAsia" w:ascii="宋体" w:hAnsi="宋体" w:eastAsia="宋体" w:cs="宋体"/>
          <w:color w:val="000000"/>
          <w:sz w:val="24"/>
          <w:szCs w:val="24"/>
          <w:highlight w:val="none"/>
        </w:rPr>
      </w:r>
      <w:r/>
    </w:p>
    <w:p>
      <w:pPr>
        <w:pStyle w:val="976"/>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7、履约保证金</w:t>
      </w:r>
      <w:r>
        <w:rPr>
          <w:rFonts w:hint="eastAsia" w:ascii="宋体" w:hAnsi="宋体" w:eastAsia="宋体" w:cs="宋体"/>
          <w:b/>
          <w:color w:val="000000"/>
          <w:sz w:val="24"/>
          <w:szCs w:val="24"/>
          <w:highlight w:val="none"/>
        </w:rPr>
      </w:r>
      <w:r/>
    </w:p>
    <w:p>
      <w:pPr>
        <w:pStyle w:val="996"/>
        <w:ind w:firstLine="480"/>
        <w:spacing w:line="360" w:lineRule="auto"/>
        <w:rPr>
          <w:rFonts w:hint="eastAsia" w:cs="宋体"/>
          <w:color w:val="000000"/>
          <w:highlight w:val="none"/>
        </w:rPr>
      </w:pPr>
      <w:r>
        <w:rPr>
          <w:rFonts w:hint="eastAsia" w:cs="宋体"/>
          <w:color w:val="000000"/>
          <w:highlight w:val="none"/>
        </w:rPr>
        <w:t xml:space="preserve">见第五章合同文本履约保证金条款。</w:t>
      </w:r>
      <w:r>
        <w:rPr>
          <w:rFonts w:hint="eastAsia" w:cs="宋体"/>
          <w:color w:val="000000"/>
          <w:highlight w:val="none"/>
        </w:rPr>
      </w:r>
      <w:r/>
    </w:p>
    <w:p>
      <w:pPr>
        <w:pStyle w:val="976"/>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8、合同的签订</w:t>
      </w:r>
      <w:r>
        <w:rPr>
          <w:rFonts w:hint="eastAsia" w:ascii="宋体" w:hAnsi="宋体" w:eastAsia="宋体" w:cs="宋体"/>
          <w:b/>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8.1采购人应当自中标通知书发出之日起15日内（最迟30日内</w:t>
      </w:r>
      <w:r>
        <w:rPr>
          <w:rFonts w:hint="eastAsia"/>
          <w:color w:val="000000"/>
          <w:szCs w:val="21"/>
          <w:highlight w:val="none"/>
        </w:rPr>
        <w:t xml:space="preserve">）</w:t>
      </w:r>
      <w:r>
        <w:rPr>
          <w:rFonts w:hint="eastAsia" w:ascii="宋体" w:hAnsi="宋体" w:eastAsia="宋体" w:cs="宋体"/>
          <w:color w:val="000000"/>
          <w:sz w:val="24"/>
          <w:szCs w:val="24"/>
          <w:highlight w:val="none"/>
        </w:rPr>
        <w:t xml:space="preserve">，按照招标文件及投标文件规定与中标单位签订书面合同。</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 采购人不得向中标供应商提出任何不合理的要求作为签订合同的条件，不得与中标供应商私下订立背离合同实质性内容的协议。</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8.4依据《政府采购促进中小企业发展管理办法》（财库〔2020〕46号）规定，享受扶持政策获得政府采购合同的，小微企业不得将合同分包给大中型企业，中型企业不得将合同分包给大型企业。</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8.5中标供应商无正当理由不得放弃中标。</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4"/>
          <w:szCs w:val="24"/>
          <w:highlight w:val="none"/>
        </w:rPr>
      </w:r>
      <w:r/>
    </w:p>
    <w:p>
      <w:pPr>
        <w:pStyle w:val="976"/>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9、质疑</w:t>
      </w:r>
      <w:r>
        <w:rPr>
          <w:rFonts w:hint="eastAsia" w:ascii="宋体" w:hAnsi="宋体" w:eastAsia="宋体" w:cs="宋体"/>
          <w:b/>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9.1质疑及答复遵守《政府采购质疑和投诉办法》（中华人民共和国财政部令第94号）规定。</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供应商认为采购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9.3本项目投标人应当在法定质疑期内一次性提出针对同一采购程序环节的质疑。供应商如在法定期限内对同一采购程序环节提出多次质疑的，采购代理机构、采购人将只对供应商第一次质疑作出答复。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s="宋体"/>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9.4对招标文件内容质疑时，</w:t>
      </w:r>
      <w:r>
        <w:rPr>
          <w:rFonts w:hint="eastAsia" w:ascii="宋体" w:hAnsi="宋体" w:eastAsia="宋体" w:cs="宋体"/>
          <w:b/>
          <w:color w:val="000000"/>
          <w:sz w:val="24"/>
          <w:szCs w:val="24"/>
          <w:highlight w:val="none"/>
        </w:rPr>
        <w:t xml:space="preserve">需提供在苏采云系统中下载本项目招标文件的《投标供应商确认函》，未提供的视为未依照采购公告要求获取招标文件的供应商，不具备对该政府采购项目提出质疑的法定权利。</w:t>
      </w:r>
      <w:r>
        <w:rPr>
          <w:rFonts w:hint="eastAsia" w:ascii="宋体" w:hAnsi="宋体" w:eastAsia="宋体" w:cs="宋体"/>
          <w:b/>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9.5接收质疑函的方式为书面形式（当场送达或邮寄方式）</w:t>
      </w:r>
      <w:r>
        <w:rPr>
          <w:rFonts w:hint="eastAsia" w:ascii="宋体" w:hAnsi="宋体" w:eastAsia="宋体" w:cs="宋体"/>
          <w:bCs/>
          <w:color w:val="000000"/>
          <w:sz w:val="24"/>
          <w:szCs w:val="24"/>
          <w:highlight w:val="none"/>
        </w:rPr>
        <w:t xml:space="preserve">向采购人、采购代理机构提出质疑，联系人、联系电话和通讯地址等信息以招标公告中</w:t>
      </w:r>
      <w:r>
        <w:rPr>
          <w:rFonts w:hint="eastAsia" w:ascii="宋体" w:hAnsi="宋体" w:eastAsia="宋体" w:cs="宋体"/>
          <w:color w:val="000000"/>
          <w:sz w:val="24"/>
          <w:szCs w:val="24"/>
          <w:highlight w:val="none"/>
        </w:rPr>
        <w:t xml:space="preserve">对本次招标提出询问，请按以下方式联系</w:t>
      </w:r>
      <w:r>
        <w:rPr>
          <w:rFonts w:hint="eastAsia" w:ascii="宋体" w:hAnsi="宋体" w:eastAsia="宋体" w:cs="宋体"/>
          <w:bCs/>
          <w:color w:val="000000"/>
          <w:sz w:val="24"/>
          <w:szCs w:val="24"/>
          <w:highlight w:val="none"/>
        </w:rPr>
        <w:t xml:space="preserve">为准</w:t>
      </w:r>
      <w:r>
        <w:rPr>
          <w:rFonts w:hint="eastAsia" w:ascii="宋体" w:hAnsi="宋体" w:eastAsia="宋体" w:cs="宋体"/>
          <w:color w:val="000000"/>
          <w:sz w:val="24"/>
          <w:szCs w:val="24"/>
          <w:highlight w:val="none"/>
        </w:rPr>
        <w:t xml:space="preserve">。供应商质疑函范本格式请参照“苏州市政府采购”网站——“下载中心”——“</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政府采购供应商质疑函范本</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6"/>
        <w:ind w:firstLine="52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10、投标文件的有效期</w:t>
      </w:r>
      <w:r>
        <w:rPr>
          <w:rFonts w:hint="eastAsia" w:ascii="宋体" w:hAnsi="宋体" w:eastAsia="宋体" w:cs="宋体"/>
          <w:b/>
          <w:color w:val="000000"/>
          <w:sz w:val="24"/>
          <w:szCs w:val="24"/>
          <w:highlight w:val="none"/>
        </w:rPr>
      </w:r>
      <w:r/>
    </w:p>
    <w:p>
      <w:pPr>
        <w:pStyle w:val="976"/>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10.1投标文件的有效期自提交投标文件的截止之日起九十天，投标文件应保持有效。投标文件的有效期不明确或短于上述规定期限的，投标文件无效。</w:t>
      </w:r>
      <w:r>
        <w:rPr>
          <w:rFonts w:hint="eastAsia" w:ascii="宋体" w:hAnsi="宋体" w:eastAsia="宋体" w:cs="宋体"/>
          <w:bCs/>
          <w:color w:val="000000"/>
          <w:sz w:val="24"/>
          <w:szCs w:val="24"/>
          <w:highlight w:val="none"/>
        </w:rPr>
      </w:r>
      <w:r/>
    </w:p>
    <w:p>
      <w:pPr>
        <w:pStyle w:val="976"/>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10.2在特殊情况下，采购人可与供应商协商延长响应文件的有效期，这种要求和答复都应以书面形式进行。</w:t>
      </w:r>
      <w:r>
        <w:rPr>
          <w:rFonts w:hint="eastAsia" w:ascii="宋体" w:hAnsi="宋体" w:eastAsia="宋体" w:cs="宋体"/>
          <w:bCs/>
          <w:color w:val="000000"/>
          <w:sz w:val="24"/>
          <w:szCs w:val="24"/>
          <w:highlight w:val="none"/>
        </w:rPr>
      </w:r>
      <w:r/>
    </w:p>
    <w:p>
      <w:pPr>
        <w:pStyle w:val="976"/>
        <w:ind w:firstLine="52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11、代理服务费：由中标单位承担。</w:t>
      </w:r>
      <w:r>
        <w:rPr>
          <w:rFonts w:hint="eastAsia" w:ascii="宋体" w:hAnsi="宋体" w:eastAsia="宋体" w:cs="宋体"/>
          <w:b/>
          <w:color w:val="000000"/>
          <w:sz w:val="24"/>
          <w:szCs w:val="24"/>
          <w:highlight w:val="none"/>
        </w:rPr>
      </w:r>
      <w:r/>
    </w:p>
    <w:p>
      <w:pPr>
        <w:pStyle w:val="976"/>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11.1代理服务费以采购预算金额为基数依据，按如下规定的标准和差额定率累进法进行计算收取：</w:t>
      </w:r>
      <w:r>
        <w:rPr>
          <w:rFonts w:hint="eastAsia" w:ascii="宋体" w:hAnsi="宋体" w:eastAsia="宋体" w:cs="宋体"/>
          <w:bCs/>
          <w:color w:val="000000"/>
          <w:sz w:val="24"/>
          <w:szCs w:val="24"/>
          <w:highlight w:val="none"/>
        </w:rPr>
      </w:r>
      <w:r/>
    </w:p>
    <w:p>
      <w:pPr>
        <w:pStyle w:val="976"/>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预算金额100万元以下部分，费率为该部分预算金额的1.5％；</w:t>
      </w:r>
      <w:r>
        <w:rPr>
          <w:rFonts w:hint="eastAsia" w:ascii="宋体" w:hAnsi="宋体" w:eastAsia="宋体" w:cs="宋体"/>
          <w:bCs/>
          <w:color w:val="000000"/>
          <w:sz w:val="24"/>
          <w:szCs w:val="24"/>
          <w:highlight w:val="none"/>
        </w:rPr>
      </w:r>
      <w:r/>
    </w:p>
    <w:p>
      <w:pPr>
        <w:pStyle w:val="976"/>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预算金额100万元（含）－500万元部分，费率为该部分预算金额的1.1％；</w:t>
      </w:r>
      <w:r>
        <w:rPr>
          <w:rFonts w:hint="eastAsia" w:ascii="宋体" w:hAnsi="宋体" w:eastAsia="宋体" w:cs="宋体"/>
          <w:bCs/>
          <w:color w:val="000000"/>
          <w:sz w:val="24"/>
          <w:szCs w:val="24"/>
          <w:highlight w:val="none"/>
        </w:rPr>
      </w:r>
      <w:r/>
    </w:p>
    <w:p>
      <w:pPr>
        <w:pStyle w:val="976"/>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预算金额500万元（含）-1000万元部分，费率为该部分预算金额的0.8％；</w:t>
      </w:r>
      <w:r>
        <w:rPr>
          <w:rFonts w:hint="eastAsia" w:ascii="宋体" w:hAnsi="宋体" w:eastAsia="宋体" w:cs="宋体"/>
          <w:bCs/>
          <w:color w:val="000000"/>
          <w:sz w:val="24"/>
          <w:szCs w:val="24"/>
          <w:highlight w:val="none"/>
        </w:rPr>
      </w:r>
      <w:r/>
    </w:p>
    <w:p>
      <w:pPr>
        <w:pStyle w:val="976"/>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预算金额1000万元（含）-5000万元部分，费率为该部分预算金额的0.5％；</w:t>
      </w:r>
      <w:r>
        <w:rPr>
          <w:rFonts w:hint="eastAsia" w:ascii="宋体" w:hAnsi="宋体" w:eastAsia="宋体" w:cs="宋体"/>
          <w:bCs/>
          <w:color w:val="000000"/>
          <w:sz w:val="24"/>
          <w:szCs w:val="24"/>
          <w:highlight w:val="none"/>
        </w:rPr>
      </w:r>
      <w:r/>
    </w:p>
    <w:p>
      <w:pPr>
        <w:pStyle w:val="976"/>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预算金额5000万元以上部分，费率为该部分预算金额的0.25％。</w:t>
      </w:r>
      <w:r>
        <w:rPr>
          <w:rFonts w:hint="eastAsia" w:ascii="宋体" w:hAnsi="宋体" w:eastAsia="宋体" w:cs="宋体"/>
          <w:bCs/>
          <w:color w:val="000000"/>
          <w:sz w:val="24"/>
          <w:szCs w:val="24"/>
          <w:highlight w:val="none"/>
        </w:rPr>
      </w:r>
      <w:r/>
    </w:p>
    <w:p>
      <w:pPr>
        <w:pStyle w:val="976"/>
        <w:ind w:firstLine="518"/>
        <w:spacing w:line="360" w:lineRule="auto"/>
        <w:rPr>
          <w:rFonts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11.2本项目代理服务费（人民币）：</w:t>
      </w:r>
      <w:r>
        <w:rPr>
          <w:rFonts w:hint="eastAsia" w:ascii="宋体" w:hAnsi="宋体" w:cs="宋体"/>
          <w:color w:val="000000"/>
          <w:sz w:val="24"/>
          <w:szCs w:val="24"/>
          <w:highlight w:val="none"/>
        </w:rPr>
        <w:t xml:space="preserve">23048</w:t>
      </w:r>
      <w:r>
        <w:rPr>
          <w:rFonts w:hint="eastAsia" w:ascii="宋体" w:hAnsi="宋体" w:eastAsia="宋体" w:cs="宋体"/>
          <w:bCs/>
          <w:color w:val="000000"/>
          <w:sz w:val="24"/>
          <w:szCs w:val="24"/>
          <w:highlight w:val="none"/>
        </w:rPr>
        <w:t xml:space="preserve">.00元。</w:t>
      </w:r>
      <w:r>
        <w:rPr>
          <w:rFonts w:ascii="宋体" w:hAnsi="宋体" w:eastAsia="宋体" w:cs="宋体"/>
          <w:bCs/>
          <w:color w:val="000000"/>
          <w:sz w:val="24"/>
          <w:szCs w:val="24"/>
          <w:highlight w:val="none"/>
          <w:u w:val="single"/>
        </w:rPr>
      </w:r>
      <w:r/>
    </w:p>
    <w:p>
      <w:pPr>
        <w:pStyle w:val="976"/>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11.3代理服务费由中标单位在领取中标通知书时一次性付清并含在其投标报价中。</w:t>
      </w:r>
      <w:r>
        <w:rPr>
          <w:rFonts w:hint="eastAsia" w:ascii="宋体" w:hAnsi="宋体" w:eastAsia="宋体" w:cs="宋体"/>
          <w:bCs/>
          <w:color w:val="000000"/>
          <w:sz w:val="24"/>
          <w:szCs w:val="24"/>
          <w:highlight w:val="none"/>
        </w:rPr>
      </w:r>
      <w:r/>
    </w:p>
    <w:p>
      <w:pPr>
        <w:pStyle w:val="976"/>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11.4中标单位如果未按上述规定缴纳中标服务费，采购代理机构将保留诉讼的权利。</w:t>
      </w:r>
      <w:r>
        <w:rPr>
          <w:rFonts w:hint="eastAsia" w:ascii="宋体" w:hAnsi="宋体" w:eastAsia="宋体" w:cs="宋体"/>
          <w:bCs/>
          <w:color w:val="000000"/>
          <w:sz w:val="24"/>
          <w:szCs w:val="24"/>
          <w:highlight w:val="none"/>
        </w:rPr>
      </w:r>
      <w:r/>
    </w:p>
    <w:p>
      <w:pPr>
        <w:pStyle w:val="976"/>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11.5采购代理机构服务费账号如下：</w:t>
      </w:r>
      <w:r>
        <w:rPr>
          <w:rFonts w:hint="eastAsia" w:ascii="宋体" w:hAnsi="宋体" w:eastAsia="宋体" w:cs="宋体"/>
          <w:bCs/>
          <w:color w:val="000000"/>
          <w:sz w:val="24"/>
          <w:szCs w:val="24"/>
          <w:highlight w:val="none"/>
        </w:rPr>
      </w:r>
      <w:r/>
    </w:p>
    <w:p>
      <w:pPr>
        <w:pStyle w:val="976"/>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收款单位：苏州正杰招投标咨询服务有限公司。</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r>
      <w:r/>
    </w:p>
    <w:p>
      <w:pPr>
        <w:pStyle w:val="976"/>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银行账号：89190154740002582。</w:t>
      </w:r>
      <w:r>
        <w:rPr>
          <w:rFonts w:hint="eastAsia" w:ascii="宋体" w:hAnsi="宋体" w:eastAsia="宋体" w:cs="宋体"/>
          <w:bCs/>
          <w:color w:val="000000"/>
          <w:sz w:val="24"/>
          <w:szCs w:val="24"/>
          <w:highlight w:val="none"/>
        </w:rPr>
      </w:r>
      <w:r/>
    </w:p>
    <w:p>
      <w:pPr>
        <w:pStyle w:val="976"/>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开户银行：上海浦东发展银行苏州姑苏支行。</w:t>
      </w:r>
      <w:r>
        <w:rPr>
          <w:rFonts w:hint="eastAsia" w:ascii="宋体" w:hAnsi="宋体" w:eastAsia="宋体" w:cs="宋体"/>
          <w:bCs/>
          <w:color w:val="000000"/>
          <w:sz w:val="24"/>
          <w:szCs w:val="24"/>
          <w:highlight w:val="none"/>
        </w:rPr>
      </w:r>
      <w:r/>
    </w:p>
    <w:p>
      <w:pPr>
        <w:pStyle w:val="976"/>
        <w:ind w:firstLine="52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12、其他事项</w:t>
      </w:r>
      <w:r>
        <w:rPr>
          <w:rFonts w:hint="eastAsia" w:ascii="宋体" w:hAnsi="宋体" w:eastAsia="宋体" w:cs="宋体"/>
          <w:b/>
          <w:bCs/>
          <w:color w:val="000000"/>
          <w:sz w:val="24"/>
          <w:szCs w:val="24"/>
          <w:highlight w:val="none"/>
        </w:rPr>
      </w:r>
      <w:r/>
    </w:p>
    <w:p>
      <w:pPr>
        <w:pStyle w:val="976"/>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12.1招标过程将通过公证机关进行公证。</w:t>
      </w:r>
      <w:r>
        <w:rPr>
          <w:rFonts w:hint="eastAsia" w:ascii="宋体" w:hAnsi="宋体" w:eastAsia="宋体" w:cs="宋体"/>
          <w:bCs/>
          <w:color w:val="000000"/>
          <w:sz w:val="24"/>
          <w:szCs w:val="24"/>
          <w:highlight w:val="none"/>
        </w:rPr>
      </w:r>
      <w:r/>
    </w:p>
    <w:p>
      <w:pPr>
        <w:pStyle w:val="976"/>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12.2未尽事宜按《中华人民共和国政府采购法》及其他有关法律法规文件的规定执行。</w:t>
      </w:r>
      <w:r>
        <w:rPr>
          <w:rFonts w:hint="eastAsia" w:ascii="宋体" w:hAnsi="宋体" w:eastAsia="宋体" w:cs="宋体"/>
          <w:bCs/>
          <w:color w:val="000000"/>
          <w:sz w:val="24"/>
          <w:szCs w:val="24"/>
          <w:highlight w:val="none"/>
        </w:rPr>
      </w:r>
      <w:r/>
    </w:p>
    <w:p>
      <w:pPr>
        <w:pStyle w:val="980"/>
        <w:ind w:firstLine="0"/>
        <w:jc w:val="both"/>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76"/>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90"/>
        <w:ind w:firstLine="261"/>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90"/>
        <w:ind w:firstLine="261"/>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90"/>
        <w:ind w:firstLine="261"/>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90"/>
        <w:ind w:firstLine="261"/>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90"/>
        <w:ind w:firstLine="261"/>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90"/>
        <w:ind w:firstLine="261"/>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90"/>
        <w:ind w:firstLine="261"/>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90"/>
        <w:ind w:firstLine="261"/>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90"/>
        <w:ind w:firstLine="261"/>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90"/>
        <w:ind w:firstLine="261"/>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90"/>
        <w:ind w:firstLine="261"/>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90"/>
        <w:ind w:firstLine="261"/>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90"/>
        <w:ind w:firstLine="261"/>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80"/>
        <w:ind w:firstLine="482"/>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第三章 投标文件格式</w:t>
      </w:r>
      <w:r>
        <w:rPr>
          <w:rFonts w:hint="eastAsia" w:ascii="宋体" w:hAnsi="宋体" w:eastAsia="宋体" w:cs="宋体"/>
          <w:b/>
          <w:bCs/>
          <w:color w:val="000000"/>
          <w:highlight w:val="none"/>
        </w:rPr>
      </w:r>
      <w:r/>
    </w:p>
    <w:p>
      <w:pPr>
        <w:pStyle w:val="995"/>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1、投标函</w:t>
      </w:r>
      <w:r>
        <w:rPr>
          <w:rFonts w:hint="eastAsia" w:hAnsi="宋体" w:eastAsia="宋体" w:cs="宋体"/>
          <w:color w:val="000000"/>
          <w:sz w:val="24"/>
          <w:szCs w:val="24"/>
          <w:highlight w:val="none"/>
        </w:rPr>
      </w:r>
      <w:r/>
    </w:p>
    <w:p>
      <w:pPr>
        <w:pStyle w:val="995"/>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苏州正杰招投标咨询服务有限公司：</w:t>
      </w:r>
      <w:r>
        <w:rPr>
          <w:rFonts w:hint="eastAsia" w:hAnsi="宋体" w:eastAsia="宋体" w:cs="宋体"/>
          <w:color w:val="000000"/>
          <w:sz w:val="24"/>
          <w:szCs w:val="24"/>
          <w:highlight w:val="none"/>
        </w:rPr>
      </w:r>
      <w:r/>
    </w:p>
    <w:p>
      <w:pPr>
        <w:pStyle w:val="995"/>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我们收到贵公司</w:t>
      </w:r>
      <w:r>
        <w:rPr>
          <w:rFonts w:hint="eastAsia" w:hAnsi="宋体" w:eastAsia="宋体" w:cs="宋体"/>
          <w:color w:val="000000"/>
          <w:szCs w:val="24"/>
          <w:highlight w:val="none"/>
        </w:rPr>
        <w:t xml:space="preserve">________</w:t>
      </w:r>
      <w:r>
        <w:rPr>
          <w:rFonts w:hint="eastAsia" w:hAnsi="宋体" w:eastAsia="宋体" w:cs="宋体"/>
          <w:color w:val="000000"/>
          <w:sz w:val="24"/>
          <w:szCs w:val="24"/>
          <w:highlight w:val="none"/>
        </w:rPr>
        <w:t xml:space="preserve">号招标文件，经仔细阅读和研究，我们决定参加采购活动。</w:t>
      </w:r>
      <w:r>
        <w:rPr>
          <w:rFonts w:hint="eastAsia" w:hAnsi="宋体" w:eastAsia="宋体" w:cs="宋体"/>
          <w:color w:val="000000"/>
          <w:sz w:val="24"/>
          <w:szCs w:val="24"/>
          <w:highlight w:val="none"/>
        </w:rPr>
      </w:r>
      <w:r/>
    </w:p>
    <w:p>
      <w:pPr>
        <w:pStyle w:val="995"/>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1、我们愿意按照招标文件的一切要求，提供完成该项目的全部内容，我们的投标报价包括投标产品、安装辅材及其备品备件和专用工具费用、税费及包装、运至最终目的地的运输、保险、安装调试、检测验收、技术支持与培训、质保和售后服务及相关劳务等所发生的全部费用以及企业利润、税金和政策性文件规定及合同包含的所有风险、责任等各项应有费用。</w:t>
      </w:r>
      <w:r>
        <w:rPr>
          <w:rFonts w:hint="eastAsia" w:hAnsi="宋体" w:eastAsia="宋体" w:cs="宋体"/>
          <w:color w:val="000000"/>
          <w:sz w:val="24"/>
          <w:szCs w:val="24"/>
          <w:highlight w:val="none"/>
        </w:rPr>
      </w:r>
      <w:r/>
    </w:p>
    <w:p>
      <w:pPr>
        <w:pStyle w:val="995"/>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2、如果我们的投标被接受，我们将严格履行招标文件中规定的每一项要求，严格履行合同的责任和义务，保证按期、按质履行合同，完成合同内容所规定的全部工作。</w:t>
      </w:r>
      <w:r>
        <w:rPr>
          <w:rFonts w:hint="eastAsia" w:hAnsi="宋体" w:eastAsia="宋体" w:cs="宋体"/>
          <w:color w:val="000000"/>
          <w:sz w:val="24"/>
          <w:szCs w:val="24"/>
          <w:highlight w:val="none"/>
        </w:rPr>
      </w:r>
      <w:r/>
    </w:p>
    <w:p>
      <w:pPr>
        <w:pStyle w:val="995"/>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3、我们同意按招标文件规定，本投标书的有效期限自提交投标文件的截止之日起</w:t>
      </w:r>
      <w:r>
        <w:rPr>
          <w:rFonts w:hint="eastAsia" w:hAnsi="宋体" w:eastAsia="宋体" w:cs="宋体"/>
          <w:color w:val="000000"/>
          <w:szCs w:val="24"/>
          <w:highlight w:val="none"/>
        </w:rPr>
        <w:t xml:space="preserve">___</w:t>
      </w:r>
      <w:r>
        <w:rPr>
          <w:rFonts w:hint="eastAsia" w:hAnsi="宋体" w:eastAsia="宋体" w:cs="宋体"/>
          <w:color w:val="000000"/>
          <w:sz w:val="24"/>
          <w:szCs w:val="24"/>
          <w:highlight w:val="none"/>
        </w:rPr>
        <w:t xml:space="preserve">天。如果我们在开标后规定的投标有效期内撤回投标，我们愿承担由此造成的一切后果。</w:t>
      </w:r>
      <w:r>
        <w:rPr>
          <w:rFonts w:hint="eastAsia" w:hAnsi="宋体" w:eastAsia="宋体" w:cs="宋体"/>
          <w:color w:val="000000"/>
          <w:sz w:val="24"/>
          <w:szCs w:val="24"/>
          <w:highlight w:val="none"/>
        </w:rPr>
      </w:r>
      <w:r/>
    </w:p>
    <w:p>
      <w:pPr>
        <w:pStyle w:val="995"/>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4、我们愿意提供招标文件中要求的所有资料，也同意向贵方提供贵方可能另外要求的与其投标有关的任何证据或资料，并保证所提供的资料全部是真实的、有效的，若有虚假，我们愿承担由此造成的一切后果。</w:t>
      </w:r>
      <w:r>
        <w:rPr>
          <w:rFonts w:hint="eastAsia" w:hAnsi="宋体" w:eastAsia="宋体" w:cs="宋体"/>
          <w:color w:val="000000"/>
          <w:sz w:val="24"/>
          <w:szCs w:val="24"/>
          <w:highlight w:val="none"/>
        </w:rPr>
      </w:r>
      <w:r/>
    </w:p>
    <w:p>
      <w:pPr>
        <w:pStyle w:val="995"/>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5、我们认为你们有权决定中标单位，还认为你们有权接受或拒绝投标人。</w:t>
      </w:r>
      <w:r>
        <w:rPr>
          <w:rFonts w:hint="eastAsia" w:hAnsi="宋体" w:eastAsia="宋体" w:cs="宋体"/>
          <w:color w:val="000000"/>
          <w:sz w:val="24"/>
          <w:szCs w:val="24"/>
          <w:highlight w:val="none"/>
        </w:rPr>
      </w:r>
      <w:r/>
    </w:p>
    <w:p>
      <w:pPr>
        <w:pStyle w:val="995"/>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6、我们愿意遵守招标公告及招标文件中所列的收费标准。</w:t>
      </w:r>
      <w:r>
        <w:rPr>
          <w:rFonts w:hint="eastAsia" w:hAnsi="宋体" w:eastAsia="宋体" w:cs="宋体"/>
          <w:color w:val="000000"/>
          <w:sz w:val="24"/>
          <w:szCs w:val="24"/>
          <w:highlight w:val="none"/>
        </w:rPr>
      </w:r>
      <w:r/>
    </w:p>
    <w:p>
      <w:pPr>
        <w:pStyle w:val="995"/>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7、我们承诺本项投标文件在开标后的全过程中保持有效。我们同意中标后若不履行投标文件的内容要求和各项承诺及义务的即被视为违约，我们愿承担由此造成的一切后果。</w:t>
      </w:r>
      <w:r>
        <w:rPr>
          <w:rFonts w:hint="eastAsia" w:hAnsi="宋体" w:eastAsia="宋体" w:cs="宋体"/>
          <w:color w:val="000000"/>
          <w:sz w:val="24"/>
          <w:szCs w:val="24"/>
          <w:highlight w:val="none"/>
        </w:rPr>
      </w:r>
      <w:r/>
    </w:p>
    <w:p>
      <w:pPr>
        <w:pStyle w:val="995"/>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8、如果我们中标，我们愿意在签订合同时按招标文件的规定支付中标服务费。</w:t>
      </w:r>
      <w:r>
        <w:rPr>
          <w:rFonts w:hint="eastAsia" w:hAnsi="宋体" w:eastAsia="宋体" w:cs="宋体"/>
          <w:color w:val="000000"/>
          <w:sz w:val="24"/>
          <w:szCs w:val="24"/>
          <w:highlight w:val="none"/>
        </w:rPr>
      </w:r>
      <w:r/>
    </w:p>
    <w:p>
      <w:pPr>
        <w:pStyle w:val="995"/>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9、与本次招标有关的通讯地址：</w:t>
      </w:r>
      <w:r>
        <w:rPr>
          <w:rFonts w:hint="eastAsia" w:hAnsi="宋体" w:eastAsia="宋体" w:cs="宋体"/>
          <w:color w:val="000000"/>
          <w:sz w:val="24"/>
          <w:szCs w:val="24"/>
          <w:highlight w:val="none"/>
        </w:rPr>
      </w:r>
      <w:r/>
    </w:p>
    <w:p>
      <w:pPr>
        <w:pStyle w:val="995"/>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单位名称：                                 联系人员：</w:t>
      </w:r>
      <w:r>
        <w:rPr>
          <w:rFonts w:hint="eastAsia" w:hAnsi="宋体" w:eastAsia="宋体" w:cs="宋体"/>
          <w:color w:val="000000"/>
          <w:sz w:val="24"/>
          <w:szCs w:val="24"/>
          <w:highlight w:val="none"/>
        </w:rPr>
      </w:r>
      <w:r/>
    </w:p>
    <w:p>
      <w:pPr>
        <w:pStyle w:val="995"/>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单位地址：                                 邮政编码：</w:t>
      </w:r>
      <w:r>
        <w:rPr>
          <w:rFonts w:hint="eastAsia" w:hAnsi="宋体" w:eastAsia="宋体" w:cs="宋体"/>
          <w:color w:val="000000"/>
          <w:sz w:val="24"/>
          <w:szCs w:val="24"/>
          <w:highlight w:val="none"/>
        </w:rPr>
      </w:r>
      <w:r/>
    </w:p>
    <w:p>
      <w:pPr>
        <w:pStyle w:val="995"/>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联系电话：                                 传真号码：</w:t>
      </w:r>
      <w:r>
        <w:rPr>
          <w:rFonts w:hint="eastAsia" w:hAnsi="宋体" w:eastAsia="宋体" w:cs="宋体"/>
          <w:color w:val="000000"/>
          <w:sz w:val="24"/>
          <w:szCs w:val="24"/>
          <w:highlight w:val="none"/>
        </w:rPr>
      </w:r>
      <w:r/>
    </w:p>
    <w:p>
      <w:pPr>
        <w:pStyle w:val="980"/>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投标人（单位盖章）：                       </w:t>
      </w:r>
      <w:r>
        <w:rPr>
          <w:rFonts w:hint="eastAsia" w:ascii="宋体" w:hAnsi="宋体" w:eastAsia="宋体" w:cs="宋体"/>
          <w:color w:val="000000"/>
          <w:szCs w:val="24"/>
          <w:highlight w:val="none"/>
        </w:rPr>
      </w:r>
      <w:r/>
    </w:p>
    <w:p>
      <w:pPr>
        <w:pStyle w:val="980"/>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法定代表人或代理人（签字或盖章）：</w:t>
      </w:r>
      <w:r>
        <w:rPr>
          <w:rFonts w:hint="eastAsia" w:ascii="宋体" w:hAnsi="宋体" w:eastAsia="宋体" w:cs="宋体"/>
          <w:color w:val="000000"/>
          <w:szCs w:val="24"/>
          <w:highlight w:val="none"/>
        </w:rPr>
      </w:r>
      <w:r/>
    </w:p>
    <w:p>
      <w:pPr>
        <w:pStyle w:val="980"/>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976"/>
        <w:spacing w:line="360" w:lineRule="auto"/>
        <w:rPr>
          <w:rFonts w:hint="eastAsia" w:ascii="宋体" w:hAnsi="宋体" w:eastAsia="宋体" w:cs="宋体"/>
          <w:bCs/>
          <w:color w:val="000000"/>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bCs/>
          <w:color w:val="000000"/>
          <w:sz w:val="24"/>
          <w:szCs w:val="24"/>
          <w:highlight w:val="none"/>
        </w:rPr>
      </w:r>
      <w:r/>
    </w:p>
    <w:p>
      <w:pPr>
        <w:pStyle w:val="976"/>
        <w:spacing w:line="360" w:lineRule="auto"/>
        <w:rPr>
          <w:rFonts w:hint="eastAsia" w:ascii="宋体" w:hAnsi="宋体" w:eastAsia="宋体" w:cs="宋体"/>
          <w:color w:val="000000"/>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zh-CN"/>
        </w:rPr>
        <w:t xml:space="preserve">法定代表人授权委托书</w:t>
      </w:r>
      <w:r>
        <w:rPr>
          <w:rFonts w:hint="eastAsia" w:ascii="宋体" w:hAnsi="宋体" w:eastAsia="宋体" w:cs="宋体"/>
          <w:color w:val="000000"/>
          <w:szCs w:val="24"/>
          <w:highlight w:val="none"/>
        </w:rPr>
      </w:r>
      <w:r/>
    </w:p>
    <w:p>
      <w:pPr>
        <w:pStyle w:val="980"/>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本授权委托书声明：我</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（姓名）系</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（单位名称）的法定代表人，现授权委托</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（单位名称）的</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（姓名）为我公司代理人，并以本公司的名义在</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号（项目编号）采购项目的开标、评标和合同签订过程中所签署的一切文件和处理与这有关的一切事务，我公司均予以承认。</w:t>
      </w:r>
      <w:r>
        <w:rPr>
          <w:rFonts w:hint="eastAsia" w:ascii="宋体" w:hAnsi="宋体" w:eastAsia="宋体" w:cs="宋体"/>
          <w:color w:val="000000"/>
          <w:szCs w:val="24"/>
          <w:highlight w:val="none"/>
        </w:rPr>
      </w:r>
      <w:r/>
    </w:p>
    <w:p>
      <w:pPr>
        <w:pStyle w:val="980"/>
        <w:ind w:firstLine="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代理人在授权委托书有效期内签署的所有文件不因授权委托的撤销而失效，除非有撤销授权委托的书面通知，本授权委托书有效期自投标文件提交开始至合同履行完毕止。</w:t>
      </w:r>
      <w:r>
        <w:rPr>
          <w:rFonts w:hint="eastAsia" w:ascii="宋体" w:hAnsi="宋体" w:eastAsia="宋体" w:cs="宋体"/>
          <w:color w:val="000000"/>
          <w:szCs w:val="24"/>
          <w:highlight w:val="none"/>
        </w:rPr>
      </w:r>
      <w:r/>
    </w:p>
    <w:p>
      <w:pPr>
        <w:pStyle w:val="980"/>
        <w:ind w:firstLine="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代理人无转委托权。特此委托。</w:t>
      </w:r>
      <w:r>
        <w:rPr>
          <w:rFonts w:hint="eastAsia" w:ascii="宋体" w:hAnsi="宋体" w:eastAsia="宋体" w:cs="宋体"/>
          <w:color w:val="000000"/>
          <w:szCs w:val="24"/>
          <w:highlight w:val="none"/>
        </w:rPr>
      </w:r>
      <w:r/>
    </w:p>
    <w:p>
      <w:pPr>
        <w:pStyle w:val="995"/>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w:t>
      </w:r>
      <w:r>
        <w:rPr>
          <w:rFonts w:hint="eastAsia" w:hAnsi="宋体" w:eastAsia="宋体" w:cs="宋体"/>
          <w:color w:val="000000"/>
          <w:sz w:val="24"/>
          <w:szCs w:val="24"/>
          <w:highlight w:val="none"/>
        </w:rPr>
      </w:r>
      <w:r/>
    </w:p>
    <w:p>
      <w:pPr>
        <w:pStyle w:val="995"/>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投标人（单位盖章）：</w:t>
      </w:r>
      <w:r>
        <w:rPr>
          <w:rFonts w:hint="eastAsia" w:hAnsi="宋体" w:eastAsia="宋体" w:cs="宋体"/>
          <w:color w:val="000000"/>
          <w:sz w:val="24"/>
          <w:szCs w:val="24"/>
          <w:highlight w:val="none"/>
        </w:rPr>
      </w:r>
      <w:r/>
    </w:p>
    <w:p>
      <w:pPr>
        <w:pStyle w:val="980"/>
        <w:ind w:firstLine="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法定代表人：（签字或盖章）</w:t>
      </w:r>
      <w:r>
        <w:rPr>
          <w:rFonts w:hint="eastAsia" w:ascii="宋体" w:hAnsi="宋体" w:eastAsia="宋体" w:cs="宋体"/>
          <w:color w:val="000000"/>
          <w:szCs w:val="24"/>
          <w:highlight w:val="none"/>
        </w:rPr>
      </w:r>
      <w:r/>
    </w:p>
    <w:p>
      <w:pPr>
        <w:pStyle w:val="980"/>
        <w:ind w:firstLine="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代理人：（签字或盖章）</w:t>
      </w:r>
      <w:r>
        <w:rPr>
          <w:rFonts w:hint="eastAsia" w:ascii="宋体" w:hAnsi="宋体" w:eastAsia="宋体" w:cs="宋体"/>
          <w:color w:val="000000"/>
          <w:szCs w:val="24"/>
          <w:highlight w:val="none"/>
        </w:rPr>
      </w:r>
      <w:r/>
    </w:p>
    <w:p>
      <w:pPr>
        <w:pStyle w:val="995"/>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日期：     年     月     日</w:t>
      </w:r>
      <w:r>
        <w:rPr>
          <w:rFonts w:hint="eastAsia" w:hAnsi="宋体" w:eastAsia="宋体" w:cs="宋体"/>
          <w:color w:val="000000"/>
          <w:sz w:val="24"/>
          <w:szCs w:val="24"/>
          <w:highlight w:val="none"/>
        </w:rPr>
      </w:r>
      <w:r/>
    </w:p>
    <w:p>
      <w:pPr>
        <w:pStyle w:val="980"/>
        <w:ind w:firstLine="482"/>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980"/>
        <w:ind w:firstLine="482"/>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注：本授权委托书仅限于法人性质投标人投标，投标文件中必须提供法定代表人和代理人身份证复印件。非法人性质投标人投标，授权委托书格式自拟，但必须同时提供受托双方身份证复印件。</w:t>
      </w:r>
      <w:r>
        <w:rPr>
          <w:rFonts w:hint="eastAsia" w:ascii="宋体" w:hAnsi="宋体" w:eastAsia="宋体" w:cs="宋体"/>
          <w:b/>
          <w:color w:val="000000"/>
          <w:szCs w:val="24"/>
          <w:highlight w:val="none"/>
        </w:rPr>
      </w:r>
      <w:r/>
    </w:p>
    <w:p>
      <w:pPr>
        <w:pStyle w:val="989"/>
        <w:ind w:firstLine="480"/>
        <w:jc w:val="both"/>
        <w:spacing w:line="360" w:lineRule="auto"/>
        <w:rPr>
          <w:rFonts w:cs="宋体"/>
          <w:color w:val="000000"/>
          <w:highlight w:val="none"/>
        </w:rPr>
      </w:pPr>
      <w:r>
        <w:rPr>
          <w:rFonts w:cs="宋体"/>
          <w:color w:val="000000"/>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firstLine="0"/>
        <w:jc w:val="center"/>
        <w:spacing w:line="360" w:lineRule="auto"/>
        <w:rPr>
          <w:rFonts w:hint="eastAsia" w:ascii="宋体" w:hAnsi="宋体" w:eastAsia="宋体" w:cs="宋体"/>
          <w:color w:val="000000"/>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outlineLvl w:val="1"/>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bCs/>
          <w:color w:val="000000"/>
          <w:szCs w:val="24"/>
          <w:highlight w:val="none"/>
        </w:rPr>
      </w:pPr>
      <w:r>
        <w:rPr>
          <w:rFonts w:hint="eastAsia" w:ascii="宋体" w:hAnsi="宋体" w:eastAsia="宋体" w:cs="宋体"/>
          <w:color w:val="000000"/>
          <w:szCs w:val="24"/>
          <w:highlight w:val="none"/>
        </w:rPr>
        <w:t xml:space="preserve">3</w:t>
      </w:r>
      <w:r>
        <w:rPr>
          <w:rFonts w:hint="eastAsia" w:ascii="宋体" w:hAnsi="宋体" w:eastAsia="宋体" w:cs="宋体"/>
          <w:bCs/>
          <w:color w:val="000000"/>
          <w:szCs w:val="24"/>
          <w:highlight w:val="none"/>
        </w:rPr>
        <w:t xml:space="preserve">、关于资格文件的声明函</w:t>
      </w:r>
      <w:r>
        <w:rPr>
          <w:rFonts w:hint="eastAsia" w:ascii="宋体" w:hAnsi="宋体" w:eastAsia="宋体" w:cs="宋体"/>
          <w:bCs/>
          <w:color w:val="000000"/>
          <w:szCs w:val="24"/>
          <w:highlight w:val="none"/>
        </w:rPr>
      </w:r>
      <w:r/>
    </w:p>
    <w:p>
      <w:pPr>
        <w:pStyle w:val="995"/>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苏州正杰招投标咨询服务有限公司：</w:t>
      </w:r>
      <w:r>
        <w:rPr>
          <w:rFonts w:hint="eastAsia" w:hAnsi="宋体" w:eastAsia="宋体" w:cs="宋体"/>
          <w:bCs/>
          <w:color w:val="000000"/>
          <w:sz w:val="24"/>
          <w:szCs w:val="24"/>
          <w:highlight w:val="none"/>
        </w:rPr>
      </w:r>
      <w:r/>
    </w:p>
    <w:p>
      <w:pPr>
        <w:pStyle w:val="995"/>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本公司愿就由贵公司组织实施的项目编号为</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号的招标活动进行投标。本公司所提交的投标文件中所有关于投标资格的文件、证明和陈述均是真实的、准确的和有效的。若与事实情况不符，本公司愿意承担由此而产生的一切后果。</w:t>
      </w:r>
      <w:r>
        <w:rPr>
          <w:rFonts w:hint="eastAsia" w:hAnsi="宋体" w:eastAsia="宋体" w:cs="宋体"/>
          <w:color w:val="000000"/>
          <w:sz w:val="24"/>
          <w:szCs w:val="24"/>
          <w:highlight w:val="none"/>
        </w:rPr>
      </w:r>
      <w:r/>
    </w:p>
    <w:p>
      <w:pPr>
        <w:pStyle w:val="995"/>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p>
      <w:pPr>
        <w:pStyle w:val="995"/>
        <w:ind w:firstLine="480"/>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投标人</w:t>
      </w:r>
      <w:r>
        <w:rPr>
          <w:rFonts w:hint="eastAsia" w:hAnsi="宋体" w:eastAsia="宋体" w:cs="宋体"/>
          <w:color w:val="000000"/>
          <w:sz w:val="24"/>
          <w:szCs w:val="24"/>
          <w:highlight w:val="none"/>
        </w:rPr>
        <w:t xml:space="preserve">（单位盖章）</w:t>
      </w:r>
      <w:r>
        <w:rPr>
          <w:rFonts w:hint="eastAsia" w:hAnsi="宋体" w:eastAsia="宋体" w:cs="宋体"/>
          <w:bCs/>
          <w:color w:val="000000"/>
          <w:sz w:val="24"/>
          <w:szCs w:val="24"/>
          <w:highlight w:val="none"/>
        </w:rPr>
        <w:t xml:space="preserve">：</w:t>
      </w:r>
      <w:r>
        <w:rPr>
          <w:rFonts w:hint="eastAsia" w:hAnsi="宋体" w:eastAsia="宋体" w:cs="宋体"/>
          <w:bCs/>
          <w:color w:val="000000"/>
          <w:sz w:val="24"/>
          <w:szCs w:val="24"/>
          <w:highlight w:val="none"/>
        </w:rPr>
      </w:r>
      <w:r/>
    </w:p>
    <w:p>
      <w:pPr>
        <w:pStyle w:val="995"/>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    法定代表人或代理人</w:t>
      </w:r>
      <w:r>
        <w:rPr>
          <w:rFonts w:hint="eastAsia" w:hAnsi="宋体" w:eastAsia="宋体" w:cs="宋体"/>
          <w:color w:val="000000"/>
          <w:sz w:val="24"/>
          <w:szCs w:val="24"/>
          <w:highlight w:val="none"/>
        </w:rPr>
        <w:t xml:space="preserve">（签字或盖章）</w:t>
      </w:r>
      <w:r>
        <w:rPr>
          <w:rFonts w:hint="eastAsia" w:hAnsi="宋体" w:eastAsia="宋体" w:cs="宋体"/>
          <w:bCs/>
          <w:color w:val="000000"/>
          <w:sz w:val="24"/>
          <w:szCs w:val="24"/>
          <w:highlight w:val="none"/>
        </w:rPr>
        <w:t xml:space="preserve">：</w:t>
      </w:r>
      <w:r>
        <w:rPr>
          <w:rFonts w:hint="eastAsia" w:hAnsi="宋体" w:eastAsia="宋体" w:cs="宋体"/>
          <w:bCs/>
          <w:color w:val="000000"/>
          <w:sz w:val="24"/>
          <w:szCs w:val="24"/>
          <w:highlight w:val="none"/>
        </w:rPr>
      </w:r>
      <w:r/>
    </w:p>
    <w:p>
      <w:pPr>
        <w:pStyle w:val="995"/>
        <w:ind w:firstLine="480"/>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日期：     年     月     日</w:t>
      </w:r>
      <w:r>
        <w:rPr>
          <w:rFonts w:hint="eastAsia" w:hAnsi="宋体" w:eastAsia="宋体" w:cs="宋体"/>
          <w:bCs/>
          <w:color w:val="000000"/>
          <w:sz w:val="24"/>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98"/>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98"/>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98"/>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98"/>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4、开标一览表</w:t>
      </w:r>
      <w:r>
        <w:rPr>
          <w:rFonts w:hint="eastAsia" w:ascii="宋体" w:hAnsi="宋体" w:eastAsia="宋体" w:cs="宋体"/>
          <w:color w:val="000000"/>
          <w:szCs w:val="24"/>
          <w:highlight w:val="none"/>
        </w:rPr>
      </w:r>
      <w:r/>
    </w:p>
    <w:tbl>
      <w:tblPr>
        <w:tblW w:w="96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3061"/>
        <w:gridCol w:w="2293"/>
        <w:gridCol w:w="1801"/>
        <w:gridCol w:w="1331"/>
      </w:tblGrid>
      <w:tr>
        <w:trPr>
          <w:trHeight w:val="567"/>
        </w:trPr>
        <w:tc>
          <w:tcPr>
            <w:tcW w:w="1152" w:type="dxa"/>
            <w:vAlign w:val="center"/>
            <w:textDirection w:val="lrTb"/>
            <w:noWrap w:val="false"/>
          </w:tcPr>
          <w:p>
            <w:pPr>
              <w:pStyle w:val="986"/>
              <w:jc w:val="center"/>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序号</w:t>
            </w:r>
            <w:r>
              <w:rPr>
                <w:rFonts w:hint="eastAsia" w:hAnsi="宋体" w:eastAsia="宋体" w:cs="宋体"/>
                <w:color w:val="000000"/>
                <w:sz w:val="24"/>
                <w:highlight w:val="none"/>
              </w:rPr>
            </w:r>
            <w:r/>
          </w:p>
        </w:tc>
        <w:tc>
          <w:tcPr>
            <w:tcW w:w="3061" w:type="dxa"/>
            <w:vAlign w:val="center"/>
            <w:textDirection w:val="lrTb"/>
            <w:noWrap w:val="false"/>
          </w:tcPr>
          <w:p>
            <w:pPr>
              <w:pStyle w:val="986"/>
              <w:jc w:val="center"/>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项目名称</w:t>
            </w:r>
            <w:r>
              <w:rPr>
                <w:rFonts w:hint="eastAsia" w:hAnsi="宋体" w:eastAsia="宋体" w:cs="宋体"/>
                <w:color w:val="000000"/>
                <w:sz w:val="24"/>
                <w:highlight w:val="none"/>
              </w:rPr>
            </w:r>
            <w:r/>
          </w:p>
        </w:tc>
        <w:tc>
          <w:tcPr>
            <w:tcW w:w="2293" w:type="dxa"/>
            <w:vAlign w:val="center"/>
            <w:textDirection w:val="lrTb"/>
            <w:noWrap w:val="false"/>
          </w:tcPr>
          <w:p>
            <w:pPr>
              <w:pStyle w:val="986"/>
              <w:jc w:val="center"/>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投标总价（元）</w:t>
            </w:r>
            <w:r>
              <w:rPr>
                <w:rFonts w:hint="eastAsia" w:hAnsi="宋体" w:eastAsia="宋体" w:cs="宋体"/>
                <w:color w:val="000000"/>
                <w:sz w:val="24"/>
                <w:highlight w:val="none"/>
              </w:rPr>
            </w:r>
            <w:r/>
          </w:p>
        </w:tc>
        <w:tc>
          <w:tcPr>
            <w:tcW w:w="1801" w:type="dxa"/>
            <w:vAlign w:val="center"/>
            <w:textDirection w:val="lrTb"/>
            <w:noWrap w:val="false"/>
          </w:tcPr>
          <w:p>
            <w:pPr>
              <w:pStyle w:val="986"/>
              <w:jc w:val="center"/>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合同履行期限</w:t>
            </w:r>
            <w:r>
              <w:rPr>
                <w:rFonts w:hint="eastAsia" w:hAnsi="宋体" w:eastAsia="宋体" w:cs="宋体"/>
                <w:color w:val="000000"/>
                <w:sz w:val="24"/>
                <w:highlight w:val="none"/>
              </w:rPr>
            </w:r>
            <w:r/>
          </w:p>
        </w:tc>
        <w:tc>
          <w:tcPr>
            <w:tcW w:w="1331" w:type="dxa"/>
            <w:vAlign w:val="center"/>
            <w:textDirection w:val="lrTb"/>
            <w:noWrap w:val="false"/>
          </w:tcPr>
          <w:p>
            <w:pPr>
              <w:pStyle w:val="986"/>
              <w:jc w:val="center"/>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备注</w:t>
            </w:r>
            <w:r>
              <w:rPr>
                <w:rFonts w:hint="eastAsia" w:hAnsi="宋体" w:eastAsia="宋体" w:cs="宋体"/>
                <w:color w:val="000000"/>
                <w:sz w:val="24"/>
                <w:highlight w:val="none"/>
              </w:rPr>
            </w:r>
            <w:r/>
          </w:p>
        </w:tc>
      </w:tr>
      <w:tr>
        <w:trPr>
          <w:trHeight w:val="567"/>
        </w:trPr>
        <w:tc>
          <w:tcPr>
            <w:tcW w:w="1152" w:type="dxa"/>
            <w:vAlign w:val="center"/>
            <w:textDirection w:val="lrTb"/>
            <w:noWrap w:val="false"/>
          </w:tcPr>
          <w:p>
            <w:pPr>
              <w:pStyle w:val="976"/>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3061" w:type="dxa"/>
            <w:vAlign w:val="center"/>
            <w:textDirection w:val="lrTb"/>
            <w:noWrap w:val="false"/>
          </w:tcPr>
          <w:p>
            <w:pPr>
              <w:pStyle w:val="976"/>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93" w:type="dxa"/>
            <w:vAlign w:val="center"/>
            <w:textDirection w:val="lrTb"/>
            <w:noWrap w:val="false"/>
          </w:tcPr>
          <w:p>
            <w:pPr>
              <w:pStyle w:val="986"/>
              <w:jc w:val="center"/>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r>
            <w:r/>
          </w:p>
        </w:tc>
        <w:tc>
          <w:tcPr>
            <w:tcW w:w="1801" w:type="dxa"/>
            <w:vAlign w:val="center"/>
            <w:textDirection w:val="lrTb"/>
            <w:noWrap w:val="false"/>
          </w:tcPr>
          <w:p>
            <w:pPr>
              <w:pStyle w:val="986"/>
              <w:jc w:val="center"/>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r>
            <w:r/>
          </w:p>
        </w:tc>
        <w:tc>
          <w:tcPr>
            <w:tcW w:w="1331" w:type="dxa"/>
            <w:vAlign w:val="center"/>
            <w:textDirection w:val="lrTb"/>
            <w:noWrap w:val="false"/>
          </w:tcPr>
          <w:p>
            <w:pPr>
              <w:pStyle w:val="986"/>
              <w:jc w:val="center"/>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r>
            <w:r/>
          </w:p>
        </w:tc>
      </w:tr>
    </w:tbl>
    <w:p>
      <w:pPr>
        <w:pStyle w:val="986"/>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w:t>
      </w:r>
      <w:r>
        <w:rPr>
          <w:rFonts w:hint="eastAsia" w:hAnsi="宋体" w:eastAsia="宋体" w:cs="宋体"/>
          <w:color w:val="000000"/>
          <w:sz w:val="24"/>
          <w:szCs w:val="24"/>
          <w:highlight w:val="none"/>
        </w:rPr>
      </w:r>
      <w:r/>
    </w:p>
    <w:p>
      <w:pPr>
        <w:pStyle w:val="995"/>
        <w:ind w:firstLine="480"/>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投标人</w:t>
      </w:r>
      <w:r>
        <w:rPr>
          <w:rFonts w:hint="eastAsia" w:hAnsi="宋体" w:eastAsia="宋体" w:cs="宋体"/>
          <w:color w:val="000000"/>
          <w:sz w:val="24"/>
          <w:szCs w:val="24"/>
          <w:highlight w:val="none"/>
        </w:rPr>
        <w:t xml:space="preserve">（单位盖章）</w:t>
      </w:r>
      <w:r>
        <w:rPr>
          <w:rFonts w:hint="eastAsia" w:hAnsi="宋体" w:eastAsia="宋体" w:cs="宋体"/>
          <w:bCs/>
          <w:color w:val="000000"/>
          <w:sz w:val="24"/>
          <w:szCs w:val="24"/>
          <w:highlight w:val="none"/>
        </w:rPr>
        <w:t xml:space="preserve">：</w:t>
      </w:r>
      <w:r>
        <w:rPr>
          <w:rFonts w:hint="eastAsia" w:hAnsi="宋体" w:eastAsia="宋体" w:cs="宋体"/>
          <w:bCs/>
          <w:color w:val="000000"/>
          <w:sz w:val="24"/>
          <w:szCs w:val="24"/>
          <w:highlight w:val="none"/>
        </w:rPr>
      </w:r>
      <w:r/>
    </w:p>
    <w:p>
      <w:pPr>
        <w:pStyle w:val="995"/>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    法定代表人或代理人</w:t>
      </w:r>
      <w:r>
        <w:rPr>
          <w:rFonts w:hint="eastAsia" w:hAnsi="宋体" w:eastAsia="宋体" w:cs="宋体"/>
          <w:color w:val="000000"/>
          <w:sz w:val="24"/>
          <w:szCs w:val="24"/>
          <w:highlight w:val="none"/>
        </w:rPr>
        <w:t xml:space="preserve">（签字或盖章）</w:t>
      </w:r>
      <w:r>
        <w:rPr>
          <w:rFonts w:hint="eastAsia" w:hAnsi="宋体" w:eastAsia="宋体" w:cs="宋体"/>
          <w:bCs/>
          <w:color w:val="000000"/>
          <w:sz w:val="24"/>
          <w:szCs w:val="24"/>
          <w:highlight w:val="none"/>
        </w:rPr>
        <w:t xml:space="preserve">：</w:t>
      </w:r>
      <w:r>
        <w:rPr>
          <w:rFonts w:hint="eastAsia" w:hAnsi="宋体" w:eastAsia="宋体" w:cs="宋体"/>
          <w:bCs/>
          <w:color w:val="000000"/>
          <w:sz w:val="24"/>
          <w:szCs w:val="24"/>
          <w:highlight w:val="none"/>
        </w:rPr>
      </w:r>
      <w:r/>
    </w:p>
    <w:p>
      <w:pPr>
        <w:pStyle w:val="995"/>
        <w:ind w:firstLine="480"/>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日期：     年     月     日</w:t>
      </w:r>
      <w:r>
        <w:rPr>
          <w:rFonts w:hint="eastAsia" w:hAnsi="宋体" w:eastAsia="宋体" w:cs="宋体"/>
          <w:bCs/>
          <w:color w:val="000000"/>
          <w:sz w:val="24"/>
          <w:szCs w:val="24"/>
          <w:highlight w:val="none"/>
        </w:rPr>
      </w:r>
      <w:r/>
    </w:p>
    <w:p>
      <w:pPr>
        <w:pStyle w:val="976"/>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bookmarkStart w:id="6" w:name="_Toc142194269"/>
      <w:r>
        <w:rPr>
          <w:rFonts w:hint="eastAsia" w:ascii="宋体" w:hAnsi="宋体" w:eastAsia="宋体" w:cs="宋体"/>
          <w:color w:val="000000"/>
          <w:szCs w:val="24"/>
          <w:highlight w:val="none"/>
        </w:rPr>
        <w:br w:type="textWrapping" w:clear="all"/>
      </w:r>
      <w:r>
        <w:rPr>
          <w:rFonts w:hint="eastAsia" w:ascii="宋体" w:hAnsi="宋体" w:eastAsia="宋体" w:cs="宋体"/>
          <w:color w:val="000000"/>
          <w:szCs w:val="24"/>
          <w:highlight w:val="none"/>
        </w:rPr>
        <w:t xml:space="preserve">5、公开分项报价表</w:t>
      </w:r>
      <w:r>
        <w:rPr>
          <w:rFonts w:hint="eastAsia" w:ascii="宋体" w:hAnsi="宋体" w:eastAsia="宋体" w:cs="宋体"/>
          <w:color w:val="000000"/>
          <w:szCs w:val="24"/>
          <w:highlight w:val="none"/>
        </w:rPr>
      </w:r>
      <w:r/>
    </w:p>
    <w:tbl>
      <w:tblPr>
        <w:tblW w:w="96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086"/>
        <w:gridCol w:w="1304"/>
        <w:gridCol w:w="1290"/>
        <w:gridCol w:w="765"/>
        <w:gridCol w:w="721"/>
        <w:gridCol w:w="1319"/>
        <w:gridCol w:w="1231"/>
        <w:gridCol w:w="963"/>
      </w:tblGrid>
      <w:tr>
        <w:trPr>
          <w:trHeight w:val="567"/>
        </w:trPr>
        <w:tc>
          <w:tcPr>
            <w:tcW w:w="980"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bookmarkEnd w:id="6"/>
            <w:r>
              <w:rPr>
                <w:rFonts w:hint="eastAsia" w:hAnsi="宋体" w:eastAsia="宋体" w:cs="宋体"/>
                <w:bCs/>
                <w:color w:val="000000"/>
                <w:sz w:val="24"/>
                <w:szCs w:val="24"/>
                <w:highlight w:val="none"/>
              </w:rPr>
              <w:t xml:space="preserve">序号</w:t>
            </w:r>
            <w:r>
              <w:rPr>
                <w:rFonts w:hint="eastAsia" w:hAnsi="宋体" w:eastAsia="宋体" w:cs="宋体"/>
                <w:bCs/>
                <w:color w:val="000000"/>
                <w:sz w:val="24"/>
                <w:szCs w:val="24"/>
                <w:highlight w:val="none"/>
              </w:rPr>
            </w:r>
            <w:r/>
          </w:p>
        </w:tc>
        <w:tc>
          <w:tcPr>
            <w:tcW w:w="1110" w:type="dxa"/>
            <w:vAlign w:val="center"/>
            <w:textDirection w:val="lrTb"/>
            <w:noWrap w:val="false"/>
          </w:tcPr>
          <w:p>
            <w:pPr>
              <w:pStyle w:val="976"/>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名称</w:t>
            </w:r>
            <w:r>
              <w:rPr>
                <w:rFonts w:hint="eastAsia" w:ascii="宋体" w:hAnsi="宋体" w:eastAsia="宋体" w:cs="宋体"/>
                <w:bCs/>
                <w:color w:val="000000"/>
                <w:sz w:val="24"/>
                <w:szCs w:val="24"/>
                <w:highlight w:val="none"/>
              </w:rPr>
            </w:r>
            <w:r/>
          </w:p>
        </w:tc>
        <w:tc>
          <w:tcPr>
            <w:tcW w:w="1335" w:type="dxa"/>
            <w:vAlign w:val="center"/>
            <w:textDirection w:val="lrTb"/>
            <w:noWrap w:val="false"/>
          </w:tcPr>
          <w:p>
            <w:pPr>
              <w:pStyle w:val="976"/>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品牌、型号</w:t>
            </w:r>
            <w:r>
              <w:rPr>
                <w:rFonts w:hint="eastAsia" w:ascii="宋体" w:hAnsi="宋体" w:eastAsia="宋体" w:cs="宋体"/>
                <w:bCs/>
                <w:color w:val="000000"/>
                <w:sz w:val="24"/>
                <w:szCs w:val="24"/>
                <w:highlight w:val="none"/>
              </w:rPr>
            </w:r>
            <w:r/>
          </w:p>
        </w:tc>
        <w:tc>
          <w:tcPr>
            <w:tcW w:w="1320" w:type="dxa"/>
            <w:vAlign w:val="center"/>
            <w:textDirection w:val="lrTb"/>
            <w:noWrap w:val="false"/>
          </w:tcPr>
          <w:p>
            <w:pPr>
              <w:pStyle w:val="976"/>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生产厂家</w:t>
            </w:r>
            <w:r>
              <w:rPr>
                <w:rFonts w:hint="eastAsia" w:ascii="宋体" w:hAnsi="宋体" w:eastAsia="宋体" w:cs="宋体"/>
                <w:bCs/>
                <w:color w:val="000000"/>
                <w:sz w:val="24"/>
                <w:szCs w:val="24"/>
                <w:highlight w:val="none"/>
              </w:rPr>
            </w:r>
            <w:r/>
          </w:p>
        </w:tc>
        <w:tc>
          <w:tcPr>
            <w:tcW w:w="780" w:type="dxa"/>
            <w:vAlign w:val="center"/>
            <w:textDirection w:val="lrTb"/>
            <w:noWrap w:val="false"/>
          </w:tcPr>
          <w:p>
            <w:pPr>
              <w:pStyle w:val="976"/>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w:t>
            </w:r>
            <w:r>
              <w:rPr>
                <w:rFonts w:hint="eastAsia" w:ascii="宋体" w:hAnsi="宋体" w:eastAsia="宋体" w:cs="宋体"/>
                <w:bCs/>
                <w:color w:val="000000"/>
                <w:sz w:val="24"/>
                <w:szCs w:val="24"/>
                <w:highlight w:val="none"/>
              </w:rPr>
            </w:r>
            <w:r/>
          </w:p>
        </w:tc>
        <w:tc>
          <w:tcPr>
            <w:tcW w:w="735" w:type="dxa"/>
            <w:vAlign w:val="center"/>
            <w:textDirection w:val="lrTb"/>
            <w:noWrap w:val="false"/>
          </w:tcPr>
          <w:p>
            <w:pPr>
              <w:pStyle w:val="976"/>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1350" w:type="dxa"/>
            <w:vAlign w:val="center"/>
            <w:textDirection w:val="lrTb"/>
            <w:noWrap w:val="false"/>
          </w:tcPr>
          <w:p>
            <w:pPr>
              <w:pStyle w:val="976"/>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单价（元）</w:t>
            </w:r>
            <w:r>
              <w:rPr>
                <w:rFonts w:hint="eastAsia" w:ascii="宋体" w:hAnsi="宋体" w:eastAsia="宋体" w:cs="宋体"/>
                <w:bCs/>
                <w:color w:val="000000"/>
                <w:sz w:val="24"/>
                <w:szCs w:val="24"/>
                <w:highlight w:val="none"/>
              </w:rPr>
            </w:r>
            <w:r/>
          </w:p>
        </w:tc>
        <w:tc>
          <w:tcPr>
            <w:tcW w:w="1260" w:type="dxa"/>
            <w:vAlign w:val="center"/>
            <w:textDirection w:val="lrTb"/>
            <w:noWrap w:val="false"/>
          </w:tcPr>
          <w:p>
            <w:pPr>
              <w:pStyle w:val="976"/>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总价（元）</w:t>
            </w:r>
            <w:r>
              <w:rPr>
                <w:rFonts w:hint="eastAsia" w:ascii="宋体" w:hAnsi="宋体" w:eastAsia="宋体" w:cs="宋体"/>
                <w:bCs/>
                <w:color w:val="000000"/>
                <w:sz w:val="24"/>
                <w:szCs w:val="24"/>
                <w:highlight w:val="none"/>
              </w:rPr>
            </w:r>
            <w:r/>
          </w:p>
        </w:tc>
        <w:tc>
          <w:tcPr>
            <w:tcW w:w="984" w:type="dxa"/>
            <w:vAlign w:val="center"/>
            <w:textDirection w:val="lrTb"/>
            <w:noWrap w:val="false"/>
          </w:tcPr>
          <w:p>
            <w:pPr>
              <w:pStyle w:val="976"/>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交货期</w:t>
            </w:r>
            <w:r>
              <w:rPr>
                <w:rFonts w:hint="eastAsia" w:ascii="宋体" w:hAnsi="宋体" w:eastAsia="宋体" w:cs="宋体"/>
                <w:bCs/>
                <w:color w:val="000000"/>
                <w:sz w:val="24"/>
                <w:szCs w:val="24"/>
                <w:highlight w:val="none"/>
              </w:rPr>
            </w:r>
            <w:r/>
          </w:p>
        </w:tc>
      </w:tr>
      <w:tr>
        <w:trPr>
          <w:trHeight w:val="567"/>
        </w:trPr>
        <w:tc>
          <w:tcPr>
            <w:tcW w:w="980"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1</w:t>
            </w:r>
            <w:r>
              <w:rPr>
                <w:rFonts w:hint="eastAsia" w:hAnsi="宋体" w:eastAsia="宋体" w:cs="宋体"/>
                <w:bCs/>
                <w:color w:val="000000"/>
                <w:sz w:val="24"/>
                <w:szCs w:val="24"/>
                <w:highlight w:val="none"/>
              </w:rPr>
            </w:r>
            <w:r/>
          </w:p>
        </w:tc>
        <w:tc>
          <w:tcPr>
            <w:tcW w:w="1110"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1335"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1320"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780"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735"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1350"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1260"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984"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r>
      <w:tr>
        <w:trPr>
          <w:trHeight w:val="567"/>
        </w:trPr>
        <w:tc>
          <w:tcPr>
            <w:tcW w:w="980"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2</w:t>
            </w:r>
            <w:r>
              <w:rPr>
                <w:rFonts w:hint="eastAsia" w:hAnsi="宋体" w:eastAsia="宋体" w:cs="宋体"/>
                <w:bCs/>
                <w:color w:val="000000"/>
                <w:sz w:val="24"/>
                <w:szCs w:val="24"/>
                <w:highlight w:val="none"/>
              </w:rPr>
            </w:r>
            <w:r/>
          </w:p>
        </w:tc>
        <w:tc>
          <w:tcPr>
            <w:tcW w:w="1110"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1335"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1320"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780"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735"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1350"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1260"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984"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r>
      <w:tr>
        <w:trPr>
          <w:trHeight w:val="567"/>
        </w:trPr>
        <w:tc>
          <w:tcPr>
            <w:tcW w:w="980"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3</w:t>
            </w:r>
            <w:r>
              <w:rPr>
                <w:rFonts w:hint="eastAsia" w:hAnsi="宋体" w:eastAsia="宋体" w:cs="宋体"/>
                <w:bCs/>
                <w:color w:val="000000"/>
                <w:sz w:val="24"/>
                <w:szCs w:val="24"/>
                <w:highlight w:val="none"/>
              </w:rPr>
            </w:r>
            <w:r/>
          </w:p>
        </w:tc>
        <w:tc>
          <w:tcPr>
            <w:tcW w:w="1110"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1335"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1320"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780"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735"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1350"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1260"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984"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r>
      <w:tr>
        <w:trPr>
          <w:trHeight w:val="567"/>
        </w:trPr>
        <w:tc>
          <w:tcPr>
            <w:tcW w:w="980"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4</w:t>
            </w:r>
            <w:r>
              <w:rPr>
                <w:rFonts w:hint="eastAsia" w:hAnsi="宋体" w:eastAsia="宋体" w:cs="宋体"/>
                <w:bCs/>
                <w:color w:val="000000"/>
                <w:sz w:val="24"/>
                <w:szCs w:val="24"/>
                <w:highlight w:val="none"/>
              </w:rPr>
            </w:r>
            <w:r/>
          </w:p>
        </w:tc>
        <w:tc>
          <w:tcPr>
            <w:tcW w:w="1110"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1335"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1320"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780"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735"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1350"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1260"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984"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r>
      <w:tr>
        <w:trPr>
          <w:trHeight w:val="567"/>
        </w:trPr>
        <w:tc>
          <w:tcPr>
            <w:tcW w:w="980"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w:t>
            </w:r>
            <w:r>
              <w:rPr>
                <w:rFonts w:hint="eastAsia" w:hAnsi="宋体" w:eastAsia="宋体" w:cs="宋体"/>
                <w:bCs/>
                <w:color w:val="000000"/>
                <w:sz w:val="24"/>
                <w:szCs w:val="24"/>
                <w:highlight w:val="none"/>
              </w:rPr>
            </w:r>
            <w:r/>
          </w:p>
        </w:tc>
        <w:tc>
          <w:tcPr>
            <w:tcW w:w="1110"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1335"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1320"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780"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735"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1350"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1260"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984"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r>
      <w:tr>
        <w:trPr>
          <w:trHeight w:val="567"/>
        </w:trPr>
        <w:tc>
          <w:tcPr>
            <w:gridSpan w:val="7"/>
            <w:tcW w:w="7610"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color w:val="000000"/>
                <w:spacing w:val="20"/>
                <w:sz w:val="24"/>
                <w:szCs w:val="24"/>
                <w:highlight w:val="none"/>
              </w:rPr>
              <w:t xml:space="preserve">合计金额（人民币）</w:t>
            </w:r>
            <w:r>
              <w:rPr>
                <w:rFonts w:hint="eastAsia" w:hAnsi="宋体" w:eastAsia="宋体" w:cs="宋体"/>
                <w:bCs/>
                <w:color w:val="000000"/>
                <w:sz w:val="24"/>
                <w:szCs w:val="24"/>
                <w:highlight w:val="none"/>
              </w:rPr>
            </w:r>
            <w:r/>
          </w:p>
        </w:tc>
        <w:tc>
          <w:tcPr>
            <w:tcW w:w="1260"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984"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r>
    </w:tbl>
    <w:p>
      <w:pPr>
        <w:pStyle w:val="980"/>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注：</w:t>
      </w:r>
      <w:r>
        <w:rPr>
          <w:rFonts w:hint="eastAsia" w:ascii="宋体" w:hAnsi="宋体" w:eastAsia="宋体" w:cs="宋体"/>
          <w:color w:val="000000"/>
          <w:szCs w:val="24"/>
          <w:highlight w:val="none"/>
        </w:rPr>
      </w:r>
      <w:r/>
    </w:p>
    <w:p>
      <w:pPr>
        <w:pStyle w:val="980"/>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1、报价表包含投标人各项成本核算和投入的成本明细，合计金额应与开标一览表投标总价一致；否则，以开标一览表为准。</w:t>
      </w:r>
      <w:r>
        <w:rPr>
          <w:rFonts w:hint="eastAsia" w:ascii="宋体" w:hAnsi="宋体" w:eastAsia="宋体" w:cs="宋体"/>
          <w:color w:val="000000"/>
          <w:szCs w:val="24"/>
          <w:highlight w:val="none"/>
        </w:rPr>
      </w:r>
      <w:r/>
    </w:p>
    <w:p>
      <w:pPr>
        <w:pStyle w:val="980"/>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2、各投标人应根据此表格式按项目分别填写报价详细清单，如表格内容不够，可自行添加。</w:t>
      </w:r>
      <w:r>
        <w:rPr>
          <w:rFonts w:hint="eastAsia" w:ascii="宋体" w:hAnsi="宋体" w:eastAsia="宋体" w:cs="宋体"/>
          <w:color w:val="000000"/>
          <w:szCs w:val="24"/>
          <w:highlight w:val="none"/>
        </w:rPr>
      </w:r>
      <w:r/>
    </w:p>
    <w:p>
      <w:pPr>
        <w:pStyle w:val="995"/>
        <w:ind w:firstLine="480"/>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投标人</w:t>
      </w:r>
      <w:r>
        <w:rPr>
          <w:rFonts w:hint="eastAsia" w:hAnsi="宋体" w:eastAsia="宋体" w:cs="宋体"/>
          <w:color w:val="000000"/>
          <w:sz w:val="24"/>
          <w:szCs w:val="24"/>
          <w:highlight w:val="none"/>
        </w:rPr>
        <w:t xml:space="preserve">（单位盖章）</w:t>
      </w:r>
      <w:r>
        <w:rPr>
          <w:rFonts w:hint="eastAsia" w:hAnsi="宋体" w:eastAsia="宋体" w:cs="宋体"/>
          <w:bCs/>
          <w:color w:val="000000"/>
          <w:sz w:val="24"/>
          <w:szCs w:val="24"/>
          <w:highlight w:val="none"/>
        </w:rPr>
        <w:t xml:space="preserve">：</w:t>
      </w:r>
      <w:r>
        <w:rPr>
          <w:rFonts w:hint="eastAsia" w:hAnsi="宋体" w:eastAsia="宋体" w:cs="宋体"/>
          <w:bCs/>
          <w:color w:val="000000"/>
          <w:sz w:val="24"/>
          <w:szCs w:val="24"/>
          <w:highlight w:val="none"/>
        </w:rPr>
      </w:r>
      <w:r/>
    </w:p>
    <w:p>
      <w:pPr>
        <w:pStyle w:val="995"/>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    法定代表人或代理人</w:t>
      </w:r>
      <w:r>
        <w:rPr>
          <w:rFonts w:hint="eastAsia" w:hAnsi="宋体" w:eastAsia="宋体" w:cs="宋体"/>
          <w:color w:val="000000"/>
          <w:sz w:val="24"/>
          <w:szCs w:val="24"/>
          <w:highlight w:val="none"/>
        </w:rPr>
        <w:t xml:space="preserve">（签字或盖章）</w:t>
      </w:r>
      <w:r>
        <w:rPr>
          <w:rFonts w:hint="eastAsia" w:hAnsi="宋体" w:eastAsia="宋体" w:cs="宋体"/>
          <w:bCs/>
          <w:color w:val="000000"/>
          <w:sz w:val="24"/>
          <w:szCs w:val="24"/>
          <w:highlight w:val="none"/>
        </w:rPr>
        <w:t xml:space="preserve">：</w:t>
      </w:r>
      <w:r>
        <w:rPr>
          <w:rFonts w:hint="eastAsia" w:hAnsi="宋体" w:eastAsia="宋体" w:cs="宋体"/>
          <w:bCs/>
          <w:color w:val="000000"/>
          <w:sz w:val="24"/>
          <w:szCs w:val="24"/>
          <w:highlight w:val="none"/>
        </w:rPr>
      </w:r>
      <w:r/>
    </w:p>
    <w:p>
      <w:pPr>
        <w:pStyle w:val="995"/>
        <w:ind w:firstLine="480"/>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日期：     年     月     日</w:t>
      </w:r>
      <w:r>
        <w:rPr>
          <w:rFonts w:hint="eastAsia" w:hAnsi="宋体" w:eastAsia="宋体" w:cs="宋体"/>
          <w:bCs/>
          <w:color w:val="000000"/>
          <w:sz w:val="24"/>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76"/>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76"/>
        <w:spacing w:line="360" w:lineRule="auto"/>
        <w:rPr>
          <w:rFonts w:hint="eastAsia" w:ascii="宋体" w:hAnsi="宋体" w:eastAsia="宋体" w:cs="宋体"/>
          <w:bCs/>
          <w:color w:val="000000"/>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bCs/>
          <w:color w:val="000000"/>
          <w:sz w:val="24"/>
          <w:szCs w:val="24"/>
          <w:highlight w:val="none"/>
        </w:rPr>
      </w:r>
      <w:r/>
    </w:p>
    <w:p>
      <w:pPr>
        <w:pStyle w:val="976"/>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6、投标产品技术指标对照表</w:t>
      </w:r>
      <w:r>
        <w:rPr>
          <w:rFonts w:hint="eastAsia" w:ascii="宋体" w:hAnsi="宋体" w:eastAsia="宋体" w:cs="宋体"/>
          <w:b/>
          <w:bCs/>
          <w:color w:val="000000"/>
          <w:sz w:val="24"/>
          <w:szCs w:val="24"/>
          <w:highlight w:val="none"/>
        </w:rPr>
      </w:r>
      <w:r/>
    </w:p>
    <w:tbl>
      <w:tblPr>
        <w:tblW w:w="96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1558"/>
        <w:gridCol w:w="2266"/>
        <w:gridCol w:w="2266"/>
        <w:gridCol w:w="2316"/>
      </w:tblGrid>
      <w:tr>
        <w:trPr>
          <w:trHeight w:val="567"/>
        </w:trPr>
        <w:tc>
          <w:tcPr>
            <w:tcW w:w="1232" w:type="dxa"/>
            <w:vAlign w:val="center"/>
            <w:textDirection w:val="lrTb"/>
            <w:noWrap/>
          </w:tcPr>
          <w:p>
            <w:pPr>
              <w:pStyle w:val="998"/>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序号</w:t>
            </w:r>
            <w:r>
              <w:rPr>
                <w:rFonts w:hint="eastAsia" w:hAnsi="宋体" w:eastAsia="宋体" w:cs="宋体"/>
                <w:color w:val="000000"/>
                <w:sz w:val="24"/>
                <w:szCs w:val="24"/>
                <w:highlight w:val="none"/>
              </w:rPr>
            </w:r>
            <w:r/>
          </w:p>
        </w:tc>
        <w:tc>
          <w:tcPr>
            <w:tcW w:w="1559" w:type="dxa"/>
            <w:vAlign w:val="center"/>
            <w:textDirection w:val="lrTb"/>
            <w:noWrap/>
          </w:tcPr>
          <w:p>
            <w:pPr>
              <w:pStyle w:val="998"/>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产品名称</w:t>
            </w:r>
            <w:r>
              <w:rPr>
                <w:rFonts w:hint="eastAsia" w:hAnsi="宋体" w:eastAsia="宋体" w:cs="宋体"/>
                <w:color w:val="000000"/>
                <w:sz w:val="24"/>
                <w:szCs w:val="24"/>
                <w:highlight w:val="none"/>
              </w:rPr>
            </w:r>
            <w:r/>
          </w:p>
        </w:tc>
        <w:tc>
          <w:tcPr>
            <w:tcW w:w="2268" w:type="dxa"/>
            <w:vAlign w:val="center"/>
            <w:textDirection w:val="lrTb"/>
            <w:noWrap/>
          </w:tcPr>
          <w:p>
            <w:pPr>
              <w:pStyle w:val="998"/>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采购要求</w:t>
            </w:r>
            <w:r>
              <w:rPr>
                <w:rFonts w:hint="eastAsia" w:hAnsi="宋体" w:eastAsia="宋体" w:cs="宋体"/>
                <w:color w:val="000000"/>
                <w:sz w:val="24"/>
                <w:szCs w:val="24"/>
                <w:highlight w:val="none"/>
              </w:rPr>
            </w:r>
            <w:r/>
          </w:p>
        </w:tc>
        <w:tc>
          <w:tcPr>
            <w:tcW w:w="2268" w:type="dxa"/>
            <w:vAlign w:val="center"/>
            <w:textDirection w:val="lrTb"/>
            <w:noWrap/>
          </w:tcPr>
          <w:p>
            <w:pPr>
              <w:pStyle w:val="998"/>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投标产品技术参数</w:t>
            </w:r>
            <w:r>
              <w:rPr>
                <w:rFonts w:hint="eastAsia" w:hAnsi="宋体" w:eastAsia="宋体" w:cs="宋体"/>
                <w:color w:val="000000"/>
                <w:sz w:val="24"/>
                <w:szCs w:val="24"/>
                <w:highlight w:val="none"/>
              </w:rPr>
            </w:r>
            <w:r/>
          </w:p>
        </w:tc>
        <w:tc>
          <w:tcPr>
            <w:tcW w:w="2318" w:type="dxa"/>
            <w:vAlign w:val="center"/>
            <w:textDirection w:val="lrTb"/>
            <w:noWrap/>
          </w:tcPr>
          <w:p>
            <w:pPr>
              <w:pStyle w:val="998"/>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偏离情况说明</w:t>
            </w:r>
            <w:r>
              <w:rPr>
                <w:rFonts w:hint="eastAsia" w:hAnsi="宋体" w:eastAsia="宋体" w:cs="宋体"/>
                <w:color w:val="000000"/>
                <w:sz w:val="24"/>
                <w:szCs w:val="24"/>
                <w:highlight w:val="none"/>
              </w:rPr>
            </w:r>
            <w:r/>
          </w:p>
        </w:tc>
      </w:tr>
      <w:tr>
        <w:trPr>
          <w:trHeight w:val="567"/>
        </w:trPr>
        <w:tc>
          <w:tcPr>
            <w:tcW w:w="1232" w:type="dxa"/>
            <w:vAlign w:val="center"/>
            <w:textDirection w:val="lrTb"/>
            <w:noWrap/>
          </w:tcPr>
          <w:p>
            <w:pPr>
              <w:pStyle w:val="998"/>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1</w:t>
            </w:r>
            <w:r>
              <w:rPr>
                <w:rFonts w:hint="eastAsia" w:hAnsi="宋体" w:eastAsia="宋体" w:cs="宋体"/>
                <w:color w:val="000000"/>
                <w:sz w:val="24"/>
                <w:szCs w:val="24"/>
                <w:highlight w:val="none"/>
              </w:rPr>
            </w:r>
            <w:r/>
          </w:p>
        </w:tc>
        <w:tc>
          <w:tcPr>
            <w:tcW w:w="1559" w:type="dxa"/>
            <w:vAlign w:val="center"/>
            <w:textDirection w:val="lrTb"/>
            <w:noWrap/>
          </w:tcPr>
          <w:p>
            <w:pPr>
              <w:pStyle w:val="998"/>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268" w:type="dxa"/>
            <w:vAlign w:val="center"/>
            <w:textDirection w:val="lrTb"/>
            <w:noWrap/>
          </w:tcPr>
          <w:p>
            <w:pPr>
              <w:pStyle w:val="998"/>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268" w:type="dxa"/>
            <w:vAlign w:val="center"/>
            <w:textDirection w:val="lrTb"/>
            <w:noWrap/>
          </w:tcPr>
          <w:p>
            <w:pPr>
              <w:pStyle w:val="998"/>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318" w:type="dxa"/>
            <w:vAlign w:val="center"/>
            <w:textDirection w:val="lrTb"/>
            <w:noWrap/>
          </w:tcPr>
          <w:p>
            <w:pPr>
              <w:pStyle w:val="998"/>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r>
      <w:tr>
        <w:trPr>
          <w:trHeight w:val="567"/>
        </w:trPr>
        <w:tc>
          <w:tcPr>
            <w:tcW w:w="1232" w:type="dxa"/>
            <w:vAlign w:val="center"/>
            <w:textDirection w:val="lrTb"/>
            <w:noWrap/>
          </w:tcPr>
          <w:p>
            <w:pPr>
              <w:pStyle w:val="998"/>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2</w:t>
            </w:r>
            <w:r>
              <w:rPr>
                <w:rFonts w:hint="eastAsia" w:hAnsi="宋体" w:eastAsia="宋体" w:cs="宋体"/>
                <w:color w:val="000000"/>
                <w:sz w:val="24"/>
                <w:szCs w:val="24"/>
                <w:highlight w:val="none"/>
              </w:rPr>
            </w:r>
            <w:r/>
          </w:p>
        </w:tc>
        <w:tc>
          <w:tcPr>
            <w:tcW w:w="1559" w:type="dxa"/>
            <w:vAlign w:val="center"/>
            <w:textDirection w:val="lrTb"/>
            <w:noWrap/>
          </w:tcPr>
          <w:p>
            <w:pPr>
              <w:pStyle w:val="998"/>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268" w:type="dxa"/>
            <w:vAlign w:val="center"/>
            <w:textDirection w:val="lrTb"/>
            <w:noWrap/>
          </w:tcPr>
          <w:p>
            <w:pPr>
              <w:pStyle w:val="998"/>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268" w:type="dxa"/>
            <w:vAlign w:val="center"/>
            <w:textDirection w:val="lrTb"/>
            <w:noWrap/>
          </w:tcPr>
          <w:p>
            <w:pPr>
              <w:pStyle w:val="998"/>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318" w:type="dxa"/>
            <w:vAlign w:val="center"/>
            <w:textDirection w:val="lrTb"/>
            <w:noWrap/>
          </w:tcPr>
          <w:p>
            <w:pPr>
              <w:pStyle w:val="998"/>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r>
      <w:tr>
        <w:trPr>
          <w:trHeight w:val="567"/>
        </w:trPr>
        <w:tc>
          <w:tcPr>
            <w:tcW w:w="1232" w:type="dxa"/>
            <w:vAlign w:val="center"/>
            <w:textDirection w:val="lrTb"/>
            <w:noWrap/>
          </w:tcPr>
          <w:p>
            <w:pPr>
              <w:pStyle w:val="998"/>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3</w:t>
            </w:r>
            <w:r>
              <w:rPr>
                <w:rFonts w:hint="eastAsia" w:hAnsi="宋体" w:eastAsia="宋体" w:cs="宋体"/>
                <w:color w:val="000000"/>
                <w:sz w:val="24"/>
                <w:szCs w:val="24"/>
                <w:highlight w:val="none"/>
              </w:rPr>
            </w:r>
            <w:r/>
          </w:p>
        </w:tc>
        <w:tc>
          <w:tcPr>
            <w:tcW w:w="1559" w:type="dxa"/>
            <w:vAlign w:val="center"/>
            <w:textDirection w:val="lrTb"/>
            <w:noWrap/>
          </w:tcPr>
          <w:p>
            <w:pPr>
              <w:pStyle w:val="998"/>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268" w:type="dxa"/>
            <w:vAlign w:val="center"/>
            <w:textDirection w:val="lrTb"/>
            <w:noWrap/>
          </w:tcPr>
          <w:p>
            <w:pPr>
              <w:pStyle w:val="998"/>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268" w:type="dxa"/>
            <w:vAlign w:val="center"/>
            <w:textDirection w:val="lrTb"/>
            <w:noWrap/>
          </w:tcPr>
          <w:p>
            <w:pPr>
              <w:pStyle w:val="998"/>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318" w:type="dxa"/>
            <w:vAlign w:val="center"/>
            <w:textDirection w:val="lrTb"/>
            <w:noWrap/>
          </w:tcPr>
          <w:p>
            <w:pPr>
              <w:pStyle w:val="998"/>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r>
      <w:tr>
        <w:trPr>
          <w:trHeight w:val="567"/>
        </w:trPr>
        <w:tc>
          <w:tcPr>
            <w:tcW w:w="1232" w:type="dxa"/>
            <w:vAlign w:val="center"/>
            <w:textDirection w:val="lrTb"/>
            <w:noWrap/>
          </w:tcPr>
          <w:p>
            <w:pPr>
              <w:pStyle w:val="998"/>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4</w:t>
            </w:r>
            <w:r>
              <w:rPr>
                <w:rFonts w:hint="eastAsia" w:hAnsi="宋体" w:eastAsia="宋体" w:cs="宋体"/>
                <w:color w:val="000000"/>
                <w:sz w:val="24"/>
                <w:szCs w:val="24"/>
                <w:highlight w:val="none"/>
              </w:rPr>
            </w:r>
            <w:r/>
          </w:p>
        </w:tc>
        <w:tc>
          <w:tcPr>
            <w:tcW w:w="1559" w:type="dxa"/>
            <w:vAlign w:val="center"/>
            <w:textDirection w:val="lrTb"/>
            <w:noWrap/>
          </w:tcPr>
          <w:p>
            <w:pPr>
              <w:pStyle w:val="998"/>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268" w:type="dxa"/>
            <w:vAlign w:val="center"/>
            <w:textDirection w:val="lrTb"/>
            <w:noWrap/>
          </w:tcPr>
          <w:p>
            <w:pPr>
              <w:pStyle w:val="998"/>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268" w:type="dxa"/>
            <w:vAlign w:val="center"/>
            <w:textDirection w:val="lrTb"/>
            <w:noWrap/>
          </w:tcPr>
          <w:p>
            <w:pPr>
              <w:pStyle w:val="998"/>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318" w:type="dxa"/>
            <w:vAlign w:val="center"/>
            <w:textDirection w:val="lrTb"/>
            <w:noWrap/>
          </w:tcPr>
          <w:p>
            <w:pPr>
              <w:pStyle w:val="998"/>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r>
      <w:tr>
        <w:trPr>
          <w:trHeight w:val="567"/>
        </w:trPr>
        <w:tc>
          <w:tcPr>
            <w:tcW w:w="1232" w:type="dxa"/>
            <w:vAlign w:val="center"/>
            <w:textDirection w:val="lrTb"/>
            <w:noWrap/>
          </w:tcPr>
          <w:p>
            <w:pPr>
              <w:pStyle w:val="998"/>
              <w:jc w:val="center"/>
              <w:spacing w:line="360" w:lineRule="auto"/>
              <w:rPr>
                <w:rFonts w:hint="eastAsia" w:hAnsi="宋体" w:eastAsia="宋体" w:cs="宋体"/>
                <w:color w:val="000000"/>
                <w:sz w:val="24"/>
                <w:szCs w:val="24"/>
                <w:highlight w:val="none"/>
              </w:rPr>
            </w:pPr>
            <w:r>
              <w:rPr>
                <w:rFonts w:hint="eastAsia" w:hAnsi="宋体" w:eastAsia="宋体" w:cs="宋体"/>
                <w:bCs/>
                <w:color w:val="000000"/>
                <w:sz w:val="24"/>
                <w:szCs w:val="24"/>
                <w:highlight w:val="none"/>
              </w:rPr>
              <w:t xml:space="preserve">......</w:t>
            </w:r>
            <w:r>
              <w:rPr>
                <w:rFonts w:hint="eastAsia" w:hAnsi="宋体" w:eastAsia="宋体" w:cs="宋体"/>
                <w:color w:val="000000"/>
                <w:sz w:val="24"/>
                <w:szCs w:val="24"/>
                <w:highlight w:val="none"/>
              </w:rPr>
            </w:r>
            <w:r/>
          </w:p>
        </w:tc>
        <w:tc>
          <w:tcPr>
            <w:tcW w:w="1559" w:type="dxa"/>
            <w:vAlign w:val="center"/>
            <w:textDirection w:val="lrTb"/>
            <w:noWrap/>
          </w:tcPr>
          <w:p>
            <w:pPr>
              <w:pStyle w:val="998"/>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268" w:type="dxa"/>
            <w:vAlign w:val="center"/>
            <w:textDirection w:val="lrTb"/>
            <w:noWrap/>
          </w:tcPr>
          <w:p>
            <w:pPr>
              <w:pStyle w:val="998"/>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268" w:type="dxa"/>
            <w:vAlign w:val="center"/>
            <w:textDirection w:val="lrTb"/>
            <w:noWrap/>
          </w:tcPr>
          <w:p>
            <w:pPr>
              <w:pStyle w:val="998"/>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318" w:type="dxa"/>
            <w:vAlign w:val="center"/>
            <w:textDirection w:val="lrTb"/>
            <w:noWrap/>
          </w:tcPr>
          <w:p>
            <w:pPr>
              <w:pStyle w:val="998"/>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r>
    </w:tbl>
    <w:p>
      <w:pPr>
        <w:pStyle w:val="986"/>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投标人（单位盖章）：</w:t>
      </w:r>
      <w:r>
        <w:rPr>
          <w:rFonts w:hint="eastAsia" w:ascii="宋体" w:hAnsi="宋体" w:eastAsia="宋体" w:cs="宋体"/>
          <w:bCs/>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法定代表人或代理人（签字或盖章）：</w:t>
      </w:r>
      <w:r>
        <w:rPr>
          <w:rFonts w:hint="eastAsia" w:ascii="宋体" w:hAnsi="宋体" w:eastAsia="宋体" w:cs="宋体"/>
          <w:bCs/>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日期：     年     月     日</w:t>
      </w:r>
      <w:r>
        <w:rPr>
          <w:rFonts w:hint="eastAsia" w:ascii="宋体" w:hAnsi="宋体" w:eastAsia="宋体" w:cs="宋体"/>
          <w:bCs/>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w:t>
      </w:r>
      <w:r>
        <w:rPr>
          <w:rFonts w:hint="eastAsia" w:ascii="宋体" w:hAnsi="宋体" w:eastAsia="宋体" w:cs="宋体"/>
          <w:bCs/>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投标人应在本表中对照招标文件技术要求逐项对应列出响应内容，并在“偏离情况说明”项下填写以下内容：优于的，填写“正偏离”；符合的，填写“无偏离”；低于的，填写“负偏离”。</w:t>
      </w:r>
      <w:r>
        <w:rPr>
          <w:rFonts w:hint="eastAsia" w:ascii="宋体" w:hAnsi="宋体" w:eastAsia="宋体" w:cs="宋体"/>
          <w:bCs/>
          <w:color w:val="000000"/>
          <w:sz w:val="24"/>
          <w:szCs w:val="24"/>
          <w:highlight w:val="none"/>
        </w:rPr>
      </w:r>
      <w:r/>
    </w:p>
    <w:p>
      <w:pPr>
        <w:pStyle w:val="976"/>
        <w:ind w:firstLine="480"/>
        <w:spacing w:line="360" w:lineRule="auto"/>
        <w:tabs>
          <w:tab w:val="left" w:pos="142" w:leader="none"/>
          <w:tab w:val="left" w:pos="6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产品与招标文件技术要求的规定有偏离的，应在此表中申明与技术要求条文的偏差和例外。未在此表中说明的，如在投标文件其他内容中已有文字说明的，则以已有文字说明为准，否则将被认为完全响应招标文件的规定，但该表不能替代响应产品对招标文件技术要求应作出的详细描述和说明。</w:t>
      </w:r>
      <w:r>
        <w:rPr>
          <w:rFonts w:hint="eastAsia" w:ascii="宋体" w:hAnsi="宋体" w:eastAsia="宋体" w:cs="宋体"/>
          <w:bCs/>
          <w:color w:val="000000"/>
          <w:sz w:val="24"/>
          <w:szCs w:val="24"/>
          <w:highlight w:val="none"/>
        </w:rPr>
      </w:r>
      <w:r/>
    </w:p>
    <w:p>
      <w:pPr>
        <w:pStyle w:val="995"/>
        <w:spacing w:line="360" w:lineRule="auto"/>
        <w:rPr>
          <w:rFonts w:hint="eastAsia" w:hAnsi="宋体" w:eastAsia="宋体" w:cs="宋体"/>
          <w:b/>
          <w:color w:val="000000"/>
          <w:sz w:val="24"/>
          <w:szCs w:val="24"/>
          <w:highlight w:val="none"/>
          <w:lang w:val="zh-CN"/>
        </w:rPr>
      </w:pPr>
      <w:r>
        <w:rPr>
          <w:rFonts w:cs="宋体"/>
          <w:b/>
          <w:bCs/>
          <w:color w:val="000000"/>
          <w:sz w:val="24"/>
          <w:szCs w:val="24"/>
          <w:highlight w:val="none"/>
        </w:rPr>
        <w:br w:type="page" w:clear="all"/>
      </w:r>
      <w:r>
        <w:rPr>
          <w:rFonts w:hint="eastAsia" w:hAnsi="宋体" w:eastAsia="宋体" w:cs="宋体"/>
          <w:color w:val="000000"/>
          <w:sz w:val="24"/>
          <w:szCs w:val="24"/>
          <w:highlight w:val="none"/>
        </w:rPr>
        <w:t xml:space="preserve">7、中小企业声明函</w:t>
      </w:r>
      <w:r>
        <w:rPr>
          <w:rFonts w:hint="eastAsia" w:hAnsi="宋体" w:eastAsia="宋体" w:cs="宋体"/>
          <w:b/>
          <w:color w:val="000000"/>
          <w:sz w:val="24"/>
          <w:szCs w:val="24"/>
          <w:highlight w:val="none"/>
          <w:lang w:val="zh-CN"/>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 号）的规定，本公司参加的</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采购活动，提供的货物全部由符合政策要求的中小企业制造。相关企业（含联合体中的中小企业、签订分包意向协议的中小企业）的具体情况如下：</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（采购文件中明确的所属行业）行业</w:t>
      </w:r>
      <w:r>
        <w:rPr>
          <w:rFonts w:hint="eastAsia" w:ascii="宋体" w:hAnsi="宋体" w:eastAsia="宋体" w:cs="宋体"/>
          <w:color w:val="000000"/>
          <w:sz w:val="24"/>
          <w:szCs w:val="24"/>
          <w:highlight w:val="none"/>
        </w:rPr>
        <w:t xml:space="preserve">；制造商为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采购文件中明确的所属行业）行业</w:t>
      </w:r>
      <w:r>
        <w:rPr>
          <w:rFonts w:hint="eastAsia" w:ascii="宋体" w:hAnsi="宋体" w:eastAsia="宋体" w:cs="宋体"/>
          <w:color w:val="000000"/>
          <w:sz w:val="24"/>
          <w:szCs w:val="24"/>
          <w:highlight w:val="none"/>
        </w:rPr>
        <w:t xml:space="preserve">；制造商为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rPr>
          <w:rFonts w:hint="eastAsia" w:ascii="宋体" w:hAnsi="宋体" w:eastAsia="宋体" w:cs="宋体"/>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976"/>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rPr>
          <w:rFonts w:hint="eastAsia" w:ascii="宋体" w:hAnsi="宋体" w:eastAsia="宋体" w:cs="宋体"/>
          <w:b/>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zh-CN"/>
        </w:rPr>
        <w:t xml:space="preserve">从业人员、营业收入、资产总额填报上一年度数据，无上一年度数据的新成立企业可不填报；</w:t>
      </w:r>
      <w:r>
        <w:rPr>
          <w:rFonts w:hint="eastAsia" w:ascii="宋体" w:hAnsi="宋体" w:eastAsia="宋体" w:cs="宋体"/>
          <w:color w:val="000000"/>
          <w:sz w:val="24"/>
          <w:szCs w:val="24"/>
          <w:highlight w:val="none"/>
          <w:lang w:val="zh-CN"/>
        </w:rPr>
      </w:r>
      <w:r/>
    </w:p>
    <w:p>
      <w:pPr>
        <w:pStyle w:val="976"/>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若供应商未在此函中对（中型企业、小型企业、微型企业）明确选择，视为非中小企业，不享受中小企业扶持政策；</w:t>
      </w:r>
      <w:r>
        <w:rPr>
          <w:rFonts w:hint="eastAsia" w:ascii="宋体" w:hAnsi="宋体" w:eastAsia="宋体" w:cs="宋体"/>
          <w:color w:val="000000"/>
          <w:sz w:val="24"/>
          <w:szCs w:val="24"/>
          <w:highlight w:val="none"/>
          <w:lang w:val="zh-CN"/>
        </w:rPr>
      </w:r>
      <w:r/>
    </w:p>
    <w:p>
      <w:pPr>
        <w:pStyle w:val="976"/>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若供应商提供的“中小企业声明函”内容不实的，属于提供虚假材料谋取中标、成交，依照《中华人民共和国政府采购法》等国家有关规定追究相应责任。</w:t>
      </w:r>
      <w:r>
        <w:rPr>
          <w:rFonts w:hint="eastAsia" w:ascii="宋体" w:hAnsi="宋体" w:eastAsia="宋体" w:cs="宋体"/>
          <w:color w:val="000000"/>
          <w:sz w:val="24"/>
          <w:szCs w:val="24"/>
          <w:highlight w:val="none"/>
          <w:lang w:val="zh-CN"/>
        </w:rPr>
      </w:r>
      <w:r/>
    </w:p>
    <w:p>
      <w:pPr>
        <w:pStyle w:val="976"/>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szCs w:val="24"/>
          <w:highlight w:val="none"/>
          <w:lang w:val="zh-CN"/>
        </w:rPr>
      </w:r>
      <w:r/>
    </w:p>
    <w:p>
      <w:pPr>
        <w:pStyle w:val="976"/>
        <w:ind w:firstLine="480"/>
        <w:spacing w:line="360" w:lineRule="auto"/>
        <w:rPr>
          <w:rFonts w:hint="eastAsia" w:ascii="宋体" w:hAnsi="宋体" w:eastAsia="宋体" w:cs="宋体"/>
          <w:b/>
          <w:color w:val="000000"/>
          <w:sz w:val="24"/>
          <w:szCs w:val="24"/>
          <w:highlight w:val="none"/>
        </w:rPr>
        <w:outlineLvl w:val="0"/>
      </w:pPr>
      <w:r>
        <w:rPr>
          <w:rFonts w:hint="eastAsia" w:ascii="宋体" w:hAnsi="宋体" w:eastAsia="宋体" w:cs="宋体"/>
          <w:color w:val="000000"/>
          <w:sz w:val="24"/>
          <w:szCs w:val="24"/>
          <w:highlight w:val="none"/>
        </w:rPr>
        <w:t xml:space="preserve">5、中标供应商为中小企业的，《中小企业声明函》将随中标结果同时公告。</w:t>
      </w:r>
      <w:r>
        <w:rPr>
          <w:rFonts w:hint="eastAsia" w:ascii="宋体" w:hAnsi="宋体" w:eastAsia="宋体" w:cs="宋体"/>
          <w:color w:val="000000"/>
          <w:sz w:val="24"/>
          <w:szCs w:val="24"/>
          <w:highlight w:val="none"/>
        </w:rPr>
        <w:br w:type="page" w:clear="all"/>
      </w:r>
      <w:r>
        <w:rPr>
          <w:rFonts w:hint="eastAsia" w:ascii="宋体" w:hAnsi="宋体" w:eastAsia="宋体" w:cs="宋体"/>
          <w:b/>
          <w:color w:val="000000"/>
          <w:sz w:val="24"/>
          <w:szCs w:val="24"/>
          <w:highlight w:val="none"/>
        </w:rPr>
        <w:t xml:space="preserve">附：中小企业划型标准规定</w:t>
      </w:r>
      <w:r>
        <w:rPr>
          <w:rFonts w:hint="eastAsia" w:ascii="宋体" w:hAnsi="宋体" w:eastAsia="宋体" w:cs="宋体"/>
          <w:b/>
          <w:color w:val="000000"/>
          <w:sz w:val="24"/>
          <w:szCs w:val="24"/>
          <w:highlight w:val="none"/>
        </w:rPr>
      </w:r>
      <w:r/>
    </w:p>
    <w:p>
      <w:pPr>
        <w:pStyle w:val="976"/>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（一）农、林、牧、渔业。</w:t>
      </w:r>
      <w:r>
        <w:rPr>
          <w:rFonts w:hint="eastAsia" w:ascii="宋体" w:hAnsi="宋体" w:eastAsia="宋体" w:cs="宋体"/>
          <w:color w:val="000000"/>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4"/>
          <w:szCs w:val="24"/>
          <w:highlight w:val="none"/>
        </w:rPr>
      </w:r>
      <w:r/>
    </w:p>
    <w:p>
      <w:pPr>
        <w:pStyle w:val="976"/>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（二）工业。</w:t>
      </w:r>
      <w:r>
        <w:rPr>
          <w:rFonts w:hint="eastAsia" w:ascii="宋体" w:hAnsi="宋体" w:eastAsia="宋体" w:cs="宋体"/>
          <w:color w:val="000000"/>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4"/>
          <w:szCs w:val="24"/>
          <w:highlight w:val="none"/>
        </w:rPr>
      </w:r>
      <w:r/>
    </w:p>
    <w:p>
      <w:pPr>
        <w:pStyle w:val="976"/>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（三）建筑业。</w:t>
      </w:r>
      <w:r>
        <w:rPr>
          <w:rFonts w:hint="eastAsia" w:ascii="宋体" w:hAnsi="宋体" w:eastAsia="宋体" w:cs="宋体"/>
          <w:color w:val="000000"/>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4"/>
          <w:szCs w:val="24"/>
          <w:highlight w:val="none"/>
        </w:rPr>
      </w:r>
      <w:r/>
    </w:p>
    <w:p>
      <w:pPr>
        <w:pStyle w:val="976"/>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（四）批发业。</w:t>
      </w:r>
      <w:r>
        <w:rPr>
          <w:rFonts w:hint="eastAsia" w:ascii="宋体" w:hAnsi="宋体" w:eastAsia="宋体" w:cs="宋体"/>
          <w:color w:val="000000"/>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4"/>
          <w:szCs w:val="24"/>
          <w:highlight w:val="none"/>
        </w:rPr>
      </w:r>
      <w:r/>
    </w:p>
    <w:p>
      <w:pPr>
        <w:pStyle w:val="976"/>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（五）零售业。</w:t>
      </w:r>
      <w:r>
        <w:rPr>
          <w:rFonts w:hint="eastAsia" w:ascii="宋体" w:hAnsi="宋体" w:eastAsia="宋体" w:cs="宋体"/>
          <w:color w:val="000000"/>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76"/>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（六）交通运输业。</w:t>
      </w:r>
      <w:r>
        <w:rPr>
          <w:rFonts w:hint="eastAsia" w:ascii="宋体" w:hAnsi="宋体" w:eastAsia="宋体" w:cs="宋体"/>
          <w:color w:val="000000"/>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4"/>
          <w:szCs w:val="24"/>
          <w:highlight w:val="none"/>
        </w:rPr>
      </w:r>
      <w:r/>
    </w:p>
    <w:p>
      <w:pPr>
        <w:pStyle w:val="976"/>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（七）仓储业。</w:t>
      </w:r>
      <w:r>
        <w:rPr>
          <w:rFonts w:hint="eastAsia" w:ascii="宋体" w:hAnsi="宋体" w:eastAsia="宋体" w:cs="宋体"/>
          <w:color w:val="000000"/>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4"/>
          <w:highlight w:val="none"/>
        </w:rPr>
      </w:r>
      <w:r/>
    </w:p>
    <w:p>
      <w:pPr>
        <w:pStyle w:val="976"/>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（八）邮政业。</w:t>
      </w:r>
      <w:r>
        <w:rPr>
          <w:rFonts w:hint="eastAsia" w:ascii="宋体" w:hAnsi="宋体" w:eastAsia="宋体" w:cs="宋体"/>
          <w:color w:val="000000"/>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4"/>
          <w:highlight w:val="none"/>
        </w:rPr>
      </w:r>
      <w:r/>
    </w:p>
    <w:p>
      <w:pPr>
        <w:pStyle w:val="976"/>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（九）住宿业。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76"/>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（十）餐饮业。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76"/>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（十一）信息传输业。</w:t>
      </w:r>
      <w:r>
        <w:rPr>
          <w:rFonts w:hint="eastAsia" w:ascii="宋体" w:hAnsi="宋体" w:eastAsia="宋体" w:cs="宋体"/>
          <w:color w:val="000000"/>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76"/>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（十二）软件和信息技术服务业。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4"/>
          <w:szCs w:val="24"/>
          <w:highlight w:val="none"/>
        </w:rPr>
      </w:r>
      <w:r/>
    </w:p>
    <w:p>
      <w:pPr>
        <w:pStyle w:val="976"/>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（十三）房地产开发经营。</w:t>
      </w:r>
      <w:r>
        <w:rPr>
          <w:rFonts w:hint="eastAsia" w:ascii="宋体" w:hAnsi="宋体" w:eastAsia="宋体" w:cs="宋体"/>
          <w:color w:val="000000"/>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4"/>
          <w:szCs w:val="24"/>
          <w:highlight w:val="none"/>
        </w:rPr>
      </w:r>
      <w:r/>
    </w:p>
    <w:p>
      <w:pPr>
        <w:pStyle w:val="976"/>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（十四）物业管理。</w:t>
      </w:r>
      <w:r>
        <w:rPr>
          <w:rFonts w:hint="eastAsia" w:ascii="宋体" w:hAnsi="宋体" w:eastAsia="宋体" w:cs="宋体"/>
          <w:color w:val="000000"/>
          <w:sz w:val="24"/>
          <w:szCs w:val="24"/>
          <w:highlight w:val="none"/>
        </w:rPr>
        <w:t xml:space="preserve">从业人员1000人以下或营业收入5000万元以下的为中小微型企业。其中，从业人员</w:t>
      </w:r>
      <w:r>
        <w:rPr>
          <w:rFonts w:hint="eastAsia" w:ascii="宋体" w:hAnsi="宋体" w:eastAsia="宋体" w:cs="宋体"/>
          <w:color w:val="000000"/>
          <w:sz w:val="24"/>
          <w:szCs w:val="24"/>
          <w:highlight w:val="none"/>
        </w:rPr>
      </w:r>
      <w:r/>
    </w:p>
    <w:p>
      <w:pPr>
        <w:pStyle w:val="97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4"/>
          <w:szCs w:val="24"/>
          <w:highlight w:val="none"/>
        </w:rPr>
      </w:r>
      <w:r/>
    </w:p>
    <w:p>
      <w:pPr>
        <w:pStyle w:val="976"/>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（十五）租赁和商务服务业。</w:t>
      </w:r>
      <w:r>
        <w:rPr>
          <w:rFonts w:hint="eastAsia" w:ascii="宋体" w:hAnsi="宋体" w:eastAsia="宋体" w:cs="宋体"/>
          <w:color w:val="000000"/>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4"/>
          <w:szCs w:val="24"/>
          <w:highlight w:val="none"/>
        </w:rPr>
      </w:r>
      <w:r/>
    </w:p>
    <w:p>
      <w:pPr>
        <w:pStyle w:val="976"/>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（十六）其他未列明行业。</w:t>
      </w:r>
      <w:r>
        <w:rPr>
          <w:rFonts w:hint="eastAsia" w:ascii="宋体" w:hAnsi="宋体" w:eastAsia="宋体" w:cs="宋体"/>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4"/>
          <w:szCs w:val="24"/>
          <w:highlight w:val="none"/>
        </w:rPr>
      </w:r>
      <w:r/>
    </w:p>
    <w:p>
      <w:pPr>
        <w:pStyle w:val="976"/>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pStyle w:val="976"/>
        <w:spacing w:line="360" w:lineRule="auto"/>
        <w:rPr>
          <w:rFonts w:hint="eastAsia" w:ascii="宋体" w:hAnsi="宋体" w:eastAsia="宋体" w:cs="宋体"/>
          <w:b/>
          <w:bCs/>
          <w:color w:val="000000"/>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outlineLvl w:val="0"/>
      </w:pPr>
      <w:r>
        <w:rPr>
          <w:rFonts w:hint="eastAsia" w:ascii="宋体" w:hAnsi="宋体" w:eastAsia="宋体" w:cs="宋体"/>
          <w:b/>
          <w:bCs/>
          <w:color w:val="000000"/>
          <w:sz w:val="24"/>
          <w:szCs w:val="24"/>
          <w:highlight w:val="none"/>
        </w:rPr>
      </w:r>
      <w:r/>
    </w:p>
    <w:p>
      <w:pPr>
        <w:pStyle w:val="976"/>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8、残疾人福利性单位声明函</w:t>
      </w:r>
      <w:r>
        <w:rPr>
          <w:rFonts w:hint="eastAsia" w:ascii="宋体" w:hAnsi="宋体" w:eastAsia="宋体" w:cs="宋体"/>
          <w:color w:val="000000"/>
          <w:sz w:val="24"/>
          <w:szCs w:val="24"/>
          <w:highlight w:val="none"/>
        </w:rPr>
      </w:r>
      <w:r/>
    </w:p>
    <w:p>
      <w:pPr>
        <w:pStyle w:val="976"/>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单位的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976"/>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6"/>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本单位对上述声明的真实性负责。如有虚假，将依法承担相应责任。</w:t>
      </w:r>
      <w:r>
        <w:rPr>
          <w:rFonts w:hint="eastAsia" w:ascii="宋体" w:hAnsi="宋体" w:eastAsia="宋体" w:cs="宋体"/>
          <w:color w:val="000000"/>
          <w:sz w:val="24"/>
          <w:szCs w:val="24"/>
          <w:highlight w:val="none"/>
        </w:rPr>
      </w:r>
      <w:r/>
    </w:p>
    <w:p>
      <w:pPr>
        <w:pStyle w:val="976"/>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6"/>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rPr>
        <w:t xml:space="preserve">（单位公章）：</w:t>
      </w:r>
      <w:r>
        <w:rPr>
          <w:rFonts w:hint="eastAsia" w:ascii="宋体" w:hAnsi="宋体" w:eastAsia="宋体" w:cs="宋体"/>
          <w:color w:val="000000"/>
          <w:sz w:val="24"/>
          <w:szCs w:val="24"/>
          <w:highlight w:val="none"/>
        </w:rPr>
      </w:r>
      <w:r/>
    </w:p>
    <w:p>
      <w:pPr>
        <w:pStyle w:val="976"/>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76"/>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6"/>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5"/>
        <w:spacing w:line="360" w:lineRule="auto"/>
        <w:rPr>
          <w:rFonts w:hint="eastAsia" w:hAnsi="宋体" w:eastAsia="宋体" w:cs="宋体"/>
          <w:b/>
          <w:bCs/>
          <w:color w:val="000000"/>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hAnsi="宋体" w:eastAsia="宋体" w:cs="宋体"/>
          <w:b/>
          <w:bCs/>
          <w:color w:val="000000"/>
          <w:sz w:val="24"/>
          <w:szCs w:val="24"/>
          <w:highlight w:val="none"/>
        </w:rPr>
      </w:r>
      <w:r/>
    </w:p>
    <w:p>
      <w:pPr>
        <w:pStyle w:val="976"/>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第四章 采购需求</w:t>
      </w:r>
      <w:r>
        <w:rPr>
          <w:rFonts w:hint="eastAsia" w:ascii="宋体" w:hAnsi="宋体" w:eastAsia="宋体" w:cs="宋体"/>
          <w:b/>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bookmarkStart w:id="7" w:name="_Toc13642116"/>
      <w:r>
        <w:rPr>
          <w:rFonts w:hint="eastAsia" w:ascii="宋体" w:hAnsi="宋体" w:eastAsia="宋体" w:cs="宋体"/>
          <w:color w:val="000000"/>
          <w:sz w:val="24"/>
          <w:szCs w:val="24"/>
          <w:highlight w:val="none"/>
        </w:rPr>
        <w:t xml:space="preserve">苏州正杰招投标咨询服务有限公司受苏州市吴中区疾病预防控制中心的委托，就其所需的</w:t>
      </w:r>
      <w:r>
        <w:rPr>
          <w:rFonts w:hint="eastAsia" w:ascii="宋体" w:hAnsi="宋体" w:eastAsia="宋体" w:cs="宋体"/>
          <w:color w:val="000000"/>
          <w:sz w:val="24"/>
          <w:szCs w:val="24"/>
          <w:highlight w:val="none"/>
        </w:rPr>
        <w:t xml:space="preserve">苏州市吴中区公共卫生中心新建项目污水垃圾处理系统项目</w:t>
      </w:r>
      <w:r>
        <w:rPr>
          <w:rFonts w:hint="eastAsia" w:ascii="宋体" w:hAnsi="宋体" w:eastAsia="宋体" w:cs="宋体"/>
          <w:color w:val="000000"/>
          <w:sz w:val="24"/>
          <w:szCs w:val="24"/>
          <w:highlight w:val="none"/>
        </w:rPr>
        <w:t xml:space="preserve">的采购进行公开招标，欢迎有资格的供应商前来参加投标。</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一、项目编号：</w:t>
      </w:r>
      <w:r>
        <w:rPr>
          <w:rFonts w:hint="eastAsia" w:ascii="宋体" w:hAnsi="宋体" w:eastAsia="宋体" w:cs="宋体"/>
          <w:color w:val="000000"/>
          <w:sz w:val="24"/>
          <w:szCs w:val="24"/>
          <w:highlight w:val="none"/>
          <w:lang w:eastAsia="zh-CN"/>
        </w:rPr>
        <w:t xml:space="preserve">JSZC-320506-SZZJ-G2024-0056</w:t>
      </w:r>
      <w:r>
        <w:rPr>
          <w:rFonts w:hint="eastAsia" w:ascii="宋体" w:hAnsi="宋体" w:eastAsia="宋体" w:cs="宋体"/>
          <w:color w:val="000000"/>
          <w:sz w:val="24"/>
          <w:szCs w:val="24"/>
          <w:highlight w:val="none"/>
        </w:rPr>
        <w:t xml:space="preserve">号。</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二、</w:t>
      </w:r>
      <w:bookmarkEnd w:id="7"/>
      <w:r/>
      <w:bookmarkStart w:id="8" w:name="_Toc13543213"/>
      <w:r>
        <w:rPr>
          <w:rFonts w:hint="eastAsia" w:ascii="宋体" w:hAnsi="宋体" w:eastAsia="宋体" w:cs="宋体"/>
          <w:color w:val="000000"/>
          <w:sz w:val="24"/>
          <w:szCs w:val="24"/>
          <w:highlight w:val="none"/>
        </w:rPr>
        <w:t xml:space="preserve">采购需求：</w:t>
      </w:r>
      <w:r>
        <w:rPr>
          <w:rFonts w:hint="eastAsia" w:ascii="宋体" w:hAnsi="宋体" w:eastAsia="宋体" w:cs="宋体"/>
          <w:b/>
          <w:bCs/>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（一）项目目标和采购内容：</w:t>
      </w:r>
      <w:r>
        <w:rPr>
          <w:rFonts w:hint="eastAsia" w:ascii="宋体" w:hAnsi="宋体" w:eastAsia="宋体" w:cs="宋体"/>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采购清单如下：</w:t>
      </w:r>
      <w:r>
        <w:rPr>
          <w:rFonts w:hint="eastAsia" w:ascii="宋体" w:hAnsi="宋体" w:eastAsia="宋体" w:cs="宋体"/>
          <w:color w:val="000000"/>
          <w:sz w:val="24"/>
          <w:szCs w:val="24"/>
          <w:highlight w:val="none"/>
        </w:rPr>
      </w:r>
      <w:r/>
    </w:p>
    <w:tbl>
      <w:tblPr>
        <w:tblW w:w="96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8"/>
        <w:gridCol w:w="1939"/>
        <w:gridCol w:w="5743"/>
        <w:gridCol w:w="600"/>
        <w:gridCol w:w="638"/>
      </w:tblGrid>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序号</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名称</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参数及要求</w:t>
            </w:r>
            <w:r>
              <w:rPr>
                <w:rFonts w:hint="eastAsia" w:ascii="宋体" w:hAnsi="宋体" w:eastAsia="宋体" w:cs="宋体"/>
                <w:color w:val="000000"/>
                <w:sz w:val="24"/>
                <w:szCs w:val="24"/>
                <w:highlight w:val="none"/>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单位</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数量</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自动格栅</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渠宽：500mm</w:t>
            </w:r>
            <w:r>
              <w:rPr>
                <w:rFonts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渠深：3500mm</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间隙：5mm</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等级：IP55</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绝缘等级：F级</w:t>
            </w:r>
            <w:r>
              <w:rPr>
                <w:rFonts w:hint="eastAsia" w:ascii="宋体" w:hAnsi="宋体" w:eastAsia="宋体" w:cs="宋体"/>
                <w:color w:val="000000"/>
                <w:sz w:val="24"/>
                <w:szCs w:val="24"/>
                <w:highlight w:val="none"/>
                <w:lang w:bidi="ar"/>
              </w:rPr>
            </w:r>
            <w:r/>
          </w:p>
          <w:p>
            <w:pPr>
              <w:pStyle w:val="976"/>
              <w:spacing w:line="360" w:lineRule="auto"/>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材质：304不锈钢</w:t>
            </w:r>
            <w:r>
              <w:rPr>
                <w:rFonts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附件：含接污设备</w:t>
            </w:r>
            <w:r>
              <w:rPr>
                <w:rFonts w:hint="eastAsia" w:ascii="宋体" w:hAnsi="宋体" w:eastAsia="宋体" w:cs="宋体"/>
                <w:color w:val="000000"/>
                <w:sz w:val="24"/>
                <w:szCs w:val="24"/>
                <w:highlight w:val="none"/>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格栅间</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规格：2000*1000*2000mm</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材质：pp焊接 双开门</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附件：含臭气收集系统</w:t>
            </w:r>
            <w:r>
              <w:rPr>
                <w:rFonts w:hint="eastAsia" w:ascii="宋体" w:hAnsi="宋体" w:eastAsia="宋体" w:cs="宋体"/>
                <w:color w:val="000000"/>
                <w:sz w:val="24"/>
                <w:szCs w:val="24"/>
                <w:highlight w:val="none"/>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座</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应急泵</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流量：≥10m3/h </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扬程：≥15m</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材质：SUS304</w:t>
            </w:r>
            <w:r>
              <w:rPr>
                <w:rFonts w:hint="eastAsia" w:ascii="宋体" w:hAnsi="宋体" w:eastAsia="宋体" w:cs="宋体"/>
                <w:color w:val="000000"/>
                <w:sz w:val="24"/>
                <w:szCs w:val="24"/>
                <w:highlight w:val="none"/>
                <w:lang w:bidi="ar"/>
              </w:rPr>
            </w:r>
            <w:r/>
          </w:p>
          <w:p>
            <w:pPr>
              <w:pStyle w:val="976"/>
              <w:spacing w:line="360" w:lineRule="auto"/>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形式：切割式潜污泵</w:t>
            </w:r>
            <w:r>
              <w:rPr>
                <w:rFonts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防护等级：IP68</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切割：叶轮径、轴向带刀，带高强度切断器</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配备：测漏检知器、过热保护器</w:t>
            </w:r>
            <w:r>
              <w:rPr>
                <w:rFonts w:hint="eastAsia" w:ascii="宋体" w:hAnsi="宋体" w:eastAsia="宋体" w:cs="宋体"/>
                <w:color w:val="000000"/>
                <w:sz w:val="24"/>
                <w:szCs w:val="24"/>
                <w:highlight w:val="none"/>
                <w:lang w:bidi="ar"/>
              </w:rPr>
            </w:r>
            <w:r/>
          </w:p>
          <w:p>
            <w:pPr>
              <w:pStyle w:val="976"/>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附件：自动着脱装置</w:t>
            </w:r>
            <w:r>
              <w:rPr>
                <w:rFonts w:ascii="宋体" w:hAnsi="宋体" w:eastAsia="宋体" w:cs="宋体"/>
                <w:color w:val="000000"/>
                <w:sz w:val="24"/>
                <w:szCs w:val="24"/>
                <w:highlight w:val="none"/>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应急回流泵</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流量：≥10m3/h </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扬程：≥15m</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材质：SUS304</w:t>
            </w:r>
            <w:r>
              <w:rPr>
                <w:rFonts w:hint="eastAsia" w:ascii="宋体" w:hAnsi="宋体" w:eastAsia="宋体" w:cs="宋体"/>
                <w:color w:val="000000"/>
                <w:sz w:val="24"/>
                <w:szCs w:val="24"/>
                <w:highlight w:val="none"/>
                <w:lang w:bidi="ar"/>
              </w:rPr>
            </w:r>
            <w:r/>
          </w:p>
          <w:p>
            <w:pPr>
              <w:pStyle w:val="976"/>
              <w:spacing w:line="360" w:lineRule="auto"/>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形式：切割式潜污泵</w:t>
            </w:r>
            <w:r>
              <w:rPr>
                <w:rFonts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防护等级：IP68</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切割：叶轮径、轴向带刀，带高强度切断器</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配备：测漏检知器、过热保护器、</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附件：自动着脱装置</w:t>
            </w:r>
            <w:r>
              <w:rPr>
                <w:rFonts w:hint="eastAsia" w:ascii="宋体" w:hAnsi="宋体" w:eastAsia="宋体" w:cs="宋体"/>
                <w:color w:val="000000"/>
                <w:sz w:val="24"/>
                <w:szCs w:val="24"/>
                <w:highlight w:val="none"/>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调节池预曝气装置</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CPVC+UPVC</w:t>
            </w:r>
            <w:r>
              <w:rPr>
                <w:rFonts w:hint="eastAsia" w:ascii="宋体" w:hAnsi="宋体" w:eastAsia="宋体" w:cs="宋体"/>
                <w:color w:val="000000"/>
                <w:sz w:val="24"/>
                <w:szCs w:val="24"/>
                <w:highlight w:val="none"/>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项</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污水提升泵</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流量：≥10m3/h </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扬程：≥15m</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材质：SUS304</w:t>
            </w:r>
            <w:r>
              <w:rPr>
                <w:rFonts w:hint="eastAsia" w:ascii="宋体" w:hAnsi="宋体" w:eastAsia="宋体" w:cs="宋体"/>
                <w:color w:val="000000"/>
                <w:sz w:val="24"/>
                <w:szCs w:val="24"/>
                <w:highlight w:val="none"/>
                <w:lang w:bidi="ar"/>
              </w:rPr>
            </w:r>
            <w:r/>
          </w:p>
          <w:p>
            <w:pPr>
              <w:pStyle w:val="976"/>
              <w:spacing w:line="360" w:lineRule="auto"/>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形式：切割式潜污泵</w:t>
            </w:r>
            <w:r>
              <w:rPr>
                <w:rFonts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防护等级：IP68</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切割：叶轮径、轴向带刀，带高强度切断器</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配备：测漏检知器、过热保护器、</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附件：自动着脱装置</w:t>
            </w:r>
            <w:r>
              <w:rPr>
                <w:rFonts w:hint="eastAsia" w:ascii="宋体" w:hAnsi="宋体" w:eastAsia="宋体" w:cs="宋体"/>
                <w:color w:val="000000"/>
                <w:sz w:val="24"/>
                <w:szCs w:val="24"/>
                <w:highlight w:val="none"/>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hAnsi="宋体"/>
                <w:color w:val="000000"/>
                <w:highlight w:val="none"/>
              </w:rPr>
              <w:t xml:space="preserve">▲</w:t>
            </w:r>
            <w:r>
              <w:rPr>
                <w:rFonts w:hint="eastAsia" w:ascii="宋体" w:hAnsi="宋体" w:eastAsia="宋体" w:cs="宋体"/>
                <w:color w:val="000000"/>
                <w:sz w:val="24"/>
                <w:szCs w:val="24"/>
                <w:highlight w:val="none"/>
                <w:lang w:bidi="ar"/>
              </w:rPr>
              <w:t xml:space="preserve">反应池</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尺寸：1200*1200*3200mm</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材质：碳钢</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防腐：衬胶或玻璃钢鳞片，</w:t>
            </w:r>
            <w:r>
              <w:rPr>
                <w:rFonts w:hint="eastAsia" w:ascii="宋体" w:hAnsi="宋体" w:eastAsia="宋体" w:cs="宋体"/>
                <w:color w:val="000000"/>
                <w:sz w:val="24"/>
                <w:szCs w:val="24"/>
                <w:highlight w:val="none"/>
                <w:lang w:bidi="ar"/>
              </w:rPr>
            </w:r>
            <w:r/>
          </w:p>
          <w:p>
            <w:pPr>
              <w:pStyle w:val="976"/>
              <w:spacing w:line="360" w:lineRule="auto"/>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焊接要求：焊缝检测合格</w:t>
            </w:r>
            <w:r>
              <w:rPr>
                <w:rFonts w:ascii="宋体" w:hAnsi="宋体" w:eastAsia="宋体" w:cs="宋体"/>
                <w:color w:val="000000"/>
                <w:sz w:val="24"/>
                <w:szCs w:val="24"/>
                <w:highlight w:val="none"/>
                <w:lang w:bidi="ar"/>
              </w:rPr>
            </w:r>
            <w:r/>
          </w:p>
          <w:p>
            <w:pPr>
              <w:pStyle w:val="976"/>
              <w:spacing w:line="360" w:lineRule="auto"/>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防腐要求：防腐检测合格</w:t>
            </w:r>
            <w:r>
              <w:rPr>
                <w:rFonts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击穿性能：电火花击穿检测合格，能承受15000～20000伏电火花试验而不被击穿</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配备：进出液口，排污口</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附件：自带所有接口管件、支架、楼梯、扶手和其它附件等。</w:t>
            </w:r>
            <w:r>
              <w:rPr>
                <w:rFonts w:hint="eastAsia" w:ascii="宋体" w:hAnsi="宋体" w:eastAsia="宋体" w:cs="宋体"/>
                <w:color w:val="000000"/>
                <w:sz w:val="24"/>
                <w:szCs w:val="24"/>
                <w:highlight w:val="none"/>
                <w:lang w:bidi="ar"/>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座</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搅拌装置</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转速：120RPM </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功率：≤0.75KW</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能效：YE3 节能电机 </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防护等级：IP54</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绝缘等级：F</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桨叶：接液部分为不锈钢衬胶。</w:t>
            </w:r>
            <w:r>
              <w:rPr>
                <w:rFonts w:hint="eastAsia" w:ascii="宋体" w:hAnsi="宋体" w:eastAsia="宋体" w:cs="宋体"/>
                <w:color w:val="000000"/>
                <w:sz w:val="24"/>
                <w:szCs w:val="24"/>
                <w:highlight w:val="none"/>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污泥泵</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规格：DN40 </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材质：PTFE</w:t>
            </w:r>
            <w:r>
              <w:rPr>
                <w:rFonts w:hint="eastAsia" w:ascii="宋体" w:hAnsi="宋体" w:eastAsia="宋体" w:cs="宋体"/>
                <w:color w:val="000000"/>
                <w:sz w:val="24"/>
                <w:szCs w:val="24"/>
                <w:highlight w:val="none"/>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hAnsi="宋体"/>
                <w:color w:val="000000"/>
                <w:highlight w:val="none"/>
              </w:rPr>
              <w:t xml:space="preserve">▲</w:t>
            </w:r>
            <w:r>
              <w:rPr>
                <w:rFonts w:hint="eastAsia" w:ascii="宋体" w:hAnsi="宋体" w:eastAsia="宋体" w:cs="宋体"/>
                <w:color w:val="000000"/>
                <w:sz w:val="24"/>
                <w:szCs w:val="24"/>
                <w:highlight w:val="none"/>
                <w:lang w:bidi="ar"/>
              </w:rPr>
              <w:t xml:space="preserve">医疗废水处理加药装置</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容积：300L</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材质：PP</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配备：接地电控箱、搅拌机、机械式隔膜计量泵</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计量泵形式：机械式隔膜计量泵</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计量泵流量：可调节流量，流量调节范围0～100％</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计量泵数量：2台，1备1用，</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附件：计量泵进出口的防腐阀门、逆止阀、安全阀、减震器、压力表、阀门、内部管道和管道过滤器等附件，阀门材质需耐相应介质</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要求：管道过滤器，且与计量箱液位连锁，低位自动停止运行且报警。</w:t>
            </w:r>
            <w:r>
              <w:rPr>
                <w:rFonts w:hint="eastAsia" w:ascii="宋体" w:hAnsi="宋体" w:eastAsia="宋体" w:cs="宋体"/>
                <w:color w:val="000000"/>
                <w:sz w:val="24"/>
                <w:szCs w:val="24"/>
                <w:highlight w:val="none"/>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座</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加药设备区</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尺寸：2000*1000*2000mm</w:t>
            </w:r>
            <w:r>
              <w:rPr>
                <w:rFonts w:hint="eastAsia" w:ascii="宋体" w:hAnsi="宋体" w:eastAsia="宋体" w:cs="宋体"/>
                <w:color w:val="000000"/>
                <w:sz w:val="24"/>
                <w:szCs w:val="24"/>
                <w:highlight w:val="none"/>
                <w:lang w:bidi="ar"/>
              </w:rPr>
            </w:r>
            <w:r/>
          </w:p>
          <w:p>
            <w:pPr>
              <w:pStyle w:val="976"/>
              <w:spacing w:line="360" w:lineRule="auto"/>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材质：PP制作  双开门</w:t>
            </w:r>
            <w:r>
              <w:rPr>
                <w:rFonts w:ascii="宋体" w:hAnsi="宋体" w:eastAsia="宋体" w:cs="宋体"/>
                <w:color w:val="000000"/>
                <w:sz w:val="24"/>
                <w:szCs w:val="24"/>
                <w:highlight w:val="none"/>
                <w:lang w:bidi="ar"/>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项</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PH 控制仪</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测量范围：0.00～14.00、(0.0～100.0)℃</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分辨率：±0.01、±0.1℃</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精确度：±0.01、±0.5℃</w:t>
            </w:r>
            <w:r>
              <w:rPr>
                <w:rFonts w:hint="eastAsia" w:ascii="宋体" w:hAnsi="宋体" w:eastAsia="宋体" w:cs="宋体"/>
                <w:color w:val="000000"/>
                <w:sz w:val="24"/>
                <w:szCs w:val="24"/>
                <w:highlight w:val="none"/>
                <w:lang w:bidi="ar"/>
              </w:rPr>
            </w:r>
            <w:r/>
          </w:p>
          <w:p>
            <w:pPr>
              <w:pStyle w:val="976"/>
              <w:spacing w:line="360" w:lineRule="auto"/>
              <w:widowControl/>
              <w:rPr>
                <w:rFonts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bidi="ar"/>
              </w:rPr>
              <w:t xml:space="preserve">通讯：RS485、Modbus-RTU。</w:t>
            </w:r>
            <w:r>
              <w:rPr>
                <w:rFonts w:ascii="宋体" w:hAnsi="宋体" w:eastAsia="宋体" w:cs="宋体"/>
                <w:b/>
                <w:bCs/>
                <w:color w:val="000000"/>
                <w:sz w:val="24"/>
                <w:szCs w:val="24"/>
                <w:highlight w:val="none"/>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组</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13</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ORP 控制仪</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测量范围：(-1999～+1999)mv</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分辨率：1mv</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精确度：±5mv</w:t>
            </w:r>
            <w:r>
              <w:rPr>
                <w:rFonts w:hint="eastAsia" w:ascii="宋体" w:hAnsi="宋体" w:eastAsia="宋体" w:cs="宋体"/>
                <w:color w:val="000000"/>
                <w:sz w:val="24"/>
                <w:szCs w:val="24"/>
                <w:highlight w:val="none"/>
                <w:lang w:bidi="ar"/>
              </w:rPr>
            </w:r>
            <w:r/>
          </w:p>
          <w:p>
            <w:pPr>
              <w:pStyle w:val="976"/>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通讯：RS485、Modbus-RTU。</w:t>
            </w:r>
            <w:r>
              <w:rPr>
                <w:rFonts w:ascii="宋体" w:hAnsi="宋体" w:eastAsia="宋体" w:cs="宋体"/>
                <w:color w:val="000000"/>
                <w:sz w:val="24"/>
                <w:szCs w:val="24"/>
                <w:highlight w:val="none"/>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组</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14</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液位控制仪</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范围：0-6m </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过载：2倍满量程压力/液位</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压力/液位类型</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rPr>
              <w:t xml:space="preserve">表压或绝压或密封表压型</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输出信号</w:t>
            </w:r>
            <w:r>
              <w:rPr>
                <w:rFonts w:hint="eastAsia" w:ascii="宋体" w:hAnsi="宋体" w:eastAsia="宋体" w:cs="宋体"/>
                <w:color w:val="000000"/>
                <w:sz w:val="24"/>
                <w:szCs w:val="24"/>
                <w:highlight w:val="none"/>
                <w:lang w:bidi="ar"/>
              </w:rPr>
              <w:t xml:space="preserve">：4～20mA，24VDC</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通讯协议：标准MODBUS RTU</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稳定性：≤0.2％FS/年</w:t>
            </w:r>
            <w:r>
              <w:rPr>
                <w:rFonts w:hint="eastAsia" w:ascii="宋体" w:hAnsi="宋体" w:eastAsia="宋体" w:cs="宋体"/>
                <w:color w:val="000000"/>
                <w:sz w:val="24"/>
                <w:szCs w:val="24"/>
                <w:highlight w:val="none"/>
                <w:lang w:bidi="ar"/>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15</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污水输送泵</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流量：≥10m3/h 扬程：H=15m</w:t>
            </w:r>
            <w:r>
              <w:rPr>
                <w:rFonts w:hint="eastAsia" w:ascii="宋体" w:hAnsi="宋体" w:eastAsia="宋体" w:cs="宋体"/>
                <w:color w:val="000000"/>
                <w:sz w:val="24"/>
                <w:szCs w:val="24"/>
                <w:highlight w:val="none"/>
                <w:lang w:bidi="ar"/>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hAnsi="宋体"/>
                <w:color w:val="000000"/>
                <w:highlight w:val="none"/>
              </w:rPr>
              <w:t xml:space="preserve">▲</w:t>
            </w:r>
            <w:r>
              <w:rPr>
                <w:rFonts w:hint="eastAsia" w:ascii="宋体" w:hAnsi="宋体" w:eastAsia="宋体" w:cs="宋体"/>
                <w:color w:val="000000"/>
                <w:sz w:val="24"/>
                <w:szCs w:val="24"/>
                <w:highlight w:val="none"/>
                <w:lang w:bidi="ar"/>
              </w:rPr>
              <w:t xml:space="preserve">沉淀池一</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尺寸：1500*1200*3000mm</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材质：碳钢</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防腐：衬胶或玻璃钢鳞片，</w:t>
            </w:r>
            <w:r>
              <w:rPr>
                <w:rFonts w:hint="eastAsia" w:ascii="宋体" w:hAnsi="宋体" w:eastAsia="宋体" w:cs="宋体"/>
                <w:color w:val="000000"/>
                <w:sz w:val="24"/>
                <w:szCs w:val="24"/>
                <w:highlight w:val="none"/>
                <w:lang w:bidi="ar"/>
              </w:rPr>
            </w:r>
            <w:r/>
          </w:p>
          <w:p>
            <w:pPr>
              <w:pStyle w:val="976"/>
              <w:spacing w:line="360" w:lineRule="auto"/>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焊接要求：焊缝检测合格</w:t>
            </w:r>
            <w:r>
              <w:rPr>
                <w:rFonts w:ascii="宋体" w:hAnsi="宋体" w:eastAsia="宋体" w:cs="宋体"/>
                <w:color w:val="000000"/>
                <w:sz w:val="24"/>
                <w:szCs w:val="24"/>
                <w:highlight w:val="none"/>
                <w:lang w:bidi="ar"/>
              </w:rPr>
            </w:r>
            <w:r/>
          </w:p>
          <w:p>
            <w:pPr>
              <w:pStyle w:val="976"/>
              <w:spacing w:line="360" w:lineRule="auto"/>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防腐要求：防腐检测合格</w:t>
            </w:r>
            <w:r>
              <w:rPr>
                <w:rFonts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击穿性能：电火花击穿检测合格，能承受15000～20000伏电火花试验而不被击穿</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配备：进出液口，排污口</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附件：自带所有接口管件、支架、楼梯、扶手和其它附件等。</w:t>
            </w:r>
            <w:r>
              <w:rPr>
                <w:rFonts w:hint="eastAsia" w:ascii="宋体" w:hAnsi="宋体" w:eastAsia="宋体" w:cs="宋体"/>
                <w:color w:val="000000"/>
                <w:sz w:val="24"/>
                <w:szCs w:val="24"/>
                <w:highlight w:val="none"/>
                <w:lang w:bidi="ar"/>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17</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沉淀池一斜管及支架</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非标定制，国产优质</w:t>
            </w:r>
            <w:r>
              <w:rPr>
                <w:rFonts w:hint="eastAsia" w:ascii="宋体" w:hAnsi="宋体" w:eastAsia="宋体" w:cs="宋体"/>
                <w:color w:val="000000"/>
                <w:sz w:val="24"/>
                <w:szCs w:val="24"/>
                <w:highlight w:val="none"/>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项</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18</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沉淀池一导流管、溢流堰</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材质：SUS304或碳钢FRP，国标定制</w:t>
            </w:r>
            <w:r>
              <w:rPr>
                <w:rFonts w:hint="eastAsia" w:ascii="宋体" w:hAnsi="宋体" w:eastAsia="宋体" w:cs="宋体"/>
                <w:color w:val="000000"/>
                <w:sz w:val="24"/>
                <w:szCs w:val="24"/>
                <w:highlight w:val="none"/>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项</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19</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接触氧化池</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尺寸：1500*1200*3000mm</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材质：本体材质为碳钢</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防腐：衬胶或玻璃钢鳞片，</w:t>
            </w:r>
            <w:r>
              <w:rPr>
                <w:rFonts w:hint="eastAsia" w:ascii="宋体" w:hAnsi="宋体" w:eastAsia="宋体" w:cs="宋体"/>
                <w:color w:val="000000"/>
                <w:sz w:val="24"/>
                <w:szCs w:val="24"/>
                <w:highlight w:val="none"/>
                <w:lang w:bidi="ar"/>
              </w:rPr>
            </w:r>
            <w:r/>
          </w:p>
          <w:p>
            <w:pPr>
              <w:pStyle w:val="976"/>
              <w:spacing w:line="360" w:lineRule="auto"/>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焊接要求：焊缝检测合格</w:t>
            </w:r>
            <w:r>
              <w:rPr>
                <w:rFonts w:ascii="宋体" w:hAnsi="宋体" w:eastAsia="宋体" w:cs="宋体"/>
                <w:color w:val="000000"/>
                <w:sz w:val="24"/>
                <w:szCs w:val="24"/>
                <w:highlight w:val="none"/>
                <w:lang w:bidi="ar"/>
              </w:rPr>
            </w:r>
            <w:r/>
          </w:p>
          <w:p>
            <w:pPr>
              <w:pStyle w:val="976"/>
              <w:spacing w:line="360" w:lineRule="auto"/>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防腐要求：防腐检测合格</w:t>
            </w:r>
            <w:r>
              <w:rPr>
                <w:rFonts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击穿性能：电火花击穿检测合格，能承受15000～20000伏电火花试验而不被击穿</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配备：进出液口，排污口</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附件：自带所有接口管件、支架、楼梯、扶手和其它附件等。</w:t>
            </w:r>
            <w:r>
              <w:rPr>
                <w:rFonts w:hint="eastAsia" w:ascii="宋体" w:hAnsi="宋体" w:eastAsia="宋体" w:cs="宋体"/>
                <w:color w:val="000000"/>
                <w:sz w:val="24"/>
                <w:szCs w:val="24"/>
                <w:highlight w:val="none"/>
                <w:lang w:bidi="ar"/>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座</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20</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填料</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形式：组合填料</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规格：Φ120mm</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间距：150mm</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高度：2500mm</w:t>
            </w:r>
            <w:r>
              <w:rPr>
                <w:rFonts w:hint="eastAsia" w:ascii="宋体" w:hAnsi="宋体" w:eastAsia="宋体" w:cs="宋体"/>
                <w:color w:val="000000"/>
                <w:sz w:val="24"/>
                <w:szCs w:val="24"/>
                <w:highlight w:val="none"/>
                <w:lang w:bidi="ar"/>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式</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21</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曝气装置</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规格：DN25-50</w:t>
            </w:r>
            <w:r>
              <w:rPr>
                <w:rFonts w:hint="eastAsia" w:ascii="宋体" w:hAnsi="宋体" w:eastAsia="宋体" w:cs="宋体"/>
                <w:color w:val="000000"/>
                <w:sz w:val="24"/>
                <w:szCs w:val="24"/>
                <w:highlight w:val="none"/>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项</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22</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沉淀池二</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尺寸：1500*1200*3000mm</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材质：本体材质为碳钢</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防腐：衬胶或玻璃钢鳞片</w:t>
            </w:r>
            <w:r>
              <w:rPr>
                <w:rFonts w:hint="eastAsia" w:ascii="宋体" w:hAnsi="宋体" w:eastAsia="宋体" w:cs="宋体"/>
                <w:color w:val="000000"/>
                <w:sz w:val="24"/>
                <w:szCs w:val="24"/>
                <w:highlight w:val="none"/>
                <w:lang w:bidi="ar"/>
              </w:rPr>
            </w:r>
            <w:r/>
          </w:p>
          <w:p>
            <w:pPr>
              <w:pStyle w:val="976"/>
              <w:spacing w:line="360" w:lineRule="auto"/>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焊接要求：焊缝检测合格</w:t>
            </w:r>
            <w:r>
              <w:rPr>
                <w:rFonts w:ascii="宋体" w:hAnsi="宋体" w:eastAsia="宋体" w:cs="宋体"/>
                <w:color w:val="000000"/>
                <w:sz w:val="24"/>
                <w:szCs w:val="24"/>
                <w:highlight w:val="none"/>
                <w:lang w:bidi="ar"/>
              </w:rPr>
            </w:r>
            <w:r/>
          </w:p>
          <w:p>
            <w:pPr>
              <w:pStyle w:val="976"/>
              <w:spacing w:line="360" w:lineRule="auto"/>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防腐要求：防腐检测合格</w:t>
            </w:r>
            <w:r>
              <w:rPr>
                <w:rFonts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击穿性能：电火花击穿检测合格，能承受15000～20000伏电火花试验而不被击穿</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配备：进出液口，排污口</w:t>
            </w:r>
            <w:r>
              <w:rPr>
                <w:rFonts w:hint="eastAsia" w:ascii="宋体" w:hAnsi="宋体" w:eastAsia="宋体" w:cs="宋体"/>
                <w:color w:val="000000"/>
                <w:sz w:val="24"/>
                <w:szCs w:val="24"/>
                <w:highlight w:val="none"/>
                <w:lang w:bidi="ar"/>
              </w:rPr>
            </w:r>
            <w:r/>
          </w:p>
          <w:p>
            <w:pPr>
              <w:pStyle w:val="976"/>
              <w:spacing w:line="360" w:lineRule="auto"/>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附件：自带所有接口管件、支架、楼梯、扶手和其它附件等。</w:t>
            </w:r>
            <w:r>
              <w:rPr>
                <w:rFonts w:ascii="宋体" w:hAnsi="宋体" w:eastAsia="宋体" w:cs="宋体"/>
                <w:color w:val="000000"/>
                <w:sz w:val="24"/>
                <w:szCs w:val="24"/>
                <w:highlight w:val="none"/>
                <w:lang w:bidi="ar"/>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座</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23</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沉淀池二斜管及支架</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非标定制，国产优质</w:t>
            </w:r>
            <w:r>
              <w:rPr>
                <w:rFonts w:hint="eastAsia" w:ascii="宋体" w:hAnsi="宋体" w:eastAsia="宋体" w:cs="宋体"/>
                <w:color w:val="000000"/>
                <w:sz w:val="24"/>
                <w:szCs w:val="24"/>
                <w:highlight w:val="none"/>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项</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24</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沉淀池二导流管、溢流堰</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SUS304或碳钢FRP</w:t>
            </w:r>
            <w:r>
              <w:rPr>
                <w:rFonts w:hint="eastAsia" w:ascii="宋体" w:hAnsi="宋体" w:eastAsia="宋体" w:cs="宋体"/>
                <w:color w:val="000000"/>
                <w:sz w:val="24"/>
                <w:szCs w:val="24"/>
                <w:highlight w:val="none"/>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项</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电磁流量计</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公称通径(mm)：管道式四氟衬里：DN50</w:t>
            </w:r>
            <w:r>
              <w:rPr>
                <w:rFonts w:hint="eastAsia" w:ascii="宋体" w:hAnsi="宋体" w:eastAsia="宋体" w:cs="宋体"/>
                <w:color w:val="000000"/>
                <w:sz w:val="24"/>
                <w:szCs w:val="24"/>
                <w:highlight w:val="none"/>
              </w:rPr>
            </w:r>
            <w:r/>
          </w:p>
          <w:p>
            <w:pPr>
              <w:pStyle w:val="976"/>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重复性误差：测量值的±0.1％</w:t>
            </w:r>
            <w:r>
              <w:rPr>
                <w:rFonts w:hint="eastAsia" w:ascii="宋体" w:hAnsi="宋体" w:eastAsia="宋体" w:cs="宋体"/>
                <w:color w:val="000000"/>
                <w:sz w:val="24"/>
                <w:szCs w:val="24"/>
                <w:highlight w:val="none"/>
              </w:rPr>
            </w:r>
            <w:r/>
          </w:p>
          <w:p>
            <w:pPr>
              <w:pStyle w:val="976"/>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精度等级：0.5级，1.0级</w:t>
            </w:r>
            <w:r>
              <w:rPr>
                <w:rFonts w:hint="eastAsia" w:ascii="宋体" w:hAnsi="宋体" w:eastAsia="宋体" w:cs="宋体"/>
                <w:color w:val="000000"/>
                <w:sz w:val="24"/>
                <w:szCs w:val="24"/>
                <w:highlight w:val="none"/>
              </w:rPr>
            </w:r>
            <w:r/>
          </w:p>
          <w:p>
            <w:pPr>
              <w:pStyle w:val="976"/>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流速范围：(0.1～15)m/s</w:t>
            </w:r>
            <w:r>
              <w:rPr>
                <w:rFonts w:hint="eastAsia" w:ascii="宋体" w:hAnsi="宋体" w:eastAsia="宋体" w:cs="宋体"/>
                <w:color w:val="000000"/>
                <w:sz w:val="24"/>
                <w:szCs w:val="24"/>
                <w:highlight w:val="none"/>
              </w:rPr>
            </w:r>
            <w:r/>
          </w:p>
          <w:p>
            <w:pPr>
              <w:pStyle w:val="976"/>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信号输出：(4～20)mA(负载电阻0～750)</w:t>
            </w:r>
            <w:r>
              <w:rPr>
                <w:rFonts w:hint="eastAsia" w:ascii="宋体" w:hAnsi="宋体" w:eastAsia="宋体" w:cs="宋体"/>
                <w:color w:val="000000"/>
                <w:sz w:val="24"/>
                <w:szCs w:val="24"/>
                <w:highlight w:val="none"/>
              </w:rPr>
            </w:r>
            <w:r/>
          </w:p>
          <w:p>
            <w:pPr>
              <w:pStyle w:val="976"/>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通讯输出：RS485，Modbus RTU协议，HART协议，Profibus-DP协议</w:t>
            </w:r>
            <w:r>
              <w:rPr>
                <w:rFonts w:hint="eastAsia" w:ascii="宋体" w:hAnsi="宋体" w:eastAsia="宋体" w:cs="宋体"/>
                <w:color w:val="000000"/>
                <w:sz w:val="24"/>
                <w:szCs w:val="24"/>
                <w:highlight w:val="none"/>
              </w:rPr>
            </w:r>
            <w:r/>
          </w:p>
          <w:p>
            <w:pPr>
              <w:pStyle w:val="976"/>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供电电源：220V AC，允差15％或24V DC，纹波＜5％</w:t>
            </w:r>
            <w:r>
              <w:rPr>
                <w:rFonts w:hint="eastAsia" w:ascii="宋体" w:hAnsi="宋体" w:eastAsia="宋体" w:cs="宋体"/>
                <w:color w:val="000000"/>
                <w:sz w:val="24"/>
                <w:szCs w:val="24"/>
                <w:highlight w:val="none"/>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项</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26</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气动排泥阀</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规格：DN40</w:t>
            </w:r>
            <w:r>
              <w:rPr>
                <w:rFonts w:hint="eastAsia" w:ascii="宋体" w:hAnsi="宋体" w:eastAsia="宋体" w:cs="宋体"/>
                <w:color w:val="000000"/>
                <w:sz w:val="24"/>
                <w:szCs w:val="24"/>
                <w:highlight w:val="none"/>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27</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消毒排池</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尺寸：1200*1200*3000mm</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材质：碳钢  防腐要求：衬胶或玻璃钢鳞片</w:t>
            </w:r>
            <w:r>
              <w:rPr>
                <w:rFonts w:hint="eastAsia" w:ascii="宋体" w:hAnsi="宋体" w:eastAsia="宋体" w:cs="宋体"/>
                <w:color w:val="000000"/>
                <w:sz w:val="24"/>
                <w:szCs w:val="24"/>
                <w:highlight w:val="none"/>
                <w:lang w:bidi="ar"/>
              </w:rPr>
            </w:r>
            <w:r/>
          </w:p>
          <w:p>
            <w:pPr>
              <w:pStyle w:val="976"/>
              <w:spacing w:line="360" w:lineRule="auto"/>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焊接要求：焊缝检测合格</w:t>
            </w:r>
            <w:r>
              <w:rPr>
                <w:rFonts w:ascii="宋体" w:hAnsi="宋体" w:eastAsia="宋体" w:cs="宋体"/>
                <w:color w:val="000000"/>
                <w:sz w:val="24"/>
                <w:szCs w:val="24"/>
                <w:highlight w:val="none"/>
                <w:lang w:bidi="ar"/>
              </w:rPr>
            </w:r>
            <w:r/>
          </w:p>
          <w:p>
            <w:pPr>
              <w:pStyle w:val="976"/>
              <w:spacing w:line="360" w:lineRule="auto"/>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防腐要求：防腐检测合格</w:t>
            </w:r>
            <w:r>
              <w:rPr>
                <w:rFonts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击穿性能：电火花击穿检测合格，能承受15000～20000伏电火花试验而不被击穿</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配备：进出液口，排污口</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附件：自带所有接口管件、支架、楼梯、扶手和其它附件等。</w:t>
            </w:r>
            <w:r>
              <w:rPr>
                <w:rFonts w:hint="eastAsia" w:ascii="宋体" w:hAnsi="宋体" w:eastAsia="宋体" w:cs="宋体"/>
                <w:color w:val="000000"/>
                <w:sz w:val="24"/>
                <w:szCs w:val="24"/>
                <w:highlight w:val="none"/>
                <w:lang w:bidi="ar"/>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座</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28</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污泥浓缩池</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尺寸：1200*1200*3000mm</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材质：碳钢 防腐要求：衬胶或玻璃钢鳞片</w:t>
            </w:r>
            <w:r>
              <w:rPr>
                <w:rFonts w:hint="eastAsia" w:ascii="宋体" w:hAnsi="宋体" w:eastAsia="宋体" w:cs="宋体"/>
                <w:color w:val="000000"/>
                <w:sz w:val="24"/>
                <w:szCs w:val="24"/>
                <w:highlight w:val="none"/>
                <w:lang w:bidi="ar"/>
              </w:rPr>
            </w:r>
            <w:r/>
          </w:p>
          <w:p>
            <w:pPr>
              <w:pStyle w:val="976"/>
              <w:spacing w:line="360" w:lineRule="auto"/>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焊接要求：焊缝检测合格</w:t>
            </w:r>
            <w:r>
              <w:rPr>
                <w:rFonts w:ascii="宋体" w:hAnsi="宋体" w:eastAsia="宋体" w:cs="宋体"/>
                <w:color w:val="000000"/>
                <w:sz w:val="24"/>
                <w:szCs w:val="24"/>
                <w:highlight w:val="none"/>
                <w:lang w:bidi="ar"/>
              </w:rPr>
            </w:r>
            <w:r/>
          </w:p>
          <w:p>
            <w:pPr>
              <w:pStyle w:val="976"/>
              <w:spacing w:line="360" w:lineRule="auto"/>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防腐要求：防腐检测合格</w:t>
            </w:r>
            <w:r>
              <w:rPr>
                <w:rFonts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击穿性能：电火花击穿检测合格，能承受15000～20000伏电火花试验而不被击穿</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配备：进出液口，排污口</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附件：自带所有接口管件、支架、楼梯、扶手和其它附件等。</w:t>
            </w:r>
            <w:r>
              <w:rPr>
                <w:rFonts w:hint="eastAsia" w:ascii="宋体" w:hAnsi="宋体" w:eastAsia="宋体" w:cs="宋体"/>
                <w:color w:val="000000"/>
                <w:sz w:val="24"/>
                <w:szCs w:val="24"/>
                <w:highlight w:val="none"/>
                <w:lang w:bidi="ar"/>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只</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29</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PLC 自动控制柜</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电控含有：控制柜、配电柜、现场操作箱等。电源柜主要有总电源断路器，触摸屏，配电柜面板上有进线电压显示仪表、总电流显示仪表等。控制柜内主要有控制电源、PLC 电池、PLC、中间继电器、隔离变送器等。配电柜主要有系统泵阀门的断路器、接触器、热继电器以及降压启动器等。现场操作箱则包括了启动、停止、急停等按钮，以及指示灯类等。</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PLC 控制柜</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网络交换机</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标配以太网（EtherNet/IP）界面 RS485 HVAC</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MODBUS手动控制，PC 端控制系统。</w:t>
            </w:r>
            <w:r>
              <w:rPr>
                <w:rFonts w:hint="eastAsia" w:ascii="宋体" w:hAnsi="宋体" w:eastAsia="宋体" w:cs="宋体"/>
                <w:color w:val="000000"/>
                <w:sz w:val="24"/>
                <w:szCs w:val="24"/>
                <w:highlight w:val="none"/>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30</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远程监控平台</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94"/>
              <w:ind w:firstLine="0"/>
              <w:rPr>
                <w:rFonts w:hint="eastAsia"/>
                <w:color w:val="000000"/>
                <w:highlight w:val="none"/>
              </w:rPr>
            </w:pPr>
            <w:r>
              <w:rPr>
                <w:rFonts w:hint="eastAsia"/>
                <w:color w:val="000000"/>
                <w:highlight w:val="none"/>
              </w:rPr>
              <w:t xml:space="preserve">远程控制系统包含：中央操作室大屏、工控电脑、组态系统、传输系统，可实现在线监控、工艺监控、异常预警、远程操作控制、移动监管等功能，移动手机、办公室 PC 端可视化，终端可按权限等级实现远程控制运行。</w:t>
            </w:r>
            <w:r>
              <w:rPr>
                <w:rFonts w:hint="eastAsia"/>
                <w:color w:val="000000"/>
                <w:highlight w:val="none"/>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项</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31</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过滤泵</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流量：≥10m3/h </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扬程：≥25m</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等级：IP54</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绝缘等级：F</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材质：SUS304</w:t>
            </w:r>
            <w:r>
              <w:rPr>
                <w:rFonts w:hint="eastAsia" w:ascii="宋体" w:hAnsi="宋体" w:eastAsia="宋体" w:cs="宋体"/>
                <w:color w:val="000000"/>
                <w:sz w:val="24"/>
                <w:szCs w:val="24"/>
                <w:highlight w:val="none"/>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32</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机械过滤器</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反洗强度 10L/(S.M2)</w:t>
            </w:r>
            <w:r>
              <w:rPr>
                <w:rFonts w:hint="eastAsia" w:ascii="宋体" w:hAnsi="宋体" w:eastAsia="宋体" w:cs="宋体"/>
                <w:color w:val="000000"/>
                <w:sz w:val="24"/>
                <w:szCs w:val="24"/>
                <w:highlight w:val="none"/>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33</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精密过滤器</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15m/h</w:t>
            </w:r>
            <w:r>
              <w:rPr>
                <w:rFonts w:hint="eastAsia" w:ascii="宋体" w:hAnsi="宋体" w:eastAsia="宋体" w:cs="宋体"/>
                <w:color w:val="000000"/>
                <w:sz w:val="24"/>
                <w:szCs w:val="24"/>
                <w:highlight w:val="none"/>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34</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污泥泵</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流量：≥5m3/h </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扬程：≥15m</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等级：IP54</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绝缘等级：F</w:t>
            </w:r>
            <w:r>
              <w:rPr>
                <w:rFonts w:hint="eastAsia" w:ascii="宋体" w:hAnsi="宋体" w:eastAsia="宋体" w:cs="宋体"/>
                <w:color w:val="000000"/>
                <w:sz w:val="24"/>
                <w:szCs w:val="24"/>
                <w:highlight w:val="none"/>
                <w:lang w:bidi="ar"/>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35</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叠螺脱水机</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绝干泥处理量：10KgDS/h，</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材质：SUS304</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附件：集水槽、絮凝混合搅拌箱、冲洗装置、排水管路、搅拌电机等</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电气控制柜：PLC控制器</w:t>
            </w:r>
            <w:r>
              <w:rPr>
                <w:rFonts w:hint="eastAsia" w:ascii="宋体" w:hAnsi="宋体" w:cs="宋体"/>
                <w:color w:val="000000"/>
                <w:sz w:val="24"/>
                <w:szCs w:val="24"/>
                <w:highlight w:val="none"/>
                <w:lang w:bidi="ar"/>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36</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脱水机加药装置</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容积：300L</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材质：PP制作</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配备：接地电控箱、搅拌机、机械式隔膜计量泵</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计量泵形式：机械式隔膜计量泵</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计量泵流量：可调节流量，流量调节范围0～100％</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计量泵数量：2台，1备1用，</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附件：计量泵进出口的防腐阀门、逆止阀、安全阀、减震器、压力表、阀门、内部管道和管道过滤器等附件，阀门材质需耐相应介质</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要求：管道过滤器，且与计量箱液位连锁，低位自动停止运行且报警。</w:t>
            </w:r>
            <w:r>
              <w:rPr>
                <w:rFonts w:hint="eastAsia" w:ascii="宋体" w:hAnsi="宋体" w:eastAsia="宋体" w:cs="宋体"/>
                <w:color w:val="000000"/>
                <w:sz w:val="24"/>
                <w:szCs w:val="24"/>
                <w:highlight w:val="none"/>
                <w:lang w:bidi="ar"/>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座</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37</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脱水机接液盘</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PP+SUS304 焊制</w:t>
            </w:r>
            <w:r>
              <w:rPr>
                <w:rFonts w:hint="eastAsia" w:ascii="宋体" w:hAnsi="宋体" w:eastAsia="宋体" w:cs="宋体"/>
                <w:color w:val="000000"/>
                <w:sz w:val="24"/>
                <w:szCs w:val="24"/>
                <w:highlight w:val="none"/>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项</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38</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污水消毒自动加药设备</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容积：300L</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材质：PP制作</w:t>
            </w:r>
            <w:r>
              <w:rPr>
                <w:rFonts w:hint="eastAsia" w:ascii="宋体" w:hAnsi="宋体" w:eastAsia="宋体" w:cs="宋体"/>
                <w:color w:val="000000"/>
                <w:sz w:val="24"/>
                <w:szCs w:val="24"/>
                <w:highlight w:val="none"/>
                <w:lang w:bidi="ar"/>
              </w:rPr>
            </w:r>
            <w:r/>
          </w:p>
          <w:p>
            <w:pPr>
              <w:pStyle w:val="976"/>
              <w:spacing w:line="360" w:lineRule="auto"/>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电控：独立触摸屏电控系统、PLC 控制，信号传输系统、无接触液位控制、自动搅拌系统、自动进水、报警系统、自动检测加药系统</w:t>
            </w:r>
            <w:r>
              <w:rPr>
                <w:rFonts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计量泵形式：机械式隔膜计量泵</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计量泵流量：可调节流量，流量调节范围0～100％</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计量泵数量：2台，1备1用，</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附件：计量泵进出口的防腐阀门、逆止阀、安全阀、减震器、压力表、阀门、内部管道和管道过滤器等附件，阀门材质需耐相应介质</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要求：管道过滤器，且与计量箱液位连锁，低位自动停止运行且报警。</w:t>
            </w:r>
            <w:r>
              <w:rPr>
                <w:rFonts w:hint="eastAsia" w:ascii="宋体" w:hAnsi="宋体" w:eastAsia="宋体" w:cs="宋体"/>
                <w:color w:val="000000"/>
                <w:sz w:val="24"/>
                <w:szCs w:val="24"/>
                <w:highlight w:val="none"/>
                <w:lang w:bidi="ar"/>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座</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39</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鼓风机</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口径：DN50</w:t>
            </w:r>
            <w:r>
              <w:rPr>
                <w:rFonts w:hint="eastAsia" w:ascii="宋体" w:hAnsi="宋体" w:eastAsia="宋体" w:cs="宋体"/>
                <w:color w:val="000000"/>
                <w:sz w:val="24"/>
                <w:szCs w:val="24"/>
                <w:highlight w:val="none"/>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40</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鼓风机隔音罩</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非标定制，国产优质</w:t>
            </w:r>
            <w:r>
              <w:rPr>
                <w:rFonts w:hint="eastAsia" w:ascii="宋体" w:hAnsi="宋体" w:eastAsia="宋体" w:cs="宋体"/>
                <w:color w:val="000000"/>
                <w:sz w:val="24"/>
                <w:szCs w:val="24"/>
                <w:highlight w:val="none"/>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项</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41</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空压机</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10HP</w:t>
            </w:r>
            <w:r>
              <w:rPr>
                <w:rFonts w:hint="eastAsia" w:ascii="宋体" w:hAnsi="宋体" w:eastAsia="宋体" w:cs="宋体"/>
                <w:color w:val="000000"/>
                <w:sz w:val="24"/>
                <w:szCs w:val="24"/>
                <w:highlight w:val="none"/>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42</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除臭气处理装置</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风量6000 CMH，含集气罩、集气管路(材质 PP）、风机（材质FRP）含变频装置、二级活性炭除臭塔（材质 SUS304），15M排气烟囱、阀门等。</w:t>
            </w:r>
            <w:r>
              <w:rPr>
                <w:rFonts w:hint="eastAsia" w:ascii="宋体" w:hAnsi="宋体" w:eastAsia="宋体" w:cs="宋体"/>
                <w:color w:val="000000"/>
                <w:sz w:val="24"/>
                <w:szCs w:val="24"/>
                <w:highlight w:val="none"/>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套</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43</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PH 在线监测仪</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范围：0.00～14.00、(0.0～100.0)℃</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分辨率：±0.01、±0.1℃</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精确度：±0.01、±0.5℃</w:t>
            </w:r>
            <w:r>
              <w:rPr>
                <w:rFonts w:hint="eastAsia" w:ascii="宋体" w:hAnsi="宋体" w:eastAsia="宋体" w:cs="宋体"/>
                <w:color w:val="000000"/>
                <w:sz w:val="24"/>
                <w:szCs w:val="24"/>
                <w:highlight w:val="none"/>
                <w:lang w:bidi="ar"/>
              </w:rPr>
            </w:r>
            <w:r/>
          </w:p>
          <w:p>
            <w:pPr>
              <w:pStyle w:val="976"/>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通讯：RS485、Modbus-RTU，</w:t>
            </w:r>
            <w:r>
              <w:rPr>
                <w:rFonts w:ascii="宋体" w:hAnsi="宋体" w:eastAsia="宋体" w:cs="宋体"/>
                <w:color w:val="000000"/>
                <w:sz w:val="24"/>
                <w:szCs w:val="24"/>
                <w:highlight w:val="none"/>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44</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COD 在线监院仪</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监测范围：(0-500)mg/L 、可扩展</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重复性：≤1％</w:t>
            </w:r>
            <w:r>
              <w:rPr>
                <w:rFonts w:hint="eastAsia" w:ascii="宋体" w:hAnsi="宋体" w:eastAsia="宋体" w:cs="宋体"/>
                <w:color w:val="000000"/>
                <w:sz w:val="24"/>
                <w:szCs w:val="24"/>
                <w:highlight w:val="none"/>
                <w:lang w:bidi="ar"/>
              </w:rPr>
              <w:br w:type="textWrapping" w:clear="all"/>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定量下限：≤2mg/L</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24H 低浓度漂移：±2.4mg/L</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24H 高浓度漂移：≤0.5％</w:t>
            </w:r>
            <w:r>
              <w:rPr>
                <w:rFonts w:hint="eastAsia" w:ascii="宋体" w:hAnsi="宋体" w:eastAsia="宋体" w:cs="宋体"/>
                <w:color w:val="000000"/>
                <w:sz w:val="24"/>
                <w:szCs w:val="24"/>
                <w:highlight w:val="none"/>
                <w:lang w:bidi="ar"/>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45</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氨氮在线监测仪</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监测范围：(0-100)mg/L 、可扩展</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重复性：≤2.0％</w:t>
            </w:r>
            <w:r>
              <w:rPr>
                <w:rFonts w:hint="eastAsia" w:ascii="宋体" w:hAnsi="宋体" w:eastAsia="宋体" w:cs="宋体"/>
                <w:color w:val="000000"/>
                <w:sz w:val="24"/>
                <w:szCs w:val="24"/>
                <w:highlight w:val="none"/>
                <w:lang w:bidi="ar"/>
              </w:rPr>
              <w:br w:type="textWrapping" w:clear="all"/>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定量下限：≤0.015mg/L</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24H低浓度漂移：0.02mg/L</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24H 高浓度漂移：≤1.0％</w:t>
            </w:r>
            <w:r>
              <w:rPr>
                <w:rFonts w:hint="eastAsia" w:ascii="宋体" w:hAnsi="宋体" w:eastAsia="宋体" w:cs="宋体"/>
                <w:color w:val="000000"/>
                <w:sz w:val="24"/>
                <w:szCs w:val="24"/>
                <w:highlight w:val="none"/>
                <w:lang w:bidi="ar"/>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46</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数采仪</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规格：支持HJ 212-2017、支持Modbus-RTU/Modbus-TCP 通讯协议</w:t>
            </w:r>
            <w:r>
              <w:rPr>
                <w:rFonts w:hint="eastAsia" w:ascii="宋体" w:hAnsi="宋体" w:eastAsia="宋体" w:cs="宋体"/>
                <w:color w:val="000000"/>
                <w:sz w:val="24"/>
                <w:szCs w:val="24"/>
                <w:highlight w:val="none"/>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47</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余氯检测仪</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监测范围：(0-10)mg/L </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测量方法：分光光度法</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精准度：±10％或±0.25mg/L</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采样时间间隔：（1～999）min 任意可设</w:t>
            </w:r>
            <w:r>
              <w:rPr>
                <w:rFonts w:hint="eastAsia" w:ascii="宋体" w:hAnsi="宋体" w:eastAsia="宋体" w:cs="宋体"/>
                <w:color w:val="000000"/>
                <w:sz w:val="24"/>
                <w:szCs w:val="24"/>
                <w:highlight w:val="none"/>
                <w:lang w:bidi="ar"/>
              </w:rPr>
            </w:r>
            <w:r/>
          </w:p>
          <w:p>
            <w:pPr>
              <w:pStyle w:val="976"/>
              <w:spacing w:line="360" w:lineRule="auto"/>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传输：</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rPr>
              <w:t xml:space="preserve">20)mA</w:t>
            </w:r>
            <w:r>
              <w:rPr>
                <w:rFonts w:ascii="宋体" w:hAnsi="宋体" w:eastAsia="宋体" w:cs="宋体"/>
                <w:color w:val="000000"/>
                <w:sz w:val="24"/>
                <w:szCs w:val="24"/>
                <w:highlight w:val="none"/>
                <w:lang w:bidi="ar"/>
              </w:rPr>
            </w:r>
            <w:r/>
          </w:p>
          <w:p>
            <w:pPr>
              <w:pStyle w:val="976"/>
              <w:spacing w:line="360" w:lineRule="auto"/>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通讯：RS485、Modbus-RTU，</w:t>
            </w:r>
            <w:r>
              <w:rPr>
                <w:rFonts w:ascii="宋体" w:hAnsi="宋体" w:eastAsia="宋体" w:cs="宋体"/>
                <w:color w:val="000000"/>
                <w:sz w:val="24"/>
                <w:szCs w:val="24"/>
                <w:highlight w:val="none"/>
                <w:lang w:bidi="ar"/>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48</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自动取样仪</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单次留样：1-2000mL</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采样误差：优于±5.0％</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采样时间间隔：1～99h59min</w:t>
            </w:r>
            <w:r>
              <w:rPr>
                <w:rFonts w:hint="eastAsia" w:ascii="宋体" w:hAnsi="宋体" w:eastAsia="宋体" w:cs="宋体"/>
                <w:color w:val="000000"/>
                <w:sz w:val="24"/>
                <w:szCs w:val="24"/>
                <w:highlight w:val="none"/>
                <w:lang w:bidi="ar"/>
              </w:rPr>
            </w:r>
            <w:r/>
          </w:p>
          <w:p>
            <w:pPr>
              <w:pStyle w:val="976"/>
              <w:spacing w:line="360" w:lineRule="auto"/>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留样瓶数：500mL*24、1L*24</w:t>
            </w:r>
            <w:r>
              <w:rPr>
                <w:rFonts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采样桶体积：A/B桶5L</w:t>
            </w:r>
            <w:r>
              <w:rPr>
                <w:rFonts w:hint="eastAsia" w:ascii="宋体" w:hAnsi="宋体" w:eastAsia="宋体" w:cs="宋体"/>
                <w:color w:val="000000"/>
                <w:sz w:val="24"/>
                <w:szCs w:val="24"/>
                <w:highlight w:val="none"/>
                <w:lang w:bidi="ar"/>
              </w:rPr>
            </w:r>
            <w:r/>
          </w:p>
          <w:p>
            <w:pPr>
              <w:pStyle w:val="976"/>
              <w:spacing w:line="360" w:lineRule="auto"/>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通讯：RS485、RS232</w:t>
            </w:r>
            <w:r>
              <w:rPr>
                <w:rFonts w:ascii="宋体" w:hAnsi="宋体" w:eastAsia="宋体" w:cs="宋体"/>
                <w:color w:val="000000"/>
                <w:sz w:val="24"/>
                <w:szCs w:val="24"/>
                <w:highlight w:val="none"/>
                <w:lang w:bidi="ar"/>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49</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楼梯、步道</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连接平台采用Q235A钢制结构，平台荷载不小于 4KN/m2，踏步荷载不小于2KN/m2。平台生根位置在箱体预留支撑件上；平台、爬梯踏步均采用钢性良好的防滑格栅和防滑格栅板，必要部位采用花纹钢板，防滑、耐腐蚀。</w:t>
            </w:r>
            <w:r>
              <w:rPr>
                <w:rFonts w:hint="eastAsia" w:ascii="宋体" w:hAnsi="宋体" w:eastAsia="宋体" w:cs="宋体"/>
                <w:color w:val="000000"/>
                <w:sz w:val="24"/>
                <w:szCs w:val="24"/>
                <w:highlight w:val="none"/>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项</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50</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管阀配件及线材</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室外管道保温</w:t>
            </w:r>
            <w:r>
              <w:rPr>
                <w:rFonts w:hint="eastAsia" w:ascii="宋体" w:hAnsi="宋体" w:eastAsia="宋体" w:cs="宋体"/>
                <w:color w:val="000000"/>
                <w:sz w:val="24"/>
                <w:szCs w:val="24"/>
                <w:highlight w:val="none"/>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项</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51</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池体开孔及管路预埋</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预埋管线、管线穿墙开孔</w:t>
            </w:r>
            <w:r>
              <w:rPr>
                <w:rFonts w:ascii="宋体" w:hAnsi="宋体" w:eastAsia="宋体" w:cs="宋体"/>
                <w:color w:val="000000"/>
                <w:sz w:val="24"/>
                <w:szCs w:val="24"/>
                <w:highlight w:val="none"/>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项</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r>
      <w:tr>
        <w:trPr>
          <w:trHeight w:val="567"/>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52</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线材及桥架</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线材国标，桥架不锈钢。</w:t>
            </w:r>
            <w:r>
              <w:rPr>
                <w:rFonts w:ascii="宋体" w:hAnsi="宋体" w:eastAsia="宋体" w:cs="宋体"/>
                <w:color w:val="000000"/>
                <w:sz w:val="24"/>
                <w:szCs w:val="24"/>
                <w:highlight w:val="none"/>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项</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r>
      <w:tr>
        <w:trPr>
          <w:trHeight w:val="963"/>
        </w:trPr>
        <w:tc>
          <w:tcPr>
            <w:tcW w:w="71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53</w:t>
            </w:r>
            <w:r>
              <w:rPr>
                <w:rFonts w:hint="eastAsia" w:ascii="宋体" w:hAnsi="宋体" w:eastAsia="宋体" w:cs="宋体"/>
                <w:color w:val="000000"/>
                <w:sz w:val="24"/>
                <w:szCs w:val="24"/>
                <w:highlight w:val="none"/>
              </w:rPr>
            </w:r>
            <w:r/>
          </w:p>
        </w:tc>
        <w:tc>
          <w:tcPr>
            <w:tcW w:w="1939"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运维</w:t>
            </w:r>
            <w:r>
              <w:rPr>
                <w:rFonts w:hint="eastAsia" w:ascii="宋体" w:hAnsi="宋体" w:eastAsia="宋体" w:cs="宋体"/>
                <w:color w:val="000000"/>
                <w:sz w:val="24"/>
                <w:szCs w:val="24"/>
                <w:highlight w:val="none"/>
              </w:rPr>
            </w:r>
            <w:r/>
          </w:p>
        </w:tc>
        <w:tc>
          <w:tcPr>
            <w:tcW w:w="5743" w:type="dxa"/>
            <w:vAlign w:val="center"/>
            <w:textDirection w:val="lrTb"/>
            <w:noWrap w:val="false"/>
          </w:tcPr>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含运维人工 2 人，及人工食宿、交通、保险费；</w:t>
            </w:r>
            <w:r>
              <w:rPr>
                <w:rFonts w:hint="eastAsia" w:ascii="宋体" w:hAnsi="宋体" w:eastAsia="宋体" w:cs="宋体"/>
                <w:color w:val="000000"/>
                <w:sz w:val="24"/>
                <w:szCs w:val="24"/>
                <w:highlight w:val="none"/>
                <w:lang w:bidi="ar"/>
              </w:rPr>
              <w:br w:type="textWrapping" w:clear="all"/>
            </w:r>
            <w:r>
              <w:rPr>
                <w:rFonts w:hint="eastAsia" w:ascii="宋体" w:hAnsi="宋体" w:eastAsia="宋体" w:cs="宋体"/>
                <w:color w:val="000000"/>
                <w:sz w:val="24"/>
                <w:szCs w:val="24"/>
                <w:highlight w:val="none"/>
                <w:lang w:bidi="ar"/>
              </w:rPr>
              <w:t xml:space="preserve">含水处理药剂：絮凝剂、助凝剂、PH 调节剂；</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含维修及养护耗材；含在线监测仪运维：在线监测仪配件、试剂耗材等；含劳动防护用品；</w:t>
            </w:r>
            <w:r>
              <w:rPr>
                <w:rFonts w:hint="eastAsia" w:ascii="宋体" w:hAnsi="宋体" w:eastAsia="宋体" w:cs="宋体"/>
                <w:color w:val="000000"/>
                <w:sz w:val="24"/>
                <w:szCs w:val="24"/>
                <w:highlight w:val="none"/>
                <w:lang w:bidi="ar"/>
              </w:rPr>
              <w:br w:type="textWrapping" w:clear="all"/>
            </w:r>
            <w:r>
              <w:rPr>
                <w:rFonts w:hint="eastAsia" w:ascii="宋体" w:hAnsi="宋体" w:eastAsia="宋体" w:cs="宋体"/>
                <w:color w:val="000000"/>
                <w:sz w:val="24"/>
                <w:szCs w:val="24"/>
                <w:highlight w:val="none"/>
                <w:lang w:bidi="ar"/>
              </w:rPr>
              <w:t xml:space="preserve">含每年不低4次第三方现场取样检测及分析报告（污水、废气、噪声）费；</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含消毒剂药剂：单过硫酸氢钾复合盐；</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消毒药剂须符合行业标准（HG/T 5562-2019)并经过省卫生厅审核的消毒产品卫生安全评价报告备案登记表，安全、环保、高效、持久。</w:t>
            </w:r>
            <w:r>
              <w:rPr>
                <w:rFonts w:hint="eastAsia" w:ascii="宋体" w:hAnsi="宋体" w:eastAsia="宋体" w:cs="宋体"/>
                <w:color w:val="000000"/>
                <w:sz w:val="24"/>
                <w:szCs w:val="24"/>
                <w:highlight w:val="none"/>
                <w:lang w:bidi="ar"/>
              </w:rPr>
            </w:r>
            <w:r/>
          </w:p>
          <w:p>
            <w:pPr>
              <w:pStyle w:val="976"/>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★过硫酸氢钾的含量≥10.5％；</w:t>
            </w:r>
            <w:r>
              <w:rPr>
                <w:rFonts w:hint="eastAsia" w:ascii="宋体" w:hAnsi="宋体" w:eastAsia="宋体" w:cs="宋体"/>
                <w:color w:val="000000"/>
                <w:sz w:val="24"/>
                <w:szCs w:val="24"/>
                <w:highlight w:val="none"/>
                <w:lang w:bidi="ar"/>
              </w:rPr>
            </w:r>
            <w:r/>
          </w:p>
          <w:p>
            <w:pPr>
              <w:pStyle w:val="976"/>
              <w:spacing w:line="360" w:lineRule="auto"/>
              <w:widowControl/>
              <w:rPr>
                <w:rFonts w:hint="eastAsia"/>
                <w:color w:val="000000"/>
                <w:highlight w:val="none"/>
              </w:rPr>
            </w:pPr>
            <w:r>
              <w:rPr>
                <w:rFonts w:hint="eastAsia" w:ascii="宋体" w:hAnsi="宋体" w:eastAsia="宋体" w:cs="宋体"/>
                <w:color w:val="000000"/>
                <w:sz w:val="24"/>
                <w:szCs w:val="24"/>
                <w:highlight w:val="none"/>
                <w:lang w:bidi="ar"/>
              </w:rPr>
              <w:t xml:space="preserve">★有效氯含量为：31-45%。</w:t>
            </w:r>
            <w:r>
              <w:rPr>
                <w:rFonts w:hint="eastAsia"/>
                <w:color w:val="000000"/>
                <w:highlight w:val="none"/>
              </w:rPr>
            </w:r>
            <w:r/>
          </w:p>
        </w:tc>
        <w:tc>
          <w:tcPr>
            <w:tcW w:w="600"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年</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97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r>
    </w:tbl>
    <w:p>
      <w:pPr>
        <w:pStyle w:val="994"/>
        <w:ind w:firstLine="480"/>
        <w:widowControl w:val="off"/>
        <w:rPr>
          <w:rFonts w:hint="eastAsia" w:hAnsi="宋体" w:cs="宋体"/>
          <w:color w:val="000000"/>
          <w:szCs w:val="24"/>
          <w:highlight w:val="none"/>
        </w:rPr>
      </w:pPr>
      <w:r>
        <w:rPr>
          <w:rFonts w:hint="eastAsia" w:hAnsi="宋体" w:cs="宋体"/>
          <w:color w:val="000000"/>
          <w:szCs w:val="24"/>
          <w:highlight w:val="none"/>
        </w:rPr>
        <w:t xml:space="preserve">注：</w:t>
      </w:r>
      <w:r>
        <w:rPr>
          <w:rFonts w:hint="eastAsia" w:hAnsi="宋体" w:cs="宋体"/>
          <w:color w:val="000000"/>
          <w:szCs w:val="24"/>
          <w:highlight w:val="none"/>
        </w:rPr>
      </w:r>
      <w:r/>
    </w:p>
    <w:p>
      <w:pPr>
        <w:pStyle w:val="994"/>
        <w:ind w:firstLine="480"/>
        <w:rPr>
          <w:rFonts w:hint="eastAsia" w:hAnsi="宋体"/>
          <w:color w:val="000000"/>
          <w:highlight w:val="none"/>
        </w:rPr>
      </w:pPr>
      <w:r>
        <w:rPr>
          <w:rFonts w:hint="eastAsia" w:hAnsi="宋体"/>
          <w:color w:val="000000"/>
          <w:highlight w:val="none"/>
        </w:rPr>
        <w:t xml:space="preserve">1、上述清单中“▲”标注项为核心产品</w:t>
      </w:r>
      <w:r>
        <w:rPr>
          <w:rFonts w:hint="eastAsia" w:hAnsi="宋体" w:cs="宋体"/>
          <w:color w:val="000000"/>
          <w:szCs w:val="24"/>
          <w:highlight w:val="none"/>
        </w:rPr>
        <w:t xml:space="preserve">。</w:t>
      </w:r>
      <w:r>
        <w:rPr>
          <w:rFonts w:hint="eastAsia" w:hAnsi="宋体"/>
          <w:color w:val="000000"/>
          <w:highlight w:val="none"/>
        </w:rPr>
      </w:r>
      <w:r/>
    </w:p>
    <w:p>
      <w:pPr>
        <w:pStyle w:val="994"/>
        <w:ind w:firstLine="480"/>
        <w:widowControl w:val="off"/>
        <w:rPr>
          <w:rFonts w:hAnsi="宋体"/>
          <w:color w:val="000000"/>
          <w:szCs w:val="24"/>
          <w:highlight w:val="none"/>
        </w:rPr>
      </w:pPr>
      <w:r>
        <w:rPr>
          <w:rFonts w:hint="eastAsia" w:hAnsi="宋体"/>
          <w:color w:val="000000"/>
          <w:highlight w:val="none"/>
        </w:rPr>
        <w:t xml:space="preserve">2、</w:t>
      </w:r>
      <w:r>
        <w:rPr>
          <w:rFonts w:hint="eastAsia" w:hAnsi="宋体"/>
          <w:color w:val="000000"/>
          <w:szCs w:val="24"/>
          <w:highlight w:val="none"/>
        </w:rPr>
        <w:t xml:space="preserve">现场踏勘：</w:t>
      </w:r>
      <w:r>
        <w:rPr>
          <w:rFonts w:hAnsi="宋体"/>
          <w:color w:val="000000"/>
          <w:szCs w:val="24"/>
          <w:highlight w:val="none"/>
        </w:rPr>
      </w:r>
      <w:r/>
    </w:p>
    <w:p>
      <w:pPr>
        <w:pStyle w:val="994"/>
        <w:ind w:firstLine="480"/>
        <w:widowControl w:val="off"/>
        <w:rPr>
          <w:rFonts w:hint="eastAsia" w:hAnsi="宋体"/>
          <w:color w:val="000000"/>
          <w:szCs w:val="24"/>
          <w:highlight w:val="none"/>
        </w:rPr>
      </w:pPr>
      <w:r>
        <w:rPr>
          <w:rFonts w:hint="eastAsia" w:hAnsi="宋体"/>
          <w:color w:val="000000"/>
          <w:szCs w:val="24"/>
          <w:highlight w:val="none"/>
        </w:rPr>
        <w:t xml:space="preserve">为便于投标人实地了解项目现场情况，采购人将组织统一现场踏勘，具体信息如下：</w:t>
      </w:r>
      <w:r>
        <w:rPr>
          <w:rFonts w:hint="eastAsia" w:hAnsi="宋体"/>
          <w:color w:val="000000"/>
          <w:szCs w:val="24"/>
          <w:highlight w:val="none"/>
        </w:rPr>
      </w:r>
      <w:r/>
    </w:p>
    <w:p>
      <w:pPr>
        <w:pStyle w:val="994"/>
        <w:ind w:firstLine="480"/>
        <w:widowControl w:val="off"/>
        <w:rPr>
          <w:rFonts w:hint="eastAsia" w:hAnsi="宋体"/>
          <w:color w:val="000000"/>
          <w:szCs w:val="24"/>
          <w:highlight w:val="none"/>
        </w:rPr>
      </w:pPr>
      <w:r>
        <w:rPr>
          <w:rFonts w:hint="eastAsia" w:hAnsi="宋体"/>
          <w:color w:val="000000"/>
          <w:szCs w:val="24"/>
          <w:highlight w:val="none"/>
        </w:rPr>
        <w:t xml:space="preserve">现场踏勘集合时间：</w:t>
      </w:r>
      <w:r>
        <w:rPr>
          <w:rFonts w:hint="eastAsia" w:hAnsi="宋体" w:cs="宋体"/>
          <w:color w:val="000000"/>
          <w:szCs w:val="24"/>
          <w:highlight w:val="none"/>
        </w:rPr>
        <w:t xml:space="preserve">2024年</w:t>
      </w:r>
      <w:r>
        <w:rPr>
          <w:rFonts w:hint="eastAsia" w:hAnsi="宋体" w:cs="宋体"/>
          <w:color w:val="000000"/>
          <w:szCs w:val="24"/>
          <w:highlight w:val="none"/>
          <w:u w:val="none"/>
          <w:lang w:val="en-US" w:eastAsia="zh-CN"/>
        </w:rPr>
        <w:t xml:space="preserve">12</w:t>
      </w:r>
      <w:r>
        <w:rPr>
          <w:rFonts w:hint="eastAsia" w:hAnsi="宋体" w:cs="宋体"/>
          <w:color w:val="000000"/>
          <w:szCs w:val="24"/>
          <w:highlight w:val="none"/>
        </w:rPr>
        <w:t xml:space="preserve">月</w:t>
      </w:r>
      <w:r>
        <w:rPr>
          <w:rFonts w:hint="eastAsia" w:hAnsi="宋体" w:cs="宋体"/>
          <w:color w:val="000000"/>
          <w:szCs w:val="24"/>
          <w:highlight w:val="none"/>
          <w:u w:val="none"/>
          <w:lang w:val="en-US" w:eastAsia="zh-CN"/>
        </w:rPr>
        <w:t xml:space="preserve">20</w:t>
      </w:r>
      <w:r>
        <w:rPr>
          <w:rFonts w:hint="eastAsia" w:hAnsi="宋体" w:cs="宋体"/>
          <w:color w:val="000000"/>
          <w:szCs w:val="24"/>
          <w:highlight w:val="none"/>
        </w:rPr>
        <w:t xml:space="preserve">日</w:t>
      </w:r>
      <w:r>
        <w:rPr>
          <w:rFonts w:hint="eastAsia" w:hAnsi="宋体"/>
          <w:color w:val="000000"/>
          <w:szCs w:val="24"/>
          <w:highlight w:val="none"/>
        </w:rPr>
        <w:t xml:space="preserve">9：30时。</w:t>
      </w:r>
      <w:r>
        <w:rPr>
          <w:rFonts w:hint="eastAsia" w:hAnsi="宋体"/>
          <w:color w:val="000000"/>
          <w:szCs w:val="24"/>
          <w:highlight w:val="none"/>
        </w:rPr>
      </w:r>
      <w:r/>
    </w:p>
    <w:p>
      <w:pPr>
        <w:pStyle w:val="994"/>
        <w:ind w:firstLine="480"/>
        <w:widowControl w:val="off"/>
        <w:rPr>
          <w:rFonts w:hint="eastAsia" w:hAnsi="宋体"/>
          <w:color w:val="000000"/>
          <w:szCs w:val="24"/>
          <w:highlight w:val="none"/>
        </w:rPr>
      </w:pPr>
      <w:r>
        <w:rPr>
          <w:rFonts w:hint="eastAsia" w:hAnsi="宋体"/>
          <w:color w:val="000000"/>
          <w:szCs w:val="24"/>
          <w:highlight w:val="none"/>
        </w:rPr>
        <w:t xml:space="preserve">现场踏勘集合地点：</w:t>
      </w:r>
      <w:r>
        <w:rPr>
          <w:rFonts w:hAnsi="宋体" w:cs="宋体"/>
          <w:color w:val="000000"/>
          <w:szCs w:val="24"/>
          <w:highlight w:val="none"/>
        </w:rPr>
        <w:t xml:space="preserve">越溪龙翔路东侧、滨溪路北侧</w:t>
      </w:r>
      <w:r>
        <w:rPr>
          <w:rFonts w:hint="eastAsia" w:hAnsi="宋体"/>
          <w:color w:val="000000"/>
          <w:szCs w:val="24"/>
          <w:highlight w:val="none"/>
        </w:rPr>
        <w:t xml:space="preserve">。</w:t>
      </w:r>
      <w:r>
        <w:rPr>
          <w:rFonts w:hint="eastAsia" w:hAnsi="宋体"/>
          <w:color w:val="000000"/>
          <w:szCs w:val="24"/>
          <w:highlight w:val="none"/>
        </w:rPr>
      </w:r>
      <w:r/>
    </w:p>
    <w:p>
      <w:pPr>
        <w:pStyle w:val="994"/>
        <w:ind w:firstLine="480"/>
        <w:widowControl w:val="off"/>
        <w:rPr>
          <w:rFonts w:hint="eastAsia" w:hAnsi="宋体"/>
          <w:color w:val="000000"/>
          <w:szCs w:val="24"/>
          <w:highlight w:val="none"/>
        </w:rPr>
      </w:pPr>
      <w:r>
        <w:rPr>
          <w:rFonts w:hint="eastAsia" w:hAnsi="宋体"/>
          <w:color w:val="000000"/>
          <w:szCs w:val="24"/>
          <w:highlight w:val="none"/>
        </w:rPr>
        <w:t xml:space="preserve">现场勘查联系方式：</w:t>
      </w:r>
      <w:r>
        <w:rPr>
          <w:rFonts w:hint="eastAsia" w:hAnsi="宋体"/>
          <w:color w:val="000000"/>
          <w:szCs w:val="24"/>
          <w:highlight w:val="none"/>
        </w:rPr>
      </w:r>
      <w:r/>
    </w:p>
    <w:p>
      <w:pPr>
        <w:pStyle w:val="994"/>
        <w:ind w:firstLine="480"/>
        <w:widowControl w:val="off"/>
        <w:rPr>
          <w:rFonts w:hint="eastAsia" w:hAnsi="宋体"/>
          <w:color w:val="000000"/>
          <w:szCs w:val="24"/>
          <w:highlight w:val="none"/>
        </w:rPr>
      </w:pPr>
      <w:r>
        <w:rPr>
          <w:rFonts w:hint="eastAsia" w:hAnsi="宋体"/>
          <w:color w:val="000000"/>
          <w:szCs w:val="24"/>
          <w:highlight w:val="none"/>
        </w:rPr>
        <w:t xml:space="preserve">A. 采购人：徐经理（电话：13706132827）。</w:t>
      </w:r>
      <w:r>
        <w:rPr>
          <w:rFonts w:hint="eastAsia" w:hAnsi="宋体"/>
          <w:color w:val="000000"/>
          <w:szCs w:val="24"/>
          <w:highlight w:val="none"/>
        </w:rPr>
      </w:r>
      <w:r/>
    </w:p>
    <w:p>
      <w:pPr>
        <w:pStyle w:val="994"/>
        <w:ind w:firstLine="480"/>
        <w:widowControl w:val="off"/>
        <w:rPr>
          <w:rFonts w:hint="eastAsia" w:hAnsi="宋体"/>
          <w:color w:val="000000"/>
          <w:szCs w:val="24"/>
          <w:highlight w:val="none"/>
        </w:rPr>
      </w:pPr>
      <w:r>
        <w:rPr>
          <w:rFonts w:hint="eastAsia" w:hAnsi="宋体"/>
          <w:color w:val="000000"/>
          <w:szCs w:val="24"/>
          <w:highlight w:val="none"/>
        </w:rPr>
        <w:t xml:space="preserve">B. 采购代理机构：徐杰、刘木兰（电话：0512-62826523、15850185744）。</w:t>
      </w:r>
      <w:r>
        <w:rPr>
          <w:rFonts w:hint="eastAsia" w:hAnsi="宋体"/>
          <w:color w:val="000000"/>
          <w:szCs w:val="24"/>
          <w:highlight w:val="none"/>
        </w:rPr>
      </w:r>
      <w:r/>
    </w:p>
    <w:p>
      <w:pPr>
        <w:pStyle w:val="994"/>
        <w:ind w:firstLine="480"/>
        <w:widowControl w:val="off"/>
        <w:rPr>
          <w:rFonts w:hint="eastAsia" w:hAnsi="宋体" w:cs="宋体"/>
          <w:color w:val="000000"/>
          <w:szCs w:val="24"/>
          <w:highlight w:val="none"/>
        </w:rPr>
      </w:pPr>
      <w:r>
        <w:rPr>
          <w:rFonts w:hint="eastAsia" w:hAnsi="宋体" w:cs="宋体"/>
          <w:color w:val="000000"/>
          <w:szCs w:val="24"/>
          <w:highlight w:val="none"/>
        </w:rPr>
        <w:t xml:space="preserve">注：现场踏勘不要求投标人提供任何单位或个人的相关信息，投标人须在现场踏勘集合时间截止前到达现场踏勘集合地点，逾时不候，且不再重新组织现场踏勘。投标人应充分重视和仔细地进行现场踏勘，并对经现场踏勘得出的任何推论、理解和结论自行负责。投标人须承担参加现场踏勘的所有费用，并同时承担在现场勘查期间由于投标人行为所造成的人身伤害、财产损失或损坏，以及其他任何原因造成的损失、损坏或费用，投标人不得因此使采购人承担有关的责任和蒙受损失。</w:t>
      </w:r>
      <w:r>
        <w:rPr>
          <w:rFonts w:hint="eastAsia" w:hAnsi="宋体" w:cs="宋体"/>
          <w:color w:val="000000"/>
          <w:szCs w:val="24"/>
          <w:highlight w:val="none"/>
        </w:rPr>
      </w:r>
      <w:r/>
    </w:p>
    <w:p>
      <w:pPr>
        <w:pStyle w:val="994"/>
        <w:ind w:firstLine="480"/>
        <w:widowControl w:val="off"/>
        <w:rPr>
          <w:rFonts w:hint="eastAsia" w:hAnsi="宋体" w:cs="宋体"/>
          <w:color w:val="000000"/>
          <w:szCs w:val="24"/>
          <w:highlight w:val="none"/>
        </w:rPr>
      </w:pPr>
      <w:r>
        <w:rPr>
          <w:rFonts w:hint="eastAsia" w:hAnsi="宋体" w:cs="宋体"/>
          <w:color w:val="000000"/>
          <w:szCs w:val="24"/>
          <w:highlight w:val="none"/>
        </w:rPr>
        <w:t xml:space="preserve">（二）项目要求：</w:t>
      </w:r>
      <w:r>
        <w:rPr>
          <w:rFonts w:hint="eastAsia" w:hAnsi="宋体" w:cs="宋体"/>
          <w:color w:val="000000"/>
          <w:szCs w:val="24"/>
          <w:highlight w:val="none"/>
        </w:rPr>
      </w:r>
      <w:r/>
    </w:p>
    <w:p>
      <w:pPr>
        <w:pStyle w:val="994"/>
        <w:ind w:firstLine="480"/>
        <w:widowControl w:val="off"/>
        <w:rPr>
          <w:rFonts w:hint="eastAsia" w:hAnsi="宋体" w:cs="宋体"/>
          <w:color w:val="000000"/>
          <w:szCs w:val="24"/>
          <w:highlight w:val="none"/>
        </w:rPr>
      </w:pPr>
      <w:r>
        <w:rPr>
          <w:rFonts w:hint="eastAsia" w:hAnsi="宋体" w:cs="宋体"/>
          <w:color w:val="000000"/>
          <w:szCs w:val="24"/>
          <w:highlight w:val="none"/>
        </w:rPr>
        <w:t xml:space="preserve">1、总体要求：</w:t>
      </w:r>
      <w:r>
        <w:rPr>
          <w:rFonts w:hint="eastAsia" w:hAnsi="宋体" w:cs="宋体"/>
          <w:color w:val="000000"/>
          <w:szCs w:val="24"/>
          <w:highlight w:val="none"/>
        </w:rPr>
      </w:r>
      <w:r/>
    </w:p>
    <w:p>
      <w:pPr>
        <w:pStyle w:val="994"/>
        <w:ind w:firstLine="480"/>
        <w:widowControl w:val="off"/>
        <w:rPr>
          <w:rFonts w:hint="eastAsia" w:hAnsi="宋体" w:cs="宋体"/>
          <w:color w:val="000000"/>
          <w:szCs w:val="24"/>
          <w:highlight w:val="none"/>
        </w:rPr>
      </w:pPr>
      <w:r>
        <w:rPr>
          <w:rFonts w:hint="eastAsia" w:hAnsi="宋体" w:cs="宋体"/>
          <w:color w:val="000000"/>
          <w:szCs w:val="24"/>
          <w:highlight w:val="none"/>
        </w:rPr>
        <w:t xml:space="preserve">工艺流程参数基本反映污水原水质实际情况、适度考虑波动系数；</w:t>
      </w:r>
      <w:r>
        <w:rPr>
          <w:rFonts w:hint="eastAsia" w:hAnsi="宋体" w:cs="宋体"/>
          <w:color w:val="000000"/>
          <w:szCs w:val="24"/>
          <w:highlight w:val="none"/>
        </w:rPr>
      </w:r>
      <w:r/>
    </w:p>
    <w:p>
      <w:pPr>
        <w:pStyle w:val="994"/>
        <w:ind w:firstLine="480"/>
        <w:widowControl w:val="off"/>
        <w:rPr>
          <w:rFonts w:hint="eastAsia" w:hAnsi="宋体" w:cs="宋体"/>
          <w:color w:val="000000"/>
          <w:szCs w:val="24"/>
          <w:highlight w:val="none"/>
        </w:rPr>
      </w:pPr>
      <w:r>
        <w:rPr>
          <w:rFonts w:hint="eastAsia" w:hAnsi="宋体" w:cs="宋体"/>
          <w:color w:val="000000"/>
          <w:szCs w:val="24"/>
          <w:highlight w:val="none"/>
        </w:rPr>
        <w:t xml:space="preserve">工艺流程设计符合技术规范要求，综合运行成本低；</w:t>
      </w:r>
      <w:r>
        <w:rPr>
          <w:rFonts w:hint="eastAsia" w:hAnsi="宋体" w:cs="宋体"/>
          <w:color w:val="000000"/>
          <w:szCs w:val="24"/>
          <w:highlight w:val="none"/>
        </w:rPr>
      </w:r>
      <w:r/>
    </w:p>
    <w:p>
      <w:pPr>
        <w:pStyle w:val="994"/>
        <w:ind w:firstLine="480"/>
        <w:widowControl w:val="off"/>
        <w:rPr>
          <w:rFonts w:hint="eastAsia" w:hAnsi="宋体" w:cs="宋体"/>
          <w:color w:val="000000"/>
          <w:szCs w:val="24"/>
          <w:highlight w:val="none"/>
        </w:rPr>
      </w:pPr>
      <w:r>
        <w:rPr>
          <w:rFonts w:hint="eastAsia" w:hAnsi="宋体" w:cs="宋体"/>
          <w:color w:val="000000"/>
          <w:szCs w:val="24"/>
          <w:highlight w:val="none"/>
        </w:rPr>
        <w:t xml:space="preserve">工艺及设备的选用，确保安全、高效、可靠、简便，确保污水处理后长期稳定达到标。</w:t>
      </w:r>
      <w:r>
        <w:rPr>
          <w:rFonts w:hint="eastAsia" w:hAnsi="宋体" w:cs="宋体"/>
          <w:color w:val="000000"/>
          <w:szCs w:val="24"/>
          <w:highlight w:val="none"/>
        </w:rPr>
      </w:r>
      <w:r/>
    </w:p>
    <w:p>
      <w:pPr>
        <w:pStyle w:val="994"/>
        <w:ind w:firstLine="480"/>
        <w:widowControl w:val="off"/>
        <w:rPr>
          <w:rFonts w:hint="eastAsia" w:hAnsi="宋体" w:cs="宋体"/>
          <w:color w:val="000000"/>
          <w:szCs w:val="24"/>
          <w:highlight w:val="none"/>
        </w:rPr>
      </w:pPr>
      <w:r>
        <w:rPr>
          <w:rFonts w:hint="eastAsia" w:hAnsi="宋体" w:cs="宋体"/>
          <w:color w:val="000000"/>
          <w:szCs w:val="24"/>
          <w:highlight w:val="none"/>
        </w:rPr>
        <w:t xml:space="preserve">采用先进的处理工艺，实现高水平自动控制，降低人工操作负荷，运行、管理、维修方便。</w:t>
      </w:r>
      <w:r>
        <w:rPr>
          <w:rFonts w:hint="eastAsia" w:hAnsi="宋体" w:cs="宋体"/>
          <w:color w:val="000000"/>
          <w:szCs w:val="24"/>
          <w:highlight w:val="none"/>
        </w:rPr>
      </w:r>
      <w:r/>
    </w:p>
    <w:p>
      <w:pPr>
        <w:pStyle w:val="994"/>
        <w:ind w:firstLine="480"/>
        <w:widowControl w:val="off"/>
        <w:rPr>
          <w:rFonts w:hint="eastAsia" w:hAnsi="宋体" w:cs="宋体"/>
          <w:color w:val="000000"/>
          <w:szCs w:val="24"/>
          <w:highlight w:val="none"/>
        </w:rPr>
      </w:pPr>
      <w:r>
        <w:rPr>
          <w:rFonts w:hint="eastAsia" w:hAnsi="宋体" w:cs="宋体"/>
          <w:color w:val="000000"/>
          <w:szCs w:val="24"/>
          <w:highlight w:val="none"/>
        </w:rPr>
        <w:t xml:space="preserve">2、工艺流程：</w:t>
      </w:r>
      <w:r>
        <w:rPr>
          <w:rFonts w:hint="eastAsia" w:hAnsi="宋体" w:cs="宋体"/>
          <w:color w:val="000000"/>
          <w:szCs w:val="24"/>
          <w:highlight w:val="none"/>
        </w:rPr>
      </w:r>
      <w:r/>
    </w:p>
    <w:p>
      <w:pPr>
        <w:pStyle w:val="994"/>
        <w:ind w:firstLine="480"/>
        <w:widowControl w:val="off"/>
        <w:rPr>
          <w:rFonts w:hint="eastAsia" w:hAnsi="宋体" w:cs="宋体"/>
          <w:color w:val="000000"/>
          <w:szCs w:val="24"/>
          <w:highlight w:val="none"/>
        </w:rPr>
      </w:pPr>
      <w:r>
        <w:rPr>
          <w:rFonts w:hint="eastAsia" w:hAnsi="宋体" w:cs="宋体"/>
          <w:color w:val="000000"/>
          <w:szCs w:val="24"/>
          <w:highlight w:val="none"/>
        </w:rPr>
        <w:t xml:space="preserve">本项目采用“格栅+调节+化混沉淀+生化沉淀+过滤+消毒”处理工艺。</w:t>
      </w:r>
      <w:r>
        <w:rPr>
          <w:rFonts w:hint="eastAsia" w:hAnsi="宋体" w:cs="宋体"/>
          <w:color w:val="000000"/>
          <w:szCs w:val="24"/>
          <w:highlight w:val="none"/>
        </w:rPr>
      </w:r>
      <w:r/>
    </w:p>
    <w:p>
      <w:pPr>
        <w:pStyle w:val="994"/>
        <w:ind w:firstLine="480"/>
        <w:widowControl w:val="off"/>
        <w:rPr>
          <w:rFonts w:hint="eastAsia" w:hAnsi="宋体" w:cs="宋体"/>
          <w:color w:val="000000"/>
          <w:szCs w:val="24"/>
          <w:highlight w:val="none"/>
        </w:rPr>
      </w:pPr>
      <w:r>
        <w:rPr>
          <w:rFonts w:hint="eastAsia" w:hAnsi="宋体" w:cs="宋体"/>
          <w:color w:val="000000"/>
          <w:szCs w:val="24"/>
          <w:highlight w:val="none"/>
        </w:rPr>
        <w:t xml:space="preserve">3、排放标准：</w:t>
      </w:r>
      <w:r>
        <w:rPr>
          <w:rFonts w:hint="eastAsia" w:hAnsi="宋体" w:cs="宋体"/>
          <w:color w:val="000000"/>
          <w:szCs w:val="24"/>
          <w:highlight w:val="none"/>
        </w:rPr>
      </w:r>
      <w:r/>
    </w:p>
    <w:p>
      <w:pPr>
        <w:pStyle w:val="994"/>
        <w:ind w:firstLine="480"/>
        <w:widowControl w:val="off"/>
        <w:rPr>
          <w:rFonts w:hint="eastAsia" w:hAnsi="宋体" w:cs="宋体"/>
          <w:color w:val="000000"/>
          <w:szCs w:val="24"/>
          <w:highlight w:val="none"/>
        </w:rPr>
      </w:pPr>
      <w:r>
        <w:rPr>
          <w:rFonts w:hint="eastAsia" w:hAnsi="宋体" w:cs="宋体"/>
          <w:color w:val="000000"/>
          <w:szCs w:val="24"/>
          <w:highlight w:val="none"/>
        </w:rPr>
        <w:t xml:space="preserve">根据要求，本次设计处理后纳管外排水质指标执行《医疗机构水污染排放标准》(GB18466-2005)表2中的综合医疗机构和其它医疗机构水污染物排放限值（日均值）。</w:t>
      </w:r>
      <w:r>
        <w:rPr>
          <w:rFonts w:hint="eastAsia" w:hAnsi="宋体" w:cs="宋体"/>
          <w:color w:val="000000"/>
          <w:szCs w:val="24"/>
          <w:highlight w:val="none"/>
        </w:rPr>
      </w:r>
      <w:r/>
    </w:p>
    <w:p>
      <w:pPr>
        <w:pStyle w:val="994"/>
        <w:ind w:firstLine="480"/>
        <w:widowControl w:val="off"/>
        <w:rPr>
          <w:rFonts w:hint="eastAsia" w:hAnsi="宋体" w:cs="宋体"/>
          <w:color w:val="000000"/>
          <w:szCs w:val="24"/>
          <w:highlight w:val="none"/>
        </w:rPr>
      </w:pPr>
      <w:r>
        <w:rPr>
          <w:rFonts w:hint="eastAsia" w:hAnsi="宋体" w:cs="宋体"/>
          <w:color w:val="000000"/>
          <w:szCs w:val="24"/>
          <w:highlight w:val="none"/>
        </w:rPr>
        <w:t xml:space="preserve">4、运维服务：</w:t>
      </w:r>
      <w:r>
        <w:rPr>
          <w:rFonts w:hint="eastAsia" w:hAnsi="宋体" w:cs="宋体"/>
          <w:color w:val="000000"/>
          <w:szCs w:val="24"/>
          <w:highlight w:val="none"/>
        </w:rPr>
      </w:r>
      <w:r/>
    </w:p>
    <w:p>
      <w:pPr>
        <w:pStyle w:val="994"/>
        <w:ind w:firstLine="480"/>
        <w:widowControl w:val="off"/>
        <w:rPr>
          <w:rFonts w:hint="eastAsia" w:hAnsi="宋体" w:cs="宋体"/>
          <w:color w:val="000000"/>
          <w:szCs w:val="24"/>
          <w:highlight w:val="none"/>
        </w:rPr>
      </w:pPr>
      <w:r>
        <w:rPr>
          <w:rFonts w:hint="eastAsia" w:hAnsi="宋体" w:cs="宋体"/>
          <w:color w:val="000000"/>
          <w:szCs w:val="24"/>
          <w:highlight w:val="none"/>
        </w:rPr>
        <w:t xml:space="preserve">污水处理系统运行管理外包服务：负责医院污水处理设施的运行维护管理，投标人应按照招标文件要求负责上述污水处理设施设备维护保养、正常运转及池体定期清淤、水质检测报告、水质达标排放、配合环保和疾控及其他相关部门检查等，包括但不限于同时负责运行维护人员的管理及安全责任。</w:t>
      </w:r>
      <w:r>
        <w:rPr>
          <w:rFonts w:hint="eastAsia" w:hAnsi="宋体" w:cs="宋体"/>
          <w:color w:val="000000"/>
          <w:szCs w:val="24"/>
          <w:highlight w:val="none"/>
        </w:rPr>
      </w:r>
      <w:r/>
    </w:p>
    <w:p>
      <w:pPr>
        <w:pStyle w:val="994"/>
        <w:ind w:firstLine="480"/>
        <w:widowControl w:val="off"/>
        <w:rPr>
          <w:rFonts w:hint="eastAsia" w:hAnsi="宋体" w:cs="宋体"/>
          <w:color w:val="000000"/>
          <w:szCs w:val="24"/>
          <w:highlight w:val="none"/>
        </w:rPr>
      </w:pPr>
      <w:r>
        <w:rPr>
          <w:rFonts w:hint="eastAsia" w:hAnsi="宋体" w:cs="宋体"/>
          <w:color w:val="000000"/>
          <w:szCs w:val="24"/>
          <w:highlight w:val="none"/>
        </w:rPr>
        <w:t xml:space="preserve">5、电气系统：</w:t>
      </w:r>
      <w:r>
        <w:rPr>
          <w:rFonts w:hint="eastAsia" w:hAnsi="宋体" w:cs="宋体"/>
          <w:color w:val="000000"/>
          <w:szCs w:val="24"/>
          <w:highlight w:val="none"/>
        </w:rPr>
      </w:r>
      <w:r/>
    </w:p>
    <w:p>
      <w:pPr>
        <w:pStyle w:val="994"/>
        <w:ind w:firstLine="480"/>
        <w:widowControl w:val="off"/>
        <w:rPr>
          <w:rFonts w:hint="eastAsia" w:hAnsi="宋体" w:cs="宋体"/>
          <w:color w:val="000000"/>
          <w:szCs w:val="24"/>
          <w:highlight w:val="none"/>
        </w:rPr>
      </w:pPr>
      <w:r>
        <w:rPr>
          <w:rFonts w:hint="eastAsia" w:hAnsi="宋体" w:cs="宋体"/>
          <w:color w:val="000000"/>
          <w:szCs w:val="24"/>
          <w:highlight w:val="none"/>
        </w:rPr>
        <w:t xml:space="preserve">采购人负责提供与成套设备相匹配的电源至成套设备总配电柜，成套系统设备所有电气设备和电缆及安装材料由投标人负责设计、供货、安装及调试；</w:t>
      </w:r>
      <w:r>
        <w:rPr>
          <w:rFonts w:hint="eastAsia" w:hAnsi="宋体" w:cs="宋体"/>
          <w:color w:val="000000"/>
          <w:szCs w:val="24"/>
          <w:highlight w:val="none"/>
        </w:rPr>
      </w:r>
      <w:r/>
    </w:p>
    <w:p>
      <w:pPr>
        <w:pStyle w:val="994"/>
        <w:ind w:firstLine="480"/>
        <w:widowControl w:val="off"/>
        <w:rPr>
          <w:rFonts w:hint="eastAsia" w:hAnsi="宋体" w:cs="宋体"/>
          <w:color w:val="000000"/>
          <w:szCs w:val="24"/>
          <w:highlight w:val="none"/>
        </w:rPr>
      </w:pPr>
      <w:r>
        <w:rPr>
          <w:rFonts w:hint="eastAsia" w:hAnsi="宋体" w:cs="宋体"/>
          <w:color w:val="000000"/>
          <w:szCs w:val="24"/>
          <w:highlight w:val="none"/>
        </w:rPr>
        <w:t xml:space="preserve">所有设施的供配电设施（投标人必须按提供设备的实际功率要求），包括电机的保护及启动控制装置、电缆、母线槽、桥架、按钮箱、接线盒、电源检修设施等有关设备的采购、安装及调试。</w:t>
      </w:r>
      <w:r>
        <w:rPr>
          <w:rFonts w:hint="eastAsia" w:hAnsi="宋体" w:cs="宋体"/>
          <w:color w:val="000000"/>
          <w:szCs w:val="24"/>
          <w:highlight w:val="none"/>
        </w:rPr>
      </w:r>
      <w:r/>
    </w:p>
    <w:p>
      <w:pPr>
        <w:pStyle w:val="994"/>
        <w:ind w:firstLine="480"/>
        <w:widowControl w:val="off"/>
        <w:rPr>
          <w:rFonts w:hint="eastAsia" w:hAnsi="宋体"/>
          <w:color w:val="000000"/>
          <w:szCs w:val="24"/>
          <w:highlight w:val="none"/>
        </w:rPr>
      </w:pPr>
      <w:r>
        <w:rPr>
          <w:rFonts w:hint="eastAsia" w:hAnsi="宋体"/>
          <w:color w:val="000000"/>
          <w:szCs w:val="24"/>
          <w:highlight w:val="none"/>
        </w:rPr>
        <w:t xml:space="preserve">（三）项目服务要求：</w:t>
      </w:r>
      <w:r>
        <w:rPr>
          <w:rFonts w:hint="eastAsia" w:hAnsi="宋体"/>
          <w:color w:val="000000"/>
          <w:szCs w:val="24"/>
          <w:highlight w:val="none"/>
        </w:rPr>
      </w:r>
      <w:r/>
    </w:p>
    <w:p>
      <w:pPr>
        <w:pStyle w:val="994"/>
        <w:ind w:firstLine="480"/>
        <w:widowControl w:val="off"/>
        <w:rPr>
          <w:rFonts w:hint="eastAsia" w:hAnsi="宋体"/>
          <w:color w:val="000000"/>
          <w:szCs w:val="24"/>
          <w:highlight w:val="none"/>
        </w:rPr>
      </w:pPr>
      <w:r>
        <w:rPr>
          <w:rFonts w:hint="eastAsia" w:hAnsi="宋体"/>
          <w:color w:val="000000"/>
          <w:szCs w:val="24"/>
          <w:highlight w:val="none"/>
        </w:rPr>
        <w:t xml:space="preserve">1、投标人须为本项目配备项目负责人1名，</w:t>
      </w:r>
      <w:r>
        <w:rPr>
          <w:rFonts w:hint="eastAsia" w:hAnsi="宋体" w:cs="宋体"/>
          <w:color w:val="000000"/>
          <w:szCs w:val="24"/>
          <w:highlight w:val="none"/>
          <w:lang w:bidi="ar"/>
        </w:rPr>
        <w:t xml:space="preserve">运维</w:t>
      </w:r>
      <w:r>
        <w:rPr>
          <w:rFonts w:hint="eastAsia" w:hAnsi="宋体"/>
          <w:color w:val="000000"/>
          <w:szCs w:val="24"/>
          <w:highlight w:val="none"/>
        </w:rPr>
        <w:t xml:space="preserve">人员不低于2名（男性，55周岁以下），后续项目实施及质保</w:t>
      </w:r>
      <w:r>
        <w:rPr>
          <w:rFonts w:hint="eastAsia" w:hAnsi="宋体" w:cs="宋体"/>
          <w:color w:val="000000"/>
          <w:szCs w:val="24"/>
          <w:highlight w:val="none"/>
          <w:lang w:bidi="ar"/>
        </w:rPr>
        <w:t xml:space="preserve">运维</w:t>
      </w:r>
      <w:r>
        <w:rPr>
          <w:rFonts w:hint="eastAsia" w:hAnsi="宋体"/>
          <w:color w:val="000000"/>
          <w:szCs w:val="24"/>
          <w:highlight w:val="none"/>
        </w:rPr>
        <w:t xml:space="preserve">过程中作现场核验。</w:t>
      </w:r>
      <w:r>
        <w:rPr>
          <w:rFonts w:hint="eastAsia" w:hAnsi="宋体"/>
          <w:color w:val="000000"/>
          <w:szCs w:val="24"/>
          <w:highlight w:val="none"/>
        </w:rPr>
      </w:r>
      <w:r/>
    </w:p>
    <w:p>
      <w:pPr>
        <w:pStyle w:val="994"/>
        <w:ind w:firstLine="480"/>
        <w:widowControl w:val="off"/>
        <w:rPr>
          <w:rFonts w:hint="eastAsia" w:hAnsi="宋体"/>
          <w:color w:val="000000"/>
          <w:szCs w:val="24"/>
          <w:highlight w:val="none"/>
        </w:rPr>
      </w:pPr>
      <w:r>
        <w:rPr>
          <w:rFonts w:hint="eastAsia" w:hAnsi="宋体"/>
          <w:color w:val="000000"/>
          <w:szCs w:val="24"/>
          <w:highlight w:val="none"/>
        </w:rPr>
        <w:t xml:space="preserve">3、投标人须按照项目需求，提出项目组织计划、设备配备等，并在本项目中投入充足以保障项目顺利实施。</w:t>
      </w:r>
      <w:r>
        <w:rPr>
          <w:rFonts w:hint="eastAsia" w:hAnsi="宋体"/>
          <w:color w:val="000000"/>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三、综合要求：</w:t>
      </w:r>
      <w:r>
        <w:rPr>
          <w:rFonts w:hint="eastAsia" w:ascii="宋体" w:hAnsi="宋体" w:eastAsia="宋体" w:cs="宋体"/>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所提供的相关货物或服务应符合国家有关标准和规范，并遵循招标文件的要求，应达到或优于采购要求，并提供详细说明。若招标要求中涉及品牌或品牌导向，则仅作参考。投标文件必须如实进行实质性响应，量化指标必须列明具体数值。投标人在其投标文件中对于招标文件已提供以及未提供的货物或服务情况均须进行完整的阐述和说明，否则其投标文件将有被拒绝的可能。</w:t>
      </w:r>
      <w:r>
        <w:rPr>
          <w:rFonts w:hint="eastAsia" w:ascii="宋体" w:hAnsi="宋体" w:eastAsia="宋体" w:cs="宋体"/>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提供的投标文件内容须真实、准确、有效，如提供虚假材料或对招标文件所要求说明的情况故意隐瞒或虚报，视为不实质性响应采购要求，其投标文件将被拒绝。已中标的将取消中标资格，并按《中华人民共和国政府采购法》第七十七条的相关办法处理。</w:t>
      </w:r>
      <w:r>
        <w:rPr>
          <w:rFonts w:hint="eastAsia" w:ascii="宋体" w:hAnsi="宋体" w:eastAsia="宋体" w:cs="宋体"/>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3、投标人应保证</w:t>
      </w:r>
      <w:r>
        <w:rPr>
          <w:rFonts w:hint="eastAsia" w:ascii="宋体" w:hAnsi="宋体" w:eastAsia="宋体" w:cs="宋体"/>
          <w:color w:val="000000"/>
          <w:sz w:val="24"/>
          <w:szCs w:val="24"/>
          <w:highlight w:val="none"/>
          <w:lang w:val="zh-CN"/>
        </w:rPr>
        <w:t xml:space="preserve">对所提供货物</w:t>
      </w:r>
      <w:r>
        <w:rPr>
          <w:rFonts w:hint="eastAsia" w:ascii="宋体" w:hAnsi="宋体" w:eastAsia="宋体" w:cs="宋体"/>
          <w:color w:val="000000"/>
          <w:sz w:val="24"/>
          <w:szCs w:val="24"/>
          <w:highlight w:val="none"/>
        </w:rPr>
        <w:t xml:space="preserve">或</w:t>
      </w:r>
      <w:r>
        <w:rPr>
          <w:rFonts w:hint="eastAsia" w:ascii="宋体" w:hAnsi="宋体" w:eastAsia="宋体" w:cs="宋体"/>
          <w:color w:val="000000"/>
          <w:sz w:val="24"/>
          <w:szCs w:val="24"/>
          <w:highlight w:val="none"/>
          <w:lang w:val="zh-CN"/>
        </w:rPr>
        <w:t xml:space="preserve">服务等知识产权方面的一切产权关系负全部责任</w:t>
      </w:r>
      <w:r>
        <w:rPr>
          <w:rFonts w:hint="eastAsia" w:ascii="宋体" w:hAnsi="宋体" w:eastAsia="宋体" w:cs="宋体"/>
          <w:color w:val="000000"/>
          <w:sz w:val="24"/>
          <w:szCs w:val="24"/>
          <w:highlight w:val="none"/>
        </w:rPr>
        <w:t xml:space="preserve">，不会产生因第三方提出侵犯其专利权、商标权或其它知识产权而引起的法律和经济纠纷，如因专利权、商标权或其它知识产权而引起法律和经济纠纷，由供应商承担所有相关责任。</w:t>
      </w:r>
      <w:r>
        <w:rPr>
          <w:rFonts w:hint="eastAsia" w:ascii="宋体" w:hAnsi="宋体" w:eastAsia="宋体" w:cs="宋体"/>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标人需编制本项目的技术方案，包括但不限于污水处理工艺设计方案比较；提供系统设备安装实施方案，内容须至少包括实施部署、通用设备和主要设备安装、管道安装等方案；提供系统设备调试方案，内容须至少包括单机调试、联动调试、试运行、安装调试</w:t>
      </w:r>
      <w:r>
        <w:rPr>
          <w:rFonts w:hint="eastAsia" w:ascii="宋体" w:hAnsi="宋体" w:eastAsia="宋体" w:cs="宋体"/>
          <w:color w:val="000000"/>
          <w:sz w:val="24"/>
          <w:szCs w:val="24"/>
          <w:highlight w:val="none"/>
        </w:rPr>
        <w:t xml:space="preserve">保证措施等方案；提供实施组织方案，内容须至少包括项目团队组织、质量保证措施、工期保证措施、安全文明环保施工措施等；提供售后服务方案及应急预案，内容须至少包括售后服务团队说明、响应服务管理措施、售后服务保障措施等，应急预案及突发性事件应急处理措施等方案；提供污水站运营管理方案，内容须至少包含组织架构、管理目标、人员培训方案、安全运营管理制度、服务质量承诺及工作职责履行承诺、运行记录工作方案等；提供污水站各处理单元运行维护方案，内容须至少包含各单元的运行管理、异常问题分析与排除、日常维护、卫生与安全防护等方案。</w:t>
      </w:r>
      <w:r>
        <w:rPr>
          <w:rFonts w:hint="eastAsia" w:ascii="宋体" w:hAnsi="宋体" w:eastAsia="宋体" w:cs="宋体"/>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5、供应商拟投入本项目的团队需具有履约能力，有服务项目人员，便于项目实施。</w:t>
      </w:r>
      <w:r>
        <w:rPr>
          <w:rFonts w:hint="eastAsia" w:ascii="宋体" w:hAnsi="宋体" w:eastAsia="宋体" w:cs="宋体"/>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6、供应商需有丰富的类似项目经验、荣誉表彰等内容。</w:t>
      </w:r>
      <w:r>
        <w:rPr>
          <w:rFonts w:hint="eastAsia" w:ascii="宋体" w:hAnsi="宋体" w:eastAsia="宋体" w:cs="宋体"/>
          <w:color w:val="000000"/>
          <w:sz w:val="24"/>
          <w:szCs w:val="24"/>
          <w:highlight w:val="none"/>
        </w:rPr>
      </w:r>
      <w:r/>
    </w:p>
    <w:p>
      <w:pPr>
        <w:pStyle w:val="976"/>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本次采购人拟采购的产品均不属于《节能产品政府采购品目清单》范围内的政府强制采购产品，也不属于《节能产品政府采购品目清单》、《环境标志产品政府采购品目清单》范围内优先采购的产品（不包含政府强制采购产品）。</w:t>
      </w:r>
      <w:r>
        <w:rPr>
          <w:rFonts w:ascii="宋体" w:hAnsi="宋体" w:eastAsia="宋体" w:cs="宋体"/>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投标人所投产品如属于国家认证认可监督管理委员会现行《强制性产品认证目录描述与界定表》管理的强制性认证产品，中标人在提请采购人验收时须提供上述产品的对应证书，否则采购人有权不予验收，且中标人应承担由此而引起的一切法律责任和费用。</w:t>
      </w:r>
      <w:r>
        <w:rPr>
          <w:rFonts w:hint="eastAsia" w:ascii="宋体" w:hAnsi="宋体" w:eastAsia="宋体" w:cs="宋体"/>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9、供应商在项目实施期间应无条件的接受采购人的监督管理，提出的质量问题要及时整改，整改完毕后通知采购人检查验收，合格后书面报送采购人备案。</w:t>
      </w:r>
      <w:r>
        <w:rPr>
          <w:rFonts w:hint="eastAsia" w:ascii="宋体" w:hAnsi="宋体" w:eastAsia="宋体" w:cs="宋体"/>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10、与本次采购项目有关的质量、安全问题均由中标人终生负责，相关的人员、财产责任风险均由中标人全部承担，与他人无涉。</w:t>
      </w:r>
      <w:r>
        <w:rPr>
          <w:rFonts w:hint="eastAsia" w:ascii="宋体" w:hAnsi="宋体" w:eastAsia="宋体" w:cs="宋体"/>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11、项目地点：越溪龙翔路东侧、滨溪路北侧。</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olor w:val="000000"/>
          <w:sz w:val="24"/>
          <w:szCs w:val="24"/>
          <w:highlight w:val="none"/>
        </w:rPr>
        <w:t xml:space="preserve">12</w:t>
      </w:r>
      <w:r>
        <w:rPr>
          <w:rFonts w:hint="eastAsia" w:ascii="宋体" w:hAnsi="宋体" w:eastAsia="宋体"/>
          <w:color w:val="000000"/>
          <w:sz w:val="24"/>
          <w:szCs w:val="24"/>
          <w:highlight w:val="none"/>
          <w:lang w:val="zh-CN"/>
        </w:rPr>
        <w:t xml:space="preserve">、</w:t>
      </w:r>
      <w:r>
        <w:rPr>
          <w:rFonts w:hint="eastAsia" w:ascii="宋体" w:hAnsi="宋体" w:eastAsia="宋体"/>
          <w:color w:val="000000"/>
          <w:sz w:val="24"/>
          <w:szCs w:val="24"/>
          <w:highlight w:val="none"/>
        </w:rPr>
        <w:t xml:space="preserve">质保要求</w:t>
      </w:r>
      <w:r>
        <w:rPr>
          <w:rFonts w:hint="eastAsia" w:ascii="宋体" w:hAnsi="宋体" w:eastAsia="宋体"/>
          <w:color w:val="000000"/>
          <w:sz w:val="24"/>
          <w:szCs w:val="24"/>
          <w:highlight w:val="none"/>
          <w:lang w:val="zh-CN"/>
        </w:rPr>
        <w:t xml:space="preserve">：</w:t>
      </w:r>
      <w:r>
        <w:rPr>
          <w:rFonts w:hint="eastAsia" w:ascii="宋体" w:hAnsi="宋体" w:eastAsia="宋体"/>
          <w:color w:val="000000"/>
          <w:sz w:val="24"/>
          <w:szCs w:val="24"/>
          <w:highlight w:val="none"/>
        </w:rPr>
        <w:t xml:space="preserve">投标人须为本项目提供每周7天×24小时热线和长期免费咨询服务支持，无条件响应采购人在该项目上的时间安排和备品保障要求，投标产品整体提供不低于24个月的免费质保期</w:t>
      </w:r>
      <w:r>
        <w:rPr>
          <w:rFonts w:hint="eastAsia" w:ascii="宋体" w:hAnsi="宋体" w:eastAsia="宋体" w:cs="宋体"/>
          <w:bCs/>
          <w:color w:val="000000"/>
          <w:sz w:val="24"/>
          <w:szCs w:val="24"/>
          <w:highlight w:val="none"/>
        </w:rPr>
        <w:t xml:space="preserve">（自本项目验收合格之日起计算），以及在此期间的免费维修、维护、保养、检测和非人为原因损坏的更换服务。</w:t>
      </w:r>
      <w:r>
        <w:rPr>
          <w:rFonts w:hint="eastAsia" w:ascii="宋体" w:hAnsi="宋体" w:eastAsia="宋体" w:cs="宋体"/>
          <w:bCs/>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olor w:val="000000"/>
          <w:sz w:val="24"/>
          <w:szCs w:val="24"/>
          <w:highlight w:val="none"/>
        </w:rPr>
        <w:t xml:space="preserve">13</w:t>
      </w:r>
      <w:r>
        <w:rPr>
          <w:rFonts w:hint="eastAsia" w:ascii="宋体" w:hAnsi="宋体" w:eastAsia="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验收要求：标的物须符合我国最新</w:t>
      </w:r>
      <w:r>
        <w:rPr>
          <w:rFonts w:hint="eastAsia" w:ascii="宋体" w:hAnsi="宋体" w:eastAsia="宋体" w:cs="宋体"/>
          <w:color w:val="000000"/>
          <w:sz w:val="24"/>
          <w:szCs w:val="24"/>
          <w:highlight w:val="none"/>
        </w:rPr>
        <w:t xml:space="preserve">颁布的与之相关的技术规范与标准，并同时满足招标文件要求和中标人所作承诺。在中标人完成全部采购内容并交付验收时，采购人应当自标的物交付验收之日起七个工作日内组织验收，对标的物进行详细而全面的验收，并在验收通过后出具一份验收合格报告以作为采购人的验收依据，但不作为有关标的物的最终检验结果。投标人须在其投标文件中提供一份验收办法，但此标准不得对抗相关部门的验收和招标文件中的验收要求，未提供验收办法的投标文件将被视为非实质性响应。中标人对货物或服务缺陷不予更正，采购人有权另请其他单位更正，所发生的费用由中标人承担。</w:t>
      </w:r>
      <w:r>
        <w:rPr>
          <w:rFonts w:hint="eastAsia" w:ascii="宋体" w:hAnsi="宋体" w:eastAsia="宋体" w:cs="宋体"/>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14、凡涉及招标文件的补充说明和修改，均以苏州市政府采购网上公示信息为准。</w:t>
      </w:r>
      <w:r>
        <w:rPr>
          <w:rFonts w:hint="eastAsia" w:ascii="宋体" w:hAnsi="宋体" w:eastAsia="宋体" w:cs="宋体"/>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6"/>
        <w:jc w:val="center"/>
        <w:spacing w:line="360" w:lineRule="auto"/>
        <w:tabs>
          <w:tab w:val="left" w:pos="709" w:leader="none"/>
        </w:tabs>
        <w:rPr>
          <w:rFonts w:hint="eastAsia" w:ascii="宋体" w:hAnsi="宋体" w:eastAsia="宋体" w:cs="宋体"/>
          <w:b/>
          <w:color w:val="000000"/>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b/>
          <w:color w:val="000000"/>
          <w:sz w:val="24"/>
          <w:szCs w:val="24"/>
          <w:highlight w:val="none"/>
        </w:rPr>
      </w:r>
      <w:r/>
    </w:p>
    <w:p>
      <w:pPr>
        <w:pStyle w:val="976"/>
        <w:jc w:val="center"/>
        <w:spacing w:line="360" w:lineRule="auto"/>
        <w:tabs>
          <w:tab w:val="left" w:pos="709"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第五章 合同主要条款</w:t>
      </w:r>
      <w:r>
        <w:rPr>
          <w:rFonts w:hint="eastAsia" w:ascii="宋体" w:hAnsi="宋体" w:eastAsia="宋体" w:cs="宋体"/>
          <w:b/>
          <w:color w:val="000000"/>
          <w:sz w:val="24"/>
          <w:szCs w:val="24"/>
          <w:highlight w:val="none"/>
        </w:rPr>
      </w:r>
      <w:r/>
    </w:p>
    <w:p>
      <w:pPr>
        <w:pStyle w:val="976"/>
        <w:ind w:firstLine="482"/>
        <w:spacing w:line="360" w:lineRule="auto"/>
        <w:rPr>
          <w:rFonts w:hint="eastAsia" w:ascii="宋体" w:hAnsi="宋体" w:eastAsia="宋体" w:cs="宋体"/>
          <w:b/>
          <w:color w:val="000000"/>
          <w:sz w:val="24"/>
          <w:szCs w:val="24"/>
          <w:highlight w:val="none"/>
        </w:rPr>
      </w:pPr>
      <w:r/>
      <w:bookmarkEnd w:id="8"/>
      <w:r>
        <w:rPr>
          <w:rFonts w:hint="eastAsia" w:ascii="宋体" w:hAnsi="宋体" w:eastAsia="宋体" w:cs="宋体"/>
          <w:b/>
          <w:color w:val="000000"/>
          <w:sz w:val="24"/>
          <w:szCs w:val="24"/>
          <w:highlight w:val="none"/>
        </w:rPr>
        <w:t xml:space="preserve">项目名称：苏州市吴中区公共卫生中心新建项目污水垃圾处理系统项目</w:t>
      </w:r>
      <w:r>
        <w:rPr>
          <w:rFonts w:hint="eastAsia" w:ascii="宋体" w:hAnsi="宋体" w:eastAsia="宋体" w:cs="宋体"/>
          <w:b/>
          <w:color w:val="000000"/>
          <w:sz w:val="24"/>
          <w:szCs w:val="24"/>
          <w:highlight w:val="none"/>
        </w:rPr>
      </w:r>
      <w:r/>
    </w:p>
    <w:p>
      <w:pPr>
        <w:pStyle w:val="976"/>
        <w:ind w:firstLine="482"/>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项目编号：</w:t>
      </w:r>
      <w:r>
        <w:rPr>
          <w:rFonts w:hint="eastAsia" w:ascii="宋体" w:hAnsi="宋体" w:eastAsia="宋体" w:cs="宋体"/>
          <w:b/>
          <w:color w:val="000000"/>
          <w:sz w:val="24"/>
          <w:szCs w:val="24"/>
          <w:highlight w:val="none"/>
          <w:lang w:eastAsia="zh-CN"/>
        </w:rPr>
        <w:t xml:space="preserve">JSZC-320506-SZZJ-G2024-0056</w:t>
      </w:r>
      <w:r>
        <w:rPr>
          <w:rFonts w:hint="eastAsia" w:ascii="宋体" w:hAnsi="宋体" w:eastAsia="宋体" w:cs="宋体"/>
          <w:b/>
          <w:color w:val="000000"/>
          <w:sz w:val="24"/>
          <w:szCs w:val="24"/>
          <w:highlight w:val="none"/>
          <w:lang w:eastAsia="zh-CN"/>
        </w:rPr>
      </w:r>
      <w:r/>
    </w:p>
    <w:p>
      <w:pPr>
        <w:pStyle w:val="976"/>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76"/>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甲方（项目采购人）：</w:t>
      </w:r>
      <w:r>
        <w:rPr>
          <w:rFonts w:hint="eastAsia" w:ascii="宋体" w:hAnsi="宋体" w:eastAsia="宋体" w:cs="宋体"/>
          <w:b/>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联系人： </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单位地址： </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电话：</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76"/>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乙方（中标单位）：</w:t>
      </w:r>
      <w:r>
        <w:rPr>
          <w:rFonts w:hint="eastAsia" w:ascii="宋体" w:hAnsi="宋体" w:eastAsia="宋体" w:cs="宋体"/>
          <w:b/>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联系人： </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单位地址： </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电话：</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甲方所需</w:t>
      </w:r>
      <w:r>
        <w:rPr>
          <w:rFonts w:hint="eastAsia" w:ascii="宋体" w:hAnsi="宋体" w:eastAsia="宋体" w:cs="宋体"/>
          <w:color w:val="000000"/>
          <w:sz w:val="24"/>
          <w:szCs w:val="24"/>
          <w:highlight w:val="none"/>
          <w:u w:val="single"/>
        </w:rPr>
        <w:t xml:space="preserve">苏州市吴中区公共卫生中心新建项目污水垃圾处理系统</w:t>
      </w:r>
      <w:r>
        <w:rPr>
          <w:rFonts w:hint="eastAsia" w:ascii="宋体" w:hAnsi="宋体" w:eastAsia="宋体" w:cs="宋体"/>
          <w:color w:val="000000"/>
          <w:sz w:val="24"/>
          <w:szCs w:val="24"/>
          <w:highlight w:val="none"/>
        </w:rPr>
        <w:t xml:space="preserve">项目经</w:t>
      </w:r>
      <w:r>
        <w:rPr>
          <w:rFonts w:hint="eastAsia" w:ascii="宋体" w:hAnsi="宋体" w:eastAsia="宋体" w:cs="宋体"/>
          <w:color w:val="000000"/>
          <w:sz w:val="24"/>
          <w:szCs w:val="24"/>
          <w:highlight w:val="none"/>
          <w:u w:val="single"/>
        </w:rPr>
        <w:t xml:space="preserve">苏州正杰招投标咨询服务有限公司</w:t>
      </w:r>
      <w:r>
        <w:rPr>
          <w:rFonts w:hint="eastAsia" w:ascii="宋体" w:hAnsi="宋体" w:eastAsia="宋体" w:cs="宋体"/>
          <w:color w:val="000000"/>
          <w:sz w:val="24"/>
          <w:szCs w:val="24"/>
          <w:highlight w:val="none"/>
        </w:rPr>
        <w:t xml:space="preserve">以公开招标方式进行采购，并依法确定乙方为中标</w:t>
      </w:r>
      <w:r>
        <w:rPr>
          <w:rFonts w:hint="eastAsia" w:ascii="宋体" w:hAnsi="宋体" w:eastAsia="宋体" w:cs="宋体"/>
          <w:bCs/>
          <w:color w:val="000000"/>
          <w:sz w:val="24"/>
          <w:szCs w:val="24"/>
          <w:highlight w:val="none"/>
        </w:rPr>
        <w:t xml:space="preserve">单位</w:t>
      </w:r>
      <w:r>
        <w:rPr>
          <w:rFonts w:hint="eastAsia" w:ascii="宋体" w:hAnsi="宋体" w:eastAsia="宋体" w:cs="宋体"/>
          <w:color w:val="000000"/>
          <w:sz w:val="24"/>
          <w:szCs w:val="24"/>
          <w:highlight w:val="none"/>
        </w:rPr>
        <w:t xml:space="preserve">。根据《中华人民共和国民法典》和《中华人民共和国政府采购法》等有关法律法规，为明确甲方和乙方招标过程中的权利、义务和经济责任，双方遵循平等、自愿、公平和诚实信用原则，经友好协商，同意按照下面的条款和条件订立本合同，以资共同遵守。</w:t>
      </w:r>
      <w:r>
        <w:rPr>
          <w:rFonts w:hint="eastAsia" w:ascii="宋体" w:hAnsi="宋体" w:eastAsia="宋体" w:cs="宋体"/>
          <w:color w:val="000000"/>
          <w:sz w:val="24"/>
          <w:szCs w:val="24"/>
          <w:highlight w:val="none"/>
        </w:rPr>
      </w:r>
      <w:r/>
    </w:p>
    <w:p>
      <w:pPr>
        <w:pStyle w:val="976"/>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一、合同文件</w:t>
      </w:r>
      <w:r>
        <w:rPr>
          <w:rFonts w:hint="eastAsia" w:ascii="宋体" w:hAnsi="宋体" w:eastAsia="宋体" w:cs="宋体"/>
          <w:b/>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以下文件是构成本合同不可分割的部分：</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（一）本项目招标文件；</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（二）乙方投标文件；</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（三）合同条款；</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（四）乙方做出的有关澄清、说明或者补正文件（若有）；</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（五）确定乙方的文件（包括但不限于中标通知书等）；</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（六）本合同附件（若有）。</w:t>
      </w:r>
      <w:r>
        <w:rPr>
          <w:rFonts w:hint="eastAsia" w:ascii="宋体" w:hAnsi="宋体" w:eastAsia="宋体" w:cs="宋体"/>
          <w:bCs/>
          <w:color w:val="000000"/>
          <w:sz w:val="24"/>
          <w:szCs w:val="24"/>
          <w:highlight w:val="none"/>
        </w:rPr>
      </w:r>
      <w:r/>
    </w:p>
    <w:p>
      <w:pPr>
        <w:pStyle w:val="976"/>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二、服务内容</w:t>
      </w:r>
      <w:r>
        <w:rPr>
          <w:rFonts w:hint="eastAsia" w:ascii="宋体" w:hAnsi="宋体" w:eastAsia="宋体" w:cs="宋体"/>
          <w:b/>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本合同项下乙方所提供的清单内容为：详见招标文件中的采购需求。</w:t>
      </w:r>
      <w:r>
        <w:rPr>
          <w:rFonts w:hint="eastAsia" w:ascii="宋体" w:hAnsi="宋体" w:eastAsia="宋体" w:cs="宋体"/>
          <w:bCs/>
          <w:color w:val="000000"/>
          <w:sz w:val="24"/>
          <w:szCs w:val="24"/>
          <w:highlight w:val="none"/>
        </w:rPr>
      </w:r>
      <w:r/>
    </w:p>
    <w:p>
      <w:pPr>
        <w:pStyle w:val="976"/>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三、合同金额：</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976"/>
        <w:ind w:firstLine="482"/>
        <w:spacing w:line="360" w:lineRule="auto"/>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rPr>
        <w:t xml:space="preserve">合同总金额为</w:t>
      </w:r>
      <w:r>
        <w:rPr>
          <w:rFonts w:hint="eastAsia" w:ascii="宋体" w:hAnsi="宋体" w:eastAsia="宋体" w:cs="宋体"/>
          <w:b/>
          <w:color w:val="000000"/>
          <w:sz w:val="24"/>
          <w:szCs w:val="24"/>
          <w:highlight w:val="none"/>
          <w:u w:val="single"/>
        </w:rPr>
        <w:t xml:space="preserve">人民币          元，大写：        。</w:t>
      </w:r>
      <w:r>
        <w:rPr>
          <w:rFonts w:hint="eastAsia" w:ascii="宋体" w:hAnsi="宋体" w:eastAsia="宋体" w:cs="宋体"/>
          <w:b/>
          <w:color w:val="000000"/>
          <w:sz w:val="24"/>
          <w:szCs w:val="24"/>
          <w:highlight w:val="none"/>
          <w:u w:val="single"/>
        </w:rPr>
      </w:r>
      <w:r/>
    </w:p>
    <w:p>
      <w:pPr>
        <w:pStyle w:val="976"/>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同金额包括投标产品、安装辅材及其备品备件和专用工具费用、税费及包装、运至最终目的地的运输、保险、安装调试、检测验收、技术支持与培训、质保和售后服务及相关劳务等所发生的全部费用以及乙方企业利润、税金和政策性文件规定及合同包含的所有风险、责任等各项应有费用。除非因特殊原因并经买卖双方协商同意，乙方不得再要求追加任何费用。同时，除非合同条款中另有规定，否则，乙方所报价格在合同实施期间不因市场变化因素而变动。</w:t>
      </w:r>
      <w:r>
        <w:rPr>
          <w:rFonts w:hint="eastAsia" w:ascii="宋体" w:hAnsi="宋体" w:eastAsia="宋体" w:cs="宋体"/>
          <w:b/>
          <w:color w:val="000000"/>
          <w:sz w:val="24"/>
          <w:szCs w:val="24"/>
          <w:highlight w:val="none"/>
        </w:rPr>
      </w:r>
      <w:r/>
    </w:p>
    <w:p>
      <w:pPr>
        <w:pStyle w:val="976"/>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四、付款约定： </w:t>
      </w:r>
      <w:r>
        <w:rPr>
          <w:rFonts w:hint="eastAsia" w:ascii="宋体" w:hAnsi="宋体" w:eastAsia="宋体" w:cs="宋体"/>
          <w:b/>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（1）合同生效后，甲方向乙方支付合同金额</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30％预付款；</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w:t xml:space="preserve">（2）安装完毕并单组调试验收合格后，</w:t>
      </w:r>
      <w:r>
        <w:rPr>
          <w:rFonts w:hint="eastAsia" w:ascii="宋体" w:hAnsi="宋体" w:eastAsia="宋体" w:cs="宋体"/>
          <w:b w:val="0"/>
          <w:bCs w:val="0"/>
          <w:color w:val="000000"/>
          <w:sz w:val="24"/>
          <w:szCs w:val="24"/>
          <w:highlight w:val="none"/>
        </w:rPr>
        <w:t xml:space="preserve">甲方向乙方支付合同金额的30％；</w:t>
      </w:r>
      <w:r>
        <w:rPr>
          <w:rFonts w:hint="eastAsia" w:ascii="宋体" w:hAnsi="宋体" w:eastAsia="宋体" w:cs="宋体"/>
          <w:b w:val="0"/>
          <w:bCs w:val="0"/>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（3）整体调试竣工验收合格后，甲方向乙方支付合同金额</w:t>
      </w:r>
      <w:r>
        <w:rPr>
          <w:rFonts w:hint="eastAsia" w:ascii="宋体" w:hAnsi="宋体" w:eastAsia="宋体" w:cs="宋体"/>
          <w:color w:val="000000"/>
          <w:sz w:val="24"/>
          <w:szCs w:val="24"/>
          <w:highlight w:val="none"/>
        </w:rPr>
        <w:t xml:space="preserve">的20％；</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（4）竣工验收合格，并且审计结束出具审计定案书，按审定价付到95％；</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（5）竣工验收合格后的第24个月，并且审计结束，乙方向甲方提供“项目尾款等额”的银行保函，经甲方审查同意支付与保函金额相同的尾款。</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（6）质保期满，退回银行保函。</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注：①、如果质保期为24个月，上述第(5)、(6)条中满足条件后则不需提供尾款银行保函，直接付清尾款。</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②、甲方每次付款前，乙方均应当向甲方开具等额、合法的增值税发票，否则甲方有权延迟付款且无须承担任何责任。</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2、结算方法：本合同采用固定综合单价（详见乙方的投标报价），数量按实结算，如无参考单价则由甲乙双方共同确定综合单价，数量按实际发生结算。</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3、价款结算时，需提供以下资料：</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A.足额合格的发票。</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B.验收合格证明。</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4、付款方式：银行转帐。</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甲方根据乙方在本合同中所提供银行开户信息转账支付。 </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乙方开户名称：                </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开户银行：                                </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银行账号：             </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乙方银行账户如需变更，应至少于付款期限届满前10个工作日书面通知甲方，否则产生的一切责任、因变更引起的额外费用由乙方承担。</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5、关于结算审计：</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5.1、竣工结算审计核减率＞7％，超额部分审计费按政府有关规定由承包人承担；</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5.2、竣工结算审计核减率＞15％，承包人除按①付费外，还需按超额部分造价×10％作为罚款付给发包人，发包人在工程款支付时扣除；</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5.3、考虑到审计工作的严肃性，一份合同（含由它延伸的补充协议）增补送审结算的机会不超过一次，且增补送审总额≤第一次送审总价的2％；</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5.4、采购内容清单中，有相同子项的，变更增加的数量不能超过10％；采购招标清单中，没有相同子项的，不得新增，类似也不行（包括参数微调）。违反此规定的工作内容，业主不支付此类费用，也不送审计局进行审计。</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5.5、本次采购预算限价已经由“华建事务所《华建[2024]BW007》”确定，审计时涉及的综合单价（或材料单价或费率）调整以及审计过程中可能发生的争议，皆按照该报告对应的标底及其组价为基准（而不是中标单价）进行调整（再同比例下浮），当标底清单描述与标底组价矛盾时、以组价为准。</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6、根据国家现行税法对甲方征收的与本合同有关的税费均由甲方承担；根据国家现行税法对乙方征收的与本合同有关的一切税费均由乙方承担。</w:t>
      </w:r>
      <w:r>
        <w:rPr>
          <w:rFonts w:hint="eastAsia" w:ascii="宋体" w:hAnsi="宋体" w:eastAsia="宋体" w:cs="宋体"/>
          <w:bCs/>
          <w:color w:val="000000"/>
          <w:sz w:val="24"/>
          <w:szCs w:val="24"/>
          <w:highlight w:val="none"/>
        </w:rPr>
      </w:r>
      <w:r/>
    </w:p>
    <w:p>
      <w:pPr>
        <w:pStyle w:val="976"/>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五、交货履行期限、地点：</w:t>
      </w:r>
      <w:r>
        <w:rPr>
          <w:rFonts w:hint="eastAsia" w:ascii="宋体" w:hAnsi="宋体" w:eastAsia="宋体" w:cs="宋体"/>
          <w:b/>
          <w:color w:val="000000"/>
          <w:sz w:val="24"/>
          <w:szCs w:val="24"/>
          <w:highlight w:val="none"/>
        </w:rPr>
      </w:r>
      <w:r/>
    </w:p>
    <w:p>
      <w:pPr>
        <w:pStyle w:val="976"/>
        <w:ind w:firstLine="48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1、交货履行期限：</w:t>
      </w:r>
      <w:r>
        <w:rPr>
          <w:rFonts w:hint="eastAsia" w:ascii="宋体" w:hAnsi="宋体" w:eastAsia="宋体" w:cs="宋体"/>
          <w:color w:val="000000"/>
          <w:sz w:val="24"/>
          <w:szCs w:val="24"/>
          <w:highlight w:val="none"/>
        </w:rPr>
        <w:t xml:space="preserve">自2025年1月8日起至2025年3月10日止</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2、交货地点：越溪龙翔路东侧、滨溪路北侧。</w:t>
      </w:r>
      <w:r>
        <w:rPr>
          <w:rFonts w:hint="eastAsia" w:ascii="宋体" w:hAnsi="宋体" w:eastAsia="宋体" w:cs="宋体"/>
          <w:bCs/>
          <w:color w:val="000000"/>
          <w:sz w:val="24"/>
          <w:szCs w:val="24"/>
          <w:highlight w:val="none"/>
        </w:rPr>
      </w:r>
      <w:r/>
    </w:p>
    <w:p>
      <w:pPr>
        <w:pStyle w:val="976"/>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六、包装与运输： </w:t>
      </w:r>
      <w:r>
        <w:rPr>
          <w:rFonts w:hint="eastAsia" w:ascii="宋体" w:hAnsi="宋体" w:eastAsia="宋体" w:cs="宋体"/>
          <w:b/>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1、乙方应妥善包装货物，适合运输、防潮、防湿、防锈、耐野蛮装卸，任何由于乙方包装不善而造成的损失由乙方负责； </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2、乙方包装货物时，必须附有装箱清单。 </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乙方应自行选择适宜的运输工具及线路安排货物运输。甲方采购货物的包装、运输费用、装卸费由乙方承担，货物交付之前，货物毁损、灭失的风险由乙方承担。货物自到达甲方指定地点并装卸入库后视为交付。交付后，货物毁损、灭失的风险由甲方承担。</w:t>
      </w:r>
      <w:r>
        <w:rPr>
          <w:rFonts w:hint="eastAsia" w:ascii="宋体" w:hAnsi="宋体" w:eastAsia="宋体" w:cs="宋体"/>
          <w:bCs/>
          <w:color w:val="000000"/>
          <w:sz w:val="24"/>
          <w:szCs w:val="24"/>
          <w:highlight w:val="none"/>
        </w:rPr>
      </w:r>
      <w:r/>
    </w:p>
    <w:p>
      <w:pPr>
        <w:pStyle w:val="976"/>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七、质量保证：</w:t>
      </w:r>
      <w:r>
        <w:rPr>
          <w:rFonts w:hint="eastAsia" w:ascii="宋体" w:hAnsi="宋体" w:eastAsia="宋体" w:cs="宋体"/>
          <w:b/>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1、乙方应保证货物的生产、安装、检验检测、调试等各项技术标准，应当符合国家或行业标准。 </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2、乙方应保证提供给甲方的货物是货物生产厂商原造的，全新、未使用过的，产品质量符合国家或行业标准、招标文件所列的各项要求以及乙方在投标文件中响应的其它指标。 </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3、乙方应保证提供给甲方的货物是自带出厂质保期的，并通过货物生产厂商的出厂检验合格的，须提供质量合格证书。 </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4、乙方应保证所提供的货物经正确安装、合理操作和维护保养在其使用寿命期内具有令甲方满意的性能，并对由于合同货物的设计、工艺或材料的缺陷而发生的任何故障负责。 </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乙方应保证甲方在中国境内使用货物或货物的任何一部分时，免受第三方提出的侵犯其知识产权的诉讼。如甲方因合同货物的知识产权原因而受到第三方的索赔请求，乙方应负责处理，承担相关法律责任，并承担甲方因此发生的全部费用及损失。 </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乙方应保证其对货物的销售不损害任何第三方的合法权益和社会公众利益。任何第三方不会因乙方原因而基于所有权、抵押权、留置权或其他任何权利或事由对合同货物主张权利。如出现此类情况，乙方应负责处理，承担相关法律责任，并承担甲方因此发生的全部费用及损失。 </w:t>
      </w:r>
      <w:r>
        <w:rPr>
          <w:rFonts w:hint="eastAsia" w:ascii="宋体" w:hAnsi="宋体" w:eastAsia="宋体" w:cs="宋体"/>
          <w:bCs/>
          <w:color w:val="000000"/>
          <w:sz w:val="24"/>
          <w:szCs w:val="24"/>
          <w:highlight w:val="none"/>
        </w:rPr>
      </w:r>
      <w:r/>
    </w:p>
    <w:p>
      <w:pPr>
        <w:pStyle w:val="976"/>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八、检验与验收</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1、甲方有权不定期从生产原料、生产设备、工艺、环保状况、发货运输等方面进行抽查，对采购货物</w:t>
      </w:r>
      <w:r>
        <w:rPr>
          <w:rFonts w:hint="eastAsia" w:ascii="宋体" w:hAnsi="宋体" w:eastAsia="宋体" w:cs="宋体"/>
          <w:bCs/>
          <w:color w:val="000000"/>
          <w:sz w:val="24"/>
          <w:szCs w:val="24"/>
          <w:highlight w:val="none"/>
        </w:rPr>
        <w:t xml:space="preserve">的生产过程进行查看，如果发现产品质量不符合本合同约定的，甲方有权终止合同，相关损失由乙方承担。甲方将抽样检查采购货物的生产原料，查看工艺过程，企业环保相关资料、生产过程、质量保证体系、最终产品数量、保障运输防范措施等环节实施全程抽查。对生产企业不符、原材料不符或不达环保要求，生产设备不适用生产需要，生产过程环保不达标，质量监督体系缺失，生产数量不符的，用其他企业产品替代（除部分产品成交前注明除外），或进行外购半成品组装的将以违约处理，甲方将取消采购，同时乙方将承担合同总金额的10％支付违约金，并终止合同。 </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2、甲方应在所有货物安装调试完成之后一个月内组织验收，甲方应提前通知乙方检验或验收的时间地点及有关事项，若乙方未按通知参加，检验或验收可正常进行，乙方应接受检验或验收结果。 </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3、按照国家或行业标准、招标文件所列的各项要求以及乙方在投标文件中响应的其它指标，对货物的品种、规格型号、性能、质量、数量、外观以及配件等进行整体验收。 </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验收时，双方应派代表一起当场开箱验货，如发现货物短缺、质次、损坏、产地和规格不符等问题，应作详细记录由双方进行签字确认；乙方立即无条件地在三日内调换或补齐，同时由乙方承担因此而产生的一切后果。 </w:t>
      </w:r>
      <w:r>
        <w:rPr>
          <w:rFonts w:hint="eastAsia" w:ascii="宋体" w:hAnsi="宋体" w:eastAsia="宋体" w:cs="宋体"/>
          <w:bCs/>
          <w:color w:val="000000"/>
          <w:sz w:val="24"/>
          <w:szCs w:val="24"/>
          <w:highlight w:val="none"/>
        </w:rPr>
      </w:r>
      <w:r/>
    </w:p>
    <w:p>
      <w:pPr>
        <w:pStyle w:val="976"/>
        <w:ind w:firstLine="480"/>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5、乙方所供货物到达现场后，采购人有权指定相关有权部门对产品质量进行随机抽样检测，由此产生的所有费用由乙方承担，对产品进行破坏性检测后乙方须无偿补全该产品，如检测不合格，甲方有权要求整改到位，并不予结算相关费用或终止合同，相关损失和责任由成交供应商承担。</w:t>
      </w:r>
      <w:r>
        <w:rPr>
          <w:rFonts w:hint="eastAsia" w:ascii="宋体" w:hAnsi="宋体" w:eastAsia="宋体" w:cs="宋体"/>
          <w:b/>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验收结果经双方确认后，双方代表须按规定的验收项目填好《政府采购合同履行验收报告》并盖章签名。履行验收报告作为最终付款所需文件的组成部分。如双方对验收结果有分歧，则以产品质量监督部门的检验结果为准，检验费由有过失的一方支付。</w:t>
      </w:r>
      <w:r>
        <w:rPr>
          <w:rFonts w:hint="eastAsia" w:ascii="宋体" w:hAnsi="宋体" w:eastAsia="宋体" w:cs="宋体"/>
          <w:bCs/>
          <w:color w:val="000000"/>
          <w:sz w:val="24"/>
          <w:szCs w:val="24"/>
          <w:highlight w:val="none"/>
        </w:rPr>
      </w:r>
      <w:r/>
    </w:p>
    <w:p>
      <w:pPr>
        <w:pStyle w:val="976"/>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九、质保期和售后服务：</w:t>
      </w:r>
      <w:r>
        <w:rPr>
          <w:rFonts w:hint="eastAsia" w:ascii="宋体" w:hAnsi="宋体" w:eastAsia="宋体" w:cs="宋体"/>
          <w:b/>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olor w:val="000000"/>
          <w:sz w:val="24"/>
          <w:szCs w:val="24"/>
          <w:highlight w:val="none"/>
        </w:rPr>
        <w:t xml:space="preserve">乙方须为本项目提供每周7天×24小时热线和长期免费咨询服务支持，无条件响应甲方在该项目上的时间安排和备品保障要求，投标产品整体提供不低于24个月的免费质保期</w:t>
      </w:r>
      <w:r>
        <w:rPr>
          <w:rFonts w:hint="eastAsia" w:ascii="宋体" w:hAnsi="宋体" w:eastAsia="宋体" w:cs="宋体"/>
          <w:bCs/>
          <w:color w:val="000000"/>
          <w:sz w:val="24"/>
          <w:szCs w:val="24"/>
          <w:highlight w:val="none"/>
        </w:rPr>
        <w:t xml:space="preserve">（自本项目验收合格之日起计算），以及在此期间的免费维修、维护、保养、检测和非人为原因损坏的更换服务</w:t>
      </w:r>
      <w:r>
        <w:rPr>
          <w:rFonts w:hint="eastAsia" w:ascii="宋体" w:hAnsi="宋体" w:eastAsia="宋体" w:cs="宋体"/>
          <w:bCs/>
          <w:color w:val="000000"/>
          <w:sz w:val="24"/>
          <w:szCs w:val="24"/>
          <w:highlight w:val="none"/>
        </w:rPr>
      </w:r>
      <w:r/>
    </w:p>
    <w:p>
      <w:pPr>
        <w:pStyle w:val="976"/>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十、履约保证金：</w:t>
      </w:r>
      <w:r>
        <w:rPr>
          <w:rFonts w:hint="eastAsia" w:ascii="宋体" w:hAnsi="宋体" w:eastAsia="宋体" w:cs="宋体"/>
          <w:b/>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本项目：要求提交履约保证金，金额：合同金额的</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0％，要求如下：</w:t>
      </w:r>
      <w:r>
        <w:rPr>
          <w:rFonts w:hint="eastAsia" w:ascii="宋体" w:hAnsi="宋体" w:eastAsia="宋体" w:cs="宋体"/>
          <w:bCs/>
          <w:color w:val="000000"/>
          <w:sz w:val="24"/>
          <w:szCs w:val="24"/>
          <w:highlight w:val="none"/>
        </w:rPr>
      </w:r>
      <w:r/>
    </w:p>
    <w:p>
      <w:pPr>
        <w:pStyle w:val="976"/>
        <w:numPr>
          <w:ilvl w:val="0"/>
          <w:numId w:val="2"/>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在签订合同前，乙方应当以</w:t>
      </w:r>
      <w:r>
        <w:rPr>
          <w:rFonts w:hint="eastAsia" w:ascii="宋体" w:hAnsi="宋体" w:eastAsia="宋体" w:cs="宋体"/>
          <w:color w:val="000000"/>
          <w:sz w:val="24"/>
          <w:szCs w:val="24"/>
          <w:highlight w:val="none"/>
        </w:rPr>
        <w:t xml:space="preserve">银行保函形式</w:t>
      </w:r>
      <w:r>
        <w:rPr>
          <w:rFonts w:hint="eastAsia" w:ascii="宋体" w:hAnsi="宋体" w:eastAsia="宋体" w:cs="宋体"/>
          <w:bCs/>
          <w:color w:val="000000"/>
          <w:sz w:val="24"/>
          <w:szCs w:val="24"/>
          <w:highlight w:val="none"/>
        </w:rPr>
        <w:t xml:space="preserve">提交。</w:t>
      </w:r>
      <w:r>
        <w:rPr>
          <w:rFonts w:hint="eastAsia" w:ascii="宋体" w:hAnsi="宋体" w:eastAsia="宋体" w:cs="宋体"/>
          <w:bCs/>
          <w:color w:val="000000"/>
          <w:sz w:val="24"/>
          <w:szCs w:val="24"/>
          <w:highlight w:val="none"/>
        </w:rPr>
      </w:r>
      <w:r/>
    </w:p>
    <w:p>
      <w:pPr>
        <w:pStyle w:val="976"/>
        <w:numPr>
          <w:ilvl w:val="0"/>
          <w:numId w:val="0"/>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2、乙方无故拖延或拒不提交履约保证金的，视为拒绝与甲方签订合同。</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3、履约保证金将在乙方合同履行完毕且验收合格后，甲方在五个工作日内退返乙方。</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4、履约保证金（无息）在服务期满且服务缺陷更正，并配合甲方和新成交单位办理移交手续后退还。如乙方对服务缺陷不予更正，甲方有权另请其他单位更正，所发生的费用在履约保证金中扣除。</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十一、管理基本要求：</w:t>
      </w:r>
      <w:r>
        <w:rPr>
          <w:rFonts w:hint="eastAsia" w:ascii="宋体" w:hAnsi="宋体" w:eastAsia="宋体" w:cs="宋体"/>
          <w:b/>
          <w:bCs/>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1、为确保质量，乙方须安排管理人员进行监管，加强安全教育管理和质量监控。</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2、实施过程中，乙方必须采取周密的安全措施，以避免对人身和财产的损害。如因乙方原因而造成人身伤害或财产损失的，由乙方承担。</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3、对于乙方工作不能及时完成，且造成较大影响的，甲方有权要求乙方承担相关违约责任。</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4、质量要求：合格。</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十二、伴随服务：</w:t>
      </w:r>
      <w:r>
        <w:rPr>
          <w:rFonts w:hint="eastAsia" w:ascii="宋体" w:hAnsi="宋体" w:eastAsia="宋体" w:cs="宋体"/>
          <w:b/>
          <w:bCs/>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1、乙方除应履行按期按量交付合格标的物的义务外，还应当提供下列服务：</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（1）标的物的现场安装、启动、调试、监督（如果必须安装、调试的话）；</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（2）提供标的物组装和一般维修所必需的工具；</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（3）在合同规定的期限内对所提供的标的物实行运行监督、维修服务的前提条件是该服务并不能免除乙方在质量保证期内所承担的义务；</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（4）对甲方技术人员的技术指导或培训。</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2、除合同另有规定外，伴随服务的费用均已含在合同价款中，甲方不再另行支付。</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十三、违约责任：</w:t>
      </w:r>
      <w:r>
        <w:rPr>
          <w:rFonts w:hint="eastAsia" w:ascii="宋体" w:hAnsi="宋体" w:eastAsia="宋体" w:cs="宋体"/>
          <w:b/>
          <w:bCs/>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合同一方不履行合同义务或者履行合同义务不符合约定的，应当承担继续履行、采取补救措施或赔偿损失等违约责任。</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1、甲方违约责任：</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（1）在合同生效后，非因乙方原因及标的物质量问题甲方要求退货的，应向乙方偿付合同价款的5％作为违约金，违约金不足以补偿损失的，乙方有权要求甲方补足。</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（2）甲方逾期支付货款的应按照逾期付款金额的每天万分之四支付逾期付款违约金，违约金总额不超过合同价款的5％。</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（3）甲方无正当理由违反合同规定，拒绝接收乙方交付的合格标的物，应当承担乙方由此造成的损失。</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2、乙方违约责任：</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不能交付（逾期超过十天视为不能交付），或因乙方责任造成首次验收未能通过的，甲方有权立即终止合同，并将设备恢复到合格状态，一周之内如仍无法满足，则甲方有权请第三方完成，此项费用由乙方承担，并要求乙方偿付合同总价款5％的违约金，违约金不足以补偿损失的，甲方有权要求乙方补足。</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（2）乙方逾期交付的，按照逾期交付部分价款金额的每天万分之四支付逾期付款违约金，违约金总额不超过合同价款的5％，同时承担甲方因此遭致的损失费用。</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履行合同过程中，因乙方过错导致甲方被相关部门问责，或者造成负面社会影响的，甲方有权终止合同，并要求乙方承担甲方所有损失；甲方因实现本合同权利，救济而产生的费用，包括但限于律师费、诉讼费、保全费用等由乙方承担。</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履行合同过程中，乙方对甲方提出的服务要求未及时响应的，第1次给予警告，若连续出现2次甲方有权视情况对乙方进行约谈，乙方需按要求在规定时间内进行书面答复并加盖公章，根据约谈事项的严重性额外扣款5千元，如未在规定时间内进行书面答复且实际未落实采购人约谈要求的，直接扣款1万元。</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3、如果出现政府采购监管部门在处理投诉事项期间，通知甲方暂停采购活动的情形，或者询问或质疑事项可能影响最终成交结果的，导致甲方中止履行合同的情形，均不视为甲方违约。</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十四、索赔：</w:t>
      </w:r>
      <w:r>
        <w:rPr>
          <w:rFonts w:hint="eastAsia" w:ascii="宋体" w:hAnsi="宋体" w:eastAsia="宋体" w:cs="宋体"/>
          <w:b/>
          <w:bCs/>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（一）甲方有权根据当地质量技术监督部门或其他有权部门出具的检验证明向乙方提出索赔。</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（二）在本合同规定的检验期限和质量保证期内，如果乙方对甲方提出的索赔或差异有责任，则乙方应按甲方同意的下列一种或多种方式解决索赔事宜：</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同意退货，并按合同规定的货币将货款退还给甲方，并且承担由此发生的一切损失和费用，包括利息、银行手续费、运费、总包配合费、保险费、检验费、仓储费、装卸费以及为保护退回标的物所需的其他必要费用，并赔偿甲方相应损失。</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2、根据标的物的低劣程度、损坏程度以及甲方遭受损失的数额，经双方协商确定降低标的物的价格。</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如有）中扣回索赔金额，如果这些金额不足以补偿索赔金额，乙方应当对不足部分予以补偿。 </w:t>
      </w:r>
      <w:r>
        <w:rPr>
          <w:rFonts w:hint="eastAsia" w:ascii="宋体" w:hAnsi="宋体" w:eastAsia="宋体" w:cs="宋体"/>
          <w:color w:val="000000"/>
          <w:sz w:val="24"/>
          <w:szCs w:val="24"/>
          <w:highlight w:val="none"/>
        </w:rPr>
      </w:r>
      <w:r/>
    </w:p>
    <w:p>
      <w:pPr>
        <w:pStyle w:val="976"/>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十五、合同的解除和转让：</w:t>
      </w:r>
      <w:r>
        <w:rPr>
          <w:rFonts w:hint="eastAsia" w:ascii="宋体" w:hAnsi="宋体" w:eastAsia="宋体" w:cs="宋体"/>
          <w:b/>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1、甲方和乙方协商一致，可以解除合同。</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2、有下列情形之一，合同一方可以解除合同：</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（1）因不可抗力致使不能实现合同目的，未受不可抗力影响的一方有权解除合同； </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（2）因一方违约导致合同不能履行，另一方有权解除合同。 </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（3）一方明确表示不履行或实质上已停止履行合同或发生丧失履约能力的情形时，另一方有权解除合同。</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3、政府采购合同继续履行将损害国家利益和社会公共利益，甲方有权变更、中止或者终止、解除合同。</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乙方提交的投标材料虚假，或者乙方故意隐瞒足以导致不能中标的事实被发现的，甲方可以单方解除本合同，由此造成甲方的损失由乙方承担赔偿（包括但不限于诉讼费、合理律师费等），且乙方无权要求返还履约保证金（如有）。</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5、本合同不得以任何形式转让，否则视为乙方违约，甲方可以单方解除本合同，由此造成甲方的损失由乙方承担赔偿（包括但不限于诉讼费、合理律师费等），且乙方无权要求返还履约保证金（如有）。</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6、本合同未经甲方书面同意不得分包，否则视为乙方违约，甲方可以单方解除本合同，由此造成甲方的损失由乙方承担赔偿（包括但不限于诉讼费、合理律师费等），且乙方无权要求返还履约保证金（如有）。</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7、有权解除合同的一方，应当在违约事实或不可抗力发生之后三十天内书面通知对方以主张解除合同，合同在书面通知到达对方时解除。</w:t>
      </w:r>
      <w:r>
        <w:rPr>
          <w:rFonts w:hint="eastAsia" w:ascii="宋体" w:hAnsi="宋体" w:eastAsia="宋体" w:cs="宋体"/>
          <w:bCs/>
          <w:color w:val="000000"/>
          <w:sz w:val="24"/>
          <w:szCs w:val="24"/>
          <w:highlight w:val="none"/>
        </w:rPr>
      </w:r>
      <w:r/>
    </w:p>
    <w:p>
      <w:pPr>
        <w:pStyle w:val="976"/>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十六、不可抗力：</w:t>
      </w:r>
      <w:r>
        <w:rPr>
          <w:rFonts w:hint="eastAsia" w:ascii="宋体" w:hAnsi="宋体" w:eastAsia="宋体" w:cs="宋体"/>
          <w:b/>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1、不可抗力指下列事件：战争、动乱、瘟疫、严重火灾、洪水、地震、风暴或其他自然灾害，以及本合同各方不可预见、不可防止并不能避免或克服的一切其他因素及事件。</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任何一方因不可抗力不能履行本合同规定的全部或部分义务，该方应尽快通知另一方，并须在不可抗力发生后7日内以书面形式向另一方提供详细情况报告及不可抗力对履行本合同的影响程度的说明。就上述不可抗力的发生须由受到不可抗力影响的一方负责同时提供由公证机关做出的公证证明。</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合同一方因不可抗力不能履行本合同的，应当及时通知对方，以减轻可能给对方造成的损失，并应当在不可抗力发生之日起15日内提供权威部门出具的认定不可抗力的证明。</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4、合同各方应根据不可抗力对本合同履行的影响程度，协商确定是否终止本合同，或是继续履行本合同。</w:t>
      </w:r>
      <w:r>
        <w:rPr>
          <w:rFonts w:hint="eastAsia" w:ascii="宋体" w:hAnsi="宋体" w:eastAsia="宋体" w:cs="宋体"/>
          <w:bCs/>
          <w:color w:val="000000"/>
          <w:sz w:val="24"/>
          <w:szCs w:val="24"/>
          <w:highlight w:val="none"/>
        </w:rPr>
      </w:r>
      <w:r/>
    </w:p>
    <w:p>
      <w:pPr>
        <w:pStyle w:val="976"/>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十七、保密条款：</w:t>
      </w:r>
      <w:r>
        <w:rPr>
          <w:rFonts w:hint="eastAsia" w:ascii="宋体" w:hAnsi="宋体" w:eastAsia="宋体" w:cs="宋体"/>
          <w:b/>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1、任何一方对其获知的本合同及附件中其他各方的商业秘密和国家秘密等非公开信息负有保密义务。</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rPr>
          <w:rFonts w:hint="eastAsia" w:ascii="宋体" w:hAnsi="宋体" w:eastAsia="宋体" w:cs="宋体"/>
          <w:bCs/>
          <w:color w:val="000000"/>
          <w:sz w:val="24"/>
          <w:szCs w:val="24"/>
          <w:highlight w:val="none"/>
        </w:rPr>
      </w:r>
      <w:r/>
    </w:p>
    <w:p>
      <w:pPr>
        <w:pStyle w:val="976"/>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十八、联系方式：</w:t>
      </w:r>
      <w:r>
        <w:rPr>
          <w:rFonts w:hint="eastAsia" w:ascii="宋体" w:hAnsi="宋体" w:eastAsia="宋体" w:cs="宋体"/>
          <w:b/>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3、上述发出通知、回复的费用由发出一方承担。</w:t>
      </w:r>
      <w:r>
        <w:rPr>
          <w:rFonts w:hint="eastAsia" w:ascii="宋体" w:hAnsi="宋体" w:eastAsia="宋体" w:cs="宋体"/>
          <w:bCs/>
          <w:color w:val="000000"/>
          <w:sz w:val="24"/>
          <w:szCs w:val="24"/>
          <w:highlight w:val="none"/>
        </w:rPr>
      </w:r>
      <w:r/>
    </w:p>
    <w:p>
      <w:pPr>
        <w:pStyle w:val="976"/>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十九、争议的解决：</w:t>
      </w:r>
      <w:r>
        <w:rPr>
          <w:rFonts w:hint="eastAsia" w:ascii="宋体" w:hAnsi="宋体" w:eastAsia="宋体" w:cs="宋体"/>
          <w:b/>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与本合同有关的一切争议，双方应通过友好协商解决。如果经协商不能达成协议，可以向甲方所在地有管辖权的人民法院起诉。</w:t>
      </w:r>
      <w:r>
        <w:rPr>
          <w:rFonts w:hint="eastAsia" w:ascii="宋体" w:hAnsi="宋体" w:eastAsia="宋体" w:cs="宋体"/>
          <w:bCs/>
          <w:color w:val="000000"/>
          <w:sz w:val="24"/>
          <w:szCs w:val="24"/>
          <w:highlight w:val="none"/>
        </w:rPr>
      </w:r>
      <w:r/>
    </w:p>
    <w:p>
      <w:pPr>
        <w:pStyle w:val="976"/>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二十、合同生效及其他：</w:t>
      </w:r>
      <w:r>
        <w:rPr>
          <w:rFonts w:hint="eastAsia" w:ascii="宋体" w:hAnsi="宋体" w:eastAsia="宋体" w:cs="宋体"/>
          <w:b/>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1、本合同经甲乙双方签字盖章后生效。</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本合同系指本文件及其附件中的所有部分，招标文件、乙方中标的投标文件、中标通知书、乙方在招标过程中的澄清和承诺等为本合同不可缺少的组成部分。本合同履行过程中发生相关修改内容，须符合《中华人民共和国政府采购法》和相关法律法规规定；补充协议作为本合同不可分割的一部分。</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3、本合同壹式陆份，</w:t>
      </w:r>
      <w:r>
        <w:rPr>
          <w:rFonts w:hint="eastAsia" w:ascii="宋体" w:hAnsi="宋体" w:eastAsia="宋体" w:cs="宋体"/>
          <w:color w:val="000000"/>
          <w:sz w:val="24"/>
          <w:szCs w:val="24"/>
          <w:highlight w:val="none"/>
        </w:rPr>
        <w:t xml:space="preserve">甲方叁份，乙方壹份，采购代理机构贰份，</w:t>
      </w:r>
      <w:r>
        <w:rPr>
          <w:rFonts w:hint="eastAsia" w:ascii="宋体" w:hAnsi="宋体" w:eastAsia="宋体" w:cs="宋体"/>
          <w:bCs/>
          <w:color w:val="000000"/>
          <w:sz w:val="24"/>
          <w:szCs w:val="24"/>
          <w:highlight w:val="none"/>
        </w:rPr>
        <w:t xml:space="preserve">具有同等法律效力。</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4、本合同应按照中华人民共和国的现行法律进行解释。</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甲    方(公章)：                            乙    方(公章)：</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法定代表人/负责人：                         法定代表人/负责人：</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或授权代理人：                              或授权代理人：</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（签字）                                    （签字）</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签订日期：                                  签订日期：</w:t>
      </w:r>
      <w:r>
        <w:rPr>
          <w:rFonts w:hint="eastAsia" w:ascii="宋体" w:hAnsi="宋体" w:eastAsia="宋体" w:cs="宋体"/>
          <w:bCs/>
          <w:color w:val="000000"/>
          <w:sz w:val="24"/>
          <w:szCs w:val="24"/>
          <w:highlight w:val="none"/>
        </w:rPr>
      </w:r>
      <w:r/>
    </w:p>
    <w:p>
      <w:pPr>
        <w:pStyle w:val="976"/>
        <w:jc w:val="center"/>
        <w:spacing w:line="360" w:lineRule="auto"/>
        <w:rPr>
          <w:rFonts w:hint="eastAsia" w:ascii="宋体" w:hAnsi="宋体" w:eastAsia="宋体" w:cs="宋体"/>
          <w:b/>
          <w:color w:val="000000"/>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976"/>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第六章 评分方法和评分标准</w:t>
      </w:r>
      <w:r>
        <w:rPr>
          <w:rFonts w:hint="eastAsia" w:ascii="宋体" w:hAnsi="宋体" w:eastAsia="宋体" w:cs="宋体"/>
          <w:b/>
          <w:color w:val="000000"/>
          <w:sz w:val="24"/>
          <w:szCs w:val="24"/>
          <w:highlight w:val="none"/>
        </w:rPr>
      </w:r>
      <w:r/>
    </w:p>
    <w:p>
      <w:pPr>
        <w:pStyle w:val="976"/>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一、评分方法：</w:t>
      </w:r>
      <w:r>
        <w:rPr>
          <w:rFonts w:hint="eastAsia" w:ascii="宋体" w:hAnsi="宋体" w:eastAsia="宋体" w:cs="宋体"/>
          <w:b/>
          <w:color w:val="000000"/>
          <w:sz w:val="24"/>
          <w:szCs w:val="24"/>
          <w:highlight w:val="none"/>
        </w:rPr>
      </w:r>
      <w:r/>
    </w:p>
    <w:p>
      <w:pPr>
        <w:pStyle w:val="976"/>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1、本次招标评标采用为综合评分法，即指投标文件满足招标文件全部实质性要求，且按照评审因素的量化指标评审得分最高的投标人为中标候选人的评标方法。</w:t>
      </w:r>
      <w:r>
        <w:rPr>
          <w:rFonts w:ascii="宋体" w:hAnsi="宋体" w:eastAsia="宋体" w:cs="宋体"/>
          <w:color w:val="000000"/>
          <w:sz w:val="24"/>
          <w:szCs w:val="24"/>
          <w:highlight w:val="none"/>
        </w:rPr>
      </w:r>
      <w:r/>
    </w:p>
    <w:p>
      <w:pPr>
        <w:pStyle w:val="976"/>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2、评标委员会各成员审查每份投标文件是否实质响应了招标文件的要求，非实质性响应的投标文件将被拒绝，也不进行评审。</w:t>
      </w:r>
      <w:r>
        <w:rPr>
          <w:rFonts w:ascii="宋体" w:hAnsi="宋体" w:eastAsia="宋体" w:cs="宋体"/>
          <w:color w:val="000000"/>
          <w:sz w:val="24"/>
          <w:szCs w:val="24"/>
          <w:highlight w:val="none"/>
        </w:rPr>
      </w:r>
      <w:r/>
    </w:p>
    <w:p>
      <w:pPr>
        <w:pStyle w:val="976"/>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3、评标委员会各成员独立对每个进入打分程序的有效投标人的标书技术部分以打分的形式进行评审和评价。对评委的评分进行统计汇总时算术平均计算得分（计算结果均四舍五入保留两位小数）。</w:t>
      </w:r>
      <w:r>
        <w:rPr>
          <w:rFonts w:ascii="宋体" w:hAnsi="宋体" w:eastAsia="宋体" w:cs="宋体"/>
          <w:color w:val="000000"/>
          <w:sz w:val="24"/>
          <w:szCs w:val="24"/>
          <w:highlight w:val="none"/>
        </w:rPr>
      </w:r>
      <w:r/>
    </w:p>
    <w:p>
      <w:pPr>
        <w:pStyle w:val="976"/>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评委评审得分和投标报价得分相加为投标人的评标总得分。如出现评标总得分最高的投标人有两个或两个以上的，以投标报价较低者优先作为中标候选人；如果投标报价也相同的，则由公证机构组织以抽签方式确定。</w:t>
      </w:r>
      <w:r>
        <w:rPr>
          <w:rFonts w:ascii="宋体" w:hAnsi="宋体" w:eastAsia="宋体" w:cs="宋体"/>
          <w:color w:val="000000"/>
          <w:sz w:val="24"/>
          <w:szCs w:val="24"/>
          <w:highlight w:val="none"/>
        </w:rPr>
      </w:r>
      <w:r/>
    </w:p>
    <w:p>
      <w:pPr>
        <w:pStyle w:val="976"/>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二、评分标准：</w:t>
      </w:r>
      <w:r>
        <w:rPr>
          <w:rFonts w:ascii="宋体" w:hAnsi="宋体" w:eastAsia="宋体" w:cs="宋体"/>
          <w:b/>
          <w:color w:val="000000"/>
          <w:sz w:val="24"/>
          <w:szCs w:val="24"/>
          <w:highlight w:val="none"/>
        </w:rPr>
      </w:r>
      <w:r/>
    </w:p>
    <w:p>
      <w:pPr>
        <w:pStyle w:val="976"/>
        <w:ind w:firstLine="480"/>
        <w:spacing w:line="360" w:lineRule="auto"/>
        <w:rPr>
          <w:rFonts w:ascii="宋体" w:hAnsi="宋体" w:eastAsia="宋体" w:cs="宋体"/>
          <w:color w:val="000000"/>
          <w:highlight w:val="none"/>
        </w:rPr>
      </w:pPr>
      <w:r>
        <w:rPr>
          <w:rFonts w:hint="eastAsia" w:ascii="宋体" w:hAnsi="宋体" w:eastAsia="宋体" w:cs="宋体"/>
          <w:color w:val="000000"/>
          <w:sz w:val="24"/>
          <w:szCs w:val="24"/>
          <w:highlight w:val="none"/>
        </w:rPr>
        <w:t xml:space="preserve">总分值为100分，评审因素及各比重如下：价格分值占总分值的比重为30％（权重），技术及其他分值占总分值的比重为70％（权重）。</w:t>
      </w:r>
      <w:r>
        <w:rPr>
          <w:rFonts w:ascii="宋体" w:hAnsi="宋体" w:eastAsia="宋体" w:cs="宋体"/>
          <w:color w:val="000000"/>
          <w:highlight w:val="none"/>
        </w:rPr>
      </w:r>
      <w:r/>
    </w:p>
    <w:p>
      <w:pPr>
        <w:pStyle w:val="976"/>
        <w:ind w:left="-2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（一）价格分值：30分</w:t>
      </w:r>
      <w:r>
        <w:rPr>
          <w:rFonts w:hint="eastAsia" w:ascii="宋体" w:hAnsi="宋体" w:eastAsia="宋体" w:cs="宋体"/>
          <w:b/>
          <w:color w:val="000000"/>
          <w:sz w:val="24"/>
          <w:szCs w:val="24"/>
          <w:highlight w:val="none"/>
        </w:rPr>
      </w:r>
      <w:r/>
    </w:p>
    <w:p>
      <w:pPr>
        <w:pStyle w:val="976"/>
        <w:ind w:firstLine="42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第一步：投标报价不高于采购预算及最高限价的为有效报价，超出此范围的投标报价为无效报价，其投标文件不予评审，也不得标。</w:t>
      </w:r>
      <w:r>
        <w:rPr>
          <w:rFonts w:ascii="宋体" w:hAnsi="宋体" w:eastAsia="宋体" w:cs="宋体"/>
          <w:color w:val="000000"/>
          <w:sz w:val="24"/>
          <w:szCs w:val="24"/>
          <w:highlight w:val="none"/>
        </w:rPr>
      </w:r>
      <w:r/>
    </w:p>
    <w:p>
      <w:pPr>
        <w:pStyle w:val="976"/>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第二步：以满足招标文件实质性要求且投标价格最低的投标有效报价为评标基准价，其价格分为满分，即3</w:t>
      </w:r>
      <w:r>
        <w:rPr>
          <w:rFonts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t xml:space="preserve">分。其他有效投标报价得分统一按照下列公式计算：（计算结果均四舍五入保留两位小数）</w:t>
      </w:r>
      <w:r>
        <w:rPr>
          <w:rFonts w:ascii="宋体" w:hAnsi="宋体" w:eastAsia="宋体" w:cs="宋体"/>
          <w:color w:val="000000"/>
          <w:sz w:val="24"/>
          <w:szCs w:val="24"/>
          <w:highlight w:val="none"/>
        </w:rPr>
      </w:r>
      <w:r/>
    </w:p>
    <w:p>
      <w:pPr>
        <w:pStyle w:val="976"/>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投标报价得分＝（基准报价/投标报价）×30％×100。</w:t>
      </w:r>
      <w:r>
        <w:rPr>
          <w:rFonts w:hint="eastAsia" w:ascii="宋体" w:hAnsi="宋体" w:eastAsia="宋体" w:cs="宋体"/>
          <w:color w:val="000000"/>
          <w:sz w:val="24"/>
          <w:szCs w:val="24"/>
          <w:highlight w:val="none"/>
        </w:rPr>
      </w:r>
      <w:r/>
    </w:p>
    <w:p>
      <w:pPr>
        <w:pStyle w:val="976"/>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（二）技术及其他分值：70分</w:t>
      </w:r>
      <w:r>
        <w:rPr>
          <w:rFonts w:hint="eastAsia" w:ascii="宋体" w:hAnsi="宋体" w:eastAsia="宋体" w:cs="宋体"/>
          <w:b/>
          <w:bCs/>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1、对投标产品质量情况的评价（13分）：</w:t>
      </w:r>
      <w:r>
        <w:rPr>
          <w:rFonts w:hint="eastAsia" w:ascii="宋体" w:hAnsi="宋体" w:eastAsia="宋体" w:cs="宋体"/>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（1）针对采购清单中列出的</w:t>
      </w:r>
      <w:r>
        <w:rPr>
          <w:rFonts w:hint="eastAsia" w:ascii="宋体" w:hAnsi="宋体" w:eastAsia="宋体" w:cs="宋体"/>
          <w:color w:val="000000"/>
          <w:sz w:val="24"/>
          <w:szCs w:val="24"/>
          <w:highlight w:val="none"/>
          <w:lang w:bidi="ar"/>
        </w:rPr>
        <w:t xml:space="preserve">参数及要求</w:t>
      </w:r>
      <w:r>
        <w:rPr>
          <w:rFonts w:hint="eastAsia" w:ascii="宋体" w:hAnsi="宋体" w:eastAsia="宋体" w:cs="宋体"/>
          <w:color w:val="000000"/>
          <w:sz w:val="24"/>
          <w:szCs w:val="24"/>
          <w:highlight w:val="none"/>
        </w:rPr>
        <w:t xml:space="preserve">，提供投标产品技术指标对照表（投标人须并对照采购清单</w:t>
      </w:r>
      <w:r>
        <w:rPr>
          <w:rFonts w:hint="eastAsia" w:ascii="宋体" w:hAnsi="宋体" w:eastAsia="宋体" w:cs="宋体"/>
          <w:color w:val="000000"/>
          <w:sz w:val="24"/>
          <w:szCs w:val="24"/>
          <w:highlight w:val="none"/>
          <w:lang w:bidi="ar"/>
        </w:rPr>
        <w:t xml:space="preserve">参数及要求</w:t>
      </w:r>
      <w:r>
        <w:rPr>
          <w:rFonts w:hint="eastAsia" w:ascii="宋体" w:hAnsi="宋体" w:eastAsia="宋体" w:cs="宋体"/>
          <w:color w:val="000000"/>
          <w:sz w:val="24"/>
          <w:szCs w:val="24"/>
          <w:highlight w:val="none"/>
        </w:rPr>
        <w:t xml:space="preserve">逐条列出，在投标文件中对应列出全部投标产品的技术项，并注明“无偏离”或“负偏离”，不得遗漏）。本项最高13分，其中：打“★”标项的为重要技术指标，出现一个负偏离扣1分，扣完为止；其他技术指标出现负偏离每一个扣0.5分，扣完为止。</w:t>
      </w:r>
      <w:r>
        <w:rPr>
          <w:rFonts w:hint="eastAsia" w:ascii="宋体" w:hAnsi="宋体" w:eastAsia="宋体" w:cs="宋体"/>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注：在本项目采购清单中打“★</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标项均须提供具有检测检验资质的检测机构出具的有效的检测（检验）报告并于清单要求内容匹配，否则视为负偏离，投标人须在其投标文件中提供上述可清晰辨识的证明材料复印件。</w:t>
      </w:r>
      <w:r>
        <w:rPr>
          <w:rFonts w:hint="eastAsia" w:ascii="宋体" w:hAnsi="宋体" w:eastAsia="宋体" w:cs="宋体"/>
          <w:color w:val="000000"/>
          <w:sz w:val="24"/>
          <w:szCs w:val="24"/>
          <w:highlight w:val="none"/>
        </w:rPr>
      </w:r>
      <w:r/>
    </w:p>
    <w:p>
      <w:pPr>
        <w:pStyle w:val="994"/>
        <w:ind w:firstLine="480"/>
        <w:widowControl w:val="off"/>
        <w:rPr>
          <w:rFonts w:hAnsi="宋体" w:cs="宋体"/>
          <w:color w:val="000000"/>
          <w:szCs w:val="24"/>
          <w:highlight w:val="none"/>
        </w:rPr>
      </w:pPr>
      <w:r>
        <w:rPr>
          <w:rFonts w:hint="eastAsia" w:hAnsi="宋体" w:cs="宋体"/>
          <w:color w:val="000000"/>
          <w:szCs w:val="24"/>
          <w:highlight w:val="none"/>
        </w:rPr>
        <w:t xml:space="preserve">2、对项目实施组织设计的评价（40分）：</w:t>
      </w:r>
      <w:r>
        <w:rPr>
          <w:rFonts w:hAnsi="宋体" w:cs="宋体"/>
          <w:color w:val="000000"/>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（1）污水处理工艺设计方案比较（6分）</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工艺设计总体说明、工作原理图及说明、工艺流程图、提供管道布局图、设备布置尺寸图、平面布置图等设计图纸等的完整性、合理性、先进性进行综合评定。方案详细完整、工艺先进、完全满足采购需求的得6分；方案比较完善、基本符合采购需求的得4分；方案有所欠缺的得2分；与项目实际不符或不提供内容的不得分。</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（2）提供系统设备安装实施方案，内容须至少包括实施部署、通用设备和主要设备安装、管道安装等方案：</w:t>
      </w:r>
      <w:r>
        <w:rPr>
          <w:rFonts w:hint="eastAsia" w:ascii="宋体" w:hAnsi="宋体" w:eastAsia="宋体" w:cs="宋体"/>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方案详细完整、措施科学合理、技术可行性强、流程标准规范的得6分；</w:t>
      </w:r>
      <w:r>
        <w:rPr>
          <w:rFonts w:hint="eastAsia" w:ascii="宋体" w:hAnsi="宋体" w:eastAsia="宋体" w:cs="宋体"/>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方案较为完整、措施较为合理、技术可行性一般、流程基本规范的得4分；</w:t>
      </w:r>
      <w:r>
        <w:rPr>
          <w:rFonts w:hint="eastAsia" w:ascii="宋体" w:hAnsi="宋体" w:eastAsia="宋体" w:cs="宋体"/>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方案简单笼统、措施合理性不足、技术可行性较弱、流程规范性不足的得2分；</w:t>
      </w:r>
      <w:r>
        <w:rPr>
          <w:rFonts w:hint="eastAsia" w:ascii="宋体" w:hAnsi="宋体" w:eastAsia="宋体" w:cs="宋体"/>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本项最高6分，与项目实际不符或不提供内容的不得分。</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（3）提供系统设备调试方案，内容须至少包括单机调试、联动调试、试运行、安装调试保证措施等方案：</w:t>
      </w:r>
      <w:r>
        <w:rPr>
          <w:rFonts w:hint="eastAsia" w:ascii="宋体" w:hAnsi="宋体" w:eastAsia="宋体" w:cs="宋体"/>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方案详细完整、措施科学合理、技术可行性强、流程标准规范的得6分；</w:t>
      </w:r>
      <w:r>
        <w:rPr>
          <w:rFonts w:hint="eastAsia" w:ascii="宋体" w:hAnsi="宋体" w:eastAsia="宋体" w:cs="宋体"/>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方案较为完整、措施较为合理、技术可行性一般、流程基本规范的得4分；</w:t>
      </w:r>
      <w:r>
        <w:rPr>
          <w:rFonts w:hint="eastAsia" w:ascii="宋体" w:hAnsi="宋体" w:eastAsia="宋体" w:cs="宋体"/>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方案简单笼统、措施合理性不足、技术可行性较弱、流程规范性不足的得2分；</w:t>
      </w:r>
      <w:r>
        <w:rPr>
          <w:rFonts w:hint="eastAsia" w:ascii="宋体" w:hAnsi="宋体" w:eastAsia="宋体" w:cs="宋体"/>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本项最高6分，与项目实际不符或不提供内容的不得分。</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（4）提供实施组织方案，内容须至少包括项目团队组织、质量保证措施、工期保证措施、安全文明环保施工措施等：</w:t>
      </w:r>
      <w:r>
        <w:rPr>
          <w:rFonts w:hint="eastAsia" w:ascii="宋体" w:hAnsi="宋体" w:eastAsia="宋体" w:cs="宋体"/>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方案详细完整、措施科学合理、技术可行性强、流程标准规范的得5分；</w:t>
      </w:r>
      <w:r>
        <w:rPr>
          <w:rFonts w:hint="eastAsia" w:ascii="宋体" w:hAnsi="宋体" w:eastAsia="宋体" w:cs="宋体"/>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方案较为完整、措施较为合理、技术可行性一般、流程基本规范的得3分；</w:t>
      </w:r>
      <w:r>
        <w:rPr>
          <w:rFonts w:hint="eastAsia" w:ascii="宋体" w:hAnsi="宋体" w:eastAsia="宋体" w:cs="宋体"/>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方案简单笼统、措施合理性不足、技术可行性较弱、流程规范性不足的得1分；</w:t>
      </w:r>
      <w:r>
        <w:rPr>
          <w:rFonts w:hint="eastAsia" w:ascii="宋体" w:hAnsi="宋体" w:eastAsia="宋体" w:cs="宋体"/>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本项最高5分，与项目实际不符或不提供内容的不得分。</w:t>
      </w:r>
      <w:r>
        <w:rPr>
          <w:rFonts w:hint="eastAsia" w:ascii="宋体" w:hAnsi="宋体" w:eastAsia="宋体" w:cs="宋体"/>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（5）提供售后服务方案及应急预案，内容须至少包括售后服务团队说明、响应服务管理措施、售后服务保障措施等，应急预案及突发性事件应急处理措施等方案：</w:t>
      </w:r>
      <w:r>
        <w:rPr>
          <w:rFonts w:hint="eastAsia" w:ascii="宋体" w:hAnsi="宋体" w:eastAsia="宋体" w:cs="宋体"/>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方案详细完整、措施科学合理、技术可行性强、流程标准规范的得6分；</w:t>
      </w:r>
      <w:r>
        <w:rPr>
          <w:rFonts w:hint="eastAsia" w:ascii="宋体" w:hAnsi="宋体" w:eastAsia="宋体" w:cs="宋体"/>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方案较为完整、措施较为合理、技术可行性一般、流程基本规范的得4分；</w:t>
      </w:r>
      <w:r>
        <w:rPr>
          <w:rFonts w:hint="eastAsia" w:ascii="宋体" w:hAnsi="宋体" w:eastAsia="宋体" w:cs="宋体"/>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方案简单笼统、措施合理性不足、技术可行性较弱、流程规范性不足的得2分；</w:t>
      </w:r>
      <w:r>
        <w:rPr>
          <w:rFonts w:hint="eastAsia" w:ascii="宋体" w:hAnsi="宋体" w:eastAsia="宋体" w:cs="宋体"/>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本项最高6分，与项目实际不符或不提供内容的不得分。</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（6）提供污水站运营管理方案，内容须至少包含组织架构、管理目标、人员培训方案、安全运营管理制度、服务质量承诺及工作职责履行承诺、运行记录工作方案等：</w:t>
      </w:r>
      <w:r>
        <w:rPr>
          <w:rFonts w:hint="eastAsia" w:ascii="宋体" w:hAnsi="宋体" w:eastAsia="宋体" w:cs="宋体"/>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方案详细完整、措施科学合理、技术可行性强、流程标准规范的得5分；</w:t>
      </w:r>
      <w:r>
        <w:rPr>
          <w:rFonts w:hint="eastAsia" w:ascii="宋体" w:hAnsi="宋体" w:eastAsia="宋体" w:cs="宋体"/>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方案较为完整、措施较为合理、技术可行性一般、流程基本规范的得3分；</w:t>
      </w:r>
      <w:r>
        <w:rPr>
          <w:rFonts w:hint="eastAsia" w:ascii="宋体" w:hAnsi="宋体" w:eastAsia="宋体" w:cs="宋体"/>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方案简单笼统、措施合理性不足、技术可行性较弱、流程规范性不足的得1分；</w:t>
      </w:r>
      <w:r>
        <w:rPr>
          <w:rFonts w:hint="eastAsia" w:ascii="宋体" w:hAnsi="宋体" w:eastAsia="宋体" w:cs="宋体"/>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本项最高5分，与项目实际不符或不提供内容的不得分。</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提供污水站各处理单元运行维护方案，内容须至少包含各单元的运行管理、异常问题分析与排除、日常维护、卫生与安全防护等方案；污水站水质检测方案，包括水质监测、水样采集、储存及数据记录、化验分析、检测项目和周期、检测控制措施、在线检测系统和监控等方案：</w:t>
      </w:r>
      <w:r>
        <w:rPr>
          <w:rFonts w:hint="eastAsia" w:ascii="宋体" w:hAnsi="宋体" w:eastAsia="宋体" w:cs="宋体"/>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方案详细完整、措施科学合理、技术可行性强、流程标准规范的得6分；</w:t>
      </w:r>
      <w:r>
        <w:rPr>
          <w:rFonts w:hint="eastAsia" w:ascii="宋体" w:hAnsi="宋体" w:eastAsia="宋体" w:cs="宋体"/>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方案较为完整、措施较为合理、技术可行性一般、流程基本规范的得4分；</w:t>
      </w:r>
      <w:r>
        <w:rPr>
          <w:rFonts w:hint="eastAsia" w:ascii="宋体" w:hAnsi="宋体" w:eastAsia="宋体" w:cs="宋体"/>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方案简单笼统、措施合理性不足、技术可行性较弱、流程规范性不足的得2分；</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本项最高6分，与项目实际不符或不提供内容的不得分。</w:t>
      </w:r>
      <w:r>
        <w:rPr>
          <w:rFonts w:hint="eastAsia" w:ascii="宋体" w:hAnsi="宋体" w:eastAsia="宋体" w:cs="宋体"/>
          <w:color w:val="000000"/>
          <w:sz w:val="24"/>
          <w:szCs w:val="24"/>
          <w:highlight w:val="none"/>
        </w:rPr>
      </w:r>
      <w:r/>
    </w:p>
    <w:p>
      <w:pPr>
        <w:pStyle w:val="976"/>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3、对项目人员配备的评价（10分）：</w:t>
      </w:r>
      <w:r>
        <w:rPr>
          <w:rFonts w:ascii="宋体" w:hAnsi="宋体" w:eastAsia="宋体" w:cs="宋体"/>
          <w:color w:val="000000"/>
          <w:sz w:val="24"/>
          <w:szCs w:val="24"/>
          <w:highlight w:val="none"/>
        </w:rPr>
      </w:r>
      <w:r/>
    </w:p>
    <w:p>
      <w:pPr>
        <w:pStyle w:val="976"/>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（1）项目负责人具备：项目经理证书（类别：市政类）的得2分；《建筑施工企业项目负责人安全生产考核合格证书》（B证）的得1分，本项最高3分。</w:t>
      </w:r>
      <w:r>
        <w:rPr>
          <w:rFonts w:ascii="宋体" w:hAnsi="宋体" w:eastAsia="宋体" w:cs="宋体"/>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（2）项目组成员中具备污水(废水)处理工职业资格证书的，每人1分，本项最高3分。</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（3）项目组成员中（除项目经理外）具备环境管理类工程师证书或设备管理、设备安装类中级及以上职称证书的，每证2分，本项最高4分。</w:t>
      </w:r>
      <w:r>
        <w:rPr>
          <w:rFonts w:hint="eastAsia" w:ascii="宋体" w:hAnsi="宋体" w:eastAsia="宋体" w:cs="宋体"/>
          <w:color w:val="000000"/>
          <w:sz w:val="24"/>
          <w:szCs w:val="24"/>
          <w:highlight w:val="none"/>
        </w:rPr>
      </w:r>
      <w:r/>
    </w:p>
    <w:p>
      <w:pPr>
        <w:pStyle w:val="976"/>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注：上述（1）至（3）项须同时提供上述人员相关证书及由投标人为上述人员缴纳的最近一个月的社保缴费证明（须由社保部门出具并体现人员姓名，非补缴）复印件，否则对应内容不得分。</w:t>
      </w:r>
      <w:r>
        <w:rPr>
          <w:rFonts w:ascii="宋体" w:hAnsi="宋体" w:eastAsia="宋体" w:cs="宋体"/>
          <w:color w:val="000000"/>
          <w:sz w:val="24"/>
          <w:szCs w:val="24"/>
          <w:highlight w:val="none"/>
        </w:rPr>
      </w:r>
      <w:r/>
    </w:p>
    <w:p>
      <w:pPr>
        <w:pStyle w:val="9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4、对投标人综合情况的评价（7分）：</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具备在有效期内的：质量管理体系认证证书的得1分；环境管理体系认证证书的得1分；职业健康安全管理体系认证证书的得1分。本项最高3分，上述证书覆盖范围应与本项目相关。投标文件中必须提供证书复印件及中国国家认证认可监督管理委员会网站查询页面完整截图，缺一不可，否则对应内容不得分。</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具备在有效期内的商品售后服务评价体系认证证书：五星级及以上的得1分；四星级的得0.5分；其他不得分。本项最高1分。上述证书覆盖范围应与本项目相关，且投标文件中须提供证书复印件及中国国家认证认可监督管理委员会网站查询页面完整截图，否则不得分。</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（3）投标人具备自2021年（以合同签订日期为准）以来独立承担的类似项目（如医疗机构污水处理改扩建、新建项目）业绩资料，须同时提供对应业绩合同及任意一期发票复印件，每份1分，最高3分。</w:t>
      </w:r>
      <w:r>
        <w:rPr>
          <w:rFonts w:hint="eastAsia" w:ascii="宋体" w:hAnsi="宋体" w:eastAsia="宋体" w:cs="宋体"/>
          <w:b/>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评审说明：其他评审未尽事宜由评审委员会根据有关规定讨论决定。</w:t>
      </w:r>
      <w:r>
        <w:rPr>
          <w:rFonts w:hint="eastAsia" w:ascii="宋体" w:hAnsi="宋体" w:eastAsia="宋体" w:cs="宋体"/>
          <w:color w:val="000000"/>
          <w:sz w:val="24"/>
          <w:szCs w:val="24"/>
          <w:highlight w:val="none"/>
        </w:rPr>
      </w:r>
      <w:r/>
    </w:p>
    <w:p>
      <w:pPr>
        <w:pStyle w:val="976"/>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76"/>
        <w:ind w:firstLine="482"/>
        <w:spacing w:line="360" w:lineRule="auto"/>
        <w:rPr>
          <w:rFonts w:hint="eastAsia" w:ascii="宋体" w:hAnsi="宋体" w:eastAsia="宋体" w:cs="宋体"/>
          <w:bCs/>
          <w:color w:val="000000"/>
          <w:sz w:val="24"/>
          <w:highlight w:val="none"/>
        </w:rPr>
      </w:pPr>
      <w:r>
        <w:rPr>
          <w:rFonts w:hint="eastAsia" w:ascii="宋体" w:hAnsi="宋体" w:eastAsia="宋体" w:cs="宋体"/>
          <w:b/>
          <w:color w:val="000000"/>
          <w:sz w:val="24"/>
          <w:szCs w:val="24"/>
          <w:highlight w:val="none"/>
        </w:rPr>
        <w:t xml:space="preserve">三、政府采购政策：</w:t>
      </w:r>
      <w:r>
        <w:rPr>
          <w:rFonts w:hint="eastAsia" w:ascii="宋体" w:hAnsi="宋体" w:eastAsia="宋体" w:cs="宋体"/>
          <w:bCs/>
          <w:color w:val="000000"/>
          <w:sz w:val="24"/>
          <w:highlight w:val="none"/>
        </w:rPr>
      </w:r>
      <w:r/>
    </w:p>
    <w:p>
      <w:pPr>
        <w:pStyle w:val="976"/>
        <w:ind w:firstLine="480"/>
        <w:spacing w:line="360" w:lineRule="auto"/>
        <w:tabs>
          <w:tab w:val="left" w:pos="28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1、针对中小型企业的评审：</w:t>
      </w:r>
      <w:r>
        <w:rPr>
          <w:rFonts w:hint="eastAsia" w:ascii="宋体" w:hAnsi="宋体" w:eastAsia="宋体" w:cs="宋体"/>
          <w:color w:val="000000"/>
          <w:sz w:val="24"/>
          <w:szCs w:val="24"/>
          <w:highlight w:val="none"/>
        </w:rPr>
      </w:r>
      <w:r/>
    </w:p>
    <w:p>
      <w:pPr>
        <w:pStyle w:val="976"/>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（1）本项目专门面向中小企业采购。</w:t>
      </w:r>
      <w:r>
        <w:rPr>
          <w:rFonts w:hint="eastAsia" w:ascii="宋体" w:hAnsi="宋体" w:eastAsia="宋体" w:cs="宋体"/>
          <w:b/>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（3）本项目采购标的对应的中小企业划型标准规定所属行业为：</w:t>
      </w:r>
      <w:r>
        <w:rPr>
          <w:rFonts w:hint="eastAsia" w:ascii="宋体" w:hAnsi="宋体" w:eastAsia="宋体" w:cs="宋体"/>
          <w:b/>
          <w:color w:val="000000"/>
          <w:sz w:val="24"/>
          <w:szCs w:val="24"/>
          <w:highlight w:val="none"/>
        </w:rPr>
        <w:t xml:space="preserve">工业。</w:t>
      </w:r>
      <w:r>
        <w:rPr>
          <w:rFonts w:hint="eastAsia" w:ascii="宋体" w:hAnsi="宋体" w:eastAsia="宋体" w:cs="宋体"/>
          <w:b/>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Style w:val="999"/>
          <w:rFonts w:hint="eastAsia" w:ascii="宋体" w:hAnsi="宋体" w:eastAsia="宋体" w:cs="宋体"/>
          <w:bCs/>
          <w:color w:val="000000"/>
          <w:sz w:val="24"/>
          <w:szCs w:val="24"/>
          <w:highlight w:val="none"/>
        </w:rPr>
        <w:t xml:space="preserve">中小企业参加政府采购活动，应当出具《政府采购促进中小企业发展管理办法》附件规定《中小企业声明函》，否则不得享受相关中小企业扶持政策。</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在货物采购项目中，供应商提供的货物既有中小企业制造货物，也有大型企业制造货物的，不享受《政府采购促进中小企业发展管理办法》规定的中小企业扶持政策。若供应商提供的《中小企业声明函》为虚假声明则视同提供虚假材料，按政府采购相关规定处理并报请政府监管部门给予行政处罚。</w:t>
      </w:r>
      <w:r>
        <w:rPr>
          <w:rFonts w:hint="eastAsia" w:ascii="宋体" w:hAnsi="宋体" w:eastAsia="宋体" w:cs="宋体"/>
          <w:bCs/>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未按本项目采购标的对应的中小企业划型标准规定所属行业承诺的《中小企业声明函》为无效《中小企业声明函》。</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3、针对监狱企业的评审：</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根据财政部、司法部《关于政府采购支持监狱企业发展有关问题的通知》（财库〔2014〕68号）的规定，对属于监狱企业的供应商给予评审：</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4、针对残疾人福利性单位的评审：</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根据财政部、民政部、中国残疾人联合会《关于促进残疾人就业政府采购政策的通知》（财库〔2017〕141号）</w:t>
      </w:r>
      <w:r>
        <w:rPr>
          <w:rFonts w:hint="eastAsia" w:ascii="宋体" w:hAnsi="宋体" w:eastAsia="宋体" w:cs="宋体"/>
          <w:bCs/>
          <w:color w:val="000000"/>
          <w:sz w:val="24"/>
          <w:szCs w:val="24"/>
          <w:highlight w:val="none"/>
        </w:rPr>
        <w:t xml:space="preserve">的规定</w:t>
      </w:r>
      <w:r>
        <w:rPr>
          <w:rFonts w:hint="eastAsia" w:ascii="宋体" w:hAnsi="宋体" w:eastAsia="宋体" w:cs="宋体"/>
          <w:color w:val="000000"/>
          <w:sz w:val="24"/>
          <w:szCs w:val="24"/>
          <w:highlight w:val="none"/>
        </w:rPr>
        <w:t xml:space="preserve">，对属于残疾人福利性单位的供应商给予评审：</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根据供应商提供的《残疾人福利性单位声明函》。</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（1）供应商对上述声明的真实性负责，若供应商提供的《残疾人福利性单位声明函》与事实不符的，依照《政府采购法》第七十七条第一款的规定追究法律责任。</w:t>
      </w:r>
      <w:r>
        <w:rPr>
          <w:rFonts w:hint="eastAsia" w:ascii="宋体" w:hAnsi="宋体" w:eastAsia="宋体" w:cs="宋体"/>
          <w:color w:val="000000"/>
          <w:sz w:val="24"/>
          <w:szCs w:val="24"/>
          <w:highlight w:val="none"/>
        </w:rPr>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（2）供应商为残疾人福利性单位的，采购代理机构将随中标结果同时公告其《残疾人福利性单位声明函》，接受社会监督。</w:t>
      </w:r>
      <w:r>
        <w:rPr>
          <w:rFonts w:hint="eastAsia" w:ascii="宋体" w:hAnsi="宋体" w:eastAsia="宋体" w:cs="宋体"/>
          <w:color w:val="000000"/>
          <w:sz w:val="24"/>
          <w:szCs w:val="24"/>
          <w:highlight w:val="none"/>
        </w:rPr>
      </w:r>
      <w:r/>
    </w:p>
    <w:p>
      <w:pPr>
        <w:pStyle w:val="97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5、上述针对中小型企业、监狱企业和残疾人福利性单位的评审政策不重复享受。</w:t>
      </w:r>
      <w:r>
        <w:rPr>
          <w:rFonts w:hint="eastAsia" w:ascii="宋体" w:hAnsi="宋体" w:eastAsia="宋体" w:cs="宋体"/>
          <w:color w:val="000000"/>
          <w:sz w:val="24"/>
          <w:szCs w:val="24"/>
          <w:highlight w:val="none"/>
        </w:rPr>
      </w:r>
      <w:r/>
    </w:p>
    <w:p>
      <w:pPr>
        <w:pStyle w:val="976"/>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（全文完）</w:t>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ourier New">
    <w:panose1 w:val="02070309020205020404"/>
  </w:font>
  <w:font w:name="方正仿宋简体">
    <w:panose1 w:val="020B0503020202020204"/>
  </w:font>
  <w:font w:name="黑体">
    <w:panose1 w:val="02010609060101010101"/>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ind w:right="360" w:firstLine="342"/>
      <w:tabs>
        <w:tab w:val="center" w:pos="4153" w:leader="none"/>
        <w:tab w:val="right" w:pos="8306" w:leader="none"/>
      </w:tabs>
    </w:pPr>
    <w:r>
      <w:rPr>
        <w:rFonts w:hint="eastAsia"/>
      </w:rPr>
      <w:t xml:space="preserve">苏州正杰招投标咨询服务有限公司</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rPr>
        <w:rStyle w:val="992"/>
      </w:rPr>
      <w:framePr w:wrap="around" w:vAnchor="text" w:hAnchor="margin" w:xAlign="right" w:y="1"/>
    </w:pPr>
    <w:r>
      <w:fldChar w:fldCharType="begin"/>
    </w:r>
    <w:r>
      <w:rPr>
        <w:rStyle w:val="992"/>
      </w:rPr>
      <w:instrText xml:space="preserve">PAGE  </w:instrText>
    </w:r>
    <w:r>
      <w:fldChar w:fldCharType="end"/>
    </w:r>
    <w:r>
      <w:rPr>
        <w:rStyle w:val="992"/>
      </w:rPr>
    </w:r>
    <w:r/>
  </w:p>
  <w:p>
    <w:pPr>
      <w:pStyle w:val="987"/>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ind w:right="360" w:firstLine="342"/>
      <w:tabs>
        <w:tab w:val="center" w:pos="4153" w:leader="none"/>
        <w:tab w:val="right" w:pos="8306" w:leader="none"/>
      </w:tabs>
    </w:pPr>
    <w:r>
      <w:rPr>
        <w:rFonts w:hint="eastAsia"/>
      </w:rPr>
      <w:t xml:space="preserve">苏州正杰招投标咨询服务有限公司</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97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97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ind w:right="360"/>
      <w:tabs>
        <w:tab w:val="center" w:pos="4153" w:leader="none"/>
        <w:tab w:val="right" w:pos="8306" w:leader="none"/>
      </w:tabs>
      <w:rPr>
        <w:rFonts w:hint="eastAsia" w:ascii="宋体" w:hAnsi="宋体" w:eastAsia="宋体" w:cs="宋体"/>
      </w:rPr>
    </w:pP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right</wp:align>
              </wp:positionH>
              <wp:positionV relativeFrom="paragraph">
                <wp:posOffset>0</wp:posOffset>
              </wp:positionV>
              <wp:extent cx="467360" cy="17272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467360" cy="172720"/>
                      </a:xfrm>
                      <a:prstGeom prst="rect">
                        <a:avLst/>
                      </a:prstGeom>
                      <a:noFill/>
                      <a:ln w="6350">
                        <a:noFill/>
                      </a:ln>
                    </wps:spPr>
                    <wps:txbx>
                      <w:txbxContent>
                        <w:p>
                          <w:pPr>
                            <w:pStyle w:val="987"/>
                            <w:tabs>
                              <w:tab w:val="clear" w:pos="4153" w:leader="none"/>
                              <w:tab w:val="clear" w:pos="8306" w:leader="none"/>
                            </w:tabs>
                            <w:rPr>
                              <w:rFonts w:hint="eastAsia"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ascii="宋体" w:hAnsi="宋体" w:eastAsia="宋体" w:cs="宋体"/>
                              <w:sz w:val="21"/>
                              <w:szCs w:val="21"/>
                            </w:rPr>
                            <w:t xml:space="preserve">2</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rPr>
                              <w:rFonts w:hint="eastAsia" w:ascii="宋体" w:hAnsi="宋体" w:eastAsia="宋体" w:cs="宋体"/>
                              <w:sz w:val="21"/>
                              <w:szCs w:val="21"/>
                            </w:rPr>
                          </w:r>
                          <w:r/>
                        </w:p>
                        <w:p>
                          <w:pPr>
                            <w:pStyle w:val="97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right;mso-position-vertical-relative:text;margin-top:0.0pt;mso-position-vertical:absolute;width:36.8pt;height:13.6pt;mso-wrap-distance-left:9.0pt;mso-wrap-distance-top:0.0pt;mso-wrap-distance-right:9.0pt;mso-wrap-distance-bottom:0.0pt;visibility:visible;" filled="f" stroked="f" strokeweight="0.50pt">
              <v:textbox inset="0,0,0,0">
                <w:txbxContent>
                  <w:p>
                    <w:pPr>
                      <w:pStyle w:val="987"/>
                      <w:tabs>
                        <w:tab w:val="clear" w:pos="4153" w:leader="none"/>
                        <w:tab w:val="clear" w:pos="8306" w:leader="none"/>
                      </w:tabs>
                      <w:rPr>
                        <w:rFonts w:hint="eastAsia"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ascii="宋体" w:hAnsi="宋体" w:eastAsia="宋体" w:cs="宋体"/>
                        <w:sz w:val="21"/>
                        <w:szCs w:val="21"/>
                      </w:rPr>
                      <w:t xml:space="preserve">2</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rPr>
                        <w:rFonts w:hint="eastAsia" w:ascii="宋体" w:hAnsi="宋体" w:eastAsia="宋体" w:cs="宋体"/>
                        <w:sz w:val="21"/>
                        <w:szCs w:val="21"/>
                      </w:rPr>
                    </w:r>
                    <w:r/>
                  </w:p>
                  <w:p>
                    <w:pPr>
                      <w:pStyle w:val="976"/>
                    </w:pPr>
                    <w:r/>
                    <w:r/>
                  </w:p>
                </w:txbxContent>
              </v:textbox>
            </v:shape>
          </w:pict>
        </mc:Fallback>
      </mc:AlternateContent>
    </w:r>
    <w:r>
      <w:rPr>
        <w:rFonts w:hint="eastAsia" w:ascii="宋体" w:hAnsi="宋体" w:eastAsia="宋体" w:cs="宋体"/>
      </w:rPr>
      <w:t xml:space="preserve">苏州正杰招投标咨询服务有限公司</w:t>
    </w:r>
    <w:r>
      <w:rPr>
        <w:rFonts w:hint="eastAsia" w:ascii="宋体" w:hAnsi="宋体" w:eastAsia="宋体" w:cs="宋体"/>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both"/>
      <w:tabs>
        <w:tab w:val="center" w:pos="4153" w:leader="none"/>
        <w:tab w:val="right" w:pos="8306" w:leader="none"/>
      </w:tabs>
      <w:rPr>
        <w:rFonts w:hint="eastAsia" w:ascii="宋体" w:hAnsi="宋体" w:eastAsia="宋体" w:cs="宋体"/>
        <w:sz w:val="21"/>
        <w:szCs w:val="21"/>
      </w:rPr>
    </w:pPr>
    <w:r>
      <w:rPr>
        <w:rFonts w:hint="eastAsia" w:ascii="宋体" w:hAnsi="宋体" w:eastAsia="宋体" w:cs="宋体"/>
        <w:sz w:val="21"/>
        <w:szCs w:val="21"/>
      </w:rPr>
      <w:t xml:space="preserve">政府采购招标文件                                     项目编号：</w:t>
    </w:r>
    <w:r>
      <w:rPr>
        <w:rFonts w:hint="eastAsia" w:ascii="宋体" w:hAnsi="宋体" w:eastAsia="宋体" w:cs="宋体"/>
        <w:sz w:val="21"/>
        <w:szCs w:val="21"/>
        <w:lang w:eastAsia="zh-CN"/>
      </w:rPr>
      <w:t xml:space="preserve">JSZC-320506-SZZJ-G2024-0056</w:t>
    </w:r>
    <w:r>
      <w:rPr>
        <w:rFonts w:hint="eastAsia" w:ascii="宋体" w:hAnsi="宋体" w:eastAsia="宋体" w:cs="宋体"/>
        <w:sz w:val="21"/>
        <w:szCs w:val="21"/>
      </w:rPr>
      <w:t xml:space="preserve"> </w:t>
    </w:r>
    <w:r>
      <w:rPr>
        <w:rFonts w:hint="eastAsia" w:ascii="宋体" w:hAnsi="宋体" w:eastAsia="宋体" w:cs="宋体"/>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76"/>
        <w:ind w:left="425" w:hanging="425"/>
      </w:pPr>
      <w:rPr>
        <w:rFonts w:hint="eastAsia"/>
      </w:rPr>
    </w:lvl>
    <w:lvl w:ilvl="1">
      <w:start w:val="1"/>
      <w:numFmt w:val="decimal"/>
      <w:isLgl w:val="false"/>
      <w:suff w:val="tab"/>
      <w:lvlText w:val="%1.%2"/>
      <w:lvlJc w:val="left"/>
      <w:pPr>
        <w:pStyle w:val="976"/>
        <w:ind w:left="1277" w:hanging="567"/>
      </w:pPr>
    </w:lvl>
    <w:lvl w:ilvl="2">
      <w:start w:val="1"/>
      <w:numFmt w:val="decimal"/>
      <w:isLgl w:val="false"/>
      <w:suff w:val="tab"/>
      <w:lvlText w:val="%1.%2.%3"/>
      <w:lvlJc w:val="left"/>
      <w:pPr>
        <w:pStyle w:val="976"/>
        <w:ind w:left="992" w:hanging="567"/>
      </w:pPr>
    </w:lvl>
    <w:lvl w:ilvl="3">
      <w:start w:val="1"/>
      <w:numFmt w:val="decimal"/>
      <w:isLgl w:val="false"/>
      <w:suff w:val="tab"/>
      <w:lvlText w:val="%1.%2.%3.%4"/>
      <w:lvlJc w:val="left"/>
      <w:pPr>
        <w:pStyle w:val="976"/>
        <w:ind w:left="1984" w:hanging="708"/>
      </w:pPr>
    </w:lvl>
    <w:lvl w:ilvl="4">
      <w:start w:val="1"/>
      <w:numFmt w:val="decimal"/>
      <w:isLgl w:val="false"/>
      <w:suff w:val="tab"/>
      <w:lvlText w:val="%1.%2.%3.%4.%5"/>
      <w:lvlJc w:val="left"/>
      <w:pPr>
        <w:pStyle w:val="976"/>
        <w:ind w:left="2551" w:hanging="850"/>
      </w:pPr>
    </w:lvl>
    <w:lvl w:ilvl="5">
      <w:start w:val="1"/>
      <w:numFmt w:val="decimal"/>
      <w:isLgl w:val="false"/>
      <w:suff w:val="tab"/>
      <w:lvlText w:val="%1.%2.%3.%4.%5.%6"/>
      <w:lvlJc w:val="left"/>
      <w:pPr>
        <w:pStyle w:val="976"/>
        <w:ind w:left="3260" w:hanging="1134"/>
      </w:pPr>
    </w:lvl>
    <w:lvl w:ilvl="6">
      <w:start w:val="1"/>
      <w:numFmt w:val="decimal"/>
      <w:isLgl w:val="false"/>
      <w:suff w:val="tab"/>
      <w:lvlText w:val="%1.%2.%3.%4.%5.%6.%7"/>
      <w:lvlJc w:val="left"/>
      <w:pPr>
        <w:pStyle w:val="976"/>
        <w:ind w:left="3827" w:hanging="1276"/>
      </w:pPr>
    </w:lvl>
    <w:lvl w:ilvl="7">
      <w:start w:val="1"/>
      <w:numFmt w:val="decimal"/>
      <w:isLgl w:val="false"/>
      <w:suff w:val="tab"/>
      <w:lvlText w:val="%1.%2.%3.%4.%5.%6.%7.%8"/>
      <w:lvlJc w:val="left"/>
      <w:pPr>
        <w:pStyle w:val="976"/>
        <w:ind w:left="4394" w:hanging="1418"/>
      </w:pPr>
    </w:lvl>
    <w:lvl w:ilvl="8">
      <w:start w:val="1"/>
      <w:numFmt w:val="decimal"/>
      <w:isLgl w:val="false"/>
      <w:suff w:val="tab"/>
      <w:lvlText w:val="%1.%2.%3.%4.%5.%6.%7.%8.%9"/>
      <w:lvlJc w:val="left"/>
      <w:pPr>
        <w:pStyle w:val="976"/>
        <w:ind w:left="5102" w:hanging="170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9">
    <w:name w:val="Heading 1"/>
    <w:basedOn w:val="976"/>
    <w:next w:val="976"/>
    <w:link w:val="800"/>
    <w:uiPriority w:val="9"/>
    <w:qFormat/>
    <w:pPr>
      <w:keepLines/>
      <w:keepNext/>
      <w:spacing w:before="480" w:after="200"/>
      <w:outlineLvl w:val="0"/>
    </w:pPr>
    <w:rPr>
      <w:rFonts w:ascii="Arial" w:hAnsi="Arial" w:eastAsia="Arial" w:cs="Arial"/>
      <w:sz w:val="40"/>
      <w:szCs w:val="40"/>
    </w:rPr>
  </w:style>
  <w:style w:type="character" w:styleId="800">
    <w:name w:val="Heading 1 Char"/>
    <w:link w:val="799"/>
    <w:uiPriority w:val="9"/>
    <w:rPr>
      <w:rFonts w:ascii="Arial" w:hAnsi="Arial" w:eastAsia="Arial" w:cs="Arial"/>
      <w:sz w:val="40"/>
      <w:szCs w:val="40"/>
    </w:rPr>
  </w:style>
  <w:style w:type="paragraph" w:styleId="801">
    <w:name w:val="Heading 2"/>
    <w:basedOn w:val="976"/>
    <w:next w:val="976"/>
    <w:link w:val="802"/>
    <w:uiPriority w:val="9"/>
    <w:unhideWhenUsed/>
    <w:qFormat/>
    <w:pPr>
      <w:keepLines/>
      <w:keepNext/>
      <w:spacing w:before="360" w:after="200"/>
      <w:outlineLvl w:val="1"/>
    </w:pPr>
    <w:rPr>
      <w:rFonts w:ascii="Arial" w:hAnsi="Arial" w:eastAsia="Arial" w:cs="Arial"/>
      <w:sz w:val="34"/>
    </w:rPr>
  </w:style>
  <w:style w:type="character" w:styleId="802">
    <w:name w:val="Heading 2 Char"/>
    <w:link w:val="801"/>
    <w:uiPriority w:val="9"/>
    <w:rPr>
      <w:rFonts w:ascii="Arial" w:hAnsi="Arial" w:eastAsia="Arial" w:cs="Arial"/>
      <w:sz w:val="34"/>
    </w:rPr>
  </w:style>
  <w:style w:type="paragraph" w:styleId="803">
    <w:name w:val="Heading 3"/>
    <w:basedOn w:val="976"/>
    <w:next w:val="976"/>
    <w:link w:val="804"/>
    <w:uiPriority w:val="9"/>
    <w:unhideWhenUsed/>
    <w:qFormat/>
    <w:pPr>
      <w:keepLines/>
      <w:keepNext/>
      <w:spacing w:before="320" w:after="200"/>
      <w:outlineLvl w:val="2"/>
    </w:pPr>
    <w:rPr>
      <w:rFonts w:ascii="Arial" w:hAnsi="Arial" w:eastAsia="Arial" w:cs="Arial"/>
      <w:sz w:val="30"/>
      <w:szCs w:val="30"/>
    </w:rPr>
  </w:style>
  <w:style w:type="character" w:styleId="804">
    <w:name w:val="Heading 3 Char"/>
    <w:link w:val="803"/>
    <w:uiPriority w:val="9"/>
    <w:rPr>
      <w:rFonts w:ascii="Arial" w:hAnsi="Arial" w:eastAsia="Arial" w:cs="Arial"/>
      <w:sz w:val="30"/>
      <w:szCs w:val="30"/>
    </w:rPr>
  </w:style>
  <w:style w:type="paragraph" w:styleId="805">
    <w:name w:val="Heading 4"/>
    <w:basedOn w:val="976"/>
    <w:next w:val="976"/>
    <w:link w:val="806"/>
    <w:uiPriority w:val="9"/>
    <w:unhideWhenUsed/>
    <w:qFormat/>
    <w:pPr>
      <w:keepLines/>
      <w:keepNext/>
      <w:spacing w:before="320" w:after="200"/>
      <w:outlineLvl w:val="3"/>
    </w:pPr>
    <w:rPr>
      <w:rFonts w:ascii="Arial" w:hAnsi="Arial" w:eastAsia="Arial" w:cs="Arial"/>
      <w:b/>
      <w:bCs/>
      <w:sz w:val="26"/>
      <w:szCs w:val="26"/>
    </w:rPr>
  </w:style>
  <w:style w:type="character" w:styleId="806">
    <w:name w:val="Heading 4 Char"/>
    <w:link w:val="805"/>
    <w:uiPriority w:val="9"/>
    <w:rPr>
      <w:rFonts w:ascii="Arial" w:hAnsi="Arial" w:eastAsia="Arial" w:cs="Arial"/>
      <w:b/>
      <w:bCs/>
      <w:sz w:val="26"/>
      <w:szCs w:val="26"/>
    </w:rPr>
  </w:style>
  <w:style w:type="paragraph" w:styleId="807">
    <w:name w:val="Heading 5"/>
    <w:basedOn w:val="976"/>
    <w:next w:val="976"/>
    <w:link w:val="808"/>
    <w:uiPriority w:val="9"/>
    <w:unhideWhenUsed/>
    <w:qFormat/>
    <w:pPr>
      <w:keepLines/>
      <w:keepNext/>
      <w:spacing w:before="320" w:after="200"/>
      <w:outlineLvl w:val="4"/>
    </w:pPr>
    <w:rPr>
      <w:rFonts w:ascii="Arial" w:hAnsi="Arial" w:eastAsia="Arial" w:cs="Arial"/>
      <w:b/>
      <w:bCs/>
      <w:sz w:val="24"/>
      <w:szCs w:val="24"/>
    </w:rPr>
  </w:style>
  <w:style w:type="character" w:styleId="808">
    <w:name w:val="Heading 5 Char"/>
    <w:link w:val="807"/>
    <w:uiPriority w:val="9"/>
    <w:rPr>
      <w:rFonts w:ascii="Arial" w:hAnsi="Arial" w:eastAsia="Arial" w:cs="Arial"/>
      <w:b/>
      <w:bCs/>
      <w:sz w:val="24"/>
      <w:szCs w:val="24"/>
    </w:rPr>
  </w:style>
  <w:style w:type="paragraph" w:styleId="809">
    <w:name w:val="Heading 6"/>
    <w:basedOn w:val="976"/>
    <w:next w:val="976"/>
    <w:link w:val="810"/>
    <w:uiPriority w:val="9"/>
    <w:unhideWhenUsed/>
    <w:qFormat/>
    <w:pPr>
      <w:keepLines/>
      <w:keepNext/>
      <w:spacing w:before="320" w:after="200"/>
      <w:outlineLvl w:val="5"/>
    </w:pPr>
    <w:rPr>
      <w:rFonts w:ascii="Arial" w:hAnsi="Arial" w:eastAsia="Arial" w:cs="Arial"/>
      <w:b/>
      <w:bCs/>
      <w:sz w:val="22"/>
      <w:szCs w:val="22"/>
    </w:rPr>
  </w:style>
  <w:style w:type="character" w:styleId="810">
    <w:name w:val="Heading 6 Char"/>
    <w:link w:val="809"/>
    <w:uiPriority w:val="9"/>
    <w:rPr>
      <w:rFonts w:ascii="Arial" w:hAnsi="Arial" w:eastAsia="Arial" w:cs="Arial"/>
      <w:b/>
      <w:bCs/>
      <w:sz w:val="22"/>
      <w:szCs w:val="22"/>
    </w:rPr>
  </w:style>
  <w:style w:type="paragraph" w:styleId="811">
    <w:name w:val="Heading 7"/>
    <w:basedOn w:val="976"/>
    <w:next w:val="976"/>
    <w:link w:val="812"/>
    <w:uiPriority w:val="9"/>
    <w:unhideWhenUsed/>
    <w:qFormat/>
    <w:pPr>
      <w:keepLines/>
      <w:keepNext/>
      <w:spacing w:before="320" w:after="200"/>
      <w:outlineLvl w:val="6"/>
    </w:pPr>
    <w:rPr>
      <w:rFonts w:ascii="Arial" w:hAnsi="Arial" w:eastAsia="Arial" w:cs="Arial"/>
      <w:b/>
      <w:bCs/>
      <w:i/>
      <w:iCs/>
      <w:sz w:val="22"/>
      <w:szCs w:val="22"/>
    </w:rPr>
  </w:style>
  <w:style w:type="character" w:styleId="812">
    <w:name w:val="Heading 7 Char"/>
    <w:link w:val="811"/>
    <w:uiPriority w:val="9"/>
    <w:rPr>
      <w:rFonts w:ascii="Arial" w:hAnsi="Arial" w:eastAsia="Arial" w:cs="Arial"/>
      <w:b/>
      <w:bCs/>
      <w:i/>
      <w:iCs/>
      <w:sz w:val="22"/>
      <w:szCs w:val="22"/>
    </w:rPr>
  </w:style>
  <w:style w:type="paragraph" w:styleId="813">
    <w:name w:val="Heading 8"/>
    <w:basedOn w:val="976"/>
    <w:next w:val="976"/>
    <w:link w:val="814"/>
    <w:uiPriority w:val="9"/>
    <w:unhideWhenUsed/>
    <w:qFormat/>
    <w:pPr>
      <w:keepLines/>
      <w:keepNext/>
      <w:spacing w:before="320" w:after="200"/>
      <w:outlineLvl w:val="7"/>
    </w:pPr>
    <w:rPr>
      <w:rFonts w:ascii="Arial" w:hAnsi="Arial" w:eastAsia="Arial" w:cs="Arial"/>
      <w:i/>
      <w:iCs/>
      <w:sz w:val="22"/>
      <w:szCs w:val="22"/>
    </w:rPr>
  </w:style>
  <w:style w:type="character" w:styleId="814">
    <w:name w:val="Heading 8 Char"/>
    <w:link w:val="813"/>
    <w:uiPriority w:val="9"/>
    <w:rPr>
      <w:rFonts w:ascii="Arial" w:hAnsi="Arial" w:eastAsia="Arial" w:cs="Arial"/>
      <w:i/>
      <w:iCs/>
      <w:sz w:val="22"/>
      <w:szCs w:val="22"/>
    </w:rPr>
  </w:style>
  <w:style w:type="paragraph" w:styleId="815">
    <w:name w:val="Heading 9"/>
    <w:basedOn w:val="976"/>
    <w:next w:val="976"/>
    <w:link w:val="816"/>
    <w:uiPriority w:val="9"/>
    <w:unhideWhenUsed/>
    <w:qFormat/>
    <w:pPr>
      <w:keepLines/>
      <w:keepNext/>
      <w:spacing w:before="320" w:after="200"/>
      <w:outlineLvl w:val="8"/>
    </w:pPr>
    <w:rPr>
      <w:rFonts w:ascii="Arial" w:hAnsi="Arial" w:eastAsia="Arial" w:cs="Arial"/>
      <w:i/>
      <w:iCs/>
      <w:sz w:val="21"/>
      <w:szCs w:val="21"/>
    </w:rPr>
  </w:style>
  <w:style w:type="character" w:styleId="816">
    <w:name w:val="Heading 9 Char"/>
    <w:link w:val="815"/>
    <w:uiPriority w:val="9"/>
    <w:rPr>
      <w:rFonts w:ascii="Arial" w:hAnsi="Arial" w:eastAsia="Arial" w:cs="Arial"/>
      <w:i/>
      <w:iCs/>
      <w:sz w:val="21"/>
      <w:szCs w:val="21"/>
    </w:rPr>
  </w:style>
  <w:style w:type="paragraph" w:styleId="817">
    <w:name w:val="No Spacing"/>
    <w:uiPriority w:val="1"/>
    <w:qFormat/>
    <w:pPr>
      <w:spacing w:before="0" w:after="0" w:line="240" w:lineRule="auto"/>
    </w:pPr>
  </w:style>
  <w:style w:type="paragraph" w:styleId="818">
    <w:name w:val="Title"/>
    <w:basedOn w:val="976"/>
    <w:next w:val="976"/>
    <w:link w:val="819"/>
    <w:uiPriority w:val="10"/>
    <w:qFormat/>
    <w:pPr>
      <w:contextualSpacing/>
      <w:spacing w:before="300" w:after="200"/>
    </w:pPr>
    <w:rPr>
      <w:sz w:val="48"/>
      <w:szCs w:val="48"/>
    </w:rPr>
  </w:style>
  <w:style w:type="character" w:styleId="819">
    <w:name w:val="Title Char"/>
    <w:link w:val="818"/>
    <w:uiPriority w:val="10"/>
    <w:rPr>
      <w:sz w:val="48"/>
      <w:szCs w:val="48"/>
    </w:rPr>
  </w:style>
  <w:style w:type="paragraph" w:styleId="820">
    <w:name w:val="Subtitle"/>
    <w:basedOn w:val="976"/>
    <w:next w:val="976"/>
    <w:link w:val="821"/>
    <w:uiPriority w:val="11"/>
    <w:qFormat/>
    <w:pPr>
      <w:spacing w:before="200" w:after="200"/>
    </w:pPr>
    <w:rPr>
      <w:sz w:val="24"/>
      <w:szCs w:val="24"/>
    </w:rPr>
  </w:style>
  <w:style w:type="character" w:styleId="821">
    <w:name w:val="Subtitle Char"/>
    <w:link w:val="820"/>
    <w:uiPriority w:val="11"/>
    <w:rPr>
      <w:sz w:val="24"/>
      <w:szCs w:val="24"/>
    </w:rPr>
  </w:style>
  <w:style w:type="paragraph" w:styleId="822">
    <w:name w:val="Quote"/>
    <w:basedOn w:val="976"/>
    <w:next w:val="976"/>
    <w:link w:val="823"/>
    <w:uiPriority w:val="29"/>
    <w:qFormat/>
    <w:pPr>
      <w:ind w:left="720" w:right="720"/>
    </w:pPr>
    <w:rPr>
      <w:i/>
    </w:rPr>
  </w:style>
  <w:style w:type="character" w:styleId="823">
    <w:name w:val="Quote Char"/>
    <w:link w:val="822"/>
    <w:uiPriority w:val="29"/>
    <w:rPr>
      <w:i/>
    </w:rPr>
  </w:style>
  <w:style w:type="paragraph" w:styleId="824">
    <w:name w:val="Intense Quote"/>
    <w:basedOn w:val="976"/>
    <w:next w:val="976"/>
    <w:link w:val="8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name w:val="Intense Quote Char"/>
    <w:link w:val="824"/>
    <w:uiPriority w:val="30"/>
    <w:rPr>
      <w:i/>
    </w:rPr>
  </w:style>
  <w:style w:type="paragraph" w:styleId="826">
    <w:name w:val="Header"/>
    <w:basedOn w:val="976"/>
    <w:link w:val="827"/>
    <w:uiPriority w:val="99"/>
    <w:unhideWhenUsed/>
    <w:pPr>
      <w:spacing w:after="0" w:line="240" w:lineRule="auto"/>
      <w:tabs>
        <w:tab w:val="center" w:pos="7143" w:leader="none"/>
        <w:tab w:val="right" w:pos="14287" w:leader="none"/>
      </w:tabs>
    </w:pPr>
  </w:style>
  <w:style w:type="character" w:styleId="827">
    <w:name w:val="Header Char"/>
    <w:link w:val="826"/>
    <w:uiPriority w:val="99"/>
  </w:style>
  <w:style w:type="paragraph" w:styleId="828">
    <w:name w:val="Footer"/>
    <w:basedOn w:val="976"/>
    <w:link w:val="831"/>
    <w:uiPriority w:val="99"/>
    <w:unhideWhenUsed/>
    <w:pPr>
      <w:spacing w:after="0" w:line="240" w:lineRule="auto"/>
      <w:tabs>
        <w:tab w:val="center" w:pos="7143" w:leader="none"/>
        <w:tab w:val="right" w:pos="14287" w:leader="none"/>
      </w:tabs>
    </w:pPr>
  </w:style>
  <w:style w:type="character" w:styleId="829">
    <w:name w:val="Footer Char"/>
    <w:link w:val="828"/>
    <w:uiPriority w:val="99"/>
  </w:style>
  <w:style w:type="paragraph" w:styleId="830">
    <w:name w:val="Caption"/>
    <w:basedOn w:val="976"/>
    <w:next w:val="976"/>
    <w:uiPriority w:val="35"/>
    <w:semiHidden/>
    <w:unhideWhenUsed/>
    <w:qFormat/>
    <w:pPr>
      <w:spacing w:line="276" w:lineRule="auto"/>
    </w:pPr>
    <w:rPr>
      <w:b/>
      <w:bCs/>
      <w:color w:val="4f81bd" w:themeColor="accent1"/>
      <w:sz w:val="18"/>
      <w:szCs w:val="18"/>
    </w:rPr>
  </w:style>
  <w:style w:type="character" w:styleId="831">
    <w:name w:val="Caption Char"/>
    <w:basedOn w:val="830"/>
    <w:link w:val="828"/>
    <w:uiPriority w:val="99"/>
  </w:style>
  <w:style w:type="table" w:styleId="83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8">
    <w:name w:val="Hyperlink"/>
    <w:uiPriority w:val="99"/>
    <w:unhideWhenUsed/>
    <w:rPr>
      <w:color w:val="0000ff" w:themeColor="hyperlink"/>
      <w:u w:val="single"/>
    </w:rPr>
  </w:style>
  <w:style w:type="paragraph" w:styleId="959">
    <w:name w:val="footnote text"/>
    <w:basedOn w:val="976"/>
    <w:link w:val="960"/>
    <w:uiPriority w:val="99"/>
    <w:semiHidden/>
    <w:unhideWhenUsed/>
    <w:pPr>
      <w:spacing w:after="40" w:line="240" w:lineRule="auto"/>
    </w:pPr>
    <w:rPr>
      <w:sz w:val="18"/>
    </w:rPr>
  </w:style>
  <w:style w:type="character" w:styleId="960">
    <w:name w:val="Footnote Text Char"/>
    <w:link w:val="959"/>
    <w:uiPriority w:val="99"/>
    <w:rPr>
      <w:sz w:val="18"/>
    </w:rPr>
  </w:style>
  <w:style w:type="character" w:styleId="961">
    <w:name w:val="footnote reference"/>
    <w:uiPriority w:val="99"/>
    <w:unhideWhenUsed/>
    <w:rPr>
      <w:vertAlign w:val="superscript"/>
    </w:rPr>
  </w:style>
  <w:style w:type="paragraph" w:styleId="962">
    <w:name w:val="endnote text"/>
    <w:basedOn w:val="976"/>
    <w:link w:val="963"/>
    <w:uiPriority w:val="99"/>
    <w:semiHidden/>
    <w:unhideWhenUsed/>
    <w:pPr>
      <w:spacing w:after="0" w:line="240" w:lineRule="auto"/>
    </w:pPr>
    <w:rPr>
      <w:sz w:val="20"/>
    </w:rPr>
  </w:style>
  <w:style w:type="character" w:styleId="963">
    <w:name w:val="Endnote Text Char"/>
    <w:link w:val="962"/>
    <w:uiPriority w:val="99"/>
    <w:rPr>
      <w:sz w:val="20"/>
    </w:rPr>
  </w:style>
  <w:style w:type="character" w:styleId="964">
    <w:name w:val="endnote reference"/>
    <w:uiPriority w:val="99"/>
    <w:semiHidden/>
    <w:unhideWhenUsed/>
    <w:rPr>
      <w:vertAlign w:val="superscript"/>
    </w:rPr>
  </w:style>
  <w:style w:type="paragraph" w:styleId="965">
    <w:name w:val="toc 1"/>
    <w:basedOn w:val="976"/>
    <w:next w:val="976"/>
    <w:uiPriority w:val="39"/>
    <w:unhideWhenUsed/>
    <w:pPr>
      <w:ind w:left="0" w:right="0" w:firstLine="0"/>
      <w:spacing w:after="57"/>
    </w:pPr>
  </w:style>
  <w:style w:type="paragraph" w:styleId="966">
    <w:name w:val="toc 2"/>
    <w:basedOn w:val="976"/>
    <w:next w:val="976"/>
    <w:uiPriority w:val="39"/>
    <w:unhideWhenUsed/>
    <w:pPr>
      <w:ind w:left="283" w:right="0" w:firstLine="0"/>
      <w:spacing w:after="57"/>
    </w:pPr>
  </w:style>
  <w:style w:type="paragraph" w:styleId="967">
    <w:name w:val="toc 3"/>
    <w:basedOn w:val="976"/>
    <w:next w:val="976"/>
    <w:uiPriority w:val="39"/>
    <w:unhideWhenUsed/>
    <w:pPr>
      <w:ind w:left="567" w:right="0" w:firstLine="0"/>
      <w:spacing w:after="57"/>
    </w:pPr>
  </w:style>
  <w:style w:type="paragraph" w:styleId="968">
    <w:name w:val="toc 4"/>
    <w:basedOn w:val="976"/>
    <w:next w:val="976"/>
    <w:uiPriority w:val="39"/>
    <w:unhideWhenUsed/>
    <w:pPr>
      <w:ind w:left="850" w:right="0" w:firstLine="0"/>
      <w:spacing w:after="57"/>
    </w:pPr>
  </w:style>
  <w:style w:type="paragraph" w:styleId="969">
    <w:name w:val="toc 5"/>
    <w:basedOn w:val="976"/>
    <w:next w:val="976"/>
    <w:uiPriority w:val="39"/>
    <w:unhideWhenUsed/>
    <w:pPr>
      <w:ind w:left="1134" w:right="0" w:firstLine="0"/>
      <w:spacing w:after="57"/>
    </w:pPr>
  </w:style>
  <w:style w:type="paragraph" w:styleId="970">
    <w:name w:val="toc 6"/>
    <w:basedOn w:val="976"/>
    <w:next w:val="976"/>
    <w:uiPriority w:val="39"/>
    <w:unhideWhenUsed/>
    <w:pPr>
      <w:ind w:left="1417" w:right="0" w:firstLine="0"/>
      <w:spacing w:after="57"/>
    </w:pPr>
  </w:style>
  <w:style w:type="paragraph" w:styleId="971">
    <w:name w:val="toc 7"/>
    <w:basedOn w:val="976"/>
    <w:next w:val="976"/>
    <w:uiPriority w:val="39"/>
    <w:unhideWhenUsed/>
    <w:pPr>
      <w:ind w:left="1701" w:right="0" w:firstLine="0"/>
      <w:spacing w:after="57"/>
    </w:pPr>
  </w:style>
  <w:style w:type="paragraph" w:styleId="972">
    <w:name w:val="toc 8"/>
    <w:basedOn w:val="976"/>
    <w:next w:val="976"/>
    <w:uiPriority w:val="39"/>
    <w:unhideWhenUsed/>
    <w:pPr>
      <w:ind w:left="1984" w:right="0" w:firstLine="0"/>
      <w:spacing w:after="57"/>
    </w:pPr>
  </w:style>
  <w:style w:type="paragraph" w:styleId="973">
    <w:name w:val="toc 9"/>
    <w:basedOn w:val="976"/>
    <w:next w:val="976"/>
    <w:uiPriority w:val="39"/>
    <w:unhideWhenUsed/>
    <w:pPr>
      <w:ind w:left="2268" w:right="0" w:firstLine="0"/>
      <w:spacing w:after="57"/>
    </w:pPr>
  </w:style>
  <w:style w:type="paragraph" w:styleId="974">
    <w:name w:val="TOC Heading"/>
    <w:uiPriority w:val="39"/>
    <w:unhideWhenUsed/>
  </w:style>
  <w:style w:type="paragraph" w:styleId="975">
    <w:name w:val="table of figures"/>
    <w:basedOn w:val="976"/>
    <w:next w:val="976"/>
    <w:uiPriority w:val="99"/>
    <w:unhideWhenUsed/>
    <w:pPr>
      <w:spacing w:after="0" w:afterAutospacing="0"/>
    </w:pPr>
  </w:style>
  <w:style w:type="paragraph" w:styleId="976" w:default="1">
    <w:name w:val="Normal"/>
    <w:next w:val="979"/>
    <w:link w:val="976"/>
    <w:qFormat/>
    <w:pPr>
      <w:jc w:val="both"/>
      <w:widowControl w:val="off"/>
    </w:pPr>
    <w:rPr>
      <w:rFonts w:ascii="Times New Roman" w:hAnsi="Times New Roman" w:eastAsia="楷体_GB2312" w:cs="Times New Roman"/>
      <w:sz w:val="26"/>
      <w:lang w:val="en-US" w:eastAsia="zh-CN" w:bidi="ar-SA"/>
    </w:rPr>
  </w:style>
  <w:style w:type="character" w:styleId="977">
    <w:name w:val="默认段落字体"/>
    <w:next w:val="977"/>
    <w:link w:val="976"/>
    <w:semiHidden/>
    <w:qFormat/>
  </w:style>
  <w:style w:type="table" w:styleId="978">
    <w:name w:val="普通表格"/>
    <w:next w:val="978"/>
    <w:link w:val="976"/>
    <w:semiHidden/>
    <w:qFormat/>
    <w:tblPr/>
  </w:style>
  <w:style w:type="paragraph" w:styleId="979">
    <w:name w:val="正文1"/>
    <w:basedOn w:val="976"/>
    <w:next w:val="976"/>
    <w:link w:val="976"/>
    <w:qFormat/>
    <w:pPr>
      <w:ind w:left="359" w:hanging="359"/>
      <w:spacing w:line="500" w:lineRule="exact"/>
      <w:tabs>
        <w:tab w:val="left" w:pos="480" w:leader="none"/>
      </w:tabs>
    </w:pPr>
    <w:rPr>
      <w:rFonts w:ascii="黑体" w:hAnsi="宋体" w:eastAsia="宋体"/>
      <w:sz w:val="21"/>
      <w:szCs w:val="24"/>
    </w:rPr>
  </w:style>
  <w:style w:type="paragraph" w:styleId="980">
    <w:name w:val="正文缩进"/>
    <w:basedOn w:val="976"/>
    <w:next w:val="976"/>
    <w:link w:val="976"/>
    <w:qFormat/>
    <w:pPr>
      <w:ind w:firstLine="420"/>
      <w:jc w:val="left"/>
    </w:pPr>
    <w:rPr>
      <w:sz w:val="24"/>
    </w:rPr>
  </w:style>
  <w:style w:type="paragraph" w:styleId="981">
    <w:name w:val="文档结构图"/>
    <w:basedOn w:val="976"/>
    <w:next w:val="981"/>
    <w:link w:val="976"/>
    <w:qFormat/>
    <w:pPr>
      <w:shd w:val="clear" w:color="auto" w:fill="000080"/>
    </w:pPr>
  </w:style>
  <w:style w:type="paragraph" w:styleId="982">
    <w:name w:val="批注文字"/>
    <w:basedOn w:val="976"/>
    <w:next w:val="982"/>
    <w:link w:val="976"/>
    <w:pPr>
      <w:jc w:val="left"/>
    </w:pPr>
  </w:style>
  <w:style w:type="paragraph" w:styleId="983">
    <w:name w:val="正文文本"/>
    <w:basedOn w:val="976"/>
    <w:next w:val="976"/>
    <w:link w:val="976"/>
    <w:qFormat/>
    <w:pPr>
      <w:spacing w:line="400" w:lineRule="exact"/>
    </w:pPr>
    <w:rPr>
      <w:rFonts w:ascii="楷体_GB2312"/>
      <w:sz w:val="28"/>
    </w:rPr>
  </w:style>
  <w:style w:type="paragraph" w:styleId="984">
    <w:name w:val="正文文本缩进"/>
    <w:basedOn w:val="976"/>
    <w:next w:val="985"/>
    <w:link w:val="976"/>
    <w:qFormat/>
    <w:pPr>
      <w:ind w:left="570"/>
      <w:spacing w:line="520" w:lineRule="exact"/>
    </w:pPr>
    <w:rPr>
      <w:rFonts w:ascii="方正仿宋简体" w:hAnsi="创艺简仿宋" w:eastAsia="方正仿宋简体"/>
      <w:sz w:val="24"/>
    </w:rPr>
  </w:style>
  <w:style w:type="paragraph" w:styleId="985">
    <w:name w:val="目录 51"/>
    <w:next w:val="976"/>
    <w:link w:val="976"/>
    <w:qFormat/>
    <w:pPr>
      <w:ind w:left="1275"/>
      <w:jc w:val="both"/>
    </w:pPr>
    <w:rPr>
      <w:rFonts w:ascii="Times New Roman" w:hAnsi="Times New Roman" w:eastAsia="宋体" w:cs="Times New Roman"/>
      <w:sz w:val="21"/>
      <w:lang w:val="en-US" w:eastAsia="zh-CN" w:bidi="ar-SA"/>
    </w:rPr>
  </w:style>
  <w:style w:type="paragraph" w:styleId="986">
    <w:name w:val="纯文本"/>
    <w:basedOn w:val="976"/>
    <w:next w:val="980"/>
    <w:link w:val="976"/>
    <w:qFormat/>
    <w:rPr>
      <w:rFonts w:ascii="宋体" w:hAnsi="Courier New"/>
    </w:rPr>
  </w:style>
  <w:style w:type="paragraph" w:styleId="987">
    <w:name w:val="页脚"/>
    <w:basedOn w:val="976"/>
    <w:next w:val="987"/>
    <w:link w:val="976"/>
    <w:uiPriority w:val="99"/>
    <w:qFormat/>
    <w:pPr>
      <w:jc w:val="left"/>
      <w:tabs>
        <w:tab w:val="center" w:pos="4153" w:leader="none"/>
        <w:tab w:val="right" w:pos="8306" w:leader="none"/>
      </w:tabs>
    </w:pPr>
    <w:rPr>
      <w:sz w:val="18"/>
    </w:rPr>
  </w:style>
  <w:style w:type="paragraph" w:styleId="988">
    <w:name w:val="页眉"/>
    <w:basedOn w:val="976"/>
    <w:next w:val="988"/>
    <w:link w:val="976"/>
    <w:uiPriority w:val="99"/>
    <w:qFormat/>
    <w:pPr>
      <w:jc w:val="center"/>
      <w:tabs>
        <w:tab w:val="center" w:pos="4153" w:leader="none"/>
        <w:tab w:val="right" w:pos="8306" w:leader="none"/>
      </w:tabs>
      <w:pBdr>
        <w:bottom w:val="single" w:color="000000" w:sz="6" w:space="1"/>
      </w:pBdr>
    </w:pPr>
    <w:rPr>
      <w:sz w:val="18"/>
    </w:rPr>
  </w:style>
  <w:style w:type="paragraph" w:styleId="989">
    <w:name w:val="普通(网站)"/>
    <w:basedOn w:val="976"/>
    <w:next w:val="989"/>
    <w:link w:val="976"/>
    <w:uiPriority w:val="99"/>
    <w:qFormat/>
    <w:pPr>
      <w:jc w:val="left"/>
      <w:spacing w:before="100" w:beforeAutospacing="1" w:after="100" w:afterAutospacing="1"/>
      <w:widowControl/>
    </w:pPr>
    <w:rPr>
      <w:rFonts w:hint="eastAsia" w:ascii="宋体" w:hAnsi="宋体" w:eastAsia="宋体"/>
      <w:sz w:val="24"/>
      <w:szCs w:val="24"/>
    </w:rPr>
  </w:style>
  <w:style w:type="paragraph" w:styleId="990">
    <w:name w:val="正文首行缩进"/>
    <w:basedOn w:val="983"/>
    <w:next w:val="990"/>
    <w:link w:val="976"/>
    <w:qFormat/>
    <w:pPr>
      <w:ind w:firstLine="420"/>
      <w:spacing w:after="120" w:line="240" w:lineRule="auto"/>
    </w:pPr>
    <w:rPr>
      <w:rFonts w:ascii="Times New Roman"/>
      <w:sz w:val="26"/>
    </w:rPr>
  </w:style>
  <w:style w:type="table" w:styleId="991">
    <w:name w:val="网格型"/>
    <w:basedOn w:val="978"/>
    <w:next w:val="991"/>
    <w:link w:val="976"/>
    <w:qFormat/>
    <w:pPr>
      <w:jc w:val="both"/>
      <w:widowControl w:val="off"/>
    </w:pPr>
    <w:tblPr/>
  </w:style>
  <w:style w:type="character" w:styleId="992">
    <w:name w:val="页码"/>
    <w:basedOn w:val="977"/>
    <w:next w:val="992"/>
    <w:link w:val="976"/>
    <w:qFormat/>
  </w:style>
  <w:style w:type="character" w:styleId="993">
    <w:name w:val="超链接"/>
    <w:basedOn w:val="977"/>
    <w:next w:val="993"/>
    <w:link w:val="976"/>
    <w:uiPriority w:val="99"/>
    <w:unhideWhenUsed/>
    <w:qFormat/>
    <w:rPr>
      <w:color w:val="0000ff"/>
      <w:u w:val="none"/>
    </w:rPr>
  </w:style>
  <w:style w:type="paragraph" w:styleId="994">
    <w:name w:val="段"/>
    <w:next w:val="976"/>
    <w:link w:val="976"/>
    <w:uiPriority w:val="99"/>
    <w:qFormat/>
    <w:pPr>
      <w:ind w:firstLine="200"/>
      <w:jc w:val="both"/>
      <w:spacing w:line="360" w:lineRule="auto"/>
    </w:pPr>
    <w:rPr>
      <w:rFonts w:ascii="宋体" w:hAnsi="Calibri" w:eastAsia="宋体" w:cs="Times New Roman"/>
      <w:sz w:val="24"/>
      <w:szCs w:val="22"/>
      <w:lang w:val="en-US" w:eastAsia="zh-CN" w:bidi="ar-SA"/>
    </w:rPr>
  </w:style>
  <w:style w:type="paragraph" w:styleId="995">
    <w:name w:val="纯文本1"/>
    <w:basedOn w:val="976"/>
    <w:next w:val="995"/>
    <w:link w:val="976"/>
    <w:qFormat/>
    <w:rPr>
      <w:rFonts w:ascii="宋体" w:hAnsi="Courier New"/>
    </w:rPr>
  </w:style>
  <w:style w:type="paragraph" w:styleId="996">
    <w:name w:val="List Paragraph"/>
    <w:basedOn w:val="976"/>
    <w:next w:val="996"/>
    <w:link w:val="976"/>
    <w:uiPriority w:val="34"/>
    <w:qFormat/>
    <w:pPr>
      <w:ind w:firstLine="420"/>
    </w:pPr>
    <w:rPr>
      <w:rFonts w:ascii="宋体" w:hAnsi="宋体" w:eastAsia="宋体"/>
      <w:sz w:val="24"/>
      <w:szCs w:val="24"/>
    </w:rPr>
  </w:style>
  <w:style w:type="paragraph" w:styleId="997">
    <w:name w:val="首行缩进"/>
    <w:basedOn w:val="976"/>
    <w:next w:val="997"/>
    <w:link w:val="976"/>
    <w:qFormat/>
    <w:pPr>
      <w:ind w:firstLine="480"/>
    </w:pPr>
    <w:rPr>
      <w:lang w:val="zh-CN"/>
    </w:rPr>
  </w:style>
  <w:style w:type="paragraph" w:styleId="998">
    <w:name w:val="纯文本2"/>
    <w:basedOn w:val="976"/>
    <w:next w:val="998"/>
    <w:link w:val="976"/>
    <w:qFormat/>
    <w:rPr>
      <w:rFonts w:ascii="宋体" w:hAnsi="Courier New"/>
    </w:rPr>
  </w:style>
  <w:style w:type="character" w:styleId="999">
    <w:name w:val="NormalCharacter1"/>
    <w:next w:val="999"/>
    <w:link w:val="1000"/>
    <w:qFormat/>
    <w:rPr>
      <w:sz w:val="20"/>
    </w:rPr>
  </w:style>
  <w:style w:type="paragraph" w:styleId="1000">
    <w:name w:val="UserStyle_4"/>
    <w:basedOn w:val="976"/>
    <w:next w:val="1000"/>
    <w:link w:val="999"/>
    <w:uiPriority w:val="99"/>
    <w:qFormat/>
    <w:rPr>
      <w:sz w:val="20"/>
    </w:rPr>
  </w:style>
  <w:style w:type="character" w:styleId="1001" w:default="1">
    <w:name w:val="Default Paragraph Font"/>
    <w:uiPriority w:val="1"/>
    <w:semiHidden/>
    <w:unhideWhenUsed/>
  </w:style>
  <w:style w:type="numbering" w:styleId="1002" w:default="1">
    <w:name w:val="No List"/>
    <w:uiPriority w:val="99"/>
    <w:semiHidden/>
    <w:unhideWhenUsed/>
  </w:style>
  <w:style w:type="table" w:styleId="10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ScaleCrop>false</ScaleCrop>
  <Template>Norma</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沈鹰</cp:lastModifiedBy>
  <cp:revision>5</cp:revision>
  <dcterms:created xsi:type="dcterms:W3CDTF">2023-06-19T06:12:00Z</dcterms:created>
  <dcterms:modified xsi:type="dcterms:W3CDTF">2024-12-11T05:56:46Z</dcterms:modified>
</cp:coreProperties>
</file>