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DE431">
      <w:pPr>
        <w:jc w:val="center"/>
        <w:rPr>
          <w:rFonts w:hint="eastAsia" w:ascii="仿宋_GB2312" w:hAnsi="仿宋_GB2312" w:eastAsia="仿宋_GB2312" w:cs="Times New Roman"/>
          <w:b/>
          <w:bCs/>
          <w:sz w:val="32"/>
          <w:szCs w:val="32"/>
        </w:rPr>
      </w:pPr>
      <w:bookmarkStart w:id="2" w:name="_GoBack"/>
      <w:bookmarkEnd w:id="2"/>
      <w:r>
        <w:rPr>
          <w:rFonts w:hint="eastAsia" w:ascii="仿宋_GB2312" w:hAnsi="仿宋_GB2312" w:eastAsia="仿宋_GB2312" w:cs="仿宋_GB2312"/>
          <w:b/>
          <w:bCs/>
          <w:sz w:val="32"/>
          <w:szCs w:val="32"/>
          <w:lang w:eastAsia="zh-CN"/>
        </w:rPr>
        <w:t>西直湖港闸站枢纽清污机桥至地涵段堤防截渗工程</w:t>
      </w:r>
      <w:r>
        <w:rPr>
          <w:rFonts w:hint="eastAsia" w:ascii="仿宋_GB2312" w:hAnsi="仿宋_GB2312" w:eastAsia="仿宋_GB2312" w:cs="仿宋_GB2312"/>
          <w:b/>
          <w:bCs/>
          <w:sz w:val="32"/>
          <w:szCs w:val="32"/>
        </w:rPr>
        <w:t xml:space="preserve"> </w:t>
      </w:r>
    </w:p>
    <w:p w14:paraId="4A282BFD">
      <w:pPr>
        <w:jc w:val="center"/>
        <w:rPr>
          <w:rFonts w:hint="eastAsia" w:ascii="仿宋_GB2312" w:hAnsi="仿宋_GB2312" w:eastAsia="仿宋_GB2312" w:cs="Times New Roman"/>
          <w:b/>
          <w:bCs/>
          <w:sz w:val="32"/>
          <w:szCs w:val="32"/>
        </w:rPr>
      </w:pPr>
      <w:r>
        <w:rPr>
          <w:rFonts w:hint="eastAsia" w:ascii="仿宋_GB2312" w:hAnsi="仿宋_GB2312" w:eastAsia="仿宋_GB2312" w:cs="仿宋_GB2312"/>
          <w:b/>
          <w:bCs/>
          <w:sz w:val="32"/>
          <w:szCs w:val="32"/>
        </w:rPr>
        <w:t>工程量清单编制说明</w:t>
      </w:r>
    </w:p>
    <w:p w14:paraId="28897ADD">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一、工程概况</w:t>
      </w:r>
    </w:p>
    <w:p w14:paraId="1A7AB9F9">
      <w:pPr>
        <w:spacing w:line="400" w:lineRule="exact"/>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本工程为</w:t>
      </w:r>
      <w:r>
        <w:rPr>
          <w:rFonts w:hint="eastAsia" w:ascii="仿宋_GB2312" w:hAnsi="仿宋_GB2312" w:eastAsia="仿宋_GB2312" w:cs="仿宋_GB2312"/>
          <w:sz w:val="24"/>
          <w:szCs w:val="24"/>
          <w:lang w:eastAsia="zh-CN"/>
        </w:rPr>
        <w:t>西直湖港闸站枢纽清污机桥至地涵段堤防截渗工程</w:t>
      </w:r>
      <w:r>
        <w:rPr>
          <w:rFonts w:hint="eastAsia" w:ascii="仿宋_GB2312" w:hAnsi="仿宋_GB2312" w:eastAsia="仿宋_GB2312" w:cs="仿宋_GB2312"/>
          <w:sz w:val="24"/>
          <w:szCs w:val="24"/>
        </w:rPr>
        <w:t xml:space="preserve"> ,</w:t>
      </w:r>
      <w:r>
        <w:rPr>
          <w:rFonts w:hint="eastAsia" w:ascii="仿宋_GB2312" w:eastAsia="仿宋_GB2312"/>
          <w:sz w:val="24"/>
          <w:szCs w:val="24"/>
        </w:rPr>
        <w:t xml:space="preserve"> 范围包括：</w:t>
      </w:r>
      <w:r>
        <w:rPr>
          <w:rFonts w:hint="eastAsia" w:ascii="仿宋_GB2312" w:eastAsia="仿宋_GB2312"/>
          <w:sz w:val="24"/>
          <w:szCs w:val="24"/>
        </w:rPr>
        <w:fldChar w:fldCharType="begin"/>
      </w:r>
      <w:r>
        <w:rPr>
          <w:rFonts w:hint="eastAsia" w:ascii="仿宋_GB2312" w:eastAsia="仿宋_GB2312"/>
          <w:sz w:val="24"/>
          <w:szCs w:val="24"/>
        </w:rPr>
        <w:instrText xml:space="preserve"> = 1 \* GB3 </w:instrText>
      </w:r>
      <w:r>
        <w:rPr>
          <w:rFonts w:hint="eastAsia" w:ascii="仿宋_GB2312" w:eastAsia="仿宋_GB2312"/>
          <w:sz w:val="24"/>
          <w:szCs w:val="24"/>
        </w:rPr>
        <w:fldChar w:fldCharType="separate"/>
      </w:r>
      <w:r>
        <w:rPr>
          <w:rFonts w:hint="eastAsia" w:ascii="仿宋_GB2312" w:eastAsia="仿宋_GB2312"/>
          <w:sz w:val="24"/>
          <w:szCs w:val="24"/>
        </w:rPr>
        <w:t>①</w:t>
      </w:r>
      <w:r>
        <w:rPr>
          <w:rFonts w:hint="eastAsia" w:ascii="仿宋_GB2312" w:eastAsia="仿宋_GB2312"/>
          <w:sz w:val="24"/>
          <w:szCs w:val="24"/>
        </w:rPr>
        <w:fldChar w:fldCharType="end"/>
      </w:r>
      <w:r>
        <w:rPr>
          <w:rFonts w:hint="eastAsia" w:ascii="仿宋_GB2312" w:hAnsi="仿宋_GB2312" w:eastAsia="仿宋_GB2312" w:cs="仿宋_GB2312"/>
          <w:sz w:val="24"/>
          <w:szCs w:val="24"/>
        </w:rPr>
        <w:t>土方开挖回填；</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2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②</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道路拆除与恢复；</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3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③</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绿化挖除与恢复；</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4 \* GB3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④</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高压旋喷桩施工。</w:t>
      </w:r>
    </w:p>
    <w:p w14:paraId="2430FF45">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二、工程招标范围</w:t>
      </w:r>
    </w:p>
    <w:p w14:paraId="15DEA3F3">
      <w:pPr>
        <w:autoSpaceDE w:val="0"/>
        <w:autoSpaceDN w:val="0"/>
        <w:adjustRightInd w:val="0"/>
        <w:snapToGrid w:val="0"/>
        <w:spacing w:line="400" w:lineRule="exact"/>
        <w:ind w:left="-19" w:leftChars="-9" w:firstLine="480" w:firstLineChars="200"/>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本工程招标范围为设计图纸范围内的</w:t>
      </w:r>
      <w:r>
        <w:rPr>
          <w:rFonts w:hint="eastAsia" w:ascii="仿宋_GB2312" w:hAnsi="仿宋_GB2312" w:eastAsia="仿宋_GB2312" w:cs="仿宋_GB2312"/>
          <w:sz w:val="24"/>
          <w:szCs w:val="24"/>
          <w:lang w:eastAsia="zh-CN"/>
        </w:rPr>
        <w:t>西直湖港闸站枢纽清污机桥至地涵段堤防截渗工程</w:t>
      </w:r>
      <w:r>
        <w:rPr>
          <w:rFonts w:hint="eastAsia" w:ascii="仿宋_GB2312" w:hAnsi="仿宋_GB2312" w:eastAsia="仿宋_GB2312" w:cs="仿宋_GB2312"/>
          <w:sz w:val="24"/>
          <w:szCs w:val="24"/>
        </w:rPr>
        <w:t xml:space="preserve"> 。</w:t>
      </w:r>
    </w:p>
    <w:p w14:paraId="4706DDAC">
      <w:pPr>
        <w:spacing w:line="400" w:lineRule="exact"/>
        <w:ind w:firstLine="482" w:firstLineChars="200"/>
        <w:rPr>
          <w:rFonts w:hint="eastAsia" w:ascii="仿宋_GB2312" w:hAnsi="仿宋_GB2312" w:eastAsia="仿宋_GB2312" w:cs="Times New Roman"/>
          <w:sz w:val="24"/>
          <w:szCs w:val="24"/>
        </w:rPr>
      </w:pPr>
      <w:r>
        <w:rPr>
          <w:rFonts w:hint="eastAsia" w:ascii="仿宋_GB2312" w:hAnsi="仿宋_GB2312" w:eastAsia="仿宋_GB2312" w:cs="仿宋_GB2312"/>
          <w:b/>
          <w:bCs/>
          <w:sz w:val="24"/>
          <w:szCs w:val="24"/>
        </w:rPr>
        <w:t>三、工程量清单编制依据</w:t>
      </w:r>
    </w:p>
    <w:p w14:paraId="2AEC4782">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1、国家相关法律、法规。</w:t>
      </w:r>
    </w:p>
    <w:p w14:paraId="75A5C6DF">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2、建设单位提供的本工程相关建设要求及施工图设计图纸。</w:t>
      </w:r>
    </w:p>
    <w:p w14:paraId="491844DE">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3、《建设工程工程量清单计价规范》GB50500-2013、《</w:t>
      </w:r>
      <w:r>
        <w:rPr>
          <w:rFonts w:hint="eastAsia" w:ascii="仿宋_GB2312" w:hAnsi="宋体" w:eastAsia="仿宋_GB2312"/>
          <w:sz w:val="24"/>
          <w:szCs w:val="24"/>
        </w:rPr>
        <w:t>房屋</w:t>
      </w:r>
      <w:r>
        <w:rPr>
          <w:rFonts w:hint="eastAsia" w:ascii="仿宋_GB2312" w:hAnsi="宋体" w:eastAsia="仿宋_GB2312"/>
          <w:sz w:val="24"/>
        </w:rPr>
        <w:t>建筑与装饰工程工程量</w:t>
      </w:r>
      <w:r>
        <w:rPr>
          <w:rFonts w:hint="eastAsia" w:ascii="仿宋_GB2312" w:hAnsi="宋体" w:eastAsia="仿宋_GB2312"/>
          <w:sz w:val="24"/>
          <w:szCs w:val="24"/>
        </w:rPr>
        <w:t>计算</w:t>
      </w:r>
      <w:r>
        <w:rPr>
          <w:rFonts w:hint="eastAsia" w:ascii="仿宋_GB2312" w:hAnsi="宋体" w:eastAsia="仿宋_GB2312"/>
          <w:sz w:val="24"/>
        </w:rPr>
        <w:t>规范</w:t>
      </w:r>
      <w:r>
        <w:rPr>
          <w:rFonts w:hint="eastAsia" w:ascii="仿宋_GB2312" w:hAnsi="仿宋_GB2312" w:eastAsia="仿宋_GB2312" w:cs="仿宋_GB2312"/>
          <w:sz w:val="24"/>
          <w:szCs w:val="24"/>
        </w:rPr>
        <w:t>》(GB50854-2013)</w:t>
      </w:r>
      <w:r>
        <w:rPr>
          <w:rFonts w:hint="eastAsia" w:ascii="仿宋_GB2312" w:hAnsi="仿宋_GB2312" w:eastAsia="仿宋_GB2312" w:cs="仿宋_GB2312"/>
          <w:sz w:val="24"/>
        </w:rPr>
        <w:t>、</w:t>
      </w:r>
      <w:r>
        <w:rPr>
          <w:rFonts w:hint="eastAsia" w:ascii="仿宋_GB2312" w:hAnsi="仿宋_GB2312" w:eastAsia="仿宋_GB2312" w:cs="仿宋_GB2312"/>
          <w:sz w:val="24"/>
          <w:szCs w:val="24"/>
        </w:rPr>
        <w:t>《市政工程工程量计算规范》(GB50857-2013)。</w:t>
      </w:r>
    </w:p>
    <w:p w14:paraId="743DC2DE">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4、苏建价【2014】448号《省住房城乡建设厅关于《建设工程工程量清单计价规范》（GB50500-2013）及其9本工程量计算规范的贯彻意见》。</w:t>
      </w:r>
    </w:p>
    <w:p w14:paraId="19100184">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5、江苏省住房和城乡建设厅颁发的《江苏省建筑与装饰工程计价定额》(2014年)、《江苏省市政工程计价定额》(2014年)、</w:t>
      </w:r>
      <w:r>
        <w:rPr>
          <w:rFonts w:hint="eastAsia" w:ascii="仿宋_GB2312" w:hAnsi="仿宋_GB2312" w:eastAsia="仿宋_GB2312" w:cs="仿宋_GB2312"/>
          <w:sz w:val="24"/>
          <w:szCs w:val="24"/>
          <w:lang w:bidi="ar"/>
        </w:rPr>
        <w:t>《江苏省仿古建筑与园林工程计价表》(2007)</w:t>
      </w:r>
      <w:r>
        <w:rPr>
          <w:rFonts w:hint="eastAsia" w:ascii="仿宋_GB2312" w:hAnsi="仿宋_GB2312" w:eastAsia="仿宋_GB2312" w:cs="仿宋_GB2312"/>
          <w:sz w:val="24"/>
          <w:szCs w:val="24"/>
        </w:rPr>
        <w:t>。</w:t>
      </w:r>
    </w:p>
    <w:p w14:paraId="1EBF9646">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6、《江苏省建设工程费用定额》（2014）及其营改增后补充条款及苏建价【2016】154号文。</w:t>
      </w:r>
    </w:p>
    <w:p w14:paraId="51F32E80">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7、苏建价〔2016〕154号文《省住房城乡建设厅关于建筑业实施营改增后江苏省建设工程计价依据调整的通知》及</w:t>
      </w:r>
      <w:bookmarkStart w:id="0" w:name="_Hlk15382256"/>
      <w:r>
        <w:rPr>
          <w:rFonts w:hint="eastAsia" w:ascii="仿宋_GB2312" w:hAnsi="仿宋_GB2312" w:eastAsia="仿宋_GB2312" w:cs="仿宋_GB2312"/>
          <w:sz w:val="24"/>
          <w:szCs w:val="24"/>
        </w:rPr>
        <w:t>苏建函价【2018】298号、苏建函价【2019】178号</w:t>
      </w:r>
      <w:bookmarkEnd w:id="0"/>
      <w:bookmarkStart w:id="1" w:name="_Hlk15382276"/>
      <w:r>
        <w:rPr>
          <w:rFonts w:hint="eastAsia" w:ascii="仿宋_GB2312" w:hAnsi="仿宋_GB2312" w:eastAsia="仿宋_GB2312" w:cs="仿宋_GB2312"/>
          <w:sz w:val="24"/>
          <w:szCs w:val="24"/>
        </w:rPr>
        <w:t>增值税计价政策调整的通知</w:t>
      </w:r>
      <w:bookmarkEnd w:id="1"/>
      <w:r>
        <w:rPr>
          <w:rFonts w:hint="eastAsia" w:ascii="仿宋_GB2312" w:hAnsi="仿宋_GB2312" w:eastAsia="仿宋_GB2312" w:cs="仿宋_GB2312"/>
          <w:sz w:val="24"/>
          <w:szCs w:val="24"/>
        </w:rPr>
        <w:t>。</w:t>
      </w:r>
    </w:p>
    <w:p w14:paraId="28F4BC37">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8、江苏省住房和城乡建设厅公告[2018]第24号《省住房城乡建设厅关于调整建设工程按质论价等费用计取方法的公告》。</w:t>
      </w:r>
    </w:p>
    <w:p w14:paraId="56923A24">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9、《江苏省住房城乡建设厅关于建筑工人实名制费用计取方法的公告》(2019)第19号。</w:t>
      </w:r>
    </w:p>
    <w:p w14:paraId="3C37BEEE">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10、无锡市建设局有关文件。</w:t>
      </w:r>
    </w:p>
    <w:p w14:paraId="664AA61B">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11、本工程招标文件。</w:t>
      </w:r>
    </w:p>
    <w:p w14:paraId="11680F0F">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四、</w:t>
      </w:r>
      <w:r>
        <w:rPr>
          <w:rFonts w:hint="eastAsia" w:ascii="仿宋_GB2312" w:hAnsi="仿宋_GB2312" w:eastAsia="仿宋_GB2312" w:cs="仿宋_GB2312"/>
          <w:b/>
          <w:bCs/>
          <w:kern w:val="0"/>
          <w:sz w:val="24"/>
          <w:szCs w:val="24"/>
        </w:rPr>
        <w:t>工程质量、材料、施工等特殊要求：</w:t>
      </w:r>
    </w:p>
    <w:p w14:paraId="0BF82BD5">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1、工程质量要求和具体施工做法详见招标文件、图纸及行业和国家发布的现行有效规范。</w:t>
      </w:r>
    </w:p>
    <w:p w14:paraId="62F13088">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2、混凝土要求：</w:t>
      </w:r>
      <w:r>
        <w:rPr>
          <w:rFonts w:hint="eastAsia" w:ascii="仿宋_GB2312" w:hAnsi="仿宋_GB2312" w:eastAsia="仿宋_GB2312" w:cs="仿宋_GB2312"/>
          <w:kern w:val="0"/>
          <w:sz w:val="24"/>
          <w:szCs w:val="24"/>
        </w:rPr>
        <w:t>为确保工程质量及环境保护要求，工程必须使用商品砼，所选择的商品砼厂家需报请监理人和发包人（招标人）认可，但并不能免除承包人（投标人）的责任和义务。</w:t>
      </w:r>
      <w:r>
        <w:rPr>
          <w:rFonts w:hint="eastAsia" w:ascii="仿宋_GB2312" w:hAnsi="仿宋_GB2312" w:eastAsia="仿宋_GB2312" w:cs="仿宋_GB2312"/>
          <w:sz w:val="24"/>
          <w:szCs w:val="24"/>
        </w:rPr>
        <w:t>由于设计要求及施工的需要，本工程如有混凝土需掺加外加剂的或模板的，投标单位应充分考虑该项费用并将其计入相应报价中。</w:t>
      </w:r>
    </w:p>
    <w:p w14:paraId="596C0DAD">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五、暂列金额：</w:t>
      </w:r>
    </w:p>
    <w:p w14:paraId="0759833A">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sz w:val="24"/>
          <w:szCs w:val="24"/>
        </w:rPr>
        <w:t xml:space="preserve">    本项目设暂列金额</w:t>
      </w:r>
      <w:r>
        <w:rPr>
          <w:rFonts w:hint="eastAsia" w:ascii="仿宋_GB2312" w:hAnsi="仿宋_GB2312" w:eastAsia="仿宋_GB2312" w:cs="仿宋_GB2312"/>
          <w:sz w:val="24"/>
          <w:szCs w:val="24"/>
          <w:u w:val="single"/>
        </w:rPr>
        <w:t>30000</w:t>
      </w:r>
      <w:r>
        <w:rPr>
          <w:rFonts w:hint="eastAsia" w:ascii="仿宋_GB2312" w:hAnsi="仿宋_GB2312" w:eastAsia="仿宋_GB2312" w:cs="仿宋_GB2312"/>
          <w:sz w:val="24"/>
          <w:szCs w:val="24"/>
        </w:rPr>
        <w:t>元。</w:t>
      </w:r>
    </w:p>
    <w:p w14:paraId="29FF45B3">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六、专业工程暂估价：</w:t>
      </w:r>
    </w:p>
    <w:p w14:paraId="4282C451">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本项目无专业工程暂估价。</w:t>
      </w:r>
    </w:p>
    <w:p w14:paraId="152C73BD">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七、关于工程量清单编制说明</w:t>
      </w:r>
    </w:p>
    <w:p w14:paraId="4FE69D57">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1、《建设工程工程量清单计价规范》（2013）中列举了各清单项目编码应有的工作内容，如无特殊说明，该工作内容即为工程量清单的工作内容，所有的工作内容所需费用均应包括在投标报价的综合单价内。</w:t>
      </w:r>
    </w:p>
    <w:p w14:paraId="7270C263">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2、工程量清单应与投标须知、合同条件、合同协议条款、招标范围和图纸一起使用。</w:t>
      </w:r>
    </w:p>
    <w:p w14:paraId="7F8F393B">
      <w:pPr>
        <w:adjustRightInd w:val="0"/>
        <w:snapToGrid w:val="0"/>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3、投标单位在取得工程量清单后应按照招标文件的要求自主进行报价，报价时充分考虑各类风险因素，特别是项目特征中描述为按项包干使用的费用。</w:t>
      </w:r>
    </w:p>
    <w:p w14:paraId="7E559EE1">
      <w:pPr>
        <w:adjustRightInd w:val="0"/>
        <w:snapToGrid w:val="0"/>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4、轻型井点降水按30天降水考虑。</w:t>
      </w:r>
    </w:p>
    <w:p w14:paraId="2EF24172">
      <w:pPr>
        <w:adjustRightInd w:val="0"/>
        <w:snapToGrid w:val="0"/>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5、土方平衡不单列。</w:t>
      </w:r>
    </w:p>
    <w:p w14:paraId="4016380D">
      <w:pPr>
        <w:adjustRightInd w:val="0"/>
        <w:snapToGrid w:val="0"/>
        <w:spacing w:line="44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八、不可竞争费</w:t>
      </w:r>
    </w:p>
    <w:tbl>
      <w:tblPr>
        <w:tblStyle w:val="5"/>
        <w:tblW w:w="8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570"/>
        <w:gridCol w:w="4316"/>
        <w:gridCol w:w="1265"/>
      </w:tblGrid>
      <w:tr w14:paraId="3E7E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508" w:type="dxa"/>
            <w:gridSpan w:val="2"/>
            <w:vAlign w:val="center"/>
          </w:tcPr>
          <w:p w14:paraId="74AE9F52">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费用名称</w:t>
            </w:r>
          </w:p>
        </w:tc>
        <w:tc>
          <w:tcPr>
            <w:tcW w:w="4316" w:type="dxa"/>
            <w:vAlign w:val="center"/>
          </w:tcPr>
          <w:p w14:paraId="191745C4">
            <w:pPr>
              <w:jc w:val="center"/>
              <w:rPr>
                <w:rFonts w:hint="eastAsia" w:ascii="仿宋_GB2312" w:hAnsi="仿宋_GB2312" w:eastAsia="仿宋_GB2312" w:cs="Times New Roman"/>
                <w:sz w:val="24"/>
                <w:szCs w:val="24"/>
              </w:rPr>
            </w:pPr>
            <w:r>
              <w:rPr>
                <w:rFonts w:hint="eastAsia" w:ascii="仿宋_GB2312" w:hAnsi="仿宋_GB2312" w:eastAsia="仿宋_GB2312" w:cs="仿宋_GB2312"/>
              </w:rPr>
              <w:t>计算基础</w:t>
            </w:r>
          </w:p>
        </w:tc>
        <w:tc>
          <w:tcPr>
            <w:tcW w:w="1265" w:type="dxa"/>
            <w:vAlign w:val="center"/>
          </w:tcPr>
          <w:p w14:paraId="18C1719F">
            <w:pPr>
              <w:jc w:val="center"/>
              <w:rPr>
                <w:rFonts w:hint="eastAsia" w:ascii="仿宋_GB2312" w:hAnsi="仿宋_GB2312" w:eastAsia="仿宋_GB2312" w:cs="仿宋_GB2312"/>
                <w:sz w:val="24"/>
                <w:szCs w:val="24"/>
              </w:rPr>
            </w:pPr>
            <w:r>
              <w:rPr>
                <w:rFonts w:hint="eastAsia" w:ascii="仿宋_GB2312" w:hAnsi="仿宋_GB2312" w:eastAsia="仿宋_GB2312" w:cs="Times New Roman"/>
                <w:sz w:val="24"/>
                <w:szCs w:val="24"/>
              </w:rPr>
              <w:t>打桩   工程</w:t>
            </w:r>
          </w:p>
        </w:tc>
      </w:tr>
      <w:tr w14:paraId="21AE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38" w:type="dxa"/>
            <w:vMerge w:val="restart"/>
            <w:vAlign w:val="center"/>
          </w:tcPr>
          <w:p w14:paraId="2E99491E">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现场安全文明施工措施费</w:t>
            </w:r>
          </w:p>
        </w:tc>
        <w:tc>
          <w:tcPr>
            <w:tcW w:w="1570" w:type="dxa"/>
            <w:vAlign w:val="center"/>
          </w:tcPr>
          <w:p w14:paraId="2BA08019">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基本费</w:t>
            </w:r>
          </w:p>
        </w:tc>
        <w:tc>
          <w:tcPr>
            <w:tcW w:w="4316" w:type="dxa"/>
            <w:vAlign w:val="center"/>
          </w:tcPr>
          <w:p w14:paraId="04067F8E">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17A2683C">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+单价措施项目费-除税工程设备费</w:t>
            </w:r>
          </w:p>
        </w:tc>
        <w:tc>
          <w:tcPr>
            <w:tcW w:w="1265" w:type="dxa"/>
            <w:vAlign w:val="center"/>
          </w:tcPr>
          <w:p w14:paraId="03C15FC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0.5%</w:t>
            </w:r>
          </w:p>
        </w:tc>
      </w:tr>
      <w:tr w14:paraId="5034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38" w:type="dxa"/>
            <w:vMerge w:val="continue"/>
            <w:vAlign w:val="center"/>
          </w:tcPr>
          <w:p w14:paraId="24C3C628">
            <w:pPr>
              <w:jc w:val="center"/>
              <w:rPr>
                <w:rFonts w:hint="eastAsia" w:ascii="仿宋_GB2312" w:hAnsi="仿宋_GB2312" w:eastAsia="仿宋_GB2312" w:cs="Times New Roman"/>
                <w:sz w:val="24"/>
                <w:szCs w:val="24"/>
              </w:rPr>
            </w:pPr>
          </w:p>
        </w:tc>
        <w:tc>
          <w:tcPr>
            <w:tcW w:w="1570" w:type="dxa"/>
            <w:vAlign w:val="center"/>
          </w:tcPr>
          <w:p w14:paraId="6A0E38C5">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标化增加费</w:t>
            </w:r>
          </w:p>
        </w:tc>
        <w:tc>
          <w:tcPr>
            <w:tcW w:w="4316" w:type="dxa"/>
            <w:vAlign w:val="center"/>
          </w:tcPr>
          <w:p w14:paraId="62797061">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57A7DC48">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+单价措施项目费-除税工程设备费</w:t>
            </w:r>
          </w:p>
        </w:tc>
        <w:tc>
          <w:tcPr>
            <w:tcW w:w="1265" w:type="dxa"/>
            <w:vAlign w:val="center"/>
          </w:tcPr>
          <w:p w14:paraId="7B9BE68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2310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38" w:type="dxa"/>
            <w:vMerge w:val="continue"/>
            <w:vAlign w:val="center"/>
          </w:tcPr>
          <w:p w14:paraId="466CDA4F">
            <w:pPr>
              <w:jc w:val="center"/>
              <w:rPr>
                <w:rFonts w:hint="eastAsia" w:ascii="仿宋_GB2312" w:hAnsi="仿宋_GB2312" w:eastAsia="仿宋_GB2312" w:cs="Times New Roman"/>
                <w:sz w:val="24"/>
                <w:szCs w:val="24"/>
              </w:rPr>
            </w:pPr>
          </w:p>
        </w:tc>
        <w:tc>
          <w:tcPr>
            <w:tcW w:w="1570" w:type="dxa"/>
            <w:vAlign w:val="center"/>
          </w:tcPr>
          <w:p w14:paraId="3D938835">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扬尘污染防治增加费</w:t>
            </w:r>
          </w:p>
        </w:tc>
        <w:tc>
          <w:tcPr>
            <w:tcW w:w="4316" w:type="dxa"/>
            <w:vAlign w:val="center"/>
          </w:tcPr>
          <w:p w14:paraId="70B83407">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3BCEFE3B">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+单价措施项目费-除税工程设备费</w:t>
            </w:r>
          </w:p>
        </w:tc>
        <w:tc>
          <w:tcPr>
            <w:tcW w:w="1265" w:type="dxa"/>
            <w:vAlign w:val="center"/>
          </w:tcPr>
          <w:p w14:paraId="3CB538A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7C63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38" w:type="dxa"/>
            <w:vMerge w:val="restart"/>
            <w:vAlign w:val="center"/>
          </w:tcPr>
          <w:p w14:paraId="32C06BAA">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规费</w:t>
            </w:r>
          </w:p>
        </w:tc>
        <w:tc>
          <w:tcPr>
            <w:tcW w:w="1570" w:type="dxa"/>
            <w:vAlign w:val="center"/>
          </w:tcPr>
          <w:p w14:paraId="7EF8A89A">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社会保险费</w:t>
            </w:r>
          </w:p>
        </w:tc>
        <w:tc>
          <w:tcPr>
            <w:tcW w:w="4316" w:type="dxa"/>
            <w:vAlign w:val="center"/>
          </w:tcPr>
          <w:p w14:paraId="1FCBEF20">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分部分项工程费+措施项目费+其他项目费-除税工程设备费</w:t>
            </w:r>
          </w:p>
        </w:tc>
        <w:tc>
          <w:tcPr>
            <w:tcW w:w="1265" w:type="dxa"/>
            <w:vAlign w:val="center"/>
          </w:tcPr>
          <w:p w14:paraId="7DEC228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r>
      <w:tr w14:paraId="6C6B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38" w:type="dxa"/>
            <w:vMerge w:val="continue"/>
            <w:vAlign w:val="center"/>
          </w:tcPr>
          <w:p w14:paraId="6620DB7A">
            <w:pPr>
              <w:jc w:val="center"/>
              <w:rPr>
                <w:rFonts w:hint="eastAsia" w:ascii="仿宋_GB2312" w:hAnsi="仿宋_GB2312" w:eastAsia="仿宋_GB2312" w:cs="Times New Roman"/>
                <w:sz w:val="24"/>
                <w:szCs w:val="24"/>
              </w:rPr>
            </w:pPr>
          </w:p>
        </w:tc>
        <w:tc>
          <w:tcPr>
            <w:tcW w:w="1570" w:type="dxa"/>
            <w:vAlign w:val="center"/>
          </w:tcPr>
          <w:p w14:paraId="58A252F2">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住房公积金</w:t>
            </w:r>
          </w:p>
        </w:tc>
        <w:tc>
          <w:tcPr>
            <w:tcW w:w="4316" w:type="dxa"/>
            <w:vAlign w:val="center"/>
          </w:tcPr>
          <w:p w14:paraId="0596CAE7">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分部分项工程费+措施项目费+其他项目费-除税工程设备费</w:t>
            </w:r>
          </w:p>
        </w:tc>
        <w:tc>
          <w:tcPr>
            <w:tcW w:w="1265" w:type="dxa"/>
            <w:vAlign w:val="center"/>
          </w:tcPr>
          <w:p w14:paraId="7831BE9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0.24%</w:t>
            </w:r>
          </w:p>
        </w:tc>
      </w:tr>
      <w:tr w14:paraId="088B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8" w:type="dxa"/>
            <w:vMerge w:val="continue"/>
            <w:vAlign w:val="center"/>
          </w:tcPr>
          <w:p w14:paraId="1121C64E">
            <w:pPr>
              <w:jc w:val="center"/>
              <w:rPr>
                <w:rFonts w:hint="eastAsia" w:ascii="仿宋_GB2312" w:hAnsi="仿宋_GB2312" w:eastAsia="仿宋_GB2312" w:cs="Times New Roman"/>
                <w:sz w:val="24"/>
                <w:szCs w:val="24"/>
              </w:rPr>
            </w:pPr>
          </w:p>
        </w:tc>
        <w:tc>
          <w:tcPr>
            <w:tcW w:w="1570" w:type="dxa"/>
            <w:vAlign w:val="center"/>
          </w:tcPr>
          <w:p w14:paraId="08B9194C">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环境保护税</w:t>
            </w:r>
          </w:p>
        </w:tc>
        <w:tc>
          <w:tcPr>
            <w:tcW w:w="4316" w:type="dxa"/>
            <w:vAlign w:val="center"/>
          </w:tcPr>
          <w:p w14:paraId="1361F06C">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分部分项工程费+措施项目费+其他项目费-除税工程设备费</w:t>
            </w:r>
          </w:p>
        </w:tc>
        <w:tc>
          <w:tcPr>
            <w:tcW w:w="1265" w:type="dxa"/>
            <w:vAlign w:val="center"/>
          </w:tcPr>
          <w:p w14:paraId="4AACF56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73BC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08" w:type="dxa"/>
            <w:gridSpan w:val="2"/>
            <w:vAlign w:val="center"/>
          </w:tcPr>
          <w:p w14:paraId="53C3794A">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税金</w:t>
            </w:r>
          </w:p>
        </w:tc>
        <w:tc>
          <w:tcPr>
            <w:tcW w:w="4316" w:type="dxa"/>
            <w:vAlign w:val="center"/>
          </w:tcPr>
          <w:p w14:paraId="18D8375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分部分项工程费+措施项目费+其他项目费+规费-除税甲供材料和甲供设备费/1.01</w:t>
            </w:r>
          </w:p>
        </w:tc>
        <w:tc>
          <w:tcPr>
            <w:tcW w:w="1265" w:type="dxa"/>
            <w:vAlign w:val="center"/>
          </w:tcPr>
          <w:p w14:paraId="3BFCE0E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r>
    </w:tbl>
    <w:p w14:paraId="3790276F">
      <w:pPr>
        <w:spacing w:line="440" w:lineRule="exact"/>
        <w:jc w:val="left"/>
        <w:rPr>
          <w:rFonts w:hint="eastAsia" w:ascii="仿宋_GB2312" w:hAnsi="仿宋_GB2312" w:eastAsia="仿宋_GB2312" w:cs="Times New Roman"/>
          <w:sz w:val="24"/>
          <w:szCs w:val="24"/>
        </w:rPr>
      </w:pPr>
    </w:p>
    <w:p w14:paraId="0BFC768A">
      <w:pPr>
        <w:pStyle w:val="11"/>
        <w:wordWrap w:val="0"/>
        <w:spacing w:line="440" w:lineRule="exact"/>
        <w:ind w:left="420" w:firstLine="0" w:firstLineChars="0"/>
        <w:jc w:val="right"/>
        <w:rPr>
          <w:rFonts w:hint="eastAsia" w:ascii="仿宋_GB2312" w:hAnsi="仿宋_GB2312" w:eastAsia="仿宋_GB2312" w:cs="Times New Roman"/>
          <w:sz w:val="24"/>
          <w:szCs w:val="24"/>
        </w:rPr>
      </w:pPr>
    </w:p>
    <w:sectPr>
      <w:pgSz w:w="11906" w:h="16838"/>
      <w:pgMar w:top="1418" w:right="113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liMTNmNTVmNDlmMzAwMmJlZWYwZGZkZGEzNGJlNWQifQ=="/>
  </w:docVars>
  <w:rsids>
    <w:rsidRoot w:val="00032649"/>
    <w:rsid w:val="000027C6"/>
    <w:rsid w:val="000136B6"/>
    <w:rsid w:val="00032649"/>
    <w:rsid w:val="00035181"/>
    <w:rsid w:val="000502CD"/>
    <w:rsid w:val="00053489"/>
    <w:rsid w:val="00054977"/>
    <w:rsid w:val="00054B92"/>
    <w:rsid w:val="00060FEF"/>
    <w:rsid w:val="000619EF"/>
    <w:rsid w:val="00072767"/>
    <w:rsid w:val="0009317E"/>
    <w:rsid w:val="000A2F5F"/>
    <w:rsid w:val="000B0C51"/>
    <w:rsid w:val="000C36AD"/>
    <w:rsid w:val="000D0152"/>
    <w:rsid w:val="000D3210"/>
    <w:rsid w:val="000D4ED0"/>
    <w:rsid w:val="000D51DC"/>
    <w:rsid w:val="000E0273"/>
    <w:rsid w:val="000E4EB6"/>
    <w:rsid w:val="000F4AA3"/>
    <w:rsid w:val="0013185C"/>
    <w:rsid w:val="001319B7"/>
    <w:rsid w:val="00131FC4"/>
    <w:rsid w:val="00142CCE"/>
    <w:rsid w:val="001449F8"/>
    <w:rsid w:val="00163AB1"/>
    <w:rsid w:val="00165875"/>
    <w:rsid w:val="00167E6D"/>
    <w:rsid w:val="0017098F"/>
    <w:rsid w:val="001759DA"/>
    <w:rsid w:val="00176385"/>
    <w:rsid w:val="001903DA"/>
    <w:rsid w:val="001907BF"/>
    <w:rsid w:val="001B5B6F"/>
    <w:rsid w:val="001C1E64"/>
    <w:rsid w:val="001C252D"/>
    <w:rsid w:val="001C5DC5"/>
    <w:rsid w:val="001D3D1F"/>
    <w:rsid w:val="001D4BEF"/>
    <w:rsid w:val="001E1020"/>
    <w:rsid w:val="001F72EB"/>
    <w:rsid w:val="00200014"/>
    <w:rsid w:val="002068E3"/>
    <w:rsid w:val="002068F7"/>
    <w:rsid w:val="002073AF"/>
    <w:rsid w:val="002126E0"/>
    <w:rsid w:val="00215D12"/>
    <w:rsid w:val="00232827"/>
    <w:rsid w:val="002368A1"/>
    <w:rsid w:val="00237E3B"/>
    <w:rsid w:val="0024229A"/>
    <w:rsid w:val="00253C00"/>
    <w:rsid w:val="002804EB"/>
    <w:rsid w:val="00296C3F"/>
    <w:rsid w:val="002B7A42"/>
    <w:rsid w:val="002C1A9C"/>
    <w:rsid w:val="002C75FF"/>
    <w:rsid w:val="002E0D1F"/>
    <w:rsid w:val="002E64CC"/>
    <w:rsid w:val="0030375C"/>
    <w:rsid w:val="0031648A"/>
    <w:rsid w:val="003168DA"/>
    <w:rsid w:val="003170A4"/>
    <w:rsid w:val="00331B55"/>
    <w:rsid w:val="00331BB1"/>
    <w:rsid w:val="00333987"/>
    <w:rsid w:val="00335280"/>
    <w:rsid w:val="003429DF"/>
    <w:rsid w:val="00350838"/>
    <w:rsid w:val="00354C1E"/>
    <w:rsid w:val="00364FAB"/>
    <w:rsid w:val="00382474"/>
    <w:rsid w:val="00383AA1"/>
    <w:rsid w:val="003A59C6"/>
    <w:rsid w:val="003A788F"/>
    <w:rsid w:val="003B1268"/>
    <w:rsid w:val="003B384C"/>
    <w:rsid w:val="003B614D"/>
    <w:rsid w:val="003B63B2"/>
    <w:rsid w:val="003C0A3C"/>
    <w:rsid w:val="003D5B3D"/>
    <w:rsid w:val="003E6623"/>
    <w:rsid w:val="003E7EA2"/>
    <w:rsid w:val="00404AAF"/>
    <w:rsid w:val="00406852"/>
    <w:rsid w:val="00412DEC"/>
    <w:rsid w:val="00413ABB"/>
    <w:rsid w:val="004230DF"/>
    <w:rsid w:val="004248A5"/>
    <w:rsid w:val="00425D25"/>
    <w:rsid w:val="00437974"/>
    <w:rsid w:val="004419D8"/>
    <w:rsid w:val="004513C8"/>
    <w:rsid w:val="004546FD"/>
    <w:rsid w:val="00456341"/>
    <w:rsid w:val="00456FF1"/>
    <w:rsid w:val="0046333B"/>
    <w:rsid w:val="004A3650"/>
    <w:rsid w:val="004B264C"/>
    <w:rsid w:val="004B4E12"/>
    <w:rsid w:val="004C0E51"/>
    <w:rsid w:val="004D4941"/>
    <w:rsid w:val="004E0C47"/>
    <w:rsid w:val="004F4DEC"/>
    <w:rsid w:val="00541CED"/>
    <w:rsid w:val="0054550B"/>
    <w:rsid w:val="00550B39"/>
    <w:rsid w:val="00556445"/>
    <w:rsid w:val="00565263"/>
    <w:rsid w:val="00565E62"/>
    <w:rsid w:val="00571230"/>
    <w:rsid w:val="00585040"/>
    <w:rsid w:val="005855C1"/>
    <w:rsid w:val="005A27B1"/>
    <w:rsid w:val="005A39C4"/>
    <w:rsid w:val="005B2B0A"/>
    <w:rsid w:val="005C3F73"/>
    <w:rsid w:val="005D5183"/>
    <w:rsid w:val="005E03AB"/>
    <w:rsid w:val="00603EB0"/>
    <w:rsid w:val="00605BBF"/>
    <w:rsid w:val="00607CF4"/>
    <w:rsid w:val="0063128B"/>
    <w:rsid w:val="006367EC"/>
    <w:rsid w:val="00646355"/>
    <w:rsid w:val="00665035"/>
    <w:rsid w:val="006978FA"/>
    <w:rsid w:val="006A47C9"/>
    <w:rsid w:val="006C134E"/>
    <w:rsid w:val="006C3FA1"/>
    <w:rsid w:val="006C5F4E"/>
    <w:rsid w:val="006D2175"/>
    <w:rsid w:val="006D2A8B"/>
    <w:rsid w:val="006D4EB3"/>
    <w:rsid w:val="006E6B4B"/>
    <w:rsid w:val="006F23E1"/>
    <w:rsid w:val="006F2CB3"/>
    <w:rsid w:val="007202E3"/>
    <w:rsid w:val="007217B3"/>
    <w:rsid w:val="007362AB"/>
    <w:rsid w:val="007438F7"/>
    <w:rsid w:val="00747941"/>
    <w:rsid w:val="00754AFE"/>
    <w:rsid w:val="007769A8"/>
    <w:rsid w:val="00783CEF"/>
    <w:rsid w:val="00783CFF"/>
    <w:rsid w:val="00790A04"/>
    <w:rsid w:val="007958B5"/>
    <w:rsid w:val="007B2F77"/>
    <w:rsid w:val="007B4F85"/>
    <w:rsid w:val="007C64D6"/>
    <w:rsid w:val="007C65A4"/>
    <w:rsid w:val="007D138E"/>
    <w:rsid w:val="00807B3F"/>
    <w:rsid w:val="00814AE9"/>
    <w:rsid w:val="00815551"/>
    <w:rsid w:val="00853F97"/>
    <w:rsid w:val="00854179"/>
    <w:rsid w:val="00855C40"/>
    <w:rsid w:val="008612C1"/>
    <w:rsid w:val="00865F84"/>
    <w:rsid w:val="008705F6"/>
    <w:rsid w:val="00873609"/>
    <w:rsid w:val="00873F0C"/>
    <w:rsid w:val="00881F73"/>
    <w:rsid w:val="0088259C"/>
    <w:rsid w:val="00883431"/>
    <w:rsid w:val="00897D70"/>
    <w:rsid w:val="008B1C01"/>
    <w:rsid w:val="008E1A4C"/>
    <w:rsid w:val="008F621B"/>
    <w:rsid w:val="008F65E9"/>
    <w:rsid w:val="00914286"/>
    <w:rsid w:val="009147D1"/>
    <w:rsid w:val="00917183"/>
    <w:rsid w:val="0093254D"/>
    <w:rsid w:val="0093469D"/>
    <w:rsid w:val="00936F7A"/>
    <w:rsid w:val="0094743B"/>
    <w:rsid w:val="00967905"/>
    <w:rsid w:val="00967A15"/>
    <w:rsid w:val="00970240"/>
    <w:rsid w:val="0099593F"/>
    <w:rsid w:val="009A584F"/>
    <w:rsid w:val="009B4C76"/>
    <w:rsid w:val="009C7829"/>
    <w:rsid w:val="009D07C0"/>
    <w:rsid w:val="00A051F5"/>
    <w:rsid w:val="00A13B2E"/>
    <w:rsid w:val="00A273D5"/>
    <w:rsid w:val="00A2751A"/>
    <w:rsid w:val="00A3084E"/>
    <w:rsid w:val="00A32FC4"/>
    <w:rsid w:val="00A37EF4"/>
    <w:rsid w:val="00A6701B"/>
    <w:rsid w:val="00A722E6"/>
    <w:rsid w:val="00A77A7C"/>
    <w:rsid w:val="00A9504E"/>
    <w:rsid w:val="00AB30AB"/>
    <w:rsid w:val="00AB40F7"/>
    <w:rsid w:val="00AC5BF8"/>
    <w:rsid w:val="00AC6028"/>
    <w:rsid w:val="00AD2C19"/>
    <w:rsid w:val="00AE4EC5"/>
    <w:rsid w:val="00AF3DA0"/>
    <w:rsid w:val="00B16E4E"/>
    <w:rsid w:val="00B222CF"/>
    <w:rsid w:val="00B3785F"/>
    <w:rsid w:val="00B44EBD"/>
    <w:rsid w:val="00B467D9"/>
    <w:rsid w:val="00B55E49"/>
    <w:rsid w:val="00B76645"/>
    <w:rsid w:val="00B77D23"/>
    <w:rsid w:val="00B912A3"/>
    <w:rsid w:val="00B96E12"/>
    <w:rsid w:val="00BC455A"/>
    <w:rsid w:val="00BD3478"/>
    <w:rsid w:val="00BE11E9"/>
    <w:rsid w:val="00BE6CF2"/>
    <w:rsid w:val="00C06963"/>
    <w:rsid w:val="00C07678"/>
    <w:rsid w:val="00C11770"/>
    <w:rsid w:val="00C15B51"/>
    <w:rsid w:val="00C23D06"/>
    <w:rsid w:val="00C33E87"/>
    <w:rsid w:val="00C36EF5"/>
    <w:rsid w:val="00C4087F"/>
    <w:rsid w:val="00C455D9"/>
    <w:rsid w:val="00C45B10"/>
    <w:rsid w:val="00C538DF"/>
    <w:rsid w:val="00C56A4A"/>
    <w:rsid w:val="00C75190"/>
    <w:rsid w:val="00C76127"/>
    <w:rsid w:val="00C8190A"/>
    <w:rsid w:val="00CA3B10"/>
    <w:rsid w:val="00CA59C5"/>
    <w:rsid w:val="00CA61CC"/>
    <w:rsid w:val="00CB7B06"/>
    <w:rsid w:val="00CC5F06"/>
    <w:rsid w:val="00CC68B5"/>
    <w:rsid w:val="00CD284B"/>
    <w:rsid w:val="00CD52A2"/>
    <w:rsid w:val="00CF633C"/>
    <w:rsid w:val="00D003C5"/>
    <w:rsid w:val="00D10FE4"/>
    <w:rsid w:val="00D249DE"/>
    <w:rsid w:val="00D364A1"/>
    <w:rsid w:val="00D42829"/>
    <w:rsid w:val="00D43A91"/>
    <w:rsid w:val="00D4577B"/>
    <w:rsid w:val="00D46AEB"/>
    <w:rsid w:val="00D47EA1"/>
    <w:rsid w:val="00D51917"/>
    <w:rsid w:val="00D56EBC"/>
    <w:rsid w:val="00D615C6"/>
    <w:rsid w:val="00D653E3"/>
    <w:rsid w:val="00D741E4"/>
    <w:rsid w:val="00D76738"/>
    <w:rsid w:val="00D771A2"/>
    <w:rsid w:val="00D867AE"/>
    <w:rsid w:val="00D90854"/>
    <w:rsid w:val="00DB20A1"/>
    <w:rsid w:val="00DB54EF"/>
    <w:rsid w:val="00DC3F6E"/>
    <w:rsid w:val="00DE7E4C"/>
    <w:rsid w:val="00DF068D"/>
    <w:rsid w:val="00E127E5"/>
    <w:rsid w:val="00E1713C"/>
    <w:rsid w:val="00E20E42"/>
    <w:rsid w:val="00E32994"/>
    <w:rsid w:val="00E64BA3"/>
    <w:rsid w:val="00E64DD4"/>
    <w:rsid w:val="00E73E0A"/>
    <w:rsid w:val="00E84B55"/>
    <w:rsid w:val="00EC3383"/>
    <w:rsid w:val="00EE425F"/>
    <w:rsid w:val="00EF47DD"/>
    <w:rsid w:val="00EF7653"/>
    <w:rsid w:val="00F05DA4"/>
    <w:rsid w:val="00F205C2"/>
    <w:rsid w:val="00F22D9B"/>
    <w:rsid w:val="00F44709"/>
    <w:rsid w:val="00F469C3"/>
    <w:rsid w:val="00F620C8"/>
    <w:rsid w:val="00F64271"/>
    <w:rsid w:val="00F7024E"/>
    <w:rsid w:val="00F7168B"/>
    <w:rsid w:val="00F91D7C"/>
    <w:rsid w:val="00F939E9"/>
    <w:rsid w:val="00FA39C6"/>
    <w:rsid w:val="00FC3536"/>
    <w:rsid w:val="00FC361F"/>
    <w:rsid w:val="00FC5082"/>
    <w:rsid w:val="00FC64CD"/>
    <w:rsid w:val="00FE0FE2"/>
    <w:rsid w:val="00FE782A"/>
    <w:rsid w:val="016F6A85"/>
    <w:rsid w:val="031D68A5"/>
    <w:rsid w:val="04793F4A"/>
    <w:rsid w:val="0548762F"/>
    <w:rsid w:val="0644736D"/>
    <w:rsid w:val="064E1442"/>
    <w:rsid w:val="08E72549"/>
    <w:rsid w:val="0B5D2899"/>
    <w:rsid w:val="104F612C"/>
    <w:rsid w:val="146A5D4F"/>
    <w:rsid w:val="19623988"/>
    <w:rsid w:val="199E7A7E"/>
    <w:rsid w:val="1A507406"/>
    <w:rsid w:val="1B3B347D"/>
    <w:rsid w:val="1EE2613A"/>
    <w:rsid w:val="25043A4C"/>
    <w:rsid w:val="27104C22"/>
    <w:rsid w:val="2E99061E"/>
    <w:rsid w:val="317F749C"/>
    <w:rsid w:val="339C6C14"/>
    <w:rsid w:val="34B83FA7"/>
    <w:rsid w:val="34F211E2"/>
    <w:rsid w:val="360A2DAA"/>
    <w:rsid w:val="36752032"/>
    <w:rsid w:val="3D68382E"/>
    <w:rsid w:val="3FEB70BA"/>
    <w:rsid w:val="41A73BF7"/>
    <w:rsid w:val="48F406D2"/>
    <w:rsid w:val="4DAD0130"/>
    <w:rsid w:val="51B14B87"/>
    <w:rsid w:val="55EB5C26"/>
    <w:rsid w:val="571B5611"/>
    <w:rsid w:val="59685CA3"/>
    <w:rsid w:val="5BDC6290"/>
    <w:rsid w:val="5CEE58D7"/>
    <w:rsid w:val="63B034C2"/>
    <w:rsid w:val="63D63856"/>
    <w:rsid w:val="65711CFD"/>
    <w:rsid w:val="661B56FC"/>
    <w:rsid w:val="666E10C9"/>
    <w:rsid w:val="68070B75"/>
    <w:rsid w:val="69582CDA"/>
    <w:rsid w:val="6B9711BA"/>
    <w:rsid w:val="6CB75A73"/>
    <w:rsid w:val="6EB0583C"/>
    <w:rsid w:val="72AF6F6F"/>
    <w:rsid w:val="72C0510A"/>
    <w:rsid w:val="7409558C"/>
    <w:rsid w:val="76F65353"/>
    <w:rsid w:val="780F1BFE"/>
    <w:rsid w:val="78B2253F"/>
    <w:rsid w:val="7CCD61F7"/>
    <w:rsid w:val="7F123C55"/>
    <w:rsid w:val="7FF723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ocument Map"/>
    <w:basedOn w:val="1"/>
    <w:link w:val="8"/>
    <w:semiHidden/>
    <w:qFormat/>
    <w:uiPriority w:val="99"/>
    <w:rPr>
      <w:rFonts w:ascii="宋体" w:cs="宋体"/>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文档结构图 字符"/>
    <w:link w:val="2"/>
    <w:semiHidden/>
    <w:qFormat/>
    <w:locked/>
    <w:uiPriority w:val="99"/>
    <w:rPr>
      <w:rFonts w:ascii="宋体" w:eastAsia="宋体" w:cs="宋体"/>
      <w:sz w:val="18"/>
      <w:szCs w:val="18"/>
    </w:rPr>
  </w:style>
  <w:style w:type="character" w:customStyle="1" w:styleId="9">
    <w:name w:val="页脚 字符"/>
    <w:link w:val="3"/>
    <w:qFormat/>
    <w:locked/>
    <w:uiPriority w:val="99"/>
    <w:rPr>
      <w:sz w:val="18"/>
      <w:szCs w:val="18"/>
    </w:rPr>
  </w:style>
  <w:style w:type="character" w:customStyle="1" w:styleId="10">
    <w:name w:val="页眉 字符"/>
    <w:link w:val="4"/>
    <w:qFormat/>
    <w:locked/>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WRGHO</Company>
  <Pages>2</Pages>
  <Words>1346</Words>
  <Characters>1475</Characters>
  <Lines>11</Lines>
  <Paragraphs>3</Paragraphs>
  <TotalTime>13</TotalTime>
  <ScaleCrop>false</ScaleCrop>
  <LinksUpToDate>false</LinksUpToDate>
  <CharactersWithSpaces>1486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2020-03-25T11:10:00Z</dcterms:created>
  <dc:creator>YAO</dc:creator>
  <cp:lastModifiedBy>Six_Azz</cp:lastModifiedBy>
  <cp:lastPrinted>2020-03-27T01:09:00Z</cp:lastPrinted>
  <dcterms:modified xsi:type="dcterms:W3CDTF">2025-11-06T07:36:40Z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B44F9316BCC34C07AA72DB9408595320_12</vt:lpwstr>
  </property>
  <property fmtid="{D5CDD505-2E9C-101B-9397-08002B2CF9AE}" pid="4" name="KSOTemplateDocerSaveRecord">
    <vt:lpwstr>eyJoZGlkIjoiM2I5Y2ZkYTk1ODE2MDk1MDU0MGRmNzVkMTJmZGU5NjMiLCJ1c2VySWQiOiI1NzQ3OTEyOTUifQ==</vt:lpwstr>
  </property>
</Properties>
</file>