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color w:val="auto"/>
          <w:sz w:val="30"/>
          <w:szCs w:val="30"/>
          <w:highlight w:val="white"/>
        </w:rPr>
      </w:pPr>
      <w:r>
        <w:rPr>
          <w:rFonts w:hint="eastAsia" w:ascii="宋体" w:hAnsi="宋体" w:cs="宋体"/>
          <w:b/>
          <w:color w:val="auto"/>
          <w:sz w:val="30"/>
          <w:szCs w:val="30"/>
          <w:highlight w:val="white"/>
        </w:rPr>
      </w:r>
      <w:r>
        <w:rPr>
          <w:highlight w:val="white"/>
        </w:rPr>
      </w:r>
    </w:p>
    <w:p>
      <w:pPr>
        <w:ind w:left="0"/>
        <w:jc w:val="center"/>
        <w:rPr>
          <w:rFonts w:hint="eastAsia" w:ascii="宋体" w:hAnsi="宋体" w:cs="宋体"/>
          <w:b/>
          <w:color w:val="auto"/>
          <w:sz w:val="72"/>
          <w:szCs w:val="72"/>
          <w:highlight w:val="white"/>
        </w:rPr>
      </w:pPr>
      <w:r>
        <w:rPr>
          <w:rFonts w:hint="eastAsia" w:ascii="宋体" w:hAnsi="宋体" w:cs="宋体"/>
          <w:b/>
          <w:color w:val="auto"/>
          <w:sz w:val="72"/>
          <w:szCs w:val="72"/>
          <w:highlight w:val="white"/>
        </w:rPr>
      </w:r>
      <w:r>
        <w:rPr>
          <w:highlight w:val="white"/>
        </w:rPr>
      </w:r>
    </w:p>
    <w:p>
      <w:pPr>
        <w:ind w:left="0"/>
        <w:jc w:val="center"/>
        <w:rPr>
          <w:rFonts w:hint="eastAsia" w:ascii="宋体" w:hAnsi="宋体" w:cs="宋体"/>
          <w:b/>
          <w:color w:val="auto"/>
          <w:sz w:val="72"/>
          <w:szCs w:val="72"/>
          <w:highlight w:val="white"/>
        </w:rPr>
      </w:pPr>
      <w:r>
        <w:rPr>
          <w:rFonts w:hint="eastAsia" w:ascii="宋体" w:hAnsi="宋体" w:cs="宋体"/>
          <w:b/>
          <w:color w:val="auto"/>
          <w:sz w:val="72"/>
          <w:szCs w:val="72"/>
          <w:highlight w:val="white"/>
        </w:rPr>
        <w:t xml:space="preserve">苏 州 政 府 采 购</w:t>
      </w:r>
      <w:r>
        <w:rPr>
          <w:highlight w:val="white"/>
        </w:rPr>
      </w:r>
    </w:p>
    <w:p>
      <w:pPr>
        <w:ind w:left="0"/>
        <w:jc w:val="center"/>
        <w:rPr>
          <w:rFonts w:hint="eastAsia" w:ascii="宋体" w:hAnsi="宋体" w:cs="宋体"/>
          <w:b/>
          <w:color w:val="auto"/>
          <w:sz w:val="72"/>
          <w:szCs w:val="72"/>
          <w:highlight w:val="white"/>
        </w:rPr>
      </w:pPr>
      <w:r>
        <w:rPr>
          <w:rFonts w:hint="eastAsia" w:ascii="宋体" w:hAnsi="宋体" w:cs="宋体"/>
          <w:b/>
          <w:color w:val="auto"/>
          <w:sz w:val="72"/>
          <w:szCs w:val="72"/>
          <w:highlight w:val="white"/>
        </w:rPr>
        <w:t xml:space="preserve">竞争性磋商文件</w:t>
      </w:r>
      <w:r>
        <w:rPr>
          <w:highlight w:val="white"/>
        </w:rPr>
      </w:r>
    </w:p>
    <w:p>
      <w:pPr>
        <w:ind w:left="0"/>
        <w:jc w:val="left"/>
        <w:spacing w:line="360" w:lineRule="auto"/>
        <w:rPr>
          <w:rFonts w:hint="eastAsia" w:ascii="宋体" w:hAnsi="宋体" w:cs="宋体"/>
          <w:color w:val="auto"/>
          <w:highlight w:val="white"/>
        </w:rPr>
      </w:pPr>
      <w:r>
        <w:rPr>
          <w:rFonts w:hint="eastAsia" w:ascii="宋体" w:hAnsi="宋体" w:cs="宋体"/>
          <w:color w:val="auto"/>
          <w:highlight w:val="white"/>
        </w:rPr>
      </w:r>
      <w:r>
        <w:rPr>
          <w:highlight w:val="white"/>
        </w:rPr>
      </w:r>
    </w:p>
    <w:p>
      <w:pPr>
        <w:ind w:left="0"/>
        <w:jc w:val="left"/>
        <w:spacing w:line="480" w:lineRule="auto"/>
        <w:rPr>
          <w:rFonts w:hint="eastAsia" w:ascii="宋体" w:hAnsi="宋体" w:cs="宋体"/>
          <w:b/>
          <w:color w:val="auto"/>
          <w:sz w:val="32"/>
          <w:highlight w:val="white"/>
        </w:rPr>
      </w:pPr>
      <w:r>
        <w:rPr>
          <w:rFonts w:hint="eastAsia" w:ascii="宋体" w:hAnsi="宋体" w:cs="宋体"/>
          <w:b/>
          <w:color w:val="auto"/>
          <w:sz w:val="32"/>
          <w:highlight w:val="white"/>
        </w:rPr>
      </w:r>
      <w:r>
        <w:rPr>
          <w:highlight w:val="white"/>
        </w:rPr>
      </w:r>
    </w:p>
    <w:tbl>
      <w:tblPr>
        <w:tblStyle w:val="82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809"/>
        <w:gridCol w:w="6029"/>
      </w:tblGrid>
      <w:tr>
        <w:trPr>
          <w:jc w:val="center"/>
          <w:trHeight w:val="68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32"/>
                <w:rFonts w:hint="eastAsia" w:ascii="宋体" w:hAnsi="宋体" w:cs="宋体"/>
                <w:b/>
                <w:color w:val="auto"/>
                <w:spacing w:val="-6"/>
                <w:sz w:val="32"/>
                <w:highlight w:val="white"/>
              </w:rPr>
            </w:pPr>
            <w:r>
              <w:rPr>
                <w:rStyle w:val="1032"/>
                <w:rFonts w:hint="eastAsia" w:ascii="宋体" w:hAnsi="宋体" w:cs="宋体"/>
                <w:b/>
                <w:color w:val="auto"/>
                <w:spacing w:val="-6"/>
                <w:sz w:val="32"/>
                <w:highlight w:val="white"/>
              </w:rPr>
              <w:t xml:space="preserve">采购编号：</w:t>
            </w:r>
            <w:r>
              <w:rPr>
                <w:highlight w:val="white"/>
              </w:rPr>
            </w:r>
          </w:p>
        </w:tc>
        <w:tc>
          <w:tcPr>
            <w:tcBorders>
              <w:top w:val="none" w:color="000000" w:sz="4" w:space="0"/>
              <w:left w:val="none" w:color="000000" w:sz="4" w:space="0"/>
              <w:bottom w:val="none" w:color="000000" w:sz="4" w:space="0"/>
              <w:right w:val="none" w:color="000000" w:sz="4" w:space="0"/>
            </w:tcBorders>
            <w:tcW w:w="6029" w:type="dxa"/>
            <w:vAlign w:val="center"/>
            <w:textDirection w:val="lrTb"/>
            <w:noWrap w:val="false"/>
          </w:tcPr>
          <w:p>
            <w:pPr>
              <w:ind w:left="0"/>
              <w:spacing w:line="240" w:lineRule="auto"/>
              <w:widowControl w:val="off"/>
              <w:rPr>
                <w:rStyle w:val="1032"/>
                <w:rFonts w:hint="eastAsia" w:ascii="宋体" w:hAnsi="宋体" w:cs="宋体"/>
                <w:b/>
                <w:color w:val="auto"/>
                <w:spacing w:val="-6"/>
                <w:sz w:val="32"/>
                <w:highlight w:val="white"/>
              </w:rPr>
            </w:pPr>
            <w:r>
              <w:rPr>
                <w:rStyle w:val="1032"/>
                <w:rFonts w:hint="eastAsia" w:ascii="宋体" w:hAnsi="宋体" w:cs="宋体"/>
                <w:b/>
                <w:color w:val="auto"/>
                <w:spacing w:val="-6"/>
                <w:sz w:val="32"/>
                <w:highlight w:val="white"/>
                <w:lang w:eastAsia="zh-CN"/>
              </w:rPr>
              <w:t xml:space="preserve">JSZC-320507-SHYS-C2025-0017</w:t>
            </w:r>
            <w:r>
              <w:rPr>
                <w:highlight w:val="white"/>
              </w:rP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32"/>
                <w:rFonts w:hint="eastAsia" w:ascii="宋体" w:hAnsi="宋体" w:cs="宋体"/>
                <w:b/>
                <w:color w:val="auto"/>
                <w:spacing w:val="-6"/>
                <w:sz w:val="32"/>
                <w:highlight w:val="white"/>
              </w:rPr>
            </w:pPr>
            <w:r>
              <w:rPr>
                <w:rStyle w:val="1032"/>
                <w:rFonts w:hint="eastAsia" w:ascii="宋体" w:hAnsi="宋体" w:cs="宋体"/>
                <w:b/>
                <w:color w:val="auto"/>
                <w:spacing w:val="-6"/>
                <w:sz w:val="32"/>
                <w:highlight w:val="white"/>
              </w:rPr>
              <w:t xml:space="preserve">采 购 人：</w:t>
            </w:r>
            <w:r>
              <w:rPr>
                <w:highlight w:val="white"/>
              </w:rPr>
            </w:r>
          </w:p>
        </w:tc>
        <w:tc>
          <w:tcPr>
            <w:tcBorders>
              <w:top w:val="none" w:color="000000" w:sz="4" w:space="0"/>
              <w:left w:val="none" w:color="000000" w:sz="4" w:space="0"/>
              <w:bottom w:val="none" w:color="000000" w:sz="4" w:space="0"/>
              <w:right w:val="none" w:color="000000" w:sz="4" w:space="0"/>
            </w:tcBorders>
            <w:tcW w:w="6029" w:type="dxa"/>
            <w:vAlign w:val="center"/>
            <w:textDirection w:val="lrTb"/>
            <w:noWrap w:val="false"/>
          </w:tcPr>
          <w:p>
            <w:pPr>
              <w:ind w:left="0"/>
              <w:spacing w:line="240" w:lineRule="auto"/>
              <w:widowControl w:val="off"/>
              <w:rPr>
                <w:rStyle w:val="1032"/>
                <w:rFonts w:hint="eastAsia" w:ascii="宋体" w:hAnsi="宋体" w:eastAsia="宋体" w:cs="宋体"/>
                <w:b/>
                <w:color w:val="auto"/>
                <w:spacing w:val="-6"/>
                <w:sz w:val="32"/>
                <w:highlight w:val="white"/>
              </w:rPr>
            </w:pPr>
            <w:r>
              <w:rPr>
                <w:rStyle w:val="1032"/>
                <w:rFonts w:hint="eastAsia" w:ascii="宋体" w:hAnsi="宋体" w:cs="宋体"/>
                <w:b/>
                <w:color w:val="auto"/>
                <w:spacing w:val="-6"/>
                <w:sz w:val="32"/>
                <w:highlight w:val="white"/>
                <w:lang w:eastAsia="zh-CN"/>
              </w:rPr>
              <w:t xml:space="preserve">苏州大学实验学校</w:t>
            </w:r>
            <w:r>
              <w:rPr>
                <w:highlight w:val="white"/>
              </w:rP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32"/>
                <w:rFonts w:hint="eastAsia" w:ascii="宋体" w:hAnsi="宋体" w:cs="宋体"/>
                <w:b/>
                <w:color w:val="auto"/>
                <w:spacing w:val="-6"/>
                <w:sz w:val="32"/>
                <w:highlight w:val="white"/>
              </w:rPr>
            </w:pPr>
            <w:r>
              <w:rPr>
                <w:rStyle w:val="1032"/>
                <w:rFonts w:hint="eastAsia" w:ascii="宋体" w:hAnsi="宋体" w:cs="宋体"/>
                <w:b/>
                <w:color w:val="auto"/>
                <w:spacing w:val="-6"/>
                <w:sz w:val="32"/>
                <w:highlight w:val="white"/>
              </w:rPr>
              <w:t xml:space="preserve">采购内容：</w:t>
            </w:r>
            <w:r>
              <w:rPr>
                <w:highlight w:val="white"/>
              </w:rPr>
            </w:r>
          </w:p>
        </w:tc>
        <w:tc>
          <w:tcPr>
            <w:tcBorders>
              <w:top w:val="none" w:color="000000" w:sz="4" w:space="0"/>
              <w:left w:val="none" w:color="000000" w:sz="4" w:space="0"/>
              <w:bottom w:val="none" w:color="000000" w:sz="4" w:space="0"/>
              <w:right w:val="none" w:color="000000" w:sz="4" w:space="0"/>
            </w:tcBorders>
            <w:tcW w:w="6029" w:type="dxa"/>
            <w:vAlign w:val="center"/>
            <w:textDirection w:val="lrTb"/>
            <w:noWrap w:val="false"/>
          </w:tcPr>
          <w:p>
            <w:pPr>
              <w:ind w:left="0"/>
              <w:spacing w:line="240" w:lineRule="auto"/>
              <w:widowControl w:val="off"/>
              <w:rPr>
                <w:rStyle w:val="1032"/>
                <w:rFonts w:hint="eastAsia" w:ascii="宋体" w:hAnsi="宋体" w:eastAsia="宋体" w:cs="宋体"/>
                <w:b/>
                <w:color w:val="auto"/>
                <w:spacing w:val="-6"/>
                <w:sz w:val="32"/>
                <w:highlight w:val="white"/>
              </w:rPr>
            </w:pPr>
            <w:r>
              <w:rPr>
                <w:rStyle w:val="1032"/>
                <w:rFonts w:hint="eastAsia" w:ascii="宋体" w:hAnsi="宋体" w:cs="宋体"/>
                <w:b/>
                <w:color w:val="auto"/>
                <w:spacing w:val="-6"/>
                <w:sz w:val="32"/>
                <w:highlight w:val="white"/>
                <w:lang w:eastAsia="zh-CN"/>
              </w:rPr>
              <w:t xml:space="preserve">校园绿化年度养护服务</w:t>
            </w:r>
            <w:r>
              <w:rPr>
                <w:highlight w:val="white"/>
              </w:rP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32"/>
                <w:rFonts w:hint="eastAsia" w:ascii="宋体" w:hAnsi="宋体" w:cs="宋体"/>
                <w:b/>
                <w:color w:val="auto"/>
                <w:spacing w:val="-6"/>
                <w:sz w:val="32"/>
                <w:highlight w:val="white"/>
              </w:rPr>
            </w:pPr>
            <w:r>
              <w:rPr>
                <w:rStyle w:val="1032"/>
                <w:rFonts w:hint="eastAsia" w:ascii="宋体" w:hAnsi="宋体" w:cs="宋体"/>
                <w:b/>
                <w:color w:val="auto"/>
                <w:spacing w:val="-6"/>
                <w:sz w:val="32"/>
                <w:highlight w:val="white"/>
              </w:rPr>
              <w:t xml:space="preserve">采购类别：</w:t>
            </w:r>
            <w:r>
              <w:rPr>
                <w:highlight w:val="white"/>
              </w:rPr>
            </w:r>
          </w:p>
        </w:tc>
        <w:tc>
          <w:tcPr>
            <w:tcBorders>
              <w:top w:val="none" w:color="000000" w:sz="4" w:space="0"/>
              <w:left w:val="none" w:color="000000" w:sz="4" w:space="0"/>
              <w:bottom w:val="none" w:color="000000" w:sz="4" w:space="0"/>
              <w:right w:val="none" w:color="000000" w:sz="4" w:space="0"/>
            </w:tcBorders>
            <w:tcW w:w="6029" w:type="dxa"/>
            <w:vAlign w:val="center"/>
            <w:textDirection w:val="lrTb"/>
            <w:noWrap w:val="false"/>
          </w:tcPr>
          <w:p>
            <w:pPr>
              <w:ind w:left="0"/>
              <w:spacing w:line="240" w:lineRule="auto"/>
              <w:widowControl w:val="off"/>
              <w:rPr>
                <w:rStyle w:val="1032"/>
                <w:rFonts w:hint="eastAsia" w:ascii="宋体" w:hAnsi="宋体" w:cs="宋体"/>
                <w:b/>
                <w:color w:val="auto"/>
                <w:spacing w:val="-6"/>
                <w:sz w:val="32"/>
                <w:highlight w:val="white"/>
              </w:rPr>
            </w:pPr>
            <w:r>
              <w:rPr>
                <w:rStyle w:val="1032"/>
                <w:rFonts w:hint="eastAsia" w:ascii="宋体" w:hAnsi="宋体" w:cs="宋体"/>
                <w:b/>
                <w:color w:val="auto"/>
                <w:spacing w:val="-6"/>
                <w:sz w:val="32"/>
                <w:highlight w:val="white"/>
              </w:rPr>
              <w:t xml:space="preserve">服务类</w:t>
            </w:r>
            <w:r>
              <w:rPr>
                <w:highlight w:val="white"/>
              </w:rPr>
            </w:r>
          </w:p>
        </w:tc>
      </w:tr>
    </w:tbl>
    <w:p>
      <w:pPr>
        <w:ind w:firstLine="1445"/>
        <w:jc w:val="left"/>
        <w:spacing w:line="480" w:lineRule="auto"/>
        <w:rPr>
          <w:rFonts w:hint="eastAsia" w:ascii="宋体" w:hAnsi="宋体" w:cs="宋体"/>
          <w:b/>
          <w:color w:val="auto"/>
          <w:spacing w:val="20"/>
          <w:sz w:val="32"/>
          <w:highlight w:val="white"/>
        </w:rPr>
      </w:pPr>
      <w:r>
        <w:rPr>
          <w:rFonts w:hint="eastAsia" w:ascii="宋体" w:hAnsi="宋体" w:cs="宋体"/>
          <w:b/>
          <w:color w:val="auto"/>
          <w:spacing w:val="20"/>
          <w:sz w:val="32"/>
          <w:highlight w:val="white"/>
        </w:rPr>
      </w:r>
      <w:r>
        <w:rPr>
          <w:highlight w:val="white"/>
        </w:rPr>
      </w:r>
    </w:p>
    <w:p>
      <w:pPr>
        <w:ind w:left="0"/>
        <w:jc w:val="left"/>
        <w:rPr>
          <w:rFonts w:hint="eastAsia" w:ascii="宋体" w:hAnsi="宋体" w:cs="宋体"/>
          <w:b/>
          <w:color w:val="auto"/>
          <w:sz w:val="32"/>
          <w:highlight w:val="white"/>
        </w:rPr>
      </w:pPr>
      <w:r>
        <w:rPr>
          <w:rFonts w:hint="eastAsia" w:ascii="宋体" w:hAnsi="宋体" w:cs="宋体"/>
          <w:b/>
          <w:color w:val="auto"/>
          <w:sz w:val="32"/>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2035810</wp:posOffset>
                </wp:positionH>
                <wp:positionV relativeFrom="paragraph">
                  <wp:posOffset>205105</wp:posOffset>
                </wp:positionV>
                <wp:extent cx="2209165" cy="2209165"/>
                <wp:effectExtent l="0" t="0" r="0" b="0"/>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1"/>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21" o:title=""/>
              </v:shape>
            </w:pict>
          </mc:Fallback>
        </mc:AlternateContent>
      </w:r>
      <w:r>
        <w:rPr>
          <w:highlight w:val="white"/>
        </w:rPr>
      </w:r>
    </w:p>
    <w:p>
      <w:pPr>
        <w:ind w:left="0"/>
        <w:jc w:val="left"/>
        <w:rPr>
          <w:rFonts w:hint="eastAsia" w:ascii="宋体" w:hAnsi="宋体" w:cs="宋体"/>
          <w:b/>
          <w:color w:val="auto"/>
          <w:sz w:val="32"/>
          <w:highlight w:val="white"/>
        </w:rPr>
      </w:pPr>
      <w:r>
        <w:rPr>
          <w:rFonts w:hint="eastAsia" w:ascii="宋体" w:hAnsi="宋体" w:cs="宋体"/>
          <w:b/>
          <w:color w:val="auto"/>
          <w:sz w:val="32"/>
          <w:highlight w:val="white"/>
        </w:rPr>
      </w:r>
      <w:r>
        <w:rPr>
          <w:highlight w:val="white"/>
        </w:rPr>
      </w:r>
    </w:p>
    <w:p>
      <w:pPr>
        <w:ind w:left="0"/>
        <w:jc w:val="left"/>
        <w:rPr>
          <w:rFonts w:hint="eastAsia" w:ascii="宋体" w:hAnsi="宋体" w:cs="宋体"/>
          <w:b/>
          <w:color w:val="auto"/>
          <w:sz w:val="32"/>
          <w:highlight w:val="white"/>
        </w:rPr>
      </w:pPr>
      <w:r>
        <w:rPr>
          <w:rFonts w:hint="eastAsia" w:ascii="宋体" w:hAnsi="宋体" w:cs="宋体"/>
          <w:b/>
          <w:color w:val="auto"/>
          <w:sz w:val="32"/>
          <w:highlight w:val="white"/>
        </w:rPr>
      </w:r>
      <w:r>
        <w:rPr>
          <w:highlight w:val="white"/>
        </w:rPr>
      </w:r>
    </w:p>
    <w:p>
      <w:pPr>
        <w:ind w:left="0" w:firstLine="1606"/>
        <w:jc w:val="left"/>
        <w:rPr>
          <w:rFonts w:hint="eastAsia" w:ascii="宋体" w:hAnsi="宋体" w:cs="宋体"/>
          <w:b/>
          <w:color w:val="auto"/>
          <w:sz w:val="32"/>
          <w:highlight w:val="white"/>
        </w:rPr>
      </w:pPr>
      <w:r>
        <w:rPr>
          <w:rFonts w:hint="eastAsia" w:ascii="宋体" w:hAnsi="宋体" w:cs="宋体"/>
          <w:b/>
          <w:color w:val="auto"/>
          <w:sz w:val="32"/>
          <w:highlight w:val="white"/>
        </w:rPr>
      </w:r>
      <w:r>
        <w:rPr>
          <w:highlight w:val="white"/>
        </w:rPr>
      </w:r>
    </w:p>
    <w:p>
      <w:pPr>
        <w:ind w:left="0" w:firstLine="1606"/>
        <w:jc w:val="left"/>
        <w:rPr>
          <w:rFonts w:hint="eastAsia" w:ascii="宋体" w:hAnsi="宋体" w:cs="宋体"/>
          <w:b/>
          <w:color w:val="auto"/>
          <w:sz w:val="32"/>
          <w:highlight w:val="white"/>
        </w:rPr>
      </w:pPr>
      <w:r>
        <w:rPr>
          <w:rFonts w:hint="eastAsia" w:ascii="宋体" w:hAnsi="宋体" w:cs="宋体"/>
          <w:b/>
          <w:color w:val="auto"/>
          <w:sz w:val="32"/>
          <w:highlight w:val="white"/>
        </w:rPr>
      </w:r>
      <w:r>
        <w:rPr>
          <w:highlight w:val="white"/>
        </w:rPr>
      </w:r>
    </w:p>
    <w:p>
      <w:pPr>
        <w:ind w:left="0" w:firstLine="1606"/>
        <w:jc w:val="left"/>
        <w:rPr>
          <w:rFonts w:hint="eastAsia" w:ascii="宋体" w:hAnsi="宋体" w:cs="宋体"/>
          <w:b/>
          <w:color w:val="auto"/>
          <w:sz w:val="32"/>
          <w:highlight w:val="white"/>
        </w:rPr>
      </w:pPr>
      <w:r>
        <w:rPr>
          <w:rFonts w:hint="eastAsia" w:ascii="宋体" w:hAnsi="宋体" w:cs="宋体"/>
          <w:b/>
          <w:color w:val="auto"/>
          <w:sz w:val="32"/>
          <w:highlight w:val="white"/>
        </w:rPr>
      </w:r>
      <w:r>
        <w:rPr>
          <w:highlight w:val="white"/>
        </w:rPr>
      </w:r>
    </w:p>
    <w:p>
      <w:pPr>
        <w:ind w:left="0" w:firstLine="1606"/>
        <w:jc w:val="left"/>
        <w:rPr>
          <w:rFonts w:hint="eastAsia" w:ascii="宋体" w:hAnsi="宋体" w:cs="宋体"/>
          <w:b/>
          <w:color w:val="auto"/>
          <w:sz w:val="32"/>
          <w:highlight w:val="white"/>
        </w:rPr>
      </w:pPr>
      <w:r>
        <w:rPr>
          <w:rFonts w:hint="eastAsia" w:ascii="宋体" w:hAnsi="宋体" w:cs="宋体"/>
          <w:b/>
          <w:color w:val="auto"/>
          <w:sz w:val="32"/>
          <w:highlight w:val="white"/>
        </w:rPr>
      </w:r>
      <w:r>
        <w:rPr>
          <w:highlight w:val="white"/>
        </w:rPr>
      </w:r>
    </w:p>
    <w:p>
      <w:pPr>
        <w:pStyle w:val="1006"/>
        <w:rPr>
          <w:rFonts w:hint="eastAsia" w:ascii="宋体" w:hAnsi="宋体" w:cs="宋体"/>
          <w:color w:val="auto"/>
          <w:highlight w:val="white"/>
        </w:rPr>
      </w:pPr>
      <w:r>
        <w:rPr>
          <w:rFonts w:hint="eastAsia" w:ascii="宋体" w:hAnsi="宋体" w:cs="宋体"/>
          <w:color w:val="auto"/>
          <w:highlight w:val="white"/>
        </w:rPr>
      </w:r>
      <w:r>
        <w:rPr>
          <w:highlight w:val="white"/>
        </w:rPr>
      </w:r>
    </w:p>
    <w:p>
      <w:pPr>
        <w:pStyle w:val="1004"/>
        <w:rPr>
          <w:rFonts w:hint="eastAsia" w:ascii="宋体" w:hAnsi="宋体" w:cs="宋体"/>
          <w:color w:val="auto"/>
          <w:highlight w:val="white"/>
        </w:rPr>
      </w:pPr>
      <w:r>
        <w:rPr>
          <w:rFonts w:hint="eastAsia" w:ascii="宋体" w:hAnsi="宋体" w:cs="宋体"/>
          <w:color w:val="auto"/>
          <w:highlight w:val="white"/>
        </w:rPr>
      </w:r>
      <w:r>
        <w:rPr>
          <w:highlight w:val="white"/>
        </w:rPr>
      </w:r>
    </w:p>
    <w:p>
      <w:pPr>
        <w:ind w:left="0"/>
        <w:jc w:val="center"/>
        <w:rPr>
          <w:rFonts w:hint="eastAsia" w:ascii="宋体" w:hAnsi="宋体" w:cs="宋体"/>
          <w:b/>
          <w:color w:val="auto"/>
          <w:sz w:val="32"/>
          <w:highlight w:val="white"/>
        </w:rPr>
      </w:pPr>
      <w:r>
        <w:rPr>
          <w:rFonts w:hint="eastAsia" w:ascii="宋体" w:hAnsi="宋体" w:cs="宋体"/>
          <w:b/>
          <w:color w:val="auto"/>
          <w:sz w:val="32"/>
          <w:highlight w:val="white"/>
        </w:rPr>
      </w:r>
      <w:r>
        <w:rPr>
          <w:highlight w:val="white"/>
        </w:rPr>
      </w:r>
    </w:p>
    <w:p>
      <w:pPr>
        <w:ind w:left="0"/>
        <w:jc w:val="center"/>
        <w:rPr>
          <w:rFonts w:hint="eastAsia" w:ascii="宋体" w:hAnsi="宋体" w:cs="宋体"/>
          <w:b/>
          <w:color w:val="auto"/>
          <w:sz w:val="32"/>
          <w:highlight w:val="white"/>
        </w:rPr>
      </w:pPr>
      <w:r>
        <w:rPr>
          <w:rFonts w:hint="eastAsia" w:ascii="宋体" w:hAnsi="宋体" w:cs="宋体"/>
          <w:b/>
          <w:color w:val="auto"/>
          <w:sz w:val="32"/>
          <w:highlight w:val="white"/>
        </w:rPr>
      </w:r>
      <w:r>
        <w:rPr>
          <w:highlight w:val="white"/>
        </w:rPr>
      </w:r>
    </w:p>
    <w:p>
      <w:pPr>
        <w:ind w:left="0"/>
        <w:rPr>
          <w:rFonts w:hint="eastAsia" w:ascii="宋体" w:hAnsi="宋体" w:cs="宋体"/>
          <w:b/>
          <w:color w:val="auto"/>
          <w:sz w:val="32"/>
          <w:highlight w:val="white"/>
        </w:rPr>
      </w:pPr>
      <w:r>
        <w:rPr>
          <w:rFonts w:hint="eastAsia" w:ascii="宋体" w:hAnsi="宋体" w:cs="宋体"/>
          <w:b/>
          <w:color w:val="auto"/>
          <w:sz w:val="32"/>
          <w:highlight w:val="white"/>
        </w:rPr>
      </w:r>
      <w:r>
        <w:rPr>
          <w:highlight w:val="white"/>
        </w:rPr>
      </w:r>
    </w:p>
    <w:p>
      <w:pPr>
        <w:ind w:left="0"/>
        <w:jc w:val="center"/>
        <w:rPr>
          <w:rFonts w:hint="eastAsia" w:ascii="宋体" w:hAnsi="宋体" w:cs="宋体"/>
          <w:b/>
          <w:color w:val="auto"/>
          <w:sz w:val="32"/>
          <w:highlight w:val="white"/>
        </w:rPr>
      </w:pPr>
      <w:r>
        <w:rPr>
          <w:rFonts w:hint="eastAsia" w:ascii="宋体" w:hAnsi="宋体" w:cs="宋体"/>
          <w:b/>
          <w:color w:val="auto"/>
          <w:sz w:val="32"/>
          <w:highlight w:val="white"/>
        </w:rPr>
        <w:t xml:space="preserve">苏州合亿盛工程咨询有限公司</w:t>
      </w:r>
      <w:r>
        <w:rPr>
          <w:highlight w:val="white"/>
        </w:rPr>
      </w:r>
    </w:p>
    <w:p>
      <w:pPr>
        <w:ind w:left="0"/>
        <w:jc w:val="center"/>
        <w:rPr>
          <w:rFonts w:hint="eastAsia" w:ascii="宋体" w:hAnsi="宋体" w:cs="宋体"/>
          <w:b/>
          <w:color w:val="auto"/>
          <w:sz w:val="32"/>
          <w:highlight w:val="white"/>
        </w:rPr>
      </w:pPr>
      <w:r>
        <w:rPr>
          <w:rFonts w:hint="eastAsia" w:ascii="宋体" w:hAnsi="宋体" w:cs="宋体"/>
          <w:b/>
          <w:color w:val="auto"/>
          <w:sz w:val="32"/>
          <w:highlight w:val="white"/>
        </w:rPr>
        <w:t xml:space="preserve">二〇二</w:t>
      </w:r>
      <w:r>
        <w:rPr>
          <w:rFonts w:hint="eastAsia" w:ascii="宋体" w:hAnsi="宋体" w:cs="宋体"/>
          <w:b/>
          <w:color w:val="auto"/>
          <w:sz w:val="32"/>
          <w:highlight w:val="white"/>
          <w:lang w:val="en-US" w:eastAsia="zh-CN"/>
        </w:rPr>
        <w:t xml:space="preserve">五</w:t>
      </w:r>
      <w:r>
        <w:rPr>
          <w:rFonts w:hint="eastAsia" w:ascii="宋体" w:hAnsi="宋体" w:cs="宋体"/>
          <w:b/>
          <w:color w:val="auto"/>
          <w:sz w:val="32"/>
          <w:highlight w:val="white"/>
        </w:rPr>
        <w:t xml:space="preserve">年</w:t>
      </w:r>
      <w:r>
        <w:rPr>
          <w:rFonts w:hint="eastAsia" w:ascii="宋体" w:hAnsi="宋体" w:cs="宋体"/>
          <w:b/>
          <w:color w:val="auto"/>
          <w:sz w:val="32"/>
          <w:highlight w:val="white"/>
          <w:lang w:val="en-US" w:eastAsia="zh-CN"/>
        </w:rPr>
        <w:t xml:space="preserve">三</w:t>
      </w:r>
      <w:r>
        <w:rPr>
          <w:rFonts w:hint="eastAsia" w:ascii="宋体" w:hAnsi="宋体" w:cs="宋体"/>
          <w:b/>
          <w:color w:val="auto"/>
          <w:sz w:val="32"/>
          <w:highlight w:val="white"/>
        </w:rPr>
        <w:t xml:space="preserve">月</w:t>
      </w:r>
      <w:r>
        <w:rPr>
          <w:highlight w:val="white"/>
        </w:rPr>
      </w:r>
    </w:p>
    <w:p>
      <w:pPr>
        <w:pStyle w:val="1004"/>
        <w:ind w:left="0" w:firstLine="0"/>
        <w:rPr>
          <w:rFonts w:hint="eastAsia" w:ascii="宋体" w:hAnsi="宋体" w:cs="宋体"/>
          <w:color w:val="auto"/>
          <w:highlight w:val="whit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851" w:right="1021" w:bottom="851" w:left="1021" w:header="567" w:footer="567" w:gutter="0"/>
          <w:cols w:num="1" w:sep="0" w:space="1701" w:equalWidth="1"/>
          <w:docGrid w:linePitch="360"/>
          <w:titlePg/>
        </w:sectPr>
      </w:pPr>
      <w:r>
        <w:rPr>
          <w:rFonts w:hint="eastAsia" w:ascii="宋体" w:hAnsi="宋体" w:cs="宋体"/>
          <w:color w:val="auto"/>
          <w:highlight w:val="white"/>
        </w:rPr>
      </w:r>
      <w:r>
        <w:rPr>
          <w:highlight w:val="white"/>
        </w:rPr>
      </w:r>
    </w:p>
    <w:p>
      <w:pPr>
        <w:ind w:left="0"/>
        <w:jc w:val="center"/>
        <w:rPr>
          <w:rFonts w:hint="eastAsia" w:ascii="宋体" w:hAnsi="宋体" w:cs="宋体"/>
          <w:b/>
          <w:color w:val="auto"/>
          <w:spacing w:val="20"/>
          <w:sz w:val="30"/>
          <w:highlight w:val="white"/>
        </w:rPr>
      </w:pPr>
      <w:r>
        <w:rPr>
          <w:highlight w:val="white"/>
        </w:rPr>
      </w:r>
      <w:bookmarkStart w:id="0" w:name="_Toc12642"/>
      <w:r>
        <w:rPr>
          <w:highlight w:val="white"/>
        </w:rPr>
      </w:r>
      <w:bookmarkStart w:id="1" w:name="_Toc17003"/>
      <w:r>
        <w:rPr>
          <w:highlight w:val="white"/>
        </w:rPr>
      </w:r>
      <w:bookmarkStart w:id="2" w:name="_Toc15681"/>
      <w:r>
        <w:rPr>
          <w:highlight w:val="white"/>
        </w:rPr>
      </w:r>
      <w:bookmarkStart w:id="3" w:name="_Toc16121"/>
      <w:r>
        <w:rPr>
          <w:rFonts w:hint="eastAsia" w:ascii="宋体" w:hAnsi="宋体" w:cs="宋体"/>
          <w:b/>
          <w:color w:val="auto"/>
          <w:spacing w:val="20"/>
          <w:sz w:val="30"/>
          <w:highlight w:val="white"/>
        </w:rPr>
        <w:t xml:space="preserve">前 附 表</w:t>
      </w:r>
      <w:bookmarkEnd w:id="0"/>
      <w:r>
        <w:rPr>
          <w:highlight w:val="white"/>
        </w:rPr>
      </w:r>
      <w:bookmarkEnd w:id="1"/>
      <w:r>
        <w:rPr>
          <w:highlight w:val="white"/>
        </w:rPr>
      </w:r>
      <w:bookmarkEnd w:id="2"/>
      <w:r>
        <w:rPr>
          <w:highlight w:val="white"/>
        </w:rPr>
      </w:r>
      <w:bookmarkEnd w:id="3"/>
      <w:r>
        <w:rPr>
          <w:highlight w:val="white"/>
        </w:rPr>
      </w:r>
      <w:r>
        <w:rPr>
          <w:highlight w:val="white"/>
        </w:rPr>
      </w:r>
    </w:p>
    <w:tbl>
      <w:tblPr>
        <w:tblStyle w:val="820"/>
        <w:tblW w:w="10031"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名称</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内               容</w:t>
            </w:r>
            <w:r>
              <w:rPr>
                <w:highlight w:val="white"/>
              </w:rPr>
            </w:r>
          </w:p>
        </w:tc>
      </w:tr>
      <w:tr>
        <w:trPr>
          <w:jc w:val="cente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项目编号</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JSZC-320507-SHYS-C2025-0017</w:t>
            </w:r>
            <w:r>
              <w:rPr>
                <w:highlight w:val="white"/>
              </w:rPr>
            </w:r>
          </w:p>
        </w:tc>
      </w:tr>
      <w:tr>
        <w:trPr>
          <w:jc w:val="cente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项目名称</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default"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校园绿化年度养护服务</w:t>
            </w:r>
            <w:r>
              <w:rPr>
                <w:highlight w:val="white"/>
              </w:rPr>
            </w:r>
          </w:p>
        </w:tc>
      </w:tr>
      <w:tr>
        <w:trPr>
          <w:jc w:val="center"/>
          <w:trHeight w:val="3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磋商保证金</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本项目不收取磋商保证金（采购文件中涉及磋商保证金的条款均不适用）</w:t>
            </w:r>
            <w:r>
              <w:rPr>
                <w:highlight w:val="white"/>
              </w:rP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响应文件有效期</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响应文件提交截止之日起九十天（日历日）</w:t>
            </w:r>
            <w:r>
              <w:rPr>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质疑</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报名成功的供应商在下载采购文件后，对采购文件有质疑的，</w:t>
            </w:r>
            <w:r>
              <w:rPr>
                <w:highlight w:val="white"/>
              </w:rPr>
            </w:r>
          </w:p>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highlight w:val="white"/>
              </w:rPr>
            </w:r>
          </w:p>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质疑递交地址：苏州市相城区聚茂路185号活力大厦</w:t>
            </w:r>
            <w:r>
              <w:rPr>
                <w:rFonts w:hint="eastAsia" w:ascii="宋体" w:hAnsi="宋体" w:cs="宋体"/>
                <w:color w:val="auto"/>
                <w:sz w:val="21"/>
                <w:szCs w:val="21"/>
                <w:highlight w:val="white"/>
                <w:lang w:val="en-US" w:eastAsia="zh-CN"/>
              </w:rPr>
              <w:t xml:space="preserve">B</w:t>
            </w:r>
            <w:r>
              <w:rPr>
                <w:rFonts w:hint="eastAsia" w:ascii="宋体" w:hAnsi="宋体" w:cs="宋体"/>
                <w:color w:val="auto"/>
                <w:sz w:val="21"/>
                <w:szCs w:val="21"/>
                <w:highlight w:val="white"/>
              </w:rPr>
              <w:t xml:space="preserve">座50</w:t>
            </w:r>
            <w:r>
              <w:rPr>
                <w:rFonts w:hint="eastAsia" w:ascii="宋体" w:hAnsi="宋体" w:cs="宋体"/>
                <w:color w:val="auto"/>
                <w:sz w:val="21"/>
                <w:szCs w:val="21"/>
                <w:highlight w:val="white"/>
                <w:lang w:val="en-US" w:eastAsia="zh-CN"/>
              </w:rPr>
              <w:t xml:space="preserve">2</w:t>
            </w:r>
            <w:r>
              <w:rPr>
                <w:rFonts w:hint="eastAsia" w:ascii="宋体" w:hAnsi="宋体" w:cs="宋体"/>
                <w:color w:val="auto"/>
                <w:sz w:val="21"/>
                <w:szCs w:val="21"/>
                <w:highlight w:val="white"/>
              </w:rPr>
              <w:t xml:space="preserve">；电话：0512-67210880；联系人：</w:t>
            </w:r>
            <w:r>
              <w:rPr>
                <w:rFonts w:hint="eastAsia" w:ascii="宋体" w:hAnsi="宋体" w:cs="宋体"/>
                <w:color w:val="auto"/>
                <w:sz w:val="21"/>
                <w:szCs w:val="21"/>
                <w:highlight w:val="white"/>
                <w:lang w:eastAsia="zh-CN"/>
              </w:rPr>
              <w:t xml:space="preserve">徐晓逸/胡欢/吴雯瑜</w:t>
            </w:r>
            <w:r>
              <w:rPr>
                <w:rFonts w:hint="eastAsia" w:ascii="宋体" w:hAnsi="宋体" w:cs="宋体"/>
                <w:color w:val="auto"/>
                <w:sz w:val="21"/>
                <w:szCs w:val="21"/>
                <w:highlight w:val="white"/>
              </w:rPr>
              <w:t xml:space="preserve">）。</w:t>
            </w:r>
            <w:r>
              <w:rPr>
                <w:highlight w:val="white"/>
              </w:rPr>
            </w:r>
          </w:p>
        </w:tc>
      </w:tr>
      <w:tr>
        <w:trPr>
          <w:jc w:val="cente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投标（响应）文件网上</w:t>
            </w:r>
            <w:r>
              <w:rPr>
                <w:highlight w:val="white"/>
              </w:rPr>
            </w:r>
          </w:p>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提交截止时间</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lang w:eastAsia="zh-CN"/>
              </w:rPr>
              <w:t xml:space="preserve">2025年</w:t>
            </w:r>
            <w:r>
              <w:rPr>
                <w:rFonts w:hint="eastAsia" w:ascii="宋体" w:hAnsi="宋体" w:cs="宋体"/>
                <w:color w:val="auto"/>
                <w:sz w:val="21"/>
                <w:szCs w:val="21"/>
                <w:highlight w:val="white"/>
                <w:lang w:val="en-US" w:eastAsia="zh-CN"/>
              </w:rPr>
              <w:t xml:space="preserve">4</w:t>
            </w:r>
            <w:r>
              <w:rPr>
                <w:rFonts w:hint="eastAsia" w:ascii="宋体" w:hAnsi="宋体" w:cs="宋体"/>
                <w:color w:val="auto"/>
                <w:sz w:val="21"/>
                <w:szCs w:val="21"/>
                <w:highlight w:val="white"/>
                <w:lang w:eastAsia="zh-CN"/>
              </w:rPr>
              <w:t xml:space="preserve">月</w:t>
            </w:r>
            <w:r>
              <w:rPr>
                <w:rFonts w:hint="eastAsia" w:ascii="宋体" w:hAnsi="宋体" w:cs="宋体"/>
                <w:color w:val="auto"/>
                <w:sz w:val="21"/>
                <w:szCs w:val="21"/>
                <w:highlight w:val="white"/>
                <w:lang w:val="en-US" w:eastAsia="zh-CN"/>
              </w:rPr>
              <w:t xml:space="preserve">3</w:t>
            </w:r>
            <w:r>
              <w:rPr>
                <w:rFonts w:hint="eastAsia" w:ascii="宋体" w:hAnsi="宋体" w:cs="宋体"/>
                <w:color w:val="auto"/>
                <w:sz w:val="21"/>
                <w:szCs w:val="21"/>
                <w:highlight w:val="white"/>
                <w:lang w:eastAsia="zh-CN"/>
              </w:rPr>
              <w:t xml:space="preserve">日</w:t>
            </w:r>
            <w:r>
              <w:rPr>
                <w:rFonts w:hint="eastAsia" w:ascii="宋体" w:hAnsi="宋体" w:cs="宋体"/>
                <w:color w:val="auto"/>
                <w:sz w:val="21"/>
                <w:szCs w:val="21"/>
                <w:highlight w:val="white"/>
                <w:lang w:val="en-US" w:eastAsia="zh-CN"/>
              </w:rPr>
              <w:t xml:space="preserve">13</w:t>
            </w:r>
            <w:r>
              <w:rPr>
                <w:rFonts w:hint="eastAsia" w:ascii="宋体" w:hAnsi="宋体" w:cs="宋体"/>
                <w:color w:val="auto"/>
                <w:sz w:val="21"/>
                <w:szCs w:val="21"/>
                <w:highlight w:val="white"/>
              </w:rPr>
              <w:t xml:space="preserve">点30分（北京时间）</w:t>
            </w:r>
            <w:r>
              <w:rPr>
                <w:highlight w:val="white"/>
              </w:rPr>
            </w:r>
          </w:p>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lang w:eastAsia="zh-CN"/>
              </w:rPr>
              <w:t xml:space="preserve">响应文件</w:t>
            </w:r>
            <w:r>
              <w:rPr>
                <w:rFonts w:hint="eastAsia" w:ascii="宋体" w:hAnsi="宋体" w:cs="宋体"/>
                <w:color w:val="auto"/>
                <w:sz w:val="21"/>
                <w:szCs w:val="21"/>
                <w:highlight w:val="white"/>
              </w:rPr>
              <w:t xml:space="preserve">必须在截止时间前完成提交（上传），逾期提交（上传）的</w:t>
            </w:r>
            <w:r>
              <w:rPr>
                <w:rFonts w:hint="eastAsia" w:ascii="宋体" w:hAnsi="宋体" w:cs="宋体"/>
                <w:color w:val="auto"/>
                <w:sz w:val="21"/>
                <w:szCs w:val="21"/>
                <w:highlight w:val="white"/>
                <w:lang w:eastAsia="zh-CN"/>
              </w:rPr>
              <w:t xml:space="preserve">响应文件</w:t>
            </w:r>
            <w:r>
              <w:rPr>
                <w:rFonts w:hint="eastAsia" w:ascii="宋体" w:hAnsi="宋体" w:cs="宋体"/>
                <w:color w:val="auto"/>
                <w:sz w:val="21"/>
                <w:szCs w:val="21"/>
                <w:highlight w:val="white"/>
              </w:rPr>
              <w:t xml:space="preserve">恕不接受。</w:t>
            </w:r>
            <w:r>
              <w:rPr>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7</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开标时间</w:t>
            </w:r>
            <w:r>
              <w:rPr>
                <w:highlight w:val="white"/>
              </w:rPr>
            </w:r>
          </w:p>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开标地点</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lang w:eastAsia="zh-CN"/>
              </w:rPr>
              <w:t xml:space="preserve">2025年</w:t>
            </w:r>
            <w:r>
              <w:rPr>
                <w:rFonts w:hint="eastAsia" w:ascii="宋体" w:hAnsi="宋体" w:cs="宋体"/>
                <w:color w:val="auto"/>
                <w:sz w:val="21"/>
                <w:szCs w:val="21"/>
                <w:highlight w:val="white"/>
                <w:lang w:val="en-US" w:eastAsia="zh-CN"/>
              </w:rPr>
              <w:t xml:space="preserve">4</w:t>
            </w:r>
            <w:r>
              <w:rPr>
                <w:rFonts w:hint="eastAsia" w:ascii="宋体" w:hAnsi="宋体" w:cs="宋体"/>
                <w:color w:val="auto"/>
                <w:sz w:val="21"/>
                <w:szCs w:val="21"/>
                <w:highlight w:val="white"/>
                <w:lang w:eastAsia="zh-CN"/>
              </w:rPr>
              <w:t xml:space="preserve">月</w:t>
            </w:r>
            <w:r>
              <w:rPr>
                <w:rFonts w:hint="eastAsia" w:ascii="宋体" w:hAnsi="宋体" w:cs="宋体"/>
                <w:color w:val="auto"/>
                <w:sz w:val="21"/>
                <w:szCs w:val="21"/>
                <w:highlight w:val="white"/>
                <w:lang w:val="en-US" w:eastAsia="zh-CN"/>
              </w:rPr>
              <w:t xml:space="preserve">3</w:t>
            </w:r>
            <w:r>
              <w:rPr>
                <w:rFonts w:hint="eastAsia" w:ascii="宋体" w:hAnsi="宋体" w:cs="宋体"/>
                <w:color w:val="auto"/>
                <w:sz w:val="21"/>
                <w:szCs w:val="21"/>
                <w:highlight w:val="white"/>
                <w:lang w:eastAsia="zh-CN"/>
              </w:rPr>
              <w:t xml:space="preserve">日</w:t>
            </w:r>
            <w:r>
              <w:rPr>
                <w:rFonts w:hint="eastAsia" w:ascii="宋体" w:hAnsi="宋体" w:cs="宋体"/>
                <w:color w:val="auto"/>
                <w:sz w:val="21"/>
                <w:szCs w:val="21"/>
                <w:highlight w:val="white"/>
                <w:lang w:val="en-US" w:eastAsia="zh-CN"/>
              </w:rPr>
              <w:t xml:space="preserve">13</w:t>
            </w:r>
            <w:r>
              <w:rPr>
                <w:rFonts w:hint="eastAsia" w:ascii="宋体" w:hAnsi="宋体" w:cs="宋体"/>
                <w:color w:val="auto"/>
                <w:sz w:val="21"/>
                <w:szCs w:val="21"/>
                <w:highlight w:val="white"/>
              </w:rPr>
              <w:t xml:space="preserve">点30分（北京时间）</w:t>
            </w:r>
            <w:r>
              <w:rPr>
                <w:highlight w:val="white"/>
              </w:rPr>
            </w:r>
          </w:p>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“苏采云”系统（网址：http://jszfcg.jsczt.cn/）</w:t>
            </w:r>
            <w:r>
              <w:rPr>
                <w:highlight w:val="white"/>
              </w:rPr>
            </w:r>
          </w:p>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本项目为不见面开标项目，开标阶段供应商在【供应商解密】环节必须使用 CA证书解密电子</w:t>
            </w:r>
            <w:r>
              <w:rPr>
                <w:rFonts w:hint="eastAsia" w:ascii="宋体" w:hAnsi="宋体" w:cs="宋体"/>
                <w:color w:val="auto"/>
                <w:sz w:val="21"/>
                <w:szCs w:val="21"/>
                <w:highlight w:val="white"/>
                <w:lang w:eastAsia="zh-CN"/>
              </w:rPr>
              <w:t xml:space="preserve">响应文件</w:t>
            </w:r>
            <w:r>
              <w:rPr>
                <w:rFonts w:hint="eastAsia" w:ascii="宋体" w:hAnsi="宋体" w:cs="宋体"/>
                <w:color w:val="auto"/>
                <w:sz w:val="21"/>
                <w:szCs w:val="21"/>
                <w:highlight w:val="white"/>
              </w:rPr>
              <w:t xml:space="preserve">，如在系统规定的解密时间（</w:t>
            </w:r>
            <w:r>
              <w:rPr>
                <w:rFonts w:hint="eastAsia" w:ascii="宋体" w:hAnsi="宋体" w:cs="宋体"/>
                <w:color w:val="auto"/>
                <w:sz w:val="21"/>
                <w:szCs w:val="21"/>
                <w:highlight w:val="white"/>
                <w:lang w:eastAsia="zh-CN"/>
              </w:rPr>
              <w:t xml:space="preserve">响应文件</w:t>
            </w:r>
            <w:r>
              <w:rPr>
                <w:rFonts w:hint="eastAsia" w:ascii="宋体" w:hAnsi="宋体" w:cs="宋体"/>
                <w:color w:val="auto"/>
                <w:sz w:val="21"/>
                <w:szCs w:val="21"/>
                <w:highlight w:val="white"/>
              </w:rPr>
              <w:t xml:space="preserve">提交截止时间后30分钟）内未能完成解密的视为放弃投标。</w:t>
            </w:r>
            <w:r>
              <w:rPr>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宋体"/>
                <w:color w:val="auto"/>
                <w:sz w:val="21"/>
                <w:szCs w:val="21"/>
                <w:highlight w:val="white"/>
              </w:rPr>
            </w:pPr>
            <w:r>
              <w:rPr>
                <w:rFonts w:hint="eastAsia" w:ascii="宋体" w:hAnsi="宋体"/>
                <w:color w:val="auto"/>
                <w:sz w:val="21"/>
                <w:szCs w:val="21"/>
                <w:highlight w:val="white"/>
              </w:rPr>
              <w:t xml:space="preserve">8</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评标时间</w:t>
            </w:r>
            <w:r>
              <w:rPr>
                <w:highlight w:val="white"/>
              </w:rPr>
            </w:r>
          </w:p>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评标地点</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lang w:eastAsia="zh-CN"/>
              </w:rPr>
              <w:t xml:space="preserve">2025年</w:t>
            </w:r>
            <w:r>
              <w:rPr>
                <w:rFonts w:hint="eastAsia" w:ascii="宋体" w:hAnsi="宋体" w:cs="宋体"/>
                <w:color w:val="auto"/>
                <w:sz w:val="21"/>
                <w:szCs w:val="21"/>
                <w:highlight w:val="white"/>
                <w:lang w:val="en-US" w:eastAsia="zh-CN"/>
              </w:rPr>
              <w:t xml:space="preserve">4</w:t>
            </w:r>
            <w:r>
              <w:rPr>
                <w:rFonts w:hint="eastAsia" w:ascii="宋体" w:hAnsi="宋体" w:cs="宋体"/>
                <w:color w:val="auto"/>
                <w:sz w:val="21"/>
                <w:szCs w:val="21"/>
                <w:highlight w:val="white"/>
                <w:lang w:eastAsia="zh-CN"/>
              </w:rPr>
              <w:t xml:space="preserve">月</w:t>
            </w:r>
            <w:r>
              <w:rPr>
                <w:rFonts w:hint="eastAsia" w:ascii="宋体" w:hAnsi="宋体" w:cs="宋体"/>
                <w:color w:val="auto"/>
                <w:sz w:val="21"/>
                <w:szCs w:val="21"/>
                <w:highlight w:val="white"/>
                <w:lang w:val="en-US" w:eastAsia="zh-CN"/>
              </w:rPr>
              <w:t xml:space="preserve">3</w:t>
            </w:r>
            <w:r>
              <w:rPr>
                <w:rFonts w:hint="eastAsia" w:ascii="宋体" w:hAnsi="宋体" w:cs="宋体"/>
                <w:color w:val="auto"/>
                <w:sz w:val="21"/>
                <w:szCs w:val="21"/>
                <w:highlight w:val="white"/>
                <w:lang w:eastAsia="zh-CN"/>
              </w:rPr>
              <w:t xml:space="preserve">日</w:t>
            </w:r>
            <w:r>
              <w:rPr>
                <w:rFonts w:hint="eastAsia" w:ascii="宋体" w:hAnsi="宋体" w:cs="宋体"/>
                <w:color w:val="auto"/>
                <w:sz w:val="21"/>
                <w:szCs w:val="21"/>
                <w:highlight w:val="white"/>
                <w:lang w:val="en-US" w:eastAsia="zh-CN"/>
              </w:rPr>
              <w:t xml:space="preserve">13</w:t>
            </w:r>
            <w:r>
              <w:rPr>
                <w:rFonts w:hint="eastAsia" w:ascii="宋体" w:hAnsi="宋体" w:cs="宋体"/>
                <w:color w:val="auto"/>
                <w:sz w:val="21"/>
                <w:szCs w:val="21"/>
                <w:highlight w:val="white"/>
              </w:rPr>
              <w:t xml:space="preserve">点30分（北京时间）</w:t>
            </w:r>
            <w:r>
              <w:rPr>
                <w:highlight w:val="white"/>
              </w:rPr>
            </w:r>
          </w:p>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苏州市相城区采莲路1788号市民服务中心3号楼</w:t>
            </w:r>
            <w:r>
              <w:rPr>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9</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投（响应）文件份数</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本项目采用电子</w:t>
            </w:r>
            <w:r>
              <w:rPr>
                <w:rFonts w:hint="eastAsia" w:ascii="宋体" w:hAnsi="宋体" w:cs="宋体"/>
                <w:color w:val="auto"/>
                <w:sz w:val="21"/>
                <w:szCs w:val="21"/>
                <w:highlight w:val="white"/>
                <w:lang w:eastAsia="zh-CN"/>
              </w:rPr>
              <w:t xml:space="preserve">响应文件</w:t>
            </w:r>
            <w:r>
              <w:rPr>
                <w:rFonts w:hint="eastAsia" w:ascii="宋体" w:hAnsi="宋体" w:cs="宋体"/>
                <w:color w:val="auto"/>
                <w:sz w:val="21"/>
                <w:szCs w:val="21"/>
                <w:highlight w:val="white"/>
              </w:rPr>
              <w:t xml:space="preserve">，</w:t>
            </w:r>
            <w:r>
              <w:rPr>
                <w:rFonts w:hint="eastAsia" w:ascii="宋体" w:hAnsi="宋体" w:cs="宋体"/>
                <w:color w:val="auto"/>
                <w:sz w:val="21"/>
                <w:szCs w:val="21"/>
                <w:highlight w:val="white"/>
                <w:lang w:eastAsia="zh-CN"/>
              </w:rPr>
              <w:t xml:space="preserve">响应单位</w:t>
            </w:r>
            <w:r>
              <w:rPr>
                <w:rFonts w:hint="eastAsia" w:ascii="宋体" w:hAnsi="宋体" w:cs="宋体"/>
                <w:color w:val="auto"/>
                <w:sz w:val="21"/>
                <w:szCs w:val="21"/>
                <w:highlight w:val="white"/>
              </w:rPr>
              <w:t xml:space="preserve">按照招标文件要求制作上传电子</w:t>
            </w:r>
            <w:r>
              <w:rPr>
                <w:rFonts w:hint="eastAsia" w:ascii="宋体" w:hAnsi="宋体" w:cs="宋体"/>
                <w:color w:val="auto"/>
                <w:sz w:val="21"/>
                <w:szCs w:val="21"/>
                <w:highlight w:val="white"/>
                <w:lang w:eastAsia="zh-CN"/>
              </w:rPr>
              <w:t xml:space="preserve">响应文件</w:t>
            </w:r>
            <w:r>
              <w:rPr>
                <w:rFonts w:hint="eastAsia" w:ascii="宋体" w:hAnsi="宋体" w:cs="宋体"/>
                <w:color w:val="auto"/>
                <w:sz w:val="21"/>
                <w:szCs w:val="21"/>
                <w:highlight w:val="white"/>
              </w:rPr>
              <w:t xml:space="preserve">，</w:t>
            </w:r>
            <w:r>
              <w:rPr>
                <w:rFonts w:hint="eastAsia" w:ascii="宋体" w:hAnsi="宋体" w:cs="宋体"/>
                <w:color w:val="auto"/>
                <w:sz w:val="21"/>
                <w:szCs w:val="21"/>
                <w:highlight w:val="white"/>
                <w:lang w:eastAsia="zh-CN"/>
              </w:rPr>
              <w:t xml:space="preserve">响应单位</w:t>
            </w:r>
            <w:r>
              <w:rPr>
                <w:rFonts w:hint="eastAsia" w:ascii="宋体" w:hAnsi="宋体" w:cs="宋体"/>
                <w:color w:val="auto"/>
                <w:sz w:val="21"/>
                <w:szCs w:val="21"/>
                <w:highlight w:val="white"/>
              </w:rPr>
              <w:t xml:space="preserve">无需提供纸质</w:t>
            </w:r>
            <w:r>
              <w:rPr>
                <w:rFonts w:hint="eastAsia" w:ascii="宋体" w:hAnsi="宋体" w:cs="宋体"/>
                <w:color w:val="auto"/>
                <w:sz w:val="21"/>
                <w:szCs w:val="21"/>
                <w:highlight w:val="white"/>
                <w:lang w:eastAsia="zh-CN"/>
              </w:rPr>
              <w:t xml:space="preserve">响应文件</w:t>
            </w:r>
            <w:r>
              <w:rPr>
                <w:rFonts w:hint="eastAsia" w:ascii="宋体" w:hAnsi="宋体" w:cs="宋体"/>
                <w:color w:val="auto"/>
                <w:sz w:val="21"/>
                <w:szCs w:val="21"/>
                <w:highlight w:val="white"/>
              </w:rPr>
              <w:t xml:space="preserve">。</w:t>
            </w:r>
            <w:r>
              <w:rPr>
                <w:highlight w:val="white"/>
              </w:rPr>
            </w:r>
          </w:p>
        </w:tc>
      </w:tr>
      <w:tr>
        <w:trPr>
          <w:jc w:val="center"/>
          <w:trHeight w:val="5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white"/>
              </w:rPr>
            </w:pPr>
            <w:r>
              <w:rPr>
                <w:rFonts w:hint="eastAsia" w:ascii="宋体" w:hAnsi="宋体" w:cs="宋体"/>
                <w:color w:val="auto"/>
                <w:sz w:val="21"/>
                <w:szCs w:val="21"/>
                <w:highlight w:val="white"/>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现场踏勘</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本项目不组织统一勘察</w:t>
            </w:r>
            <w:r>
              <w:rPr>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white"/>
              </w:rPr>
            </w:pPr>
            <w:r>
              <w:rPr>
                <w:rFonts w:hint="eastAsia" w:ascii="宋体" w:hAnsi="宋体" w:cs="宋体"/>
                <w:color w:val="auto"/>
                <w:sz w:val="21"/>
                <w:szCs w:val="21"/>
                <w:highlight w:val="white"/>
              </w:rPr>
              <w:t xml:space="preserve">11</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履约保证金</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本项目不收取履约保证金（采购文件中涉及履约保证金的条款均不适用）</w:t>
            </w:r>
            <w:r>
              <w:rPr>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white"/>
              </w:rPr>
            </w:pPr>
            <w:r>
              <w:rPr>
                <w:rFonts w:hint="eastAsia" w:ascii="宋体" w:hAnsi="宋体" w:cs="宋体"/>
                <w:color w:val="auto"/>
                <w:sz w:val="21"/>
                <w:szCs w:val="21"/>
                <w:highlight w:val="white"/>
              </w:rPr>
              <w:t xml:space="preserve">12</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中标(成交)通知书</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lang w:val="en-US"/>
              </w:rPr>
              <w:t xml:space="preserve">确定出中标(成交)人后，采购代理机构在法定时间内向中标(成交)人发出中标(成交)通知书。中标(成交)通知书将成为合同的组成部分。</w:t>
            </w:r>
            <w:r>
              <w:rPr>
                <w:highlight w:val="white"/>
              </w:rPr>
            </w:r>
          </w:p>
          <w:p>
            <w:pPr>
              <w:ind w:left="0"/>
              <w:jc w:val="left"/>
              <w:rPr>
                <w:rFonts w:hint="eastAsia" w:ascii="宋体" w:hAnsi="宋体" w:cs="宋体"/>
                <w:color w:val="auto"/>
                <w:sz w:val="21"/>
                <w:szCs w:val="21"/>
                <w:highlight w:val="white"/>
              </w:rPr>
            </w:pPr>
            <w:r>
              <w:rPr>
                <w:rFonts w:hint="eastAsia" w:ascii="宋体" w:hAnsi="宋体" w:cs="宋体"/>
                <w:b/>
                <w:bCs/>
                <w:color w:val="auto"/>
                <w:sz w:val="21"/>
                <w:szCs w:val="21"/>
                <w:highlight w:val="white"/>
                <w:lang w:val="en-US"/>
              </w:rPr>
              <w:t xml:space="preserve">请中标人在中标结果公告届满之日起30日内,使用CA证书登录“苏采云”系统及时下载中标通知书。</w:t>
            </w:r>
            <w:r>
              <w:rPr>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13</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代理服务费</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6"/>
              <w:ind w:left="0" w:firstLine="0"/>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代理服务费收费标准：</w:t>
            </w:r>
            <w:r>
              <w:rPr>
                <w:highlight w:val="white"/>
              </w:rPr>
            </w:r>
          </w:p>
          <w:p>
            <w:pPr>
              <w:pStyle w:val="1026"/>
              <w:ind w:left="0" w:firstLine="0"/>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预算金额100万元以下部分，费率为该部分预算金额的1.5%；</w:t>
            </w:r>
            <w:r>
              <w:rPr>
                <w:highlight w:val="white"/>
              </w:rPr>
            </w:r>
          </w:p>
          <w:p>
            <w:pPr>
              <w:pStyle w:val="1026"/>
              <w:ind w:left="0" w:firstLine="0"/>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预算金额100万元（含）－500万元部分，费率为该部分预算金额的1.1%；</w:t>
            </w:r>
            <w:r>
              <w:rPr>
                <w:highlight w:val="white"/>
              </w:rPr>
            </w:r>
          </w:p>
          <w:p>
            <w:pPr>
              <w:pStyle w:val="1026"/>
              <w:ind w:left="0" w:firstLine="0"/>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预算金额500万元（含）-1000万元部分，费率为该部分预算金额的0.8%；</w:t>
            </w:r>
            <w:r>
              <w:rPr>
                <w:highlight w:val="white"/>
              </w:rPr>
            </w:r>
          </w:p>
          <w:p>
            <w:pPr>
              <w:pStyle w:val="1026"/>
              <w:ind w:left="0" w:firstLine="0"/>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预算金额1000万元（含）-5000万元部分，费率为该部分预算金额的0.5%；</w:t>
            </w:r>
            <w:r>
              <w:rPr>
                <w:highlight w:val="white"/>
              </w:rPr>
            </w:r>
          </w:p>
          <w:p>
            <w:pPr>
              <w:pStyle w:val="1026"/>
              <w:ind w:left="0" w:firstLine="0"/>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highlight w:val="white"/>
              </w:rPr>
            </w:r>
          </w:p>
          <w:p>
            <w:pPr>
              <w:pStyle w:val="1026"/>
              <w:ind w:left="0" w:firstLine="0"/>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成交单位须按上述规定计算并支付服务费，该费用应在领取成交通知书时付清。</w:t>
            </w:r>
            <w:r>
              <w:rPr>
                <w:highlight w:val="white"/>
              </w:rPr>
            </w:r>
          </w:p>
          <w:p>
            <w:pPr>
              <w:pStyle w:val="1026"/>
              <w:ind w:left="0" w:firstLine="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汇款银行资料：</w:t>
            </w:r>
            <w:r>
              <w:rPr>
                <w:highlight w:val="white"/>
              </w:rPr>
            </w:r>
          </w:p>
          <w:p>
            <w:pPr>
              <w:pStyle w:val="1026"/>
              <w:ind w:left="0" w:firstLine="0"/>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收款人名称：苏州合亿盛工程咨询有限公司</w:t>
            </w:r>
            <w:r>
              <w:rPr>
                <w:highlight w:val="white"/>
              </w:rPr>
            </w:r>
          </w:p>
          <w:p>
            <w:pPr>
              <w:pStyle w:val="1026"/>
              <w:ind w:left="0" w:firstLine="0"/>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开户行名称：中国农业银行股份有限公司苏州元和支行</w:t>
            </w:r>
            <w:r>
              <w:rPr>
                <w:highlight w:val="white"/>
              </w:rPr>
            </w:r>
          </w:p>
          <w:p>
            <w:pPr>
              <w:pStyle w:val="1026"/>
              <w:ind w:left="0" w:firstLine="0"/>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银行</w:t>
            </w:r>
            <w:r>
              <w:rPr>
                <w:rFonts w:hint="eastAsia" w:ascii="宋体" w:hAnsi="宋体" w:cs="宋体"/>
                <w:color w:val="auto"/>
                <w:sz w:val="21"/>
                <w:szCs w:val="21"/>
                <w:highlight w:val="white"/>
                <w:lang w:val="en-US"/>
              </w:rPr>
              <w:t xml:space="preserve">账</w:t>
            </w:r>
            <w:r>
              <w:rPr>
                <w:rFonts w:hint="eastAsia" w:ascii="宋体" w:hAnsi="宋体" w:cs="宋体"/>
                <w:color w:val="auto"/>
                <w:sz w:val="21"/>
                <w:szCs w:val="21"/>
                <w:highlight w:val="white"/>
              </w:rPr>
              <w:t xml:space="preserve">号：10541101040028625</w:t>
            </w:r>
            <w:r>
              <w:rPr>
                <w:highlight w:val="white"/>
              </w:rPr>
            </w:r>
          </w:p>
        </w:tc>
      </w:tr>
    </w:tbl>
    <w:p>
      <w:pPr>
        <w:ind w:left="0"/>
        <w:jc w:val="center"/>
        <w:rPr>
          <w:rFonts w:hint="eastAsia" w:ascii="宋体" w:hAnsi="宋体" w:cs="宋体"/>
          <w:color w:val="auto"/>
          <w:sz w:val="44"/>
          <w:szCs w:val="44"/>
          <w:highlight w:val="white"/>
        </w:rPr>
        <w:sectPr>
          <w:headerReference w:type="default" r:id="rId12"/>
          <w:headerReference w:type="first" r:id="rId13"/>
          <w:footerReference w:type="default" r:id="rId16"/>
          <w:footerReference w:type="first" r:id="rId17"/>
          <w:footnotePr/>
          <w:endnotePr/>
          <w:type w:val="nextPage"/>
          <w:pgSz w:w="11906" w:h="16838" w:orient="portrait"/>
          <w:pgMar w:top="1418" w:right="1021" w:bottom="1418" w:left="1021" w:header="794" w:footer="567" w:gutter="0"/>
          <w:cols w:num="1" w:sep="0" w:space="1701" w:equalWidth="1"/>
          <w:docGrid w:linePitch="360"/>
          <w:titlePg/>
        </w:sectPr>
      </w:pPr>
      <w:r>
        <w:rPr>
          <w:highlight w:val="white"/>
        </w:rPr>
      </w:r>
      <w:bookmarkStart w:id="4" w:name="_Toc7166"/>
      <w:r>
        <w:rPr>
          <w:highlight w:val="white"/>
        </w:rPr>
      </w:r>
      <w:bookmarkStart w:id="5" w:name="_Toc57376405"/>
      <w:r>
        <w:rPr>
          <w:highlight w:val="white"/>
        </w:rPr>
      </w:r>
      <w:bookmarkStart w:id="6" w:name="_Toc28592"/>
      <w:r>
        <w:rPr>
          <w:highlight w:val="white"/>
        </w:rPr>
      </w:r>
      <w:bookmarkStart w:id="7" w:name="_Toc58248879"/>
      <w:r>
        <w:rPr>
          <w:highlight w:val="white"/>
        </w:rPr>
      </w:r>
      <w:r>
        <w:rPr>
          <w:highlight w:val="white"/>
        </w:rPr>
      </w:r>
    </w:p>
    <w:p>
      <w:pPr>
        <w:ind w:left="0"/>
        <w:jc w:val="center"/>
        <w:rPr>
          <w:rFonts w:hint="eastAsia" w:ascii="宋体" w:hAnsi="宋体" w:cs="宋体"/>
          <w:color w:val="auto"/>
          <w:sz w:val="44"/>
          <w:szCs w:val="44"/>
          <w:highlight w:val="white"/>
        </w:rPr>
      </w:pPr>
      <w:r>
        <w:rPr>
          <w:rFonts w:hint="eastAsia" w:ascii="宋体" w:hAnsi="宋体" w:cs="宋体"/>
          <w:color w:val="auto"/>
          <w:sz w:val="44"/>
          <w:szCs w:val="44"/>
          <w:highlight w:val="white"/>
        </w:rPr>
      </w:r>
      <w:r>
        <w:rPr>
          <w:highlight w:val="white"/>
        </w:rPr>
      </w:r>
    </w:p>
    <w:p>
      <w:pPr>
        <w:ind w:left="0"/>
        <w:jc w:val="center"/>
        <w:rPr>
          <w:rFonts w:hint="eastAsia" w:ascii="宋体" w:hAnsi="宋体" w:cs="宋体"/>
          <w:color w:val="auto"/>
          <w:sz w:val="44"/>
          <w:szCs w:val="44"/>
          <w:highlight w:val="white"/>
        </w:rPr>
      </w:pPr>
      <w:r>
        <w:rPr>
          <w:rFonts w:hint="eastAsia" w:ascii="宋体" w:hAnsi="宋体" w:cs="宋体"/>
          <w:color w:val="auto"/>
          <w:sz w:val="44"/>
          <w:szCs w:val="44"/>
          <w:highlight w:val="white"/>
        </w:rPr>
        <w:t xml:space="preserve">目     录</w:t>
      </w:r>
      <w:r>
        <w:rPr>
          <w:highlight w:val="white"/>
        </w:rPr>
      </w:r>
    </w:p>
    <w:p>
      <w:pPr>
        <w:pStyle w:val="1006"/>
        <w:rPr>
          <w:rFonts w:hint="eastAsia" w:ascii="宋体" w:hAnsi="宋体" w:cs="宋体"/>
          <w:color w:val="auto"/>
          <w:highlight w:val="white"/>
        </w:rPr>
      </w:pPr>
      <w:r>
        <w:rPr>
          <w:rFonts w:hint="eastAsia" w:ascii="宋体" w:hAnsi="宋体" w:cs="宋体"/>
          <w:color w:val="auto"/>
          <w:highlight w:val="white"/>
        </w:rPr>
      </w:r>
      <w:r>
        <w:rPr>
          <w:highlight w:val="white"/>
        </w:rPr>
      </w:r>
    </w:p>
    <w:p>
      <w:pPr>
        <w:pStyle w:val="1016"/>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white"/>
        </w:rPr>
      </w:pP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TOC \o "1-1" \h \u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HYPERLINK \l _Toc31973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第一章 磋商邀请函</w:t>
      </w:r>
      <w:r>
        <w:rPr>
          <w:rFonts w:hint="eastAsia" w:ascii="宋体" w:hAnsi="宋体" w:cs="宋体"/>
          <w:color w:val="auto"/>
          <w:sz w:val="28"/>
          <w:szCs w:val="28"/>
          <w:highlight w:val="white"/>
        </w:rPr>
        <w:tab/>
      </w: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PAGEREF _Toc31973 \h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2</w:t>
      </w:r>
      <w:r>
        <w:rPr>
          <w:rFonts w:hint="eastAsia" w:ascii="宋体" w:hAnsi="宋体" w:cs="宋体"/>
          <w:color w:val="auto"/>
          <w:sz w:val="28"/>
          <w:szCs w:val="28"/>
          <w:highlight w:val="white"/>
        </w:rPr>
        <w:fldChar w:fldCharType="end"/>
      </w:r>
      <w:r>
        <w:rPr>
          <w:rFonts w:hint="eastAsia" w:ascii="宋体" w:hAnsi="宋体" w:cs="宋体"/>
          <w:color w:val="auto"/>
          <w:sz w:val="28"/>
          <w:szCs w:val="28"/>
          <w:highlight w:val="white"/>
        </w:rPr>
        <w:fldChar w:fldCharType="end"/>
      </w:r>
      <w:r>
        <w:rPr>
          <w:highlight w:val="white"/>
        </w:rPr>
      </w:r>
    </w:p>
    <w:p>
      <w:pPr>
        <w:pStyle w:val="1016"/>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white"/>
        </w:rPr>
      </w:pP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HYPERLINK \l _Toc17757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第二章 磋商须知</w:t>
      </w:r>
      <w:r>
        <w:rPr>
          <w:rFonts w:hint="eastAsia" w:ascii="宋体" w:hAnsi="宋体" w:cs="宋体"/>
          <w:color w:val="auto"/>
          <w:sz w:val="28"/>
          <w:szCs w:val="28"/>
          <w:highlight w:val="white"/>
        </w:rPr>
        <w:tab/>
      </w: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PAGEREF _Toc17757 \h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7</w:t>
      </w:r>
      <w:r>
        <w:rPr>
          <w:rFonts w:hint="eastAsia" w:ascii="宋体" w:hAnsi="宋体" w:cs="宋体"/>
          <w:color w:val="auto"/>
          <w:sz w:val="28"/>
          <w:szCs w:val="28"/>
          <w:highlight w:val="white"/>
        </w:rPr>
        <w:fldChar w:fldCharType="end"/>
      </w:r>
      <w:r>
        <w:rPr>
          <w:rFonts w:hint="eastAsia" w:ascii="宋体" w:hAnsi="宋体" w:cs="宋体"/>
          <w:color w:val="auto"/>
          <w:sz w:val="28"/>
          <w:szCs w:val="28"/>
          <w:highlight w:val="white"/>
        </w:rPr>
        <w:fldChar w:fldCharType="end"/>
      </w:r>
      <w:r>
        <w:rPr>
          <w:highlight w:val="white"/>
        </w:rPr>
      </w:r>
    </w:p>
    <w:p>
      <w:pPr>
        <w:pStyle w:val="1016"/>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white"/>
        </w:rPr>
      </w:pP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HYPERLINK \l _Toc332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第三章 响应文件格式</w:t>
      </w:r>
      <w:r>
        <w:rPr>
          <w:rFonts w:hint="eastAsia" w:ascii="宋体" w:hAnsi="宋体" w:cs="宋体"/>
          <w:color w:val="auto"/>
          <w:sz w:val="28"/>
          <w:szCs w:val="28"/>
          <w:highlight w:val="white"/>
        </w:rPr>
        <w:tab/>
      </w: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PAGEREF _Toc332 \h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14</w:t>
      </w:r>
      <w:r>
        <w:rPr>
          <w:rFonts w:hint="eastAsia" w:ascii="宋体" w:hAnsi="宋体" w:cs="宋体"/>
          <w:color w:val="auto"/>
          <w:sz w:val="28"/>
          <w:szCs w:val="28"/>
          <w:highlight w:val="white"/>
        </w:rPr>
        <w:fldChar w:fldCharType="end"/>
      </w:r>
      <w:r>
        <w:rPr>
          <w:rFonts w:hint="eastAsia" w:ascii="宋体" w:hAnsi="宋体" w:cs="宋体"/>
          <w:color w:val="auto"/>
          <w:sz w:val="28"/>
          <w:szCs w:val="28"/>
          <w:highlight w:val="white"/>
        </w:rPr>
        <w:fldChar w:fldCharType="end"/>
      </w:r>
      <w:r>
        <w:rPr>
          <w:highlight w:val="white"/>
        </w:rPr>
      </w:r>
    </w:p>
    <w:p>
      <w:pPr>
        <w:pStyle w:val="1016"/>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white"/>
        </w:rPr>
      </w:pP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HYPERLINK \l _Toc23981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第四章 采购内容</w:t>
      </w:r>
      <w:r>
        <w:rPr>
          <w:rFonts w:hint="eastAsia" w:ascii="宋体" w:hAnsi="宋体" w:cs="宋体"/>
          <w:color w:val="auto"/>
          <w:sz w:val="28"/>
          <w:szCs w:val="28"/>
          <w:highlight w:val="white"/>
        </w:rPr>
        <w:tab/>
      </w: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PAGEREF _Toc23981 \h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32</w:t>
      </w:r>
      <w:r>
        <w:rPr>
          <w:rFonts w:hint="eastAsia" w:ascii="宋体" w:hAnsi="宋体" w:cs="宋体"/>
          <w:color w:val="auto"/>
          <w:sz w:val="28"/>
          <w:szCs w:val="28"/>
          <w:highlight w:val="white"/>
        </w:rPr>
        <w:fldChar w:fldCharType="end"/>
      </w:r>
      <w:r>
        <w:rPr>
          <w:rFonts w:hint="eastAsia" w:ascii="宋体" w:hAnsi="宋体" w:cs="宋体"/>
          <w:color w:val="auto"/>
          <w:sz w:val="28"/>
          <w:szCs w:val="28"/>
          <w:highlight w:val="white"/>
        </w:rPr>
        <w:fldChar w:fldCharType="end"/>
      </w:r>
      <w:r>
        <w:rPr>
          <w:highlight w:val="white"/>
        </w:rPr>
      </w:r>
    </w:p>
    <w:p>
      <w:pPr>
        <w:pStyle w:val="1016"/>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white"/>
        </w:rPr>
      </w:pP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HYPERLINK \l _Toc26481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第五章 合同及主要条款</w:t>
      </w:r>
      <w:r>
        <w:rPr>
          <w:rFonts w:hint="eastAsia" w:ascii="宋体" w:hAnsi="宋体" w:cs="宋体"/>
          <w:color w:val="auto"/>
          <w:sz w:val="28"/>
          <w:szCs w:val="28"/>
          <w:highlight w:val="white"/>
        </w:rPr>
        <w:tab/>
      </w: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PAGEREF _Toc26481 \h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48</w:t>
      </w:r>
      <w:r>
        <w:rPr>
          <w:rFonts w:hint="eastAsia" w:ascii="宋体" w:hAnsi="宋体" w:cs="宋体"/>
          <w:color w:val="auto"/>
          <w:sz w:val="28"/>
          <w:szCs w:val="28"/>
          <w:highlight w:val="white"/>
        </w:rPr>
        <w:fldChar w:fldCharType="end"/>
      </w:r>
      <w:r>
        <w:rPr>
          <w:rFonts w:hint="eastAsia" w:ascii="宋体" w:hAnsi="宋体" w:cs="宋体"/>
          <w:color w:val="auto"/>
          <w:sz w:val="28"/>
          <w:szCs w:val="28"/>
          <w:highlight w:val="white"/>
        </w:rPr>
        <w:fldChar w:fldCharType="end"/>
      </w:r>
      <w:r>
        <w:rPr>
          <w:highlight w:val="white"/>
        </w:rPr>
      </w:r>
    </w:p>
    <w:p>
      <w:pPr>
        <w:pStyle w:val="1016"/>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white"/>
        </w:rPr>
      </w:pP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HYPERLINK \l _Toc16154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第六章 评审办法</w:t>
      </w:r>
      <w:r>
        <w:rPr>
          <w:rFonts w:hint="eastAsia" w:ascii="宋体" w:hAnsi="宋体" w:cs="宋体"/>
          <w:color w:val="auto"/>
          <w:sz w:val="28"/>
          <w:szCs w:val="28"/>
          <w:highlight w:val="white"/>
        </w:rPr>
        <w:tab/>
      </w: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PAGEREF _Toc16154 \h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t xml:space="preserve">55</w:t>
      </w:r>
      <w:r>
        <w:rPr>
          <w:rFonts w:hint="eastAsia" w:ascii="宋体" w:hAnsi="宋体" w:cs="宋体"/>
          <w:color w:val="auto"/>
          <w:sz w:val="28"/>
          <w:szCs w:val="28"/>
          <w:highlight w:val="white"/>
        </w:rPr>
        <w:fldChar w:fldCharType="end"/>
      </w:r>
      <w:r>
        <w:rPr>
          <w:rFonts w:hint="eastAsia" w:ascii="宋体" w:hAnsi="宋体" w:cs="宋体"/>
          <w:color w:val="auto"/>
          <w:sz w:val="28"/>
          <w:szCs w:val="28"/>
          <w:highlight w:val="white"/>
        </w:rPr>
        <w:fldChar w:fldCharType="end"/>
      </w:r>
      <w:r>
        <w:rPr>
          <w:highlight w:val="white"/>
        </w:rPr>
      </w:r>
    </w:p>
    <w:p>
      <w:pPr>
        <w:pStyle w:val="1016"/>
        <w:ind w:firstLine="0"/>
        <w:tabs>
          <w:tab w:val="right" w:pos="9864" w:leader="dot"/>
        </w:tabs>
        <w:rPr>
          <w:rFonts w:hint="eastAsia" w:ascii="宋体" w:hAnsi="宋体" w:cs="宋体"/>
          <w:color w:val="auto"/>
          <w:sz w:val="28"/>
          <w:szCs w:val="28"/>
          <w:highlight w:val="white"/>
        </w:rPr>
      </w:pPr>
      <w:r>
        <w:rPr>
          <w:rFonts w:hint="eastAsia" w:ascii="宋体" w:hAnsi="宋体" w:cs="宋体"/>
          <w:color w:val="auto"/>
          <w:sz w:val="28"/>
          <w:szCs w:val="28"/>
          <w:highlight w:val="white"/>
        </w:rPr>
        <w:fldChar w:fldCharType="begin"/>
      </w:r>
      <w:r>
        <w:rPr>
          <w:rFonts w:hint="eastAsia" w:ascii="宋体" w:hAnsi="宋体" w:cs="宋体"/>
          <w:color w:val="auto"/>
          <w:sz w:val="28"/>
          <w:szCs w:val="28"/>
          <w:highlight w:val="white"/>
        </w:rPr>
        <w:instrText xml:space="preserve"> HYPERLINK \l _Toc9262 </w:instrText>
      </w:r>
      <w:r>
        <w:rPr>
          <w:rFonts w:hint="eastAsia" w:ascii="宋体" w:hAnsi="宋体" w:cs="宋体"/>
          <w:color w:val="auto"/>
          <w:sz w:val="28"/>
          <w:szCs w:val="28"/>
          <w:highlight w:val="white"/>
        </w:rPr>
        <w:fldChar w:fldCharType="separate"/>
      </w:r>
      <w:r>
        <w:rPr>
          <w:rFonts w:hint="eastAsia" w:ascii="宋体" w:hAnsi="宋体" w:cs="宋体"/>
          <w:color w:val="auto"/>
          <w:sz w:val="28"/>
          <w:szCs w:val="28"/>
          <w:highlight w:val="white"/>
        </w:rPr>
        <w:fldChar w:fldCharType="end"/>
      </w:r>
      <w:r>
        <w:rPr>
          <w:highlight w:val="white"/>
        </w:rPr>
      </w:r>
    </w:p>
    <w:p>
      <w:pPr>
        <w:ind w:left="0"/>
        <w:spacing w:line="360" w:lineRule="auto"/>
        <w:rPr>
          <w:rFonts w:hint="eastAsia" w:ascii="宋体" w:hAnsi="宋体" w:cs="宋体"/>
          <w:b/>
          <w:color w:val="auto"/>
          <w:sz w:val="44"/>
          <w:szCs w:val="44"/>
          <w:highlight w:val="white"/>
        </w:rPr>
      </w:pPr>
      <w:r>
        <w:rPr>
          <w:rFonts w:hint="eastAsia" w:ascii="宋体" w:hAnsi="宋体" w:cs="宋体"/>
          <w:color w:val="auto"/>
          <w:sz w:val="28"/>
          <w:szCs w:val="28"/>
          <w:highlight w:val="white"/>
        </w:rPr>
        <w:fldChar w:fldCharType="end"/>
      </w:r>
      <w:bookmarkStart w:id="8" w:name="_Toc6212"/>
      <w:r>
        <w:rPr>
          <w:rFonts w:hint="eastAsia" w:ascii="宋体" w:hAnsi="宋体" w:cs="宋体"/>
          <w:b/>
          <w:color w:val="auto"/>
          <w:sz w:val="44"/>
          <w:szCs w:val="44"/>
          <w:highlight w:val="white"/>
        </w:rPr>
        <w:br w:type="page" w:clear="all"/>
      </w:r>
      <w:bookmarkEnd w:id="8"/>
      <w:r>
        <w:rPr>
          <w:highlight w:val="white"/>
        </w:rPr>
      </w:r>
      <w:bookmarkStart w:id="9" w:name="_Toc19808"/>
      <w:r>
        <w:rPr>
          <w:highlight w:val="white"/>
        </w:rPr>
      </w:r>
      <w:r>
        <w:rPr>
          <w:highlight w:val="white"/>
        </w:rPr>
      </w:r>
    </w:p>
    <w:p>
      <w:pPr>
        <w:pStyle w:val="834"/>
        <w:ind w:left="0" w:firstLine="0"/>
        <w:jc w:val="center"/>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pStyle w:val="834"/>
        <w:ind w:left="0" w:firstLine="0"/>
        <w:jc w:val="center"/>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pStyle w:val="834"/>
        <w:ind w:left="0" w:firstLine="0"/>
        <w:jc w:val="center"/>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pStyle w:val="834"/>
        <w:ind w:left="0" w:firstLine="0"/>
        <w:jc w:val="center"/>
        <w:rPr>
          <w:rFonts w:hint="eastAsia" w:ascii="宋体" w:hAnsi="宋体" w:cs="宋体"/>
          <w:b/>
          <w:color w:val="auto"/>
          <w:sz w:val="44"/>
          <w:szCs w:val="44"/>
          <w:highlight w:val="white"/>
        </w:rPr>
      </w:pPr>
      <w:r>
        <w:rPr>
          <w:highlight w:val="white"/>
        </w:rPr>
      </w:r>
      <w:bookmarkStart w:id="10" w:name="_Toc31973"/>
      <w:r>
        <w:rPr>
          <w:highlight w:val="white"/>
        </w:rPr>
      </w:r>
      <w:bookmarkStart w:id="11" w:name="_Toc22054"/>
      <w:r>
        <w:rPr>
          <w:rFonts w:hint="eastAsia" w:ascii="宋体" w:hAnsi="宋体" w:cs="宋体"/>
          <w:b/>
          <w:color w:val="auto"/>
          <w:sz w:val="44"/>
          <w:szCs w:val="44"/>
          <w:highlight w:val="white"/>
        </w:rPr>
        <w:t xml:space="preserve">第一章 磋商邀请函</w:t>
      </w:r>
      <w:bookmarkEnd w:id="4"/>
      <w:r>
        <w:rPr>
          <w:highlight w:val="white"/>
        </w:rPr>
      </w:r>
      <w:bookmarkEnd w:id="5"/>
      <w:r>
        <w:rPr>
          <w:highlight w:val="white"/>
        </w:rPr>
      </w:r>
      <w:bookmarkEnd w:id="6"/>
      <w:r>
        <w:rPr>
          <w:highlight w:val="white"/>
        </w:rPr>
      </w:r>
      <w:bookmarkEnd w:id="7"/>
      <w:r>
        <w:rPr>
          <w:highlight w:val="white"/>
        </w:rPr>
      </w:r>
      <w:bookmarkEnd w:id="9"/>
      <w:r>
        <w:rPr>
          <w:highlight w:val="white"/>
        </w:rPr>
      </w:r>
      <w:bookmarkEnd w:id="10"/>
      <w:r>
        <w:rPr>
          <w:highlight w:val="white"/>
        </w:rPr>
      </w:r>
      <w:bookmarkEnd w:id="11"/>
      <w:r>
        <w:rPr>
          <w:highlight w:val="white"/>
        </w:rPr>
      </w:r>
      <w:r>
        <w:rPr>
          <w:highlight w:val="white"/>
        </w:rPr>
      </w:r>
    </w:p>
    <w:p>
      <w:pPr>
        <w:pStyle w:val="834"/>
        <w:ind w:left="0" w:firstLine="0"/>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highlight w:val="white"/>
        </w:rPr>
      </w:r>
      <w:bookmarkStart w:id="12" w:name="_Toc16571"/>
      <w:r>
        <w:rPr>
          <w:highlight w:val="white"/>
        </w:rPr>
      </w:r>
      <w:bookmarkStart w:id="13" w:name="_Toc3644"/>
      <w:r>
        <w:rPr>
          <w:rFonts w:hint="eastAsia" w:ascii="宋体" w:hAnsi="宋体" w:cs="宋体"/>
          <w:color w:val="auto"/>
          <w:sz w:val="24"/>
          <w:szCs w:val="24"/>
          <w:highlight w:val="white"/>
        </w:rPr>
        <w:br w:type="page" w:clear="all"/>
      </w:r>
      <w:r>
        <w:rPr>
          <w:rFonts w:hint="eastAsia" w:ascii="宋体" w:hAnsi="宋体" w:eastAsia="宋体" w:cs="宋体"/>
          <w:color w:val="auto"/>
          <w:sz w:val="24"/>
          <w:szCs w:val="24"/>
          <w:highlight w:val="white"/>
        </w:rPr>
        <w:t xml:space="preserve">苏州合亿盛工程咨询有限公司受</w:t>
      </w:r>
      <w:r>
        <w:rPr>
          <w:rFonts w:hint="eastAsia" w:ascii="宋体" w:hAnsi="宋体" w:eastAsia="宋体" w:cs="宋体"/>
          <w:color w:val="auto"/>
          <w:sz w:val="24"/>
          <w:szCs w:val="24"/>
          <w:highlight w:val="white"/>
          <w:u w:val="single"/>
          <w:lang w:eastAsia="zh-CN"/>
        </w:rPr>
        <w:t xml:space="preserve">苏州大学实验学校</w:t>
      </w:r>
      <w:r>
        <w:rPr>
          <w:rFonts w:hint="eastAsia" w:ascii="宋体" w:hAnsi="宋体" w:eastAsia="宋体" w:cs="宋体"/>
          <w:color w:val="auto"/>
          <w:sz w:val="24"/>
          <w:szCs w:val="24"/>
          <w:highlight w:val="white"/>
        </w:rPr>
        <w:t xml:space="preserve">的委托，就</w:t>
      </w:r>
      <w:r>
        <w:rPr>
          <w:rFonts w:hint="eastAsia" w:ascii="宋体" w:hAnsi="宋体" w:cs="宋体"/>
          <w:color w:val="auto"/>
          <w:sz w:val="24"/>
          <w:szCs w:val="24"/>
          <w:highlight w:val="white"/>
          <w:u w:val="single"/>
          <w:lang w:eastAsia="zh-CN"/>
        </w:rPr>
        <w:t xml:space="preserve">校园绿化年度养护服务</w:t>
      </w:r>
      <w:r>
        <w:rPr>
          <w:rFonts w:hint="eastAsia" w:ascii="宋体" w:hAnsi="宋体" w:eastAsia="宋体" w:cs="宋体"/>
          <w:color w:val="auto"/>
          <w:sz w:val="24"/>
          <w:szCs w:val="24"/>
          <w:highlight w:val="white"/>
        </w:rPr>
        <w:t xml:space="preserve">采用竞争性磋商方式进行采购。欢迎符合资格条件的供应商前来报名参加磋商。</w:t>
      </w:r>
      <w:bookmarkEnd w:id="12"/>
      <w:r/>
      <w:bookmarkEnd w:id="13"/>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highlight w:val="white"/>
        </w:rPr>
      </w:r>
      <w:bookmarkStart w:id="83" w:name="_GoBack"/>
      <w:r>
        <w:rPr>
          <w:highlight w:val="white"/>
        </w:rPr>
      </w:r>
      <w:bookmarkStart w:id="14" w:name="_Toc19838"/>
      <w:r>
        <w:rPr>
          <w:highlight w:val="white"/>
        </w:rPr>
      </w:r>
      <w:bookmarkStart w:id="15" w:name="_Toc14794"/>
      <w:r>
        <w:rPr>
          <w:rFonts w:hint="eastAsia" w:ascii="宋体" w:hAnsi="宋体" w:eastAsia="宋体" w:cs="宋体"/>
          <w:color w:val="auto"/>
          <w:sz w:val="24"/>
          <w:szCs w:val="24"/>
          <w:highlight w:val="white"/>
        </w:rPr>
        <w:t xml:space="preserve">一、项目基本情况：</w:t>
      </w:r>
      <w:r>
        <w:rPr>
          <w:highlight w:val="white"/>
        </w:rPr>
      </w:r>
    </w:p>
    <w:p>
      <w:pPr>
        <w:ind w:left="0" w:firstLine="480"/>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t xml:space="preserve">1、项目编号：</w:t>
      </w:r>
      <w:r>
        <w:rPr>
          <w:rFonts w:hint="eastAsia" w:ascii="宋体" w:hAnsi="宋体" w:cs="宋体"/>
          <w:color w:val="auto"/>
          <w:sz w:val="24"/>
          <w:szCs w:val="24"/>
          <w:highlight w:val="white"/>
          <w:lang w:eastAsia="zh-CN"/>
        </w:rPr>
        <w:t xml:space="preserve">JSZC-320507-SHYS-C2025-0017</w:t>
      </w:r>
      <w:r>
        <w:rPr>
          <w:rFonts w:hint="eastAsia" w:ascii="宋体" w:hAnsi="宋体" w:eastAsia="宋体" w:cs="宋体"/>
          <w:color w:val="auto"/>
          <w:sz w:val="24"/>
          <w:szCs w:val="24"/>
          <w:highlight w:val="white"/>
        </w:rPr>
        <w:t xml:space="preserve">号</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2、项目名称：</w:t>
      </w:r>
      <w:r>
        <w:rPr>
          <w:rFonts w:hint="eastAsia" w:ascii="宋体" w:hAnsi="宋体" w:cs="宋体"/>
          <w:color w:val="auto"/>
          <w:sz w:val="24"/>
          <w:szCs w:val="24"/>
          <w:highlight w:val="white"/>
          <w:lang w:eastAsia="zh-CN"/>
        </w:rPr>
        <w:t xml:space="preserve">校园绿化年度养护服务</w:t>
      </w:r>
      <w:r>
        <w:rPr>
          <w:highlight w:val="white"/>
        </w:rPr>
      </w:r>
    </w:p>
    <w:p>
      <w:pPr>
        <w:pStyle w:val="852"/>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3、采购方式：竞争性磋商</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4、采购预算：</w:t>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人民币（大写）：</w:t>
      </w:r>
      <w:r>
        <w:rPr>
          <w:rStyle w:val="1032"/>
          <w:rFonts w:hint="eastAsia" w:ascii="宋体" w:hAnsi="宋体" w:eastAsia="宋体" w:cs="宋体"/>
          <w:color w:val="auto"/>
          <w:sz w:val="24"/>
          <w:szCs w:val="24"/>
          <w:highlight w:val="white"/>
          <w:lang w:val="en-US" w:eastAsia="zh-CN"/>
        </w:rPr>
        <w:t xml:space="preserve">伍拾柒万</w:t>
      </w:r>
      <w:r>
        <w:rPr>
          <w:rStyle w:val="1032"/>
          <w:rFonts w:hint="eastAsia" w:ascii="宋体" w:hAnsi="宋体" w:eastAsia="宋体" w:cs="宋体"/>
          <w:color w:val="auto"/>
          <w:sz w:val="24"/>
          <w:szCs w:val="24"/>
          <w:highlight w:val="white"/>
        </w:rPr>
        <w:t xml:space="preserve">元整</w:t>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人民币（小写）：¥</w:t>
      </w:r>
      <w:r>
        <w:rPr>
          <w:rStyle w:val="1032"/>
          <w:rFonts w:hint="eastAsia" w:ascii="宋体" w:hAnsi="宋体" w:eastAsia="宋体" w:cs="宋体"/>
          <w:color w:val="auto"/>
          <w:sz w:val="24"/>
          <w:szCs w:val="24"/>
          <w:highlight w:val="white"/>
          <w:lang w:val="en-US" w:eastAsia="zh-CN"/>
        </w:rPr>
        <w:t xml:space="preserve">570000.00</w:t>
      </w:r>
      <w:r>
        <w:rPr>
          <w:rStyle w:val="1032"/>
          <w:rFonts w:hint="eastAsia" w:ascii="宋体" w:hAnsi="宋体" w:eastAsia="宋体" w:cs="宋体"/>
          <w:color w:val="auto"/>
          <w:sz w:val="24"/>
          <w:szCs w:val="24"/>
          <w:highlight w:val="white"/>
        </w:rPr>
        <w:t xml:space="preserve">元</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5、本项目不接受联合体。</w:t>
      </w:r>
      <w:bookmarkEnd w:id="14"/>
      <w:r/>
      <w:bookmarkEnd w:id="15"/>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highlight w:val="white"/>
        </w:rPr>
      </w:r>
      <w:bookmarkStart w:id="16" w:name="_Toc57376406"/>
      <w:r>
        <w:rPr>
          <w:highlight w:val="white"/>
        </w:rPr>
      </w:r>
      <w:bookmarkStart w:id="17" w:name="_Toc6217"/>
      <w:r>
        <w:rPr>
          <w:highlight w:val="white"/>
        </w:rPr>
      </w:r>
      <w:bookmarkStart w:id="18" w:name="_Toc58248880"/>
      <w:r>
        <w:rPr>
          <w:highlight w:val="white"/>
        </w:rPr>
      </w:r>
      <w:bookmarkStart w:id="19" w:name="_Toc2412"/>
      <w:r>
        <w:rPr>
          <w:rFonts w:hint="eastAsia" w:ascii="宋体" w:hAnsi="宋体" w:eastAsia="宋体" w:cs="宋体"/>
          <w:color w:val="auto"/>
          <w:sz w:val="24"/>
          <w:szCs w:val="24"/>
          <w:highlight w:val="white"/>
        </w:rPr>
        <w:t xml:space="preserve">二、申请人的资格要求：</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1、满足《中华人民共和国政府采购法》第二十二条规定：</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（1）具有独立承担民事责任的能力；</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（2）具有良好的商业信誉和健全的财务会计制度；</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（3）具有履行合同所必需的设备和专业技术能力；</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（4）有依法缴纳税收和社会保障资金的良好记录；</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（5）参加政府采购活动近三年内，在经营活动中没有重大违法记录；</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（6）法律、行政法规规定的其他条件。</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落实政府采购政策需满足的资格要求：根据《政府采购促进中小企业发展管理办法》及《关于印发&lt;苏州市政府采购促进中小企业发展实施意见&gt;的通知》（苏财购〔2022〕16号）的相关规定，本项目专门面向中小企业，供应商应为中小微企业、监狱企业、残疾人福利性单位。</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3、本项目的特定资格要求：无。</w:t>
      </w:r>
      <w:bookmarkEnd w:id="83"/>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三、获取采购文件：</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（一）时间：自本项目采购公告发布之日起至</w:t>
      </w:r>
      <w:r>
        <w:rPr>
          <w:rFonts w:hint="eastAsia" w:ascii="宋体" w:hAnsi="宋体" w:eastAsia="宋体" w:cs="宋体"/>
          <w:color w:val="auto"/>
          <w:sz w:val="24"/>
          <w:szCs w:val="24"/>
          <w:highlight w:val="white"/>
        </w:rPr>
        <w:t xml:space="preserve">202</w:t>
      </w: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月</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日</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（二）地点：“苏采云”系统下载（网址：http://jszfcg.jsczt.cn/）</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（三）方式：网上获取</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1、CA证书办理</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w:t>
      </w:r>
      <w:r>
        <w:rPr>
          <w:rFonts w:hint="eastAsia" w:ascii="宋体" w:hAnsi="宋体" w:eastAsia="宋体" w:cs="宋体"/>
          <w:color w:val="auto"/>
          <w:sz w:val="24"/>
          <w:szCs w:val="24"/>
          <w:highlight w:val="whit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2、参与采购活动</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3、电子投标准备 </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供应商在“苏采云”系统中操作成功参与项目后，必须在“已参与项目”界面中下载电子招标文件（后缀名为“.kedt”）并导入政府采购客户端工具后方可进行</w:t>
      </w:r>
      <w:r>
        <w:rPr>
          <w:rFonts w:hint="eastAsia" w:ascii="宋体" w:hAnsi="宋体" w:eastAsia="宋体" w:cs="宋体"/>
          <w:color w:val="auto"/>
          <w:sz w:val="24"/>
          <w:szCs w:val="24"/>
          <w:highlight w:val="white"/>
          <w:lang w:eastAsia="zh-CN"/>
        </w:rPr>
        <w:t xml:space="preserve">响应文件</w:t>
      </w:r>
      <w:r>
        <w:rPr>
          <w:rFonts w:hint="eastAsia" w:ascii="宋体" w:hAnsi="宋体" w:eastAsia="宋体" w:cs="宋体"/>
          <w:color w:val="auto"/>
          <w:sz w:val="24"/>
          <w:szCs w:val="24"/>
          <w:highlight w:val="white"/>
        </w:rPr>
        <w:t xml:space="preserve">制作和提交（具体详见《苏采云系统供应商操作手册》，网址链接https://czju.suzhou.gov.cn/zfcg/html/content/20231220161910031.shtml）。</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4、在系统操作过程中如有疑问，请按以下方式联系：</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注册咨询：18261002950；</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CA技术咨询电话：400-608-6099；</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签章使用问题：025-83633811、025-83633812、15380932027、15371015030；</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系统使用指导与咨询：联系电话：18261002950；QQ：3048755361、1315179389、895706745。</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5、售价：免费获取</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四、提交</w:t>
      </w:r>
      <w:r>
        <w:rPr>
          <w:rFonts w:hint="eastAsia" w:ascii="宋体" w:hAnsi="宋体" w:eastAsia="宋体" w:cs="宋体"/>
          <w:color w:val="auto"/>
          <w:sz w:val="24"/>
          <w:szCs w:val="24"/>
          <w:highlight w:val="white"/>
          <w:lang w:eastAsia="zh-CN"/>
        </w:rPr>
        <w:t xml:space="preserve">响应文件</w:t>
      </w:r>
      <w:r>
        <w:rPr>
          <w:rFonts w:hint="eastAsia" w:ascii="宋体" w:hAnsi="宋体" w:eastAsia="宋体" w:cs="宋体"/>
          <w:color w:val="auto"/>
          <w:sz w:val="24"/>
          <w:szCs w:val="24"/>
          <w:highlight w:val="white"/>
        </w:rPr>
        <w:t xml:space="preserve">截止时间、开标时间和地点</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1、提交</w:t>
      </w:r>
      <w:r>
        <w:rPr>
          <w:rFonts w:hint="eastAsia" w:ascii="宋体" w:hAnsi="宋体" w:eastAsia="宋体" w:cs="宋体"/>
          <w:color w:val="auto"/>
          <w:sz w:val="24"/>
          <w:szCs w:val="24"/>
          <w:highlight w:val="white"/>
          <w:lang w:eastAsia="zh-CN"/>
        </w:rPr>
        <w:t xml:space="preserve">响应文件</w:t>
      </w:r>
      <w:r>
        <w:rPr>
          <w:rFonts w:hint="eastAsia" w:ascii="宋体" w:hAnsi="宋体" w:eastAsia="宋体" w:cs="宋体"/>
          <w:color w:val="auto"/>
          <w:sz w:val="24"/>
          <w:szCs w:val="24"/>
          <w:highlight w:val="white"/>
        </w:rPr>
        <w:t xml:space="preserve">截止时间：</w:t>
      </w:r>
      <w:r>
        <w:rPr>
          <w:rFonts w:hint="eastAsia" w:ascii="宋体" w:hAnsi="宋体" w:eastAsia="宋体" w:cs="宋体"/>
          <w:color w:val="auto"/>
          <w:sz w:val="24"/>
          <w:szCs w:val="24"/>
          <w:highlight w:val="white"/>
          <w:lang w:eastAsia="zh-CN"/>
        </w:rPr>
        <w:t xml:space="preserve">2025年</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eastAsia="zh-CN"/>
        </w:rPr>
        <w:t xml:space="preserve">月</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日</w:t>
      </w:r>
      <w:r>
        <w:rPr>
          <w:rFonts w:hint="eastAsia" w:ascii="宋体" w:hAnsi="宋体" w:eastAsia="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rPr>
        <w:t xml:space="preserve">点30分（北京时间）；</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2、开标时间：</w:t>
      </w:r>
      <w:r>
        <w:rPr>
          <w:rFonts w:hint="eastAsia" w:ascii="宋体" w:hAnsi="宋体" w:eastAsia="宋体" w:cs="宋体"/>
          <w:color w:val="auto"/>
          <w:sz w:val="24"/>
          <w:szCs w:val="24"/>
          <w:highlight w:val="white"/>
          <w:lang w:eastAsia="zh-CN"/>
        </w:rPr>
        <w:t xml:space="preserve">2025年</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eastAsia="zh-CN"/>
        </w:rPr>
        <w:t xml:space="preserve">月</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日</w:t>
      </w:r>
      <w:r>
        <w:rPr>
          <w:rFonts w:hint="eastAsia" w:ascii="宋体" w:hAnsi="宋体" w:eastAsia="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rPr>
        <w:t xml:space="preserve">点30分（北京时间）；</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3、开标地点：“苏采云”系统（网址：http://jszfcg.jsczt.cn/）</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4、本项目采用电子招投标形式，请供应商按照《苏采云系统供应商操作手册》进行制作、上传电子</w:t>
      </w:r>
      <w:r>
        <w:rPr>
          <w:rFonts w:hint="eastAsia" w:ascii="宋体" w:hAnsi="宋体" w:eastAsia="宋体" w:cs="宋体"/>
          <w:color w:val="auto"/>
          <w:sz w:val="24"/>
          <w:szCs w:val="24"/>
          <w:highlight w:val="white"/>
          <w:lang w:eastAsia="zh-CN"/>
        </w:rPr>
        <w:t xml:space="preserve">响应文件</w:t>
      </w:r>
      <w:r>
        <w:rPr>
          <w:rFonts w:hint="eastAsia" w:ascii="宋体" w:hAnsi="宋体" w:eastAsia="宋体" w:cs="宋体"/>
          <w:color w:val="auto"/>
          <w:sz w:val="24"/>
          <w:szCs w:val="24"/>
          <w:highlight w:val="white"/>
        </w:rPr>
        <w:t xml:space="preserve">。电子</w:t>
      </w:r>
      <w:r>
        <w:rPr>
          <w:rFonts w:hint="eastAsia" w:ascii="宋体" w:hAnsi="宋体" w:eastAsia="宋体" w:cs="宋体"/>
          <w:color w:val="auto"/>
          <w:sz w:val="24"/>
          <w:szCs w:val="24"/>
          <w:highlight w:val="white"/>
          <w:lang w:eastAsia="zh-CN"/>
        </w:rPr>
        <w:t xml:space="preserve">响应文件</w:t>
      </w:r>
      <w:r>
        <w:rPr>
          <w:rFonts w:hint="eastAsia" w:ascii="宋体" w:hAnsi="宋体" w:eastAsia="宋体" w:cs="宋体"/>
          <w:color w:val="auto"/>
          <w:sz w:val="24"/>
          <w:szCs w:val="24"/>
          <w:highlight w:val="white"/>
        </w:rPr>
        <w:t xml:space="preserve">制作完成后请于</w:t>
      </w:r>
      <w:r>
        <w:rPr>
          <w:rFonts w:hint="eastAsia" w:ascii="宋体" w:hAnsi="宋体" w:eastAsia="宋体" w:cs="宋体"/>
          <w:color w:val="auto"/>
          <w:sz w:val="24"/>
          <w:szCs w:val="24"/>
          <w:highlight w:val="white"/>
          <w:lang w:eastAsia="zh-CN"/>
        </w:rPr>
        <w:t xml:space="preserve">响应文件</w:t>
      </w:r>
      <w:r>
        <w:rPr>
          <w:rFonts w:hint="eastAsia" w:ascii="宋体" w:hAnsi="宋体" w:eastAsia="宋体" w:cs="宋体"/>
          <w:color w:val="auto"/>
          <w:sz w:val="24"/>
          <w:szCs w:val="24"/>
          <w:highlight w:val="white"/>
        </w:rPr>
        <w:t xml:space="preserve">递交截止时间前成功上传至“苏采云”系统，否则视为放弃参加该采购项目。供应商应充分考虑到网络环境、网络带宽等风险因素，如因供应商自身原因造成的电子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color w:val="auto"/>
          <w:sz w:val="24"/>
          <w:szCs w:val="24"/>
          <w:highlight w:val="white"/>
          <w:lang w:eastAsia="zh-CN"/>
        </w:rPr>
        <w:t xml:space="preserve">响应文件</w:t>
      </w:r>
      <w:r>
        <w:rPr>
          <w:rFonts w:hint="eastAsia" w:ascii="宋体" w:hAnsi="宋体" w:eastAsia="宋体" w:cs="宋体"/>
          <w:color w:val="auto"/>
          <w:sz w:val="24"/>
          <w:szCs w:val="24"/>
          <w:highlight w:val="white"/>
        </w:rPr>
        <w:t xml:space="preserve">上传不成功由供应商自行承担全部责任。</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w:t>
      </w:r>
      <w:r>
        <w:rPr>
          <w:rFonts w:hint="eastAsia" w:ascii="宋体" w:hAnsi="宋体" w:eastAsia="宋体" w:cs="宋体"/>
          <w:color w:val="auto"/>
          <w:sz w:val="24"/>
          <w:szCs w:val="24"/>
          <w:highlight w:val="white"/>
          <w:lang w:eastAsia="zh-CN"/>
        </w:rPr>
        <w:t xml:space="preserve">响应文件</w:t>
      </w:r>
      <w:r>
        <w:rPr>
          <w:rFonts w:hint="eastAsia" w:ascii="宋体" w:hAnsi="宋体" w:eastAsia="宋体" w:cs="宋体"/>
          <w:color w:val="auto"/>
          <w:sz w:val="24"/>
          <w:szCs w:val="24"/>
          <w:highlight w:val="white"/>
        </w:rPr>
        <w:t xml:space="preserve">，如在系统规定的解密时间（</w:t>
      </w:r>
      <w:r>
        <w:rPr>
          <w:rFonts w:hint="eastAsia" w:ascii="宋体" w:hAnsi="宋体" w:eastAsia="宋体" w:cs="宋体"/>
          <w:color w:val="auto"/>
          <w:sz w:val="24"/>
          <w:szCs w:val="24"/>
          <w:highlight w:val="white"/>
          <w:lang w:eastAsia="zh-CN"/>
        </w:rPr>
        <w:t xml:space="preserve">响应文件</w:t>
      </w:r>
      <w:r>
        <w:rPr>
          <w:rFonts w:hint="eastAsia" w:ascii="宋体" w:hAnsi="宋体" w:eastAsia="宋体" w:cs="宋体"/>
          <w:color w:val="auto"/>
          <w:sz w:val="24"/>
          <w:szCs w:val="24"/>
          <w:highlight w:val="white"/>
        </w:rPr>
        <w:t xml:space="preserve">提交截止时间后30分钟）内未能完成解密的视为放弃投标。</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请供应商确保电脑、系统及其他设备（视频输入输出设备等）无误，且开标直至项目结束始终保持系统在线状态。</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五、其他补充事宜</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1、为本项目提供整体设计、规范编制或者项目管理、监理、检测等服务的供应商：无。</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2、单位负责人为同一人或者存在直接控股、管理关系的不同供应商，不得参加同一合同项下的政府采购活动。</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、政府采购管理监督电话：0512-67591005、0512-67591006</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、本采购信息公告媒体：</w:t>
      </w:r>
      <w:r>
        <w:rPr>
          <w:rFonts w:hint="eastAsia" w:ascii="宋体" w:hAnsi="宋体" w:eastAsia="宋体" w:cs="宋体"/>
          <w:color w:val="auto"/>
          <w:sz w:val="24"/>
          <w:szCs w:val="24"/>
          <w:highlight w:val="white"/>
          <w:lang w:eastAsia="zh-CN"/>
        </w:rPr>
        <w:t xml:space="preserve">苏州市政府采购网、江苏政府采购网、中国政府采购网</w:t>
      </w:r>
      <w:r>
        <w:rPr>
          <w:rFonts w:hint="eastAsia" w:ascii="宋体" w:hAnsi="宋体" w:eastAsia="宋体" w:cs="宋体"/>
          <w:color w:val="auto"/>
          <w:sz w:val="24"/>
          <w:szCs w:val="24"/>
          <w:highlight w:val="white"/>
        </w:rPr>
        <w:t xml:space="preserve">。</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、响应保证金：本项目无需提交响应保证金。项目不收投标（响应）保证金的，投标（响应）人应在投标（响应）文件中提交《投标（响应）保证承诺书》（格式见采购文件第三章）。</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、本项目获取招标文件截止日期之后仍可以下载招标文件，但截止日期之后下载的招标文件，视为非有效方式且不作为供应商权益受到损害的证明材料和依据。</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、根据《政府采购促进中小企业发展管理办法》（财库〔2020〕46号）及《中小企业划型标准规定》（工信部联企业〔2011〕300号），本项目采购标的对应的中小企业划分标准所属行业为其他未列明行业。</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如不同</w:t>
      </w:r>
      <w:r>
        <w:rPr>
          <w:rFonts w:hint="eastAsia" w:ascii="宋体" w:hAnsi="宋体" w:eastAsia="宋体" w:cs="宋体"/>
          <w:color w:val="auto"/>
          <w:sz w:val="24"/>
          <w:szCs w:val="24"/>
          <w:highlight w:val="white"/>
          <w:lang w:val="en-US" w:eastAsia="zh-CN"/>
        </w:rPr>
        <w:t xml:space="preserve">供应商的</w:t>
      </w:r>
      <w:r>
        <w:rPr>
          <w:rFonts w:hint="eastAsia" w:ascii="宋体" w:hAnsi="宋体" w:eastAsia="宋体" w:cs="宋体"/>
          <w:color w:val="auto"/>
          <w:sz w:val="24"/>
          <w:szCs w:val="24"/>
          <w:highlight w:val="white"/>
        </w:rPr>
        <w:t xml:space="preserve">响应文件制作机器码一致，则</w:t>
      </w:r>
      <w:r>
        <w:rPr>
          <w:rFonts w:hint="eastAsia" w:ascii="宋体" w:hAnsi="宋体" w:eastAsia="宋体" w:cs="宋体"/>
          <w:color w:val="auto"/>
          <w:sz w:val="24"/>
          <w:szCs w:val="24"/>
          <w:highlight w:val="white"/>
          <w:lang w:val="en-US" w:eastAsia="zh-CN"/>
        </w:rPr>
        <w:t xml:space="preserve">视为</w:t>
      </w:r>
      <w:r>
        <w:rPr>
          <w:rFonts w:hint="eastAsia" w:ascii="宋体" w:hAnsi="宋体" w:eastAsia="宋体" w:cs="宋体"/>
          <w:color w:val="auto"/>
          <w:sz w:val="24"/>
          <w:szCs w:val="24"/>
          <w:highlight w:val="white"/>
        </w:rPr>
        <w:t xml:space="preserve">无效响应</w:t>
      </w:r>
      <w:r>
        <w:rPr>
          <w:rFonts w:hint="eastAsia" w:ascii="宋体" w:hAnsi="宋体" w:eastAsia="宋体" w:cs="宋体"/>
          <w:color w:val="auto"/>
          <w:sz w:val="24"/>
          <w:szCs w:val="24"/>
          <w:highlight w:val="white"/>
          <w:lang w:eastAsia="zh-CN"/>
        </w:rPr>
        <w:t xml:space="preserve">。</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9、本项目支持政府采购合同信用融资。</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六、凡对本次采购提出询问，请按以下方式联系：</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1、采购人信息</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名    称：</w:t>
      </w:r>
      <w:r>
        <w:rPr>
          <w:rFonts w:hint="eastAsia" w:ascii="宋体" w:hAnsi="宋体" w:eastAsia="宋体" w:cs="宋体"/>
          <w:bCs/>
          <w:color w:val="auto"/>
          <w:sz w:val="24"/>
          <w:szCs w:val="24"/>
          <w:highlight w:val="white"/>
          <w:lang w:eastAsia="zh-CN"/>
        </w:rPr>
        <w:t xml:space="preserve">苏州大学实验学校</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地    址：苏州市相城区蠡太路398号</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电    话：0512-66738027（崔海鹏）</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2、采购代理机构信息</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名    称：</w:t>
      </w:r>
      <w:r>
        <w:rPr>
          <w:rFonts w:hint="eastAsia" w:ascii="宋体" w:hAnsi="宋体" w:eastAsia="宋体" w:cs="宋体"/>
          <w:color w:val="auto"/>
          <w:sz w:val="24"/>
          <w:szCs w:val="24"/>
          <w:highlight w:val="white"/>
        </w:rPr>
        <w:t xml:space="preserve">苏州合亿盛工程咨询有限公司</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地    址：</w:t>
      </w:r>
      <w:r>
        <w:rPr>
          <w:rFonts w:hint="eastAsia" w:ascii="宋体" w:hAnsi="宋体" w:eastAsia="宋体" w:cs="宋体"/>
          <w:color w:val="auto"/>
          <w:sz w:val="24"/>
          <w:szCs w:val="24"/>
          <w:highlight w:val="white"/>
          <w:lang w:eastAsia="zh-CN"/>
        </w:rPr>
        <w:t xml:space="preserve">苏州市相城区聚茂路185号活力大厦B座502室</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联系方式：</w:t>
      </w:r>
      <w:r>
        <w:rPr>
          <w:rFonts w:hint="eastAsia" w:ascii="宋体" w:hAnsi="宋体" w:eastAsia="宋体" w:cs="宋体"/>
          <w:color w:val="auto"/>
          <w:sz w:val="24"/>
          <w:szCs w:val="24"/>
          <w:highlight w:val="white"/>
        </w:rPr>
        <w:t xml:space="preserve">0512-67210880</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3、项目联系方式</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项目联系人：</w:t>
      </w:r>
      <w:r>
        <w:rPr>
          <w:rFonts w:hint="eastAsia" w:ascii="宋体" w:hAnsi="宋体" w:eastAsia="宋体" w:cs="宋体"/>
          <w:color w:val="auto"/>
          <w:sz w:val="24"/>
          <w:szCs w:val="24"/>
          <w:highlight w:val="white"/>
          <w:lang w:eastAsia="zh-CN"/>
        </w:rPr>
        <w:t xml:space="preserve">徐晓逸/胡欢/吴雯瑜</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电      话：</w:t>
      </w:r>
      <w:r>
        <w:rPr>
          <w:rFonts w:hint="eastAsia" w:ascii="宋体" w:hAnsi="宋体" w:eastAsia="宋体" w:cs="宋体"/>
          <w:color w:val="auto"/>
          <w:sz w:val="24"/>
          <w:szCs w:val="24"/>
          <w:highlight w:val="white"/>
        </w:rPr>
        <w:t xml:space="preserve">0512-67210880</w:t>
      </w:r>
      <w:r>
        <w:rPr>
          <w:highlight w:val="white"/>
        </w:rPr>
      </w:r>
    </w:p>
    <w:p>
      <w:pPr>
        <w:pStyle w:val="834"/>
        <w:jc w:val="center"/>
        <w:rPr>
          <w:rFonts w:hint="eastAsia" w:ascii="宋体" w:hAnsi="宋体" w:cs="宋体"/>
          <w:b/>
          <w:color w:val="auto"/>
          <w:sz w:val="44"/>
          <w:szCs w:val="44"/>
          <w:highlight w:val="white"/>
        </w:rPr>
      </w:pPr>
      <w:r>
        <w:rPr>
          <w:rFonts w:hint="eastAsia" w:ascii="宋体" w:hAnsi="宋体" w:cs="宋体"/>
          <w:b/>
          <w:color w:val="auto"/>
          <w:sz w:val="44"/>
          <w:szCs w:val="44"/>
          <w:highlight w:val="white"/>
        </w:rPr>
        <w:br w:type="page" w:clear="all"/>
      </w:r>
      <w:bookmarkStart w:id="20" w:name="_Toc11400"/>
      <w:r>
        <w:rPr>
          <w:highlight w:val="white"/>
        </w:rPr>
      </w:r>
      <w:r>
        <w:rPr>
          <w:highlight w:val="white"/>
        </w:rPr>
      </w:r>
    </w:p>
    <w:p>
      <w:pPr>
        <w:pStyle w:val="834"/>
        <w:jc w:val="center"/>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pStyle w:val="834"/>
        <w:jc w:val="center"/>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pStyle w:val="834"/>
        <w:jc w:val="center"/>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pStyle w:val="834"/>
        <w:jc w:val="center"/>
        <w:rPr>
          <w:rFonts w:hint="eastAsia" w:ascii="宋体" w:hAnsi="宋体" w:cs="宋体"/>
          <w:b/>
          <w:color w:val="auto"/>
          <w:sz w:val="44"/>
          <w:szCs w:val="44"/>
          <w:highlight w:val="white"/>
        </w:rPr>
      </w:pPr>
      <w:r>
        <w:rPr>
          <w:highlight w:val="white"/>
        </w:rPr>
      </w:r>
      <w:bookmarkStart w:id="21" w:name="_Toc17757"/>
      <w:r>
        <w:rPr>
          <w:highlight w:val="white"/>
        </w:rPr>
      </w:r>
      <w:bookmarkStart w:id="22" w:name="_Toc29635"/>
      <w:r>
        <w:rPr>
          <w:rFonts w:hint="eastAsia" w:ascii="宋体" w:hAnsi="宋体" w:cs="宋体"/>
          <w:b/>
          <w:color w:val="auto"/>
          <w:sz w:val="44"/>
          <w:szCs w:val="44"/>
          <w:highlight w:val="white"/>
        </w:rPr>
        <w:t xml:space="preserve">第二章 </w:t>
      </w:r>
      <w:bookmarkStart w:id="23" w:name="投标人须知"/>
      <w:r>
        <w:rPr>
          <w:highlight w:val="white"/>
        </w:rPr>
      </w:r>
      <w:bookmarkEnd w:id="23"/>
      <w:r>
        <w:rPr>
          <w:rFonts w:hint="eastAsia" w:ascii="宋体" w:hAnsi="宋体" w:cs="宋体"/>
          <w:b/>
          <w:color w:val="auto"/>
          <w:sz w:val="44"/>
          <w:szCs w:val="44"/>
          <w:highlight w:val="white"/>
        </w:rPr>
        <w:t xml:space="preserve">磋商须知</w:t>
      </w:r>
      <w:bookmarkEnd w:id="16"/>
      <w:r>
        <w:rPr>
          <w:highlight w:val="white"/>
        </w:rPr>
      </w:r>
      <w:bookmarkEnd w:id="17"/>
      <w:r>
        <w:rPr>
          <w:highlight w:val="white"/>
        </w:rPr>
      </w:r>
      <w:bookmarkEnd w:id="18"/>
      <w:r>
        <w:rPr>
          <w:highlight w:val="white"/>
        </w:rPr>
      </w:r>
      <w:bookmarkEnd w:id="19"/>
      <w:r>
        <w:rPr>
          <w:highlight w:val="white"/>
        </w:rPr>
      </w:r>
      <w:bookmarkEnd w:id="20"/>
      <w:r>
        <w:rPr>
          <w:highlight w:val="white"/>
        </w:rPr>
      </w:r>
      <w:bookmarkEnd w:id="21"/>
      <w:r>
        <w:rPr>
          <w:highlight w:val="white"/>
        </w:rPr>
      </w:r>
      <w:bookmarkEnd w:id="22"/>
      <w:r>
        <w:rPr>
          <w:highlight w:val="white"/>
        </w:rPr>
      </w:r>
      <w:r>
        <w:rPr>
          <w:highlight w:val="white"/>
        </w:rPr>
      </w:r>
    </w:p>
    <w:p>
      <w:pPr>
        <w:pStyle w:val="1001"/>
        <w:ind w:left="0" w:firstLine="482"/>
        <w:keepLines w:val="0"/>
        <w:keepNext w:val="0"/>
        <w:pageBreakBefore w:val="0"/>
        <w:spacing w:before="0" w:after="0" w:line="360" w:lineRule="auto"/>
        <w:widowControl w:val="off"/>
        <w:rPr>
          <w:rFonts w:hint="eastAsia" w:ascii="宋体" w:hAnsi="宋体" w:eastAsia="宋体" w:cs="宋体"/>
          <w:i w:val="0"/>
          <w:iCs w:val="0"/>
          <w:color w:val="auto"/>
          <w:sz w:val="24"/>
          <w:szCs w:val="24"/>
          <w:highlight w:val="white"/>
        </w:rPr>
      </w:pPr>
      <w:r>
        <w:rPr>
          <w:highlight w:val="white"/>
        </w:rPr>
      </w:r>
      <w:bookmarkStart w:id="24" w:name="_Toc7264"/>
      <w:r>
        <w:rPr>
          <w:highlight w:val="white"/>
        </w:rPr>
      </w:r>
      <w:bookmarkStart w:id="25" w:name="_Toc24711"/>
      <w:r>
        <w:rPr>
          <w:highlight w:val="white"/>
        </w:rPr>
      </w:r>
      <w:bookmarkStart w:id="26" w:name="_Toc57376407"/>
      <w:r>
        <w:rPr>
          <w:highlight w:val="white"/>
        </w:rPr>
      </w:r>
      <w:bookmarkStart w:id="27" w:name="_Toc58248881"/>
      <w:r>
        <w:rPr>
          <w:rFonts w:hint="eastAsia" w:ascii="宋体" w:hAnsi="宋体" w:cs="宋体"/>
          <w:i w:val="0"/>
          <w:iCs w:val="0"/>
          <w:color w:val="auto"/>
          <w:sz w:val="24"/>
          <w:szCs w:val="24"/>
          <w:highlight w:val="white"/>
        </w:rPr>
        <w:br w:type="page" w:clear="all"/>
      </w:r>
      <w:bookmarkStart w:id="28" w:name="_Toc16525"/>
      <w:r>
        <w:rPr>
          <w:rFonts w:hint="eastAsia" w:ascii="宋体" w:hAnsi="宋体" w:eastAsia="宋体" w:cs="宋体"/>
          <w:i w:val="0"/>
          <w:iCs w:val="0"/>
          <w:color w:val="auto"/>
          <w:sz w:val="24"/>
          <w:szCs w:val="24"/>
          <w:highlight w:val="white"/>
        </w:rPr>
        <w:t xml:space="preserve">一、响应文件的组成及要求</w:t>
      </w:r>
      <w:bookmarkEnd w:id="28"/>
      <w:r>
        <w:rPr>
          <w:highlight w:val="white"/>
        </w:rPr>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（一）文件组成：</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1、响应文件一（报价部分）(格式见第三章)：</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1.1磋商响应函；</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1.2磋商报价表；</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1.3磋商报价明细表；</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1.4法定代表人授权委托书（如有授权）；</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2、响应文件二（资格及技术部分）（部分格式见第三章）：</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2.1关于资格文件的声明函；</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2.2磋商响应单位基本情况表；</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2.3磋商响应单位《营业执照》副本复印件或相应主体资格证明文件；</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2.4磋商响应单位法定代表人身份证复印件；</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2.5磋商响应单位代理人身份证复印件</w:t>
      </w:r>
      <w:r>
        <w:rPr>
          <w:rStyle w:val="1032"/>
          <w:rFonts w:hint="eastAsia" w:ascii="宋体" w:hAnsi="宋体" w:eastAsia="宋体" w:cs="宋体"/>
          <w:color w:val="auto"/>
          <w:sz w:val="24"/>
          <w:szCs w:val="24"/>
          <w:highlight w:val="white"/>
        </w:rPr>
        <w:t xml:space="preserve">、法定代表人授权委托书</w:t>
      </w:r>
      <w:r>
        <w:rPr>
          <w:rFonts w:hint="eastAsia" w:ascii="宋体" w:hAnsi="宋体" w:eastAsia="宋体" w:cs="宋体"/>
          <w:color w:val="auto"/>
          <w:sz w:val="24"/>
          <w:szCs w:val="24"/>
          <w:highlight w:val="white"/>
        </w:rPr>
        <w:t xml:space="preserve">（如有授权）；</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w:t>
      </w:r>
      <w:r>
        <w:rPr>
          <w:rStyle w:val="1032"/>
          <w:rFonts w:hint="eastAsia" w:ascii="宋体" w:hAnsi="宋体" w:eastAsia="宋体" w:cs="宋体"/>
          <w:color w:val="auto"/>
          <w:sz w:val="24"/>
          <w:szCs w:val="24"/>
          <w:highlight w:val="white"/>
        </w:rPr>
        <w:t xml:space="preserve">合格供应商的基本条件、特定条件所需提供的相应证明材料，具体包括：</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2.6.1具有独立承担民事责任的能力证明。包括法人或者其他组织的营业执照等证明文件，自然人的身份证明；</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2.6.2具有良好的商业信誉和健全的财务会计制度证明。包括但不限于最近一期经审计的财务报告或提供银行出具的资信证明；</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w:t>
      </w:r>
      <w:r>
        <w:rPr>
          <w:rStyle w:val="1032"/>
          <w:rFonts w:hint="eastAsia" w:ascii="宋体" w:hAnsi="宋体" w:eastAsia="宋体" w:cs="宋体"/>
          <w:color w:val="auto"/>
          <w:sz w:val="24"/>
          <w:szCs w:val="24"/>
          <w:highlight w:val="white"/>
        </w:rPr>
        <w:t xml:space="preserve">履行合同所必备的设备和专业技术能力的证明材料。包括履行合同所必需的设备和专业技术能力的书面声明等材料；</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2.6.4有依法缴纳税收和社会保障资金的良好记录。</w:t>
      </w:r>
      <w:r>
        <w:rPr>
          <w:rStyle w:val="1032"/>
          <w:rFonts w:hint="eastAsia" w:ascii="宋体" w:hAnsi="宋体" w:eastAsia="宋体" w:cs="宋体"/>
          <w:color w:val="auto"/>
          <w:sz w:val="24"/>
          <w:szCs w:val="24"/>
          <w:highlight w:val="whit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2.6.5参加政府采购活动前三年内在经营活动中没有重大违法记录的书面声明函；</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2.6.6磋商响应单位证明其为合格供应商所具备的法律、行政法规规定的其他条件的证明材料：按照相关法律法规参与本项目所必须取得国家有关主管部门的行政许可（如有）；</w:t>
      </w:r>
      <w:r>
        <w:rPr>
          <w:highlight w:val="white"/>
        </w:rPr>
      </w:r>
    </w:p>
    <w:p>
      <w:pPr>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2.6.7特定资格要求：无</w:t>
      </w:r>
      <w:r>
        <w:rPr>
          <w:rFonts w:hint="eastAsia" w:ascii="宋体" w:hAnsi="宋体" w:eastAsia="宋体" w:cs="宋体"/>
          <w:color w:val="auto"/>
          <w:sz w:val="24"/>
          <w:szCs w:val="24"/>
          <w:highlight w:val="white"/>
          <w:lang w:eastAsia="zh-CN"/>
        </w:rPr>
        <w:t xml:space="preserve">。</w:t>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2.6.8《中小企业声明函》或《残疾人福利性单位声明函》或省级以上监狱管理局、戒毒管理局（含新疆生产建设兵团）出具的属于监狱企业的证明文件</w:t>
      </w:r>
      <w:r>
        <w:rPr>
          <w:rStyle w:val="1032"/>
          <w:rFonts w:hint="eastAsia" w:ascii="宋体" w:hAnsi="宋体" w:eastAsia="宋体" w:cs="宋体"/>
          <w:color w:val="auto"/>
          <w:sz w:val="24"/>
          <w:szCs w:val="24"/>
          <w:highlight w:val="white"/>
          <w:lang w:eastAsia="zh-CN"/>
        </w:rPr>
        <w:t xml:space="preserve">。</w:t>
      </w:r>
      <w:r>
        <w:rPr>
          <w:highlight w:val="white"/>
        </w:rPr>
      </w:r>
    </w:p>
    <w:p>
      <w:pPr>
        <w:ind w:left="0" w:firstLine="482"/>
        <w:keepLines w:val="0"/>
        <w:keepNext w:val="0"/>
        <w:pageBreakBefore w:val="0"/>
        <w:spacing w:line="360" w:lineRule="auto"/>
        <w:widowControl w:val="off"/>
        <w:rPr>
          <w:rStyle w:val="1032"/>
          <w:rFonts w:hint="eastAsia" w:ascii="宋体" w:hAnsi="宋体" w:eastAsia="宋体" w:cs="宋体"/>
          <w:b/>
          <w:color w:val="auto"/>
          <w:sz w:val="24"/>
          <w:szCs w:val="24"/>
          <w:highlight w:val="white"/>
        </w:rPr>
      </w:pPr>
      <w:r>
        <w:rPr>
          <w:rStyle w:val="1032"/>
          <w:rFonts w:hint="eastAsia" w:ascii="宋体" w:hAnsi="宋体" w:eastAsia="宋体" w:cs="宋体"/>
          <w:b/>
          <w:color w:val="auto"/>
          <w:sz w:val="24"/>
          <w:szCs w:val="24"/>
          <w:highlight w:val="white"/>
        </w:rPr>
        <w:t xml:space="preserve">注：根据《政府采购促进中小企业发展管理办法》的相关规定，本项目专门面向中小企业，《中小企业声明函》为必须提供的资格证明材料，否则磋商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2.</w:t>
      </w:r>
      <w:r>
        <w:rPr>
          <w:rStyle w:val="1032"/>
          <w:rFonts w:hint="eastAsia" w:ascii="宋体" w:hAnsi="宋体" w:eastAsia="宋体" w:cs="宋体"/>
          <w:color w:val="auto"/>
          <w:sz w:val="24"/>
          <w:szCs w:val="24"/>
          <w:highlight w:val="white"/>
          <w:lang w:val="en-US" w:eastAsia="zh-CN"/>
        </w:rPr>
        <w:t xml:space="preserve">7</w:t>
      </w:r>
      <w:r>
        <w:rPr>
          <w:rStyle w:val="1032"/>
          <w:rFonts w:hint="eastAsia" w:ascii="宋体" w:hAnsi="宋体" w:eastAsia="宋体" w:cs="宋体"/>
          <w:color w:val="auto"/>
          <w:sz w:val="24"/>
          <w:szCs w:val="24"/>
          <w:highlight w:val="white"/>
        </w:rPr>
        <w:t xml:space="preserve">《实施方案》；</w:t>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2.</w:t>
      </w:r>
      <w:r>
        <w:rPr>
          <w:rStyle w:val="1032"/>
          <w:rFonts w:hint="eastAsia" w:ascii="宋体" w:hAnsi="宋体" w:eastAsia="宋体" w:cs="宋体"/>
          <w:color w:val="auto"/>
          <w:sz w:val="24"/>
          <w:szCs w:val="24"/>
          <w:highlight w:val="white"/>
          <w:lang w:val="en-US" w:eastAsia="zh-CN"/>
        </w:rPr>
        <w:t xml:space="preserve">8</w:t>
      </w:r>
      <w:r>
        <w:rPr>
          <w:rStyle w:val="1032"/>
          <w:rFonts w:hint="eastAsia" w:ascii="宋体" w:hAnsi="宋体" w:eastAsia="宋体" w:cs="宋体"/>
          <w:color w:val="auto"/>
          <w:sz w:val="24"/>
          <w:szCs w:val="24"/>
          <w:highlight w:val="white"/>
        </w:rPr>
        <w:t xml:space="preserve">《拟投入本项目人员配备一览表》；</w:t>
      </w:r>
      <w:r>
        <w:rPr>
          <w:highlight w:val="white"/>
        </w:rPr>
      </w:r>
    </w:p>
    <w:p>
      <w:pPr>
        <w:pStyle w:val="1033"/>
        <w:ind w:left="0" w:firstLine="480"/>
        <w:jc w:val="both"/>
        <w:keepLines w:val="0"/>
        <w:keepNext w:val="0"/>
        <w:pageBreakBefore w:val="0"/>
        <w:spacing w:line="360" w:lineRule="auto"/>
        <w:widowControl w:val="off"/>
        <w:tabs>
          <w:tab w:val="left" w:pos="0" w:leader="none"/>
        </w:tabs>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2.</w:t>
      </w:r>
      <w:r>
        <w:rPr>
          <w:rStyle w:val="1032"/>
          <w:rFonts w:hint="eastAsia" w:ascii="宋体" w:hAnsi="宋体" w:eastAsia="宋体" w:cs="宋体"/>
          <w:color w:val="auto"/>
          <w:sz w:val="24"/>
          <w:szCs w:val="24"/>
          <w:highlight w:val="white"/>
          <w:lang w:val="en-US" w:eastAsia="zh-CN"/>
        </w:rPr>
        <w:t xml:space="preserve">9</w:t>
      </w:r>
      <w:r>
        <w:rPr>
          <w:rStyle w:val="1032"/>
          <w:rFonts w:hint="eastAsia" w:ascii="宋体" w:hAnsi="宋体" w:eastAsia="宋体" w:cs="宋体"/>
          <w:color w:val="auto"/>
          <w:sz w:val="24"/>
          <w:szCs w:val="24"/>
          <w:highlight w:val="white"/>
        </w:rPr>
        <w:t xml:space="preserve">《商务条款偏离表》《服务要求偏离表》；</w:t>
      </w:r>
      <w:r>
        <w:rPr>
          <w:highlight w:val="white"/>
        </w:rPr>
      </w:r>
    </w:p>
    <w:p>
      <w:pPr>
        <w:pStyle w:val="1033"/>
        <w:ind w:left="0" w:firstLine="480"/>
        <w:jc w:val="both"/>
        <w:keepLines w:val="0"/>
        <w:keepNext w:val="0"/>
        <w:pageBreakBefore w:val="0"/>
        <w:spacing w:line="360" w:lineRule="auto"/>
        <w:widowControl w:val="off"/>
        <w:tabs>
          <w:tab w:val="left" w:pos="0" w:leader="none"/>
        </w:tabs>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2.</w:t>
      </w:r>
      <w:r>
        <w:rPr>
          <w:rStyle w:val="1032"/>
          <w:rFonts w:hint="eastAsia" w:ascii="宋体" w:hAnsi="宋体" w:eastAsia="宋体" w:cs="宋体"/>
          <w:color w:val="auto"/>
          <w:sz w:val="24"/>
          <w:szCs w:val="24"/>
          <w:highlight w:val="white"/>
          <w:lang w:val="en-US" w:eastAsia="zh-CN"/>
        </w:rPr>
        <w:t xml:space="preserve">10</w:t>
      </w:r>
      <w:r>
        <w:rPr>
          <w:rStyle w:val="1032"/>
          <w:rFonts w:hint="eastAsia" w:ascii="宋体" w:hAnsi="宋体" w:eastAsia="宋体" w:cs="宋体"/>
          <w:color w:val="auto"/>
          <w:sz w:val="24"/>
          <w:szCs w:val="24"/>
          <w:highlight w:val="white"/>
        </w:rPr>
        <w:t xml:space="preserve">《投标（响应）保证承诺书》《磋商响应单位与其他单位存在控股、管理关系情况表》；</w:t>
      </w:r>
      <w:r>
        <w:rPr>
          <w:highlight w:val="white"/>
        </w:rPr>
      </w:r>
    </w:p>
    <w:p>
      <w:pPr>
        <w:pStyle w:val="1033"/>
        <w:ind w:left="0" w:firstLine="480"/>
        <w:jc w:val="both"/>
        <w:keepLines w:val="0"/>
        <w:keepNext w:val="0"/>
        <w:pageBreakBefore w:val="0"/>
        <w:spacing w:line="360" w:lineRule="auto"/>
        <w:widowControl w:val="off"/>
        <w:tabs>
          <w:tab w:val="left" w:pos="0" w:leader="none"/>
        </w:tabs>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2.1</w:t>
      </w:r>
      <w:r>
        <w:rPr>
          <w:rStyle w:val="1032"/>
          <w:rFonts w:hint="eastAsia" w:ascii="宋体" w:hAnsi="宋体" w:eastAsia="宋体" w:cs="宋体"/>
          <w:color w:val="auto"/>
          <w:sz w:val="24"/>
          <w:szCs w:val="24"/>
          <w:highlight w:val="white"/>
          <w:lang w:val="en-US" w:eastAsia="zh-CN"/>
        </w:rPr>
        <w:t xml:space="preserve">1</w:t>
      </w:r>
      <w:r>
        <w:rPr>
          <w:rStyle w:val="1032"/>
          <w:rFonts w:hint="eastAsia" w:ascii="宋体" w:hAnsi="宋体" w:eastAsia="宋体" w:cs="宋体"/>
          <w:color w:val="auto"/>
          <w:sz w:val="24"/>
          <w:szCs w:val="24"/>
          <w:highlight w:val="white"/>
        </w:rPr>
        <w:t xml:space="preserve">磋商采购文件中要求必须提供的其他相关证明材料；</w:t>
      </w:r>
      <w:r>
        <w:rPr>
          <w:highlight w:val="white"/>
        </w:rPr>
      </w:r>
    </w:p>
    <w:p>
      <w:pPr>
        <w:pStyle w:val="1033"/>
        <w:ind w:left="0" w:firstLine="480"/>
        <w:jc w:val="both"/>
        <w:keepLines w:val="0"/>
        <w:keepNext w:val="0"/>
        <w:pageBreakBefore w:val="0"/>
        <w:spacing w:line="360" w:lineRule="auto"/>
        <w:widowControl w:val="off"/>
        <w:tabs>
          <w:tab w:val="left" w:pos="0" w:leader="none"/>
        </w:tabs>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2.1</w:t>
      </w:r>
      <w:r>
        <w:rPr>
          <w:rStyle w:val="1032"/>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《企业类似项目一览表》</w:t>
      </w:r>
      <w:r>
        <w:rPr>
          <w:rStyle w:val="1032"/>
          <w:rFonts w:hint="eastAsia" w:ascii="宋体" w:hAnsi="宋体" w:eastAsia="宋体" w:cs="宋体"/>
          <w:color w:val="auto"/>
          <w:sz w:val="24"/>
          <w:szCs w:val="24"/>
          <w:highlight w:val="white"/>
        </w:rPr>
        <w:t xml:space="preserve">；</w:t>
      </w:r>
      <w:r>
        <w:rPr>
          <w:highlight w:val="white"/>
        </w:rPr>
      </w:r>
    </w:p>
    <w:p>
      <w:pPr>
        <w:pStyle w:val="1033"/>
        <w:ind w:left="0" w:firstLine="480"/>
        <w:jc w:val="both"/>
        <w:keepLines w:val="0"/>
        <w:keepNext w:val="0"/>
        <w:pageBreakBefore w:val="0"/>
        <w:spacing w:line="360" w:lineRule="auto"/>
        <w:widowControl w:val="off"/>
        <w:tabs>
          <w:tab w:val="left" w:pos="0" w:leader="none"/>
        </w:tabs>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2.1</w:t>
      </w:r>
      <w:r>
        <w:rPr>
          <w:rStyle w:val="1032"/>
          <w:rFonts w:hint="eastAsia" w:ascii="宋体" w:hAnsi="宋体" w:eastAsia="宋体" w:cs="宋体"/>
          <w:color w:val="auto"/>
          <w:sz w:val="24"/>
          <w:szCs w:val="24"/>
          <w:highlight w:val="white"/>
          <w:lang w:val="en-US" w:eastAsia="zh-CN"/>
        </w:rPr>
        <w:t xml:space="preserve">3</w:t>
      </w:r>
      <w:r>
        <w:rPr>
          <w:rStyle w:val="1032"/>
          <w:rFonts w:hint="eastAsia" w:ascii="宋体" w:hAnsi="宋体" w:eastAsia="宋体" w:cs="宋体"/>
          <w:color w:val="auto"/>
          <w:sz w:val="24"/>
          <w:szCs w:val="24"/>
          <w:highlight w:val="white"/>
        </w:rPr>
        <w:t xml:space="preserve">其它有关资格证明文件：</w:t>
      </w:r>
      <w:r>
        <w:rPr>
          <w:highlight w:val="white"/>
        </w:rPr>
      </w:r>
    </w:p>
    <w:p>
      <w:pPr>
        <w:pStyle w:val="1033"/>
        <w:ind w:left="0" w:firstLine="480"/>
        <w:jc w:val="both"/>
        <w:keepLines w:val="0"/>
        <w:keepNext w:val="0"/>
        <w:pageBreakBefore w:val="0"/>
        <w:spacing w:line="360" w:lineRule="auto"/>
        <w:widowControl w:val="off"/>
        <w:tabs>
          <w:tab w:val="left" w:pos="0" w:leader="none"/>
        </w:tabs>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2.1</w:t>
      </w:r>
      <w:r>
        <w:rPr>
          <w:rStyle w:val="1032"/>
          <w:rFonts w:hint="eastAsia" w:ascii="宋体" w:hAnsi="宋体" w:eastAsia="宋体" w:cs="宋体"/>
          <w:color w:val="auto"/>
          <w:sz w:val="24"/>
          <w:szCs w:val="24"/>
          <w:highlight w:val="white"/>
          <w:lang w:val="en-US" w:eastAsia="zh-CN"/>
        </w:rPr>
        <w:t xml:space="preserve">3</w:t>
      </w:r>
      <w:r>
        <w:rPr>
          <w:rStyle w:val="1032"/>
          <w:rFonts w:hint="eastAsia" w:ascii="宋体" w:hAnsi="宋体" w:eastAsia="宋体" w:cs="宋体"/>
          <w:color w:val="auto"/>
          <w:sz w:val="24"/>
          <w:szCs w:val="24"/>
          <w:highlight w:val="white"/>
        </w:rPr>
        <w:t xml:space="preserve">.1其他可以证明磋商供应商资信、资质和货物、服务质量的证书、文件、推荐信等资料</w:t>
      </w:r>
      <w:r>
        <w:rPr>
          <w:rStyle w:val="1032"/>
          <w:rFonts w:hint="eastAsia" w:ascii="宋体" w:hAnsi="宋体" w:eastAsia="宋体" w:cs="宋体"/>
          <w:color w:val="auto"/>
          <w:sz w:val="24"/>
          <w:szCs w:val="24"/>
          <w:highlight w:val="white"/>
          <w:lang w:eastAsia="zh-CN"/>
        </w:rPr>
        <w:t xml:space="preserve">。</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color w:val="auto"/>
          <w:sz w:val="24"/>
          <w:szCs w:val="24"/>
          <w:highlight w:val="white"/>
        </w:rPr>
        <w:outlineLvl w:val="1"/>
      </w:pPr>
      <w:r>
        <w:rPr>
          <w:rFonts w:hint="eastAsia" w:ascii="宋体" w:hAnsi="宋体" w:eastAsia="宋体" w:cs="宋体"/>
          <w:b/>
          <w:color w:val="auto"/>
          <w:sz w:val="24"/>
          <w:szCs w:val="24"/>
          <w:highlight w:val="white"/>
        </w:rPr>
        <w:t xml:space="preserve">注1：以上2.6为资格审查要求提供的材料，是作为对供应商资格审查、质疑身份认定的依据，响应供应商必须提供并加盖电子公章。否则，磋商响应文件将被认定为不符合资格审查要求。</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color w:val="auto"/>
          <w:sz w:val="24"/>
          <w:szCs w:val="24"/>
          <w:highlight w:val="white"/>
        </w:rPr>
        <w:outlineLvl w:val="1"/>
      </w:pPr>
      <w:r>
        <w:rPr>
          <w:rFonts w:hint="eastAsia" w:ascii="宋体" w:hAnsi="宋体" w:eastAsia="宋体" w:cs="宋体"/>
          <w:b/>
          <w:color w:val="auto"/>
          <w:sz w:val="24"/>
          <w:szCs w:val="24"/>
          <w:highlight w:val="white"/>
        </w:rPr>
        <w:t xml:space="preserve">注2：以上1.1-2.5,2.7-2.1</w:t>
      </w:r>
      <w:r>
        <w:rPr>
          <w:rFonts w:hint="eastAsia" w:ascii="宋体" w:hAnsi="宋体" w:eastAsia="宋体" w:cs="宋体"/>
          <w:b/>
          <w:color w:val="auto"/>
          <w:sz w:val="24"/>
          <w:szCs w:val="24"/>
          <w:highlight w:val="white"/>
          <w:lang w:val="en-US" w:eastAsia="zh-CN"/>
        </w:rPr>
        <w:t xml:space="preserve">1</w:t>
      </w:r>
      <w:r>
        <w:rPr>
          <w:rFonts w:hint="eastAsia" w:ascii="宋体" w:hAnsi="宋体" w:eastAsia="宋体" w:cs="宋体"/>
          <w:b/>
          <w:color w:val="auto"/>
          <w:sz w:val="24"/>
          <w:szCs w:val="24"/>
          <w:highlight w:val="white"/>
        </w:rPr>
        <w:t xml:space="preserve">为符合性审查须提供的资料，响应供应商必须提供并加盖电子公章。否则，磋商响应文件将被认定为未实质性响应。</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color w:val="auto"/>
          <w:sz w:val="24"/>
          <w:szCs w:val="24"/>
          <w:highlight w:val="white"/>
        </w:rPr>
        <w:outlineLvl w:val="1"/>
      </w:pPr>
      <w:r>
        <w:rPr>
          <w:rFonts w:hint="eastAsia" w:ascii="宋体" w:hAnsi="宋体" w:eastAsia="宋体" w:cs="宋体"/>
          <w:b/>
          <w:color w:val="auto"/>
          <w:sz w:val="24"/>
          <w:szCs w:val="24"/>
          <w:highlight w:val="white"/>
        </w:rPr>
        <w:t xml:space="preserve">注3：制作电子响应文件时必须与</w:t>
      </w:r>
      <w:r>
        <w:rPr>
          <w:rFonts w:hint="eastAsia" w:ascii="宋体" w:hAnsi="宋体" w:eastAsia="宋体" w:cs="宋体"/>
          <w:b/>
          <w:color w:val="auto"/>
          <w:sz w:val="24"/>
          <w:szCs w:val="24"/>
          <w:highlight w:val="white"/>
          <w:lang w:eastAsia="zh-CN"/>
        </w:rPr>
        <w:t xml:space="preserve">响应文件</w:t>
      </w:r>
      <w:r>
        <w:rPr>
          <w:rFonts w:hint="eastAsia" w:ascii="宋体" w:hAnsi="宋体" w:eastAsia="宋体" w:cs="宋体"/>
          <w:b/>
          <w:color w:val="auto"/>
          <w:sz w:val="24"/>
          <w:szCs w:val="24"/>
          <w:highlight w:val="white"/>
        </w:rPr>
        <w:t xml:space="preserve">制作软件目录一一对应，将相关资料上传至相应模块。</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color w:val="auto"/>
          <w:sz w:val="24"/>
          <w:szCs w:val="24"/>
          <w:highlight w:val="white"/>
        </w:rPr>
        <w:outlineLvl w:val="1"/>
      </w:pPr>
      <w:r>
        <w:rPr>
          <w:rFonts w:hint="eastAsia" w:ascii="宋体" w:hAnsi="宋体" w:eastAsia="宋体" w:cs="宋体"/>
          <w:b/>
          <w:color w:val="auto"/>
          <w:sz w:val="24"/>
          <w:szCs w:val="24"/>
          <w:highlight w:val="white"/>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outlineLvl w:val="1"/>
      </w:pPr>
      <w:r>
        <w:rPr>
          <w:rFonts w:hint="eastAsia" w:ascii="宋体" w:hAnsi="宋体" w:eastAsia="宋体" w:cs="宋体"/>
          <w:b/>
          <w:color w:val="auto"/>
          <w:sz w:val="24"/>
          <w:szCs w:val="24"/>
          <w:highlight w:val="white"/>
        </w:rPr>
        <w:t xml:space="preserve">注5：磋商过程中如有问题采购代理机构工作人员会及时通《投标供应商确认函》留存的手机号与供应商联系。请供应商确保该手机号磋商当日通讯畅通，否则导致的对供应商不利的后果由供应商自行承担。</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outlineLvl w:val="1"/>
      </w:pPr>
      <w:r>
        <w:rPr>
          <w:rFonts w:hint="eastAsia" w:ascii="宋体" w:hAnsi="宋体" w:eastAsia="宋体" w:cs="宋体"/>
          <w:b/>
          <w:color w:val="auto"/>
          <w:sz w:val="24"/>
          <w:szCs w:val="24"/>
          <w:highlight w:val="white"/>
        </w:rPr>
        <w:t xml:space="preserve">二、磋商程序</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1、采购代理机构按本须知规定的时间、地点主持磋商采购活动。</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2、供应商通过“苏采云”系统在线参与磋商活动。供应商应当按照《苏采云系统供应商操作手册》规定在“苏采云”系统规定的时间内对响应文件进行解密。</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3、在磋商响应文件网上递交截止时间止成功解密的磋商供应商少于三家，则本次采购失败。</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4、由磋商小组审查供应商解密的响应文件。</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6、磋商小组要求供应商澄清、说明或者更正响应文件应当以书面形式做出。供应商的澄清、说明或者更正应当由其单位加盖电子公章。</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9、磋商结束后，磋商小组将在“苏采云”系统向所有实质性响应的供应商发布“最后报价要求函”及最后报价格式表，要求所有实质性响应的供应商在规定时间内提交最后报价。</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color w:val="auto"/>
          <w:sz w:val="24"/>
          <w:szCs w:val="24"/>
          <w:highlight w:val="white"/>
        </w:rPr>
        <w:t xml:space="preserve">（此处规定时间的计算以系统中的倒计时间为准，系统中的线上最后报价只有一次机会，提交后无法撤回，请供应商慎重提交）</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已提交响应文件的供应商，在提交最后报价之前，可以根据磋商情况退出磋商，并在“苏采云”系统中提交“退出磋商函”并加盖CA电子公章。</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*进入项目评审流程后，建议各供应商法定代表人或授权委托人始终保持通讯顺畅，时刻关注不见面开标大厅，不离开不见面开标大厅。</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11、经磋商确定最终采购需求和提交最后报价的供应商后，由磋商小组采用综合评分法对提交最后报价的供应商的响应文件和最后报价进行综合评分。</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12、磋商小组根据磋商成交原则确定成交供应商，并将结果通知所有参加磋商的供应商。</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13、如磋商过程中出现本采购文件未尽事宜，由磋商小组根据政府采购有关法律、法规讨论决定。</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outlineLvl w:val="1"/>
      </w:pPr>
      <w:r>
        <w:rPr>
          <w:highlight w:val="white"/>
        </w:rPr>
      </w:r>
      <w:bookmarkStart w:id="29" w:name="_Toc7726"/>
      <w:r>
        <w:rPr>
          <w:rFonts w:hint="eastAsia" w:ascii="宋体" w:hAnsi="宋体" w:eastAsia="宋体" w:cs="宋体"/>
          <w:b/>
          <w:bCs/>
          <w:color w:val="auto"/>
          <w:sz w:val="24"/>
          <w:szCs w:val="24"/>
          <w:highlight w:val="white"/>
        </w:rPr>
        <w:t xml:space="preserve">三、质疑</w:t>
      </w:r>
      <w:bookmarkEnd w:id="29"/>
      <w:r>
        <w:rPr>
          <w:highlight w:val="white"/>
        </w:rPr>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2、本次采购文件要求供应商在法定质疑期内一次性提出针对同一采购程序环节的质疑。</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3、供应商提出质疑应当提交质疑函和必要的证明材料，质疑函应当包括下列内容：</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（1）供应商的姓名或者名称（以提供的营业执照副本复印件为准）、地址、邮编、联系人及联系电话；</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（2）质疑项目的名称、编号；</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（3）具体、明确的质疑事项和与质疑事项相关的请求；</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（4）事实依据；</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（5）必要的法律依据；</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（6）提出质疑的日期。</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供应商提交的质疑函必须按照《政府采购供应商质疑函范本》要求的格式和内容进行填写，质疑函范本下载网址详见链接：https://czju.suzhou.gov.cn/zfcg/html/content/20180305093615738.shtml。</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5、质疑递交地点：苏州合亿盛工程咨询有限公司</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质疑递交联系人、联系电话及地址详见采购公告。</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b/>
          <w:color w:val="auto"/>
          <w:sz w:val="24"/>
          <w:szCs w:val="24"/>
          <w:highlight w:val="white"/>
        </w:rPr>
        <w:outlineLvl w:val="1"/>
      </w:pPr>
      <w:r>
        <w:rPr>
          <w:highlight w:val="white"/>
        </w:rPr>
      </w:r>
      <w:bookmarkStart w:id="30" w:name="_Toc2426"/>
      <w:r>
        <w:rPr>
          <w:rFonts w:hint="eastAsia" w:ascii="宋体" w:hAnsi="宋体" w:eastAsia="宋体" w:cs="宋体"/>
          <w:b/>
          <w:color w:val="auto"/>
          <w:sz w:val="24"/>
          <w:szCs w:val="24"/>
          <w:highlight w:val="white"/>
        </w:rPr>
        <w:t xml:space="preserve">四、项目的终止</w:t>
      </w:r>
      <w:bookmarkEnd w:id="30"/>
      <w:r>
        <w:rPr>
          <w:highlight w:val="white"/>
        </w:rPr>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出现下列情形之一的，将终止竞争性磋商采购活动：</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1、因情况变化，不再符合规定的竞争性磋商采购方式适用情形的；</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2、出现影响采购公正的违法、违规行为的；</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3、在采购过程中符合要求的供应商或者报价未超过采购预算及最高限价的供应商不足3家的；</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4、在采购活动中因重大变故，采购任务取消的。</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b/>
          <w:color w:val="auto"/>
          <w:sz w:val="24"/>
          <w:szCs w:val="24"/>
          <w:highlight w:val="white"/>
        </w:rPr>
      </w:pPr>
      <w:r>
        <w:rPr>
          <w:highlight w:val="white"/>
        </w:rPr>
      </w:r>
      <w:bookmarkStart w:id="31" w:name="_Toc31063"/>
      <w:r>
        <w:rPr>
          <w:rFonts w:hint="eastAsia" w:ascii="宋体" w:hAnsi="宋体" w:eastAsia="宋体" w:cs="宋体"/>
          <w:b/>
          <w:color w:val="auto"/>
          <w:sz w:val="24"/>
          <w:szCs w:val="24"/>
          <w:highlight w:val="white"/>
        </w:rPr>
        <w:t xml:space="preserve">五、服务费及履约保证金</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1、成交单位须按前附表的规定计算并支付服务费，该费用应在领取成交通知书时付清。成交单位如果未按规定缴纳服务费，磋商采购单位将并保留诉讼的权利。</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highlight w:val="white"/>
        </w:rPr>
      </w:r>
    </w:p>
    <w:tbl>
      <w:tblPr>
        <w:tblStyle w:val="820"/>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vAlign w:val="top"/>
            <w:textDirection w:val="lrTb"/>
            <w:noWrap w:val="false"/>
          </w:tcPr>
          <w:p>
            <w:pPr>
              <w:ind w:left="0"/>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开票信息</w:t>
            </w:r>
            <w:r>
              <w:rPr>
                <w:highlight w:val="white"/>
              </w:rP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报名单位公司名称</w:t>
            </w:r>
            <w:r>
              <w:rPr>
                <w:highlight w:val="white"/>
              </w:rPr>
            </w:r>
          </w:p>
        </w:tc>
        <w:tc>
          <w:tcPr>
            <w:tcW w:w="3990"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地址</w:t>
            </w:r>
            <w:r>
              <w:rPr>
                <w:highlight w:val="white"/>
              </w:rPr>
            </w:r>
          </w:p>
        </w:tc>
        <w:tc>
          <w:tcPr>
            <w:tcW w:w="3990"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电话</w:t>
            </w:r>
            <w:r>
              <w:rPr>
                <w:highlight w:val="white"/>
              </w:rPr>
            </w:r>
          </w:p>
        </w:tc>
        <w:tc>
          <w:tcPr>
            <w:tcW w:w="3990"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税号</w:t>
            </w:r>
            <w:r>
              <w:rPr>
                <w:highlight w:val="white"/>
              </w:rPr>
            </w:r>
          </w:p>
        </w:tc>
        <w:tc>
          <w:tcPr>
            <w:tcW w:w="3990"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开户行</w:t>
            </w:r>
            <w:r>
              <w:rPr>
                <w:highlight w:val="white"/>
              </w:rPr>
            </w:r>
          </w:p>
        </w:tc>
        <w:tc>
          <w:tcPr>
            <w:tcW w:w="3990"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银行账号</w:t>
            </w:r>
            <w:r>
              <w:rPr>
                <w:highlight w:val="white"/>
              </w:rPr>
            </w:r>
          </w:p>
        </w:tc>
        <w:tc>
          <w:tcPr>
            <w:tcW w:w="3990" w:type="dxa"/>
            <w:vAlign w:val="top"/>
            <w:textDirection w:val="lrTb"/>
            <w:noWrap w:val="false"/>
          </w:tcPr>
          <w:p>
            <w:pPr>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bl>
    <w:p>
      <w:pPr>
        <w:pStyle w:val="1004"/>
        <w:ind w:left="0" w:firstLine="482"/>
        <w:keepLines w:val="0"/>
        <w:keepNext w:val="0"/>
        <w:pageBreakBefore w:val="0"/>
        <w:spacing w:line="360" w:lineRule="auto"/>
        <w:widowControl w:val="off"/>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3、请成交单位将公司开票信息以word文档格式发送至邮箱：szhys505@163.com。成交单位凭已缴纳代理服务费的银行回单至代理机构领取成交通知书、合同。</w:t>
      </w:r>
      <w:r>
        <w:rPr>
          <w:highlight w:val="white"/>
        </w:rPr>
      </w:r>
    </w:p>
    <w:p>
      <w:pPr>
        <w:pStyle w:val="1004"/>
        <w:ind w:left="0" w:firstLine="480"/>
        <w:keepLines w:val="0"/>
        <w:keepNext w:val="0"/>
        <w:pageBreakBefore w:val="0"/>
        <w:spacing w:line="360" w:lineRule="auto"/>
        <w:widowControl w:val="off"/>
        <w:rPr>
          <w:rFonts w:hint="eastAsia" w:ascii="宋体" w:hAnsi="宋体" w:cs="宋体"/>
          <w:b/>
          <w:color w:val="auto"/>
          <w:sz w:val="24"/>
          <w:szCs w:val="24"/>
          <w:highlight w:val="white"/>
        </w:rPr>
        <w:outlineLvl w:val="1"/>
      </w:pPr>
      <w:r>
        <w:rPr>
          <w:rFonts w:hint="eastAsia" w:ascii="宋体" w:hAnsi="宋体" w:cs="宋体"/>
          <w:bCs/>
          <w:color w:val="auto"/>
          <w:sz w:val="24"/>
          <w:szCs w:val="24"/>
          <w:highlight w:val="white"/>
        </w:rPr>
        <w:t xml:space="preserve">4、</w:t>
      </w:r>
      <w:r>
        <w:rPr>
          <w:rFonts w:hint="eastAsia" w:ascii="宋体" w:hAnsi="宋体" w:cs="宋体"/>
          <w:color w:val="auto"/>
          <w:sz w:val="24"/>
          <w:szCs w:val="24"/>
          <w:highlight w:val="white"/>
        </w:rPr>
        <w:t xml:space="preserve">履约保证金：本项目无需提交履约保证金。</w:t>
      </w:r>
      <w:bookmarkEnd w:id="31"/>
      <w:r>
        <w:rPr>
          <w:highlight w:val="white"/>
        </w:rPr>
      </w:r>
      <w:r>
        <w:rPr>
          <w:highlight w:val="white"/>
        </w:rPr>
      </w:r>
    </w:p>
    <w:p>
      <w:pPr>
        <w:ind w:left="0" w:firstLine="482"/>
        <w:keepLines w:val="0"/>
        <w:keepNext w:val="0"/>
        <w:pageBreakBefore w:val="0"/>
        <w:spacing w:line="360" w:lineRule="auto"/>
        <w:widowControl w:val="off"/>
        <w:tabs>
          <w:tab w:val="left" w:pos="420" w:leader="none"/>
        </w:tabs>
        <w:rPr>
          <w:rFonts w:hint="eastAsia" w:ascii="宋体" w:hAnsi="宋体" w:cs="宋体"/>
          <w:b/>
          <w:bCs/>
          <w:color w:val="auto"/>
          <w:sz w:val="24"/>
          <w:szCs w:val="24"/>
          <w:highlight w:val="white"/>
        </w:rPr>
        <w:outlineLvl w:val="1"/>
      </w:pPr>
      <w:r>
        <w:rPr>
          <w:highlight w:val="white"/>
        </w:rPr>
      </w:r>
      <w:bookmarkStart w:id="32" w:name="_Toc31110"/>
      <w:r>
        <w:rPr>
          <w:rFonts w:hint="eastAsia" w:ascii="宋体" w:hAnsi="宋体" w:cs="宋体"/>
          <w:b/>
          <w:bCs/>
          <w:color w:val="auto"/>
          <w:sz w:val="24"/>
          <w:szCs w:val="24"/>
          <w:highlight w:val="white"/>
        </w:rPr>
        <w:t xml:space="preserve">六、政府采购政策</w:t>
      </w:r>
      <w:bookmarkEnd w:id="32"/>
      <w:r>
        <w:rPr>
          <w:highlight w:val="white"/>
        </w:rPr>
      </w:r>
      <w:r>
        <w:rPr>
          <w:highlight w:val="white"/>
        </w:rPr>
      </w:r>
    </w:p>
    <w:p>
      <w:pPr>
        <w:ind w:left="0" w:firstLine="480"/>
        <w:keepLines w:val="0"/>
        <w:keepNext w:val="0"/>
        <w:pageBreakBefore w:val="0"/>
        <w:spacing w:line="360" w:lineRule="auto"/>
        <w:widowControl w:val="off"/>
        <w:tabs>
          <w:tab w:val="left" w:pos="567"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（一）节能产品、环境标志产品</w:t>
      </w:r>
      <w:r>
        <w:rPr>
          <w:highlight w:val="white"/>
        </w:rPr>
      </w:r>
    </w:p>
    <w:p>
      <w:pPr>
        <w:ind w:left="0" w:firstLine="480"/>
        <w:keepLines w:val="0"/>
        <w:keepNext w:val="0"/>
        <w:pageBreakBefore w:val="0"/>
        <w:spacing w:line="360" w:lineRule="auto"/>
        <w:widowControl w:val="off"/>
        <w:tabs>
          <w:tab w:val="left" w:pos="567"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highlight w:val="white"/>
        </w:rPr>
      </w:r>
    </w:p>
    <w:p>
      <w:pPr>
        <w:ind w:left="0" w:firstLine="480"/>
        <w:keepLines w:val="0"/>
        <w:keepNext w:val="0"/>
        <w:pageBreakBefore w:val="0"/>
        <w:spacing w:line="360" w:lineRule="auto"/>
        <w:widowControl w:val="off"/>
        <w:tabs>
          <w:tab w:val="left" w:pos="567"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highlight w:val="white"/>
        </w:rPr>
      </w:r>
    </w:p>
    <w:p>
      <w:pPr>
        <w:ind w:left="0" w:firstLine="482"/>
        <w:keepLines w:val="0"/>
        <w:keepNext w:val="0"/>
        <w:pageBreakBefore w:val="0"/>
        <w:spacing w:line="360" w:lineRule="auto"/>
        <w:widowControl w:val="off"/>
        <w:tabs>
          <w:tab w:val="left" w:pos="567" w:leader="none"/>
        </w:tabs>
        <w:rPr>
          <w:rFonts w:hint="eastAsia" w:ascii="宋体" w:hAnsi="宋体" w:cs="宋体"/>
          <w:b/>
          <w:bCs/>
          <w:color w:val="auto"/>
          <w:sz w:val="24"/>
          <w:szCs w:val="24"/>
          <w:highlight w:val="white"/>
        </w:rPr>
        <w:outlineLvl w:val="1"/>
      </w:pPr>
      <w:r>
        <w:rPr>
          <w:highlight w:val="white"/>
        </w:rPr>
      </w:r>
      <w:bookmarkStart w:id="33" w:name="_Toc5270"/>
      <w:r>
        <w:rPr>
          <w:rFonts w:hint="eastAsia" w:ascii="宋体" w:hAnsi="宋体" w:cs="宋体"/>
          <w:b/>
          <w:bCs/>
          <w:color w:val="auto"/>
          <w:sz w:val="24"/>
          <w:szCs w:val="24"/>
          <w:highlight w:val="white"/>
        </w:rPr>
        <w:t xml:space="preserve">七、信用记录</w:t>
      </w:r>
      <w:bookmarkEnd w:id="33"/>
      <w:r>
        <w:rPr>
          <w:highlight w:val="white"/>
        </w:rPr>
      </w:r>
      <w:r>
        <w:rPr>
          <w:highlight w:val="white"/>
        </w:rPr>
      </w:r>
    </w:p>
    <w:p>
      <w:pPr>
        <w:ind w:left="0" w:firstLine="480"/>
        <w:keepLines w:val="0"/>
        <w:keepNext w:val="0"/>
        <w:pageBreakBefore w:val="0"/>
        <w:spacing w:line="360" w:lineRule="auto"/>
        <w:widowControl w:val="off"/>
        <w:tabs>
          <w:tab w:val="left" w:pos="567" w:leader="none"/>
        </w:tabs>
        <w:rPr>
          <w:color w:val="auto"/>
          <w:sz w:val="24"/>
          <w:szCs w:val="24"/>
          <w:highlight w:val="white"/>
        </w:rPr>
      </w:pPr>
      <w:r>
        <w:rPr>
          <w:rFonts w:hint="eastAsia" w:ascii="宋体" w:hAnsi="宋体" w:cs="宋体"/>
          <w:color w:val="auto"/>
          <w:sz w:val="24"/>
          <w:szCs w:val="24"/>
          <w:highlight w:val="white"/>
        </w:rPr>
        <w:t xml:space="preserve">1、采购代理机构会在接收响应文件截止时间后，登录信用中国网站（www.creditchina.gov.cn/）和中国政府采购网（www.ccgp.gov.cn/）查询供应商的信用记录，并将查询结果递交评审小组。</w:t>
      </w:r>
      <w:r>
        <w:rPr>
          <w:highlight w:val="white"/>
        </w:rPr>
      </w:r>
    </w:p>
    <w:p>
      <w:pPr>
        <w:ind w:left="0" w:firstLine="480"/>
        <w:keepLines w:val="0"/>
        <w:keepNext w:val="0"/>
        <w:pageBreakBefore w:val="0"/>
        <w:spacing w:line="360" w:lineRule="auto"/>
        <w:widowControl w:val="off"/>
        <w:tabs>
          <w:tab w:val="left" w:pos="567" w:leader="none"/>
        </w:tabs>
        <w:rPr>
          <w:color w:val="auto"/>
          <w:sz w:val="24"/>
          <w:szCs w:val="24"/>
          <w:highlight w:val="white"/>
        </w:rPr>
      </w:pPr>
      <w:r>
        <w:rPr>
          <w:rFonts w:hint="eastAsia" w:ascii="宋体" w:hAnsi="宋体" w:cs="宋体"/>
          <w:color w:val="auto"/>
          <w:sz w:val="24"/>
          <w:szCs w:val="24"/>
          <w:highlight w:val="whit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white"/>
        </w:rPr>
      </w:r>
    </w:p>
    <w:p>
      <w:pPr>
        <w:ind w:left="0" w:firstLine="480"/>
        <w:keepLines w:val="0"/>
        <w:keepNext w:val="0"/>
        <w:pageBreakBefore w:val="0"/>
        <w:spacing w:line="360" w:lineRule="auto"/>
        <w:widowControl w:val="off"/>
        <w:tabs>
          <w:tab w:val="left" w:pos="567" w:leader="none"/>
        </w:tabs>
        <w:rPr>
          <w:color w:val="auto"/>
          <w:sz w:val="24"/>
          <w:szCs w:val="24"/>
          <w:highlight w:val="white"/>
        </w:rPr>
      </w:pPr>
      <w:r>
        <w:rPr>
          <w:rFonts w:hint="eastAsia" w:ascii="宋体" w:hAnsi="宋体" w:cs="宋体"/>
          <w:color w:val="auto"/>
          <w:sz w:val="24"/>
          <w:szCs w:val="24"/>
          <w:highlight w:val="whit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white"/>
        </w:rPr>
      </w:r>
    </w:p>
    <w:p>
      <w:pPr>
        <w:ind w:left="0" w:firstLine="480"/>
        <w:keepLines w:val="0"/>
        <w:keepNext w:val="0"/>
        <w:pageBreakBefore w:val="0"/>
        <w:spacing w:line="360" w:lineRule="auto"/>
        <w:widowControl w:val="off"/>
        <w:tabs>
          <w:tab w:val="left" w:pos="567" w:leader="none"/>
        </w:tabs>
        <w:rPr>
          <w:color w:val="auto"/>
          <w:sz w:val="24"/>
          <w:szCs w:val="24"/>
          <w:highlight w:val="white"/>
        </w:rPr>
      </w:pPr>
      <w:r>
        <w:rPr>
          <w:rFonts w:hint="eastAsia" w:ascii="宋体" w:hAnsi="宋体" w:cs="宋体"/>
          <w:color w:val="auto"/>
          <w:sz w:val="24"/>
          <w:szCs w:val="24"/>
          <w:highlight w:val="white"/>
        </w:rPr>
        <w:t xml:space="preserve">3、供应商若在经营活动中受到罚款的，请携带相关地方、部门对较大数额认定标准的证明材料，与响应文件一并提交。若无法提供，则可能承担响应无效等相应不利后果。</w:t>
      </w:r>
      <w:r>
        <w:rPr>
          <w:highlight w:val="white"/>
        </w:rPr>
      </w:r>
    </w:p>
    <w:p>
      <w:pPr>
        <w:ind w:left="0" w:firstLine="480"/>
        <w:keepLines w:val="0"/>
        <w:keepNext w:val="0"/>
        <w:pageBreakBefore w:val="0"/>
        <w:spacing w:line="360" w:lineRule="auto"/>
        <w:widowControl w:val="off"/>
        <w:tabs>
          <w:tab w:val="left" w:pos="567"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4、对存在失信信息的供应商，由失信供应商进行确认。同时，采购代理机构工作人员应根据评审小组确认的失信信息，登陆到相关来源网站页面进行复核并打印，作为证据留存。</w:t>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br w:type="page" w:clear="all"/>
      </w:r>
      <w:bookmarkStart w:id="34" w:name="_Toc14106"/>
      <w:r>
        <w:rPr>
          <w:highlight w:val="white"/>
        </w:rPr>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834"/>
        <w:jc w:val="center"/>
        <w:spacing w:before="0" w:after="0"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834"/>
        <w:jc w:val="center"/>
        <w:spacing w:before="0" w:after="0" w:line="360" w:lineRule="auto"/>
        <w:rPr>
          <w:rFonts w:hint="eastAsia" w:ascii="宋体" w:hAnsi="宋体" w:cs="宋体"/>
          <w:b/>
          <w:color w:val="auto"/>
          <w:sz w:val="44"/>
          <w:szCs w:val="44"/>
          <w:highlight w:val="white"/>
        </w:rPr>
      </w:pPr>
      <w:r>
        <w:rPr>
          <w:highlight w:val="white"/>
        </w:rPr>
      </w:r>
      <w:bookmarkStart w:id="35" w:name="_Toc4028"/>
      <w:r>
        <w:rPr>
          <w:highlight w:val="white"/>
        </w:rPr>
      </w:r>
      <w:bookmarkStart w:id="36" w:name="_Toc332"/>
      <w:r>
        <w:rPr>
          <w:rFonts w:hint="eastAsia" w:ascii="宋体" w:hAnsi="宋体" w:cs="宋体"/>
          <w:b/>
          <w:color w:val="auto"/>
          <w:sz w:val="44"/>
          <w:szCs w:val="44"/>
          <w:highlight w:val="white"/>
        </w:rPr>
        <w:t xml:space="preserve">第三章 </w:t>
      </w:r>
      <w:bookmarkStart w:id="37" w:name="投标文件格式"/>
      <w:r>
        <w:rPr>
          <w:highlight w:val="white"/>
        </w:rPr>
      </w:r>
      <w:bookmarkEnd w:id="37"/>
      <w:r>
        <w:rPr>
          <w:rFonts w:hint="eastAsia" w:ascii="宋体" w:hAnsi="宋体" w:cs="宋体"/>
          <w:b/>
          <w:color w:val="auto"/>
          <w:sz w:val="44"/>
          <w:szCs w:val="44"/>
          <w:highlight w:val="white"/>
        </w:rPr>
        <w:t xml:space="preserve">响应文件格式</w:t>
      </w:r>
      <w:bookmarkEnd w:id="24"/>
      <w:r>
        <w:rPr>
          <w:highlight w:val="white"/>
        </w:rPr>
      </w:r>
      <w:bookmarkEnd w:id="25"/>
      <w:r>
        <w:rPr>
          <w:highlight w:val="white"/>
        </w:rPr>
      </w:r>
      <w:bookmarkEnd w:id="26"/>
      <w:r>
        <w:rPr>
          <w:highlight w:val="white"/>
        </w:rPr>
      </w:r>
      <w:bookmarkEnd w:id="27"/>
      <w:r>
        <w:rPr>
          <w:highlight w:val="white"/>
        </w:rPr>
      </w:r>
      <w:bookmarkEnd w:id="34"/>
      <w:r>
        <w:rPr>
          <w:highlight w:val="white"/>
        </w:rPr>
      </w:r>
      <w:bookmarkEnd w:id="35"/>
      <w:r>
        <w:rPr>
          <w:highlight w:val="white"/>
        </w:rPr>
      </w:r>
      <w:bookmarkEnd w:id="36"/>
      <w:r>
        <w:rPr>
          <w:highlight w:val="white"/>
        </w:rPr>
      </w:r>
      <w:r>
        <w:rPr>
          <w:highlight w:val="white"/>
        </w:rPr>
      </w:r>
    </w:p>
    <w:p>
      <w:pPr>
        <w:ind w:left="0"/>
        <w:jc w:val="left"/>
        <w:spacing w:line="440" w:lineRule="exact"/>
        <w:rPr>
          <w:rFonts w:hint="eastAsia" w:ascii="宋体" w:hAnsi="宋体" w:cs="宋体"/>
          <w:b/>
          <w:color w:val="auto"/>
          <w:sz w:val="21"/>
          <w:szCs w:val="21"/>
          <w:highlight w:val="white"/>
        </w:rPr>
      </w:pPr>
      <w:r>
        <w:rPr>
          <w:rFonts w:hint="eastAsia" w:ascii="宋体" w:hAnsi="宋体" w:cs="宋体"/>
          <w:b/>
          <w:color w:val="auto"/>
          <w:sz w:val="21"/>
          <w:szCs w:val="21"/>
          <w:highlight w:val="white"/>
        </w:rPr>
      </w:r>
      <w:r>
        <w:rPr>
          <w:highlight w:val="white"/>
        </w:rPr>
      </w:r>
    </w:p>
    <w:p>
      <w:pPr>
        <w:ind w:left="0" w:firstLine="482"/>
        <w:jc w:val="left"/>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说明：</w:t>
      </w:r>
      <w:r>
        <w:rPr>
          <w:highlight w:val="white"/>
        </w:rPr>
      </w:r>
    </w:p>
    <w:p>
      <w:pPr>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对本章所有的格式，供应商可根据自身情况进行补充和修改，但补充和修改不得造成与本格式内容有实质性的违背。</w:t>
      </w:r>
      <w:r>
        <w:rPr>
          <w:highlight w:val="white"/>
        </w:rPr>
      </w:r>
    </w:p>
    <w:p>
      <w:pPr>
        <w:ind w:left="0"/>
        <w:jc w:val="left"/>
        <w:spacing w:line="360" w:lineRule="auto"/>
        <w:rPr>
          <w:rFonts w:hint="eastAsia" w:ascii="宋体" w:hAnsi="宋体" w:cs="宋体"/>
          <w:b/>
          <w:color w:val="auto"/>
          <w:sz w:val="24"/>
          <w:szCs w:val="24"/>
          <w:highlight w:val="white"/>
        </w:rPr>
        <w:outlineLvl w:val="1"/>
      </w:pPr>
      <w:r>
        <w:rPr>
          <w:rFonts w:hint="eastAsia" w:ascii="宋体" w:hAnsi="宋体" w:cs="宋体"/>
          <w:b/>
          <w:color w:val="auto"/>
          <w:sz w:val="44"/>
          <w:szCs w:val="44"/>
          <w:highlight w:val="white"/>
        </w:rPr>
        <w:br w:type="page" w:clear="all"/>
      </w:r>
      <w:bookmarkStart w:id="38" w:name="_Toc17036"/>
      <w:r>
        <w:rPr>
          <w:highlight w:val="white"/>
        </w:rPr>
      </w:r>
      <w:bookmarkStart w:id="39" w:name="_Toc3821"/>
      <w:r>
        <w:rPr>
          <w:highlight w:val="white"/>
        </w:rPr>
      </w:r>
      <w:bookmarkStart w:id="40" w:name="_Toc7097"/>
      <w:r>
        <w:rPr>
          <w:rFonts w:hint="eastAsia" w:ascii="宋体" w:hAnsi="宋体" w:cs="宋体"/>
          <w:b/>
          <w:color w:val="auto"/>
          <w:sz w:val="24"/>
          <w:szCs w:val="24"/>
          <w:highlight w:val="white"/>
        </w:rPr>
        <w:t xml:space="preserve">附件1</w:t>
      </w:r>
      <w:bookmarkEnd w:id="38"/>
      <w:r>
        <w:rPr>
          <w:highlight w:val="white"/>
        </w:rPr>
      </w:r>
      <w:bookmarkEnd w:id="39"/>
      <w:r>
        <w:rPr>
          <w:rFonts w:hint="eastAsia" w:ascii="宋体" w:hAnsi="宋体" w:cs="宋体"/>
          <w:b/>
          <w:color w:val="auto"/>
          <w:sz w:val="24"/>
          <w:szCs w:val="24"/>
          <w:highlight w:val="white"/>
        </w:rPr>
        <w:t xml:space="preserve">、磋商响应函</w:t>
      </w:r>
      <w:bookmarkEnd w:id="40"/>
      <w:r>
        <w:rPr>
          <w:highlight w:val="white"/>
        </w:rPr>
      </w:r>
      <w:r>
        <w:rPr>
          <w:highlight w:val="white"/>
        </w:rPr>
      </w:r>
    </w:p>
    <w:p>
      <w:pPr>
        <w:ind w:left="0"/>
        <w:jc w:val="center"/>
        <w:spacing w:line="440" w:lineRule="exact"/>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磋商响应函</w:t>
      </w:r>
      <w:r>
        <w:rPr>
          <w:highlight w:val="white"/>
        </w:rPr>
      </w:r>
    </w:p>
    <w:p>
      <w:pPr>
        <w:ind w:left="0"/>
        <w:jc w:val="left"/>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致：</w:t>
      </w:r>
      <w:r>
        <w:rPr>
          <w:rFonts w:hint="eastAsia" w:ascii="宋体" w:hAnsi="宋体" w:cs="宋体"/>
          <w:color w:val="auto"/>
          <w:sz w:val="24"/>
          <w:szCs w:val="24"/>
          <w:highlight w:val="white"/>
          <w:u w:val="single"/>
          <w:lang w:val="zh-CN"/>
        </w:rPr>
        <w:t xml:space="preserve">苏州合亿盛工程咨询有限公司</w:t>
      </w:r>
      <w:r>
        <w:rPr>
          <w:highlight w:val="white"/>
        </w:rPr>
      </w:r>
    </w:p>
    <w:p>
      <w:pPr>
        <w:ind w:left="0" w:firstLine="48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我方收到贵公司 </w:t>
      </w:r>
      <w:r>
        <w:rPr>
          <w:rFonts w:hint="eastAsia" w:ascii="宋体" w:hAnsi="宋体" w:cs="宋体"/>
          <w:color w:val="auto"/>
          <w:sz w:val="24"/>
          <w:szCs w:val="24"/>
          <w:highlight w:val="white"/>
          <w:u w:val="single"/>
          <w:lang w:val="zh-CN"/>
        </w:rPr>
        <w:t xml:space="preserve">          </w:t>
      </w:r>
      <w:r>
        <w:rPr>
          <w:rFonts w:hint="eastAsia" w:ascii="宋体" w:hAnsi="宋体" w:cs="宋体"/>
          <w:color w:val="auto"/>
          <w:sz w:val="24"/>
          <w:szCs w:val="24"/>
          <w:highlight w:val="white"/>
          <w:lang w:val="zh-CN"/>
        </w:rPr>
        <w:t xml:space="preserve">号磋商采购文件，经仔细阅读和研究，我方决定参加磋商。并向贵公司承诺：</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1、我们愿意按照采购文件的一切要求，提供完成该项目的全部内容，我们的</w:t>
      </w:r>
      <w:r>
        <w:rPr>
          <w:rStyle w:val="1032"/>
          <w:rFonts w:hint="eastAsia" w:hAnsi="宋体" w:cs="宋体"/>
          <w:color w:val="auto"/>
          <w:sz w:val="24"/>
          <w:szCs w:val="24"/>
          <w:highlight w:val="white"/>
          <w:lang w:eastAsia="zh-CN"/>
        </w:rPr>
        <w:t xml:space="preserve">报价包含完成该项目所需的全部人工费、辅助费用、设备材料、全部税费、保险费、代理服务费、企业利润、及政策性文件规定及合同包含的所有风险、责任等各项应有费用</w:t>
      </w:r>
      <w:r>
        <w:rPr>
          <w:rStyle w:val="1032"/>
          <w:rFonts w:hint="eastAsia" w:hAnsi="宋体" w:cs="宋体"/>
          <w:color w:val="auto"/>
          <w:sz w:val="24"/>
          <w:szCs w:val="24"/>
          <w:highlight w:val="white"/>
        </w:rPr>
        <w:t xml:space="preserve">。</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2、如果我们的磋商响应文件被接受，我们将严格履行采购文件中规定的每一项要求，按期、按质、按量履行合同的义务。</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3、我们已详细审查全部采购文件，包括更正公告(如有)。我们完全理解并同意放弃对这方面有不明及误解的权力。</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4、我们同意按采购文件中的规定，本磋商响应文件的有效期限为响应文件提交截止之日起90天。</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5、我们愿意提供磋商采购单位在采购文件中要求的所有资料。</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6、我们愿意遵守采购文件中所列的收费标准。</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7、我们承诺该磋商响应文件在磋商开始后的全过程中保持有效，不作任何更改和变动。</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8、我们承诺我公司符合采购文件中“合格磋商供应商的一般条件和特殊条件”的要求，若与真实情况不符，本公司愿意承担由此而产生的一切后果。</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9、我们声明：我们在参加本次政府采购活动前3年内在经营活动中没有重大违法记录。</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10、如果我们成交，我们愿意按采购文件的规定支付代理服务费。</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11、综合说明：</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（1）伴随服务及配合措施；（2）要求甲方提供的配合；（3）对采购文件有不同意见的偏离说明；（4）其它说明。</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所有有关磋商响应文件的函电，请按下列地址联系：</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单位：                             联系人：</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地址：                             邮政编码：</w:t>
      </w:r>
      <w:r>
        <w:rPr>
          <w:highlight w:val="white"/>
        </w:rPr>
      </w:r>
    </w:p>
    <w:p>
      <w:pPr>
        <w:pStyle w:val="1041"/>
        <w:ind w:left="0" w:firstLine="48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联系电话：                         传真：</w:t>
      </w:r>
      <w:r>
        <w:rPr>
          <w:highlight w:val="white"/>
        </w:rPr>
      </w:r>
    </w:p>
    <w:p>
      <w:pPr>
        <w:ind w:left="0" w:firstLine="480"/>
        <w:widowControl w:val="off"/>
        <w:rPr>
          <w:rFonts w:hint="eastAsia" w:ascii="宋体" w:hAnsi="宋体" w:cs="宋体"/>
          <w:color w:val="auto"/>
          <w:sz w:val="24"/>
          <w:szCs w:val="24"/>
          <w:highlight w:val="white"/>
          <w:u w:val="single"/>
        </w:rPr>
      </w:pPr>
      <w:r>
        <w:rPr>
          <w:rStyle w:val="1032"/>
          <w:rFonts w:hint="eastAsia" w:ascii="宋体" w:hAnsi="宋体" w:cs="宋体"/>
          <w:color w:val="auto"/>
          <w:sz w:val="24"/>
          <w:szCs w:val="24"/>
          <w:highlight w:val="white"/>
        </w:rPr>
        <w:t xml:space="preserve">电子邮箱：</w:t>
      </w:r>
      <w:r>
        <w:rPr>
          <w:highlight w:val="white"/>
        </w:rPr>
      </w:r>
    </w:p>
    <w:p>
      <w:pPr>
        <w:ind w:left="0" w:right="-200"/>
        <w:jc w:val="right"/>
        <w:spacing w:line="360" w:lineRule="auto"/>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                                                    </w:t>
      </w:r>
      <w:r>
        <w:rPr>
          <w:highlight w:val="white"/>
        </w:rPr>
      </w:r>
    </w:p>
    <w:p>
      <w:pPr>
        <w:ind w:left="0" w:right="-200"/>
        <w:jc w:val="left"/>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供应商名称：（公章）</w:t>
      </w:r>
      <w:r>
        <w:rPr>
          <w:highlight w:val="white"/>
        </w:rPr>
      </w:r>
    </w:p>
    <w:p>
      <w:pPr>
        <w:ind w:left="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法定代表人或</w:t>
      </w:r>
      <w:r>
        <w:rPr>
          <w:rFonts w:hint="eastAsia" w:ascii="宋体" w:hAnsi="宋体" w:cs="宋体"/>
          <w:color w:val="auto"/>
          <w:sz w:val="24"/>
          <w:szCs w:val="24"/>
          <w:highlight w:val="white"/>
        </w:rPr>
        <w:t xml:space="preserve">被授权</w:t>
      </w:r>
      <w:r>
        <w:rPr>
          <w:rFonts w:hint="eastAsia" w:ascii="宋体" w:hAnsi="宋体" w:cs="宋体"/>
          <w:color w:val="auto"/>
          <w:sz w:val="24"/>
          <w:szCs w:val="24"/>
          <w:highlight w:val="white"/>
          <w:lang w:val="zh-CN"/>
        </w:rPr>
        <w:t xml:space="preserve">人：（签字或盖章）</w:t>
      </w:r>
      <w:r>
        <w:rPr>
          <w:highlight w:val="white"/>
        </w:rPr>
      </w:r>
    </w:p>
    <w:p>
      <w:pPr>
        <w:ind w:left="0" w:right="30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日    期：     年</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月   </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日</w:t>
      </w:r>
      <w:r>
        <w:rPr>
          <w:highlight w:val="white"/>
        </w:rPr>
      </w:r>
    </w:p>
    <w:p>
      <w:pPr>
        <w:ind w:left="0"/>
        <w:rPr>
          <w:rFonts w:hint="eastAsia" w:ascii="宋体" w:hAnsi="宋体" w:cs="宋体"/>
          <w:b/>
          <w:color w:val="auto"/>
          <w:sz w:val="24"/>
          <w:szCs w:val="24"/>
          <w:highlight w:val="white"/>
        </w:rPr>
        <w:outlineLvl w:val="1"/>
      </w:pPr>
      <w:r>
        <w:rPr>
          <w:rFonts w:hint="eastAsia" w:ascii="宋体" w:hAnsi="宋体" w:cs="宋体"/>
          <w:b/>
          <w:color w:val="auto"/>
          <w:sz w:val="21"/>
          <w:szCs w:val="21"/>
          <w:highlight w:val="white"/>
        </w:rPr>
        <w:br w:type="page" w:clear="all"/>
      </w:r>
      <w:bookmarkStart w:id="41" w:name="_Toc6183"/>
      <w:r>
        <w:rPr>
          <w:rFonts w:hint="eastAsia" w:ascii="宋体" w:hAnsi="宋体" w:cs="宋体"/>
          <w:b/>
          <w:color w:val="auto"/>
          <w:sz w:val="24"/>
          <w:szCs w:val="24"/>
          <w:highlight w:val="white"/>
        </w:rPr>
        <w:t xml:space="preserve">附件2、磋商报价表</w:t>
      </w:r>
      <w:bookmarkEnd w:id="41"/>
      <w:r>
        <w:rPr>
          <w:highlight w:val="white"/>
        </w:rPr>
      </w:r>
      <w:r>
        <w:rPr>
          <w:highlight w:val="white"/>
        </w:rPr>
      </w:r>
    </w:p>
    <w:p>
      <w:pPr>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磋商报价表</w:t>
      </w:r>
      <w:r>
        <w:rPr>
          <w:highlight w:val="white"/>
        </w:rPr>
      </w:r>
    </w:p>
    <w:p>
      <w:pPr>
        <w:pStyle w:val="1006"/>
        <w:rPr>
          <w:rFonts w:hint="eastAsia" w:ascii="宋体" w:hAnsi="宋体" w:cs="宋体"/>
          <w:color w:val="auto"/>
          <w:highlight w:val="white"/>
        </w:rPr>
      </w:pPr>
      <w:r>
        <w:rPr>
          <w:rFonts w:hint="eastAsia" w:ascii="宋体" w:hAnsi="宋体" w:cs="宋体"/>
          <w:color w:val="auto"/>
          <w:highlight w:val="white"/>
        </w:rPr>
      </w:r>
      <w:r>
        <w:rPr>
          <w:highlight w:val="white"/>
        </w:rPr>
      </w:r>
    </w:p>
    <w:p>
      <w:pPr>
        <w:ind w:left="0"/>
        <w:jc w:val="center"/>
        <w:spacing w:line="360" w:lineRule="auto"/>
        <w:rPr>
          <w:rFonts w:hint="eastAsia" w:ascii="宋体" w:hAnsi="宋体" w:cs="宋体"/>
          <w:b/>
          <w:color w:val="auto"/>
          <w:sz w:val="21"/>
          <w:szCs w:val="21"/>
          <w:highlight w:val="white"/>
        </w:rPr>
      </w:pPr>
      <w:r>
        <w:rPr>
          <w:rStyle w:val="1032"/>
          <w:rFonts w:hAnsi="宋体"/>
          <w:color w:val="auto"/>
          <w:sz w:val="24"/>
          <w:szCs w:val="24"/>
          <w:highlight w:val="white"/>
        </w:rPr>
        <w:t xml:space="preserve">采购编号：                                          价格单位：元</w:t>
      </w:r>
      <w:r>
        <w:rPr>
          <w:highlight w:val="white"/>
        </w:rPr>
      </w:r>
    </w:p>
    <w:tbl>
      <w:tblPr>
        <w:tblStyle w:val="820"/>
        <w:tblW w:w="42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90"/>
        <w:gridCol w:w="2331"/>
        <w:gridCol w:w="3085"/>
      </w:tblGrid>
      <w:tr>
        <w:trPr>
          <w:jc w:val="center"/>
          <w:trHeight w:val="850"/>
        </w:trPr>
        <w:tc>
          <w:tcPr>
            <w:tcW w:w="1853" w:type="pct"/>
            <w:vAlign w:val="center"/>
            <w:textDirection w:val="lrTb"/>
            <w:noWrap w:val="false"/>
          </w:tcPr>
          <w:p>
            <w:pPr>
              <w:ind w:left="0"/>
              <w:jc w:val="center"/>
              <w:widowControl w:val="off"/>
              <w:rPr>
                <w:rFonts w:ascii="宋体" w:hAnsi="宋体"/>
                <w:color w:val="auto"/>
                <w:sz w:val="24"/>
                <w:szCs w:val="24"/>
                <w:highlight w:val="white"/>
              </w:rPr>
            </w:pPr>
            <w:r>
              <w:rPr>
                <w:rFonts w:ascii="宋体" w:hAnsi="宋体"/>
                <w:color w:val="auto"/>
                <w:sz w:val="24"/>
                <w:szCs w:val="24"/>
                <w:highlight w:val="white"/>
                <w:lang w:val="zh-CN"/>
              </w:rPr>
              <w:t xml:space="preserve">项目名称</w:t>
            </w:r>
            <w:r>
              <w:rPr>
                <w:highlight w:val="white"/>
              </w:rPr>
            </w:r>
          </w:p>
        </w:tc>
        <w:tc>
          <w:tcPr>
            <w:tcW w:w="1354" w:type="pct"/>
            <w:vAlign w:val="center"/>
            <w:textDirection w:val="lrTb"/>
            <w:noWrap w:val="false"/>
          </w:tcPr>
          <w:p>
            <w:pPr>
              <w:ind w:left="0"/>
              <w:jc w:val="center"/>
              <w:widowControl w:val="off"/>
              <w:rPr>
                <w:rFonts w:ascii="宋体" w:hAnsi="宋体"/>
                <w:color w:val="auto"/>
                <w:sz w:val="24"/>
                <w:szCs w:val="24"/>
                <w:highlight w:val="white"/>
              </w:rPr>
            </w:pPr>
            <w:r>
              <w:rPr>
                <w:rFonts w:ascii="宋体" w:hAnsi="宋体"/>
                <w:color w:val="auto"/>
                <w:sz w:val="24"/>
                <w:szCs w:val="24"/>
                <w:highlight w:val="white"/>
                <w:lang w:val="zh-CN"/>
              </w:rPr>
              <w:t xml:space="preserve">响应总报价</w:t>
            </w:r>
            <w:r>
              <w:rPr>
                <w:highlight w:val="white"/>
              </w:rPr>
            </w:r>
          </w:p>
          <w:p>
            <w:pPr>
              <w:ind w:left="0"/>
              <w:jc w:val="center"/>
              <w:widowControl w:val="off"/>
              <w:rPr>
                <w:rFonts w:ascii="宋体" w:hAnsi="宋体"/>
                <w:color w:val="auto"/>
                <w:sz w:val="24"/>
                <w:szCs w:val="24"/>
                <w:highlight w:val="white"/>
              </w:rPr>
            </w:pPr>
            <w:r>
              <w:rPr>
                <w:rFonts w:ascii="宋体" w:hAnsi="宋体"/>
                <w:color w:val="auto"/>
                <w:sz w:val="24"/>
                <w:szCs w:val="24"/>
                <w:highlight w:val="white"/>
                <w:lang w:val="zh-CN"/>
              </w:rPr>
              <w:t xml:space="preserve">（元）</w:t>
            </w:r>
            <w:r>
              <w:rPr>
                <w:highlight w:val="white"/>
              </w:rPr>
            </w:r>
          </w:p>
        </w:tc>
        <w:tc>
          <w:tcPr>
            <w:tcW w:w="1792" w:type="pct"/>
            <w:vAlign w:val="center"/>
            <w:textDirection w:val="lrTb"/>
            <w:noWrap w:val="false"/>
          </w:tcPr>
          <w:p>
            <w:pPr>
              <w:ind w:left="0"/>
              <w:jc w:val="center"/>
              <w:widowControl w:val="off"/>
              <w:rPr>
                <w:rFonts w:ascii="宋体" w:hAnsi="宋体"/>
                <w:color w:val="auto"/>
                <w:sz w:val="24"/>
                <w:szCs w:val="24"/>
                <w:highlight w:val="white"/>
              </w:rPr>
            </w:pPr>
            <w:r>
              <w:rPr>
                <w:rFonts w:hint="eastAsia" w:ascii="宋体" w:hAnsi="宋体"/>
                <w:color w:val="auto"/>
                <w:sz w:val="24"/>
                <w:szCs w:val="24"/>
                <w:highlight w:val="white"/>
              </w:rPr>
              <w:t xml:space="preserve">服务期限</w:t>
            </w:r>
            <w:r>
              <w:rPr>
                <w:highlight w:val="white"/>
              </w:rPr>
            </w:r>
          </w:p>
        </w:tc>
      </w:tr>
      <w:tr>
        <w:trPr>
          <w:jc w:val="center"/>
          <w:trHeight w:val="850"/>
        </w:trPr>
        <w:tc>
          <w:tcPr>
            <w:tcW w:w="1853" w:type="pct"/>
            <w:vAlign w:val="center"/>
            <w:textDirection w:val="lrTb"/>
            <w:noWrap w:val="false"/>
          </w:tcPr>
          <w:p>
            <w:pPr>
              <w:ind w:left="0"/>
              <w:jc w:val="center"/>
              <w:widowControl w:val="off"/>
              <w:rPr>
                <w:rFonts w:ascii="宋体" w:hAnsi="宋体"/>
                <w:color w:val="auto"/>
                <w:sz w:val="24"/>
                <w:szCs w:val="24"/>
                <w:highlight w:val="white"/>
              </w:rPr>
            </w:pPr>
            <w:r>
              <w:rPr>
                <w:rFonts w:ascii="宋体" w:hAnsi="宋体"/>
                <w:color w:val="auto"/>
                <w:sz w:val="24"/>
                <w:szCs w:val="24"/>
                <w:highlight w:val="white"/>
              </w:rPr>
            </w:r>
            <w:r>
              <w:rPr>
                <w:highlight w:val="white"/>
              </w:rPr>
            </w:r>
          </w:p>
        </w:tc>
        <w:tc>
          <w:tcPr>
            <w:tcW w:w="1354" w:type="pct"/>
            <w:vAlign w:val="center"/>
            <w:textDirection w:val="lrTb"/>
            <w:noWrap w:val="false"/>
          </w:tcPr>
          <w:p>
            <w:pPr>
              <w:ind w:left="0"/>
              <w:jc w:val="center"/>
              <w:widowControl w:val="off"/>
              <w:rPr>
                <w:rFonts w:ascii="宋体" w:hAnsi="宋体"/>
                <w:color w:val="auto"/>
                <w:sz w:val="24"/>
                <w:szCs w:val="24"/>
                <w:highlight w:val="white"/>
              </w:rPr>
            </w:pPr>
            <w:r>
              <w:rPr>
                <w:rFonts w:ascii="宋体" w:hAnsi="宋体"/>
                <w:color w:val="auto"/>
                <w:sz w:val="24"/>
                <w:szCs w:val="24"/>
                <w:highlight w:val="white"/>
              </w:rPr>
            </w:r>
            <w:r>
              <w:rPr>
                <w:highlight w:val="white"/>
              </w:rPr>
            </w:r>
          </w:p>
        </w:tc>
        <w:tc>
          <w:tcPr>
            <w:tcW w:w="1792" w:type="pct"/>
            <w:vAlign w:val="center"/>
            <w:textDirection w:val="lrTb"/>
            <w:noWrap w:val="false"/>
          </w:tcPr>
          <w:p>
            <w:pPr>
              <w:ind w:left="0"/>
              <w:jc w:val="center"/>
              <w:widowControl w:val="off"/>
              <w:rPr>
                <w:rFonts w:ascii="宋体" w:hAnsi="宋体"/>
                <w:color w:val="auto"/>
                <w:sz w:val="24"/>
                <w:szCs w:val="24"/>
                <w:highlight w:val="white"/>
              </w:rPr>
            </w:pPr>
            <w:r>
              <w:rPr>
                <w:rFonts w:ascii="宋体" w:hAnsi="宋体"/>
                <w:color w:val="auto"/>
                <w:sz w:val="24"/>
                <w:szCs w:val="24"/>
                <w:highlight w:val="white"/>
              </w:rPr>
            </w:r>
            <w:r>
              <w:rPr>
                <w:highlight w:val="white"/>
              </w:rPr>
            </w:r>
          </w:p>
        </w:tc>
      </w:tr>
    </w:tbl>
    <w:p>
      <w:pPr>
        <w:ind w:left="0"/>
        <w:jc w:val="center"/>
        <w:spacing w:line="360" w:lineRule="auto"/>
        <w:rPr>
          <w:rFonts w:hint="eastAsia" w:ascii="宋体" w:hAnsi="宋体" w:cs="宋体"/>
          <w:b/>
          <w:color w:val="auto"/>
          <w:sz w:val="21"/>
          <w:szCs w:val="21"/>
          <w:highlight w:val="white"/>
        </w:rPr>
      </w:pPr>
      <w:r>
        <w:rPr>
          <w:rFonts w:hint="eastAsia" w:ascii="宋体" w:hAnsi="宋体" w:cs="宋体"/>
          <w:b/>
          <w:color w:val="auto"/>
          <w:sz w:val="21"/>
          <w:szCs w:val="21"/>
          <w:highlight w:val="white"/>
        </w:rPr>
      </w:r>
      <w:r>
        <w:rPr>
          <w:highlight w:val="white"/>
        </w:rPr>
      </w:r>
    </w:p>
    <w:p>
      <w:pPr>
        <w:ind w:left="0" w:firstLine="480"/>
        <w:jc w:val="both"/>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注：上述</w:t>
      </w:r>
      <w:r>
        <w:rPr>
          <w:rFonts w:hint="eastAsia" w:ascii="宋体" w:hAnsi="宋体" w:cs="宋体"/>
          <w:bCs/>
          <w:color w:val="auto"/>
          <w:sz w:val="24"/>
          <w:szCs w:val="24"/>
          <w:highlight w:val="white"/>
          <w:lang w:eastAsia="zh-CN"/>
        </w:rPr>
        <w:t xml:space="preserve">报价包含完成该项目所需的全部人工费、辅助费用、设备材料、全部税费、保险费、代理服务费、企业利润、及政策性文件规定及合同包含的所有风险、责任等各项应有费用</w:t>
      </w:r>
      <w:r>
        <w:rPr>
          <w:rStyle w:val="1032"/>
          <w:rFonts w:hint="eastAsia" w:hAnsi="宋体" w:cs="宋体"/>
          <w:color w:val="auto"/>
          <w:sz w:val="24"/>
          <w:szCs w:val="24"/>
          <w:highlight w:val="white"/>
        </w:rPr>
        <w:t xml:space="preserve">。</w:t>
      </w:r>
      <w:r>
        <w:rPr>
          <w:highlight w:val="white"/>
        </w:rPr>
      </w:r>
    </w:p>
    <w:p>
      <w:pPr>
        <w:ind w:left="0" w:firstLine="480"/>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r>
      <w:r>
        <w:rPr>
          <w:highlight w:val="white"/>
        </w:rPr>
      </w:r>
    </w:p>
    <w:p>
      <w:pPr>
        <w:ind w:left="0" w:right="-200"/>
        <w:jc w:val="left"/>
        <w:spacing w:line="360" w:lineRule="auto"/>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ind w:left="0" w:right="-200"/>
        <w:jc w:val="left"/>
        <w:spacing w:line="360" w:lineRule="auto"/>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ind w:left="0" w:right="-200"/>
        <w:jc w:val="left"/>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供应商名称：（公章）</w:t>
      </w:r>
      <w:r>
        <w:rPr>
          <w:highlight w:val="white"/>
        </w:rPr>
      </w:r>
    </w:p>
    <w:p>
      <w:pPr>
        <w:ind w:left="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法定代表人或</w:t>
      </w:r>
      <w:r>
        <w:rPr>
          <w:rFonts w:hint="eastAsia" w:ascii="宋体" w:hAnsi="宋体" w:cs="宋体"/>
          <w:color w:val="auto"/>
          <w:sz w:val="24"/>
          <w:szCs w:val="24"/>
          <w:highlight w:val="white"/>
        </w:rPr>
        <w:t xml:space="preserve">被授权</w:t>
      </w:r>
      <w:r>
        <w:rPr>
          <w:rFonts w:hint="eastAsia" w:ascii="宋体" w:hAnsi="宋体" w:cs="宋体"/>
          <w:color w:val="auto"/>
          <w:sz w:val="24"/>
          <w:szCs w:val="24"/>
          <w:highlight w:val="white"/>
          <w:lang w:val="zh-CN"/>
        </w:rPr>
        <w:t xml:space="preserve">人：（签字或盖章）</w:t>
      </w:r>
      <w:r>
        <w:rPr>
          <w:highlight w:val="white"/>
        </w:rPr>
      </w:r>
    </w:p>
    <w:p>
      <w:pPr>
        <w:ind w:left="0" w:right="4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 日    期：     年</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月   </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日</w:t>
      </w:r>
      <w:r>
        <w:rPr>
          <w:highlight w:val="white"/>
        </w:rPr>
      </w:r>
    </w:p>
    <w:p>
      <w:pPr>
        <w:ind w:left="0"/>
        <w:spacing w:line="360" w:lineRule="auto"/>
        <w:rPr>
          <w:rFonts w:hint="eastAsia" w:ascii="宋体" w:hAnsi="宋体" w:cs="宋体"/>
          <w:color w:val="auto"/>
          <w:highlight w:val="white"/>
        </w:rPr>
      </w:pPr>
      <w:r>
        <w:rPr>
          <w:rFonts w:hint="eastAsia" w:ascii="宋体" w:hAnsi="宋体" w:cs="宋体"/>
          <w:color w:val="auto"/>
          <w:highlight w:val="white"/>
        </w:rPr>
      </w:r>
      <w:r>
        <w:rPr>
          <w:highlight w:val="white"/>
        </w:rPr>
      </w:r>
    </w:p>
    <w:p>
      <w:pPr>
        <w:ind w:left="0" w:right="40"/>
        <w:jc w:val="left"/>
        <w:spacing w:line="360" w:lineRule="auto"/>
        <w:rPr>
          <w:rFonts w:hint="eastAsia" w:ascii="宋体" w:hAnsi="宋体" w:cs="宋体"/>
          <w:b/>
          <w:color w:val="auto"/>
          <w:sz w:val="24"/>
          <w:szCs w:val="24"/>
          <w:highlight w:val="white"/>
        </w:rPr>
        <w:outlineLvl w:val="1"/>
      </w:pPr>
      <w:r>
        <w:rPr>
          <w:rFonts w:hint="eastAsia" w:ascii="宋体" w:hAnsi="宋体" w:cs="宋体"/>
          <w:b/>
          <w:color w:val="auto"/>
          <w:sz w:val="21"/>
          <w:szCs w:val="21"/>
          <w:highlight w:val="white"/>
        </w:rPr>
        <w:br w:type="page" w:clear="all"/>
      </w:r>
      <w:bookmarkStart w:id="42" w:name="_Toc14239"/>
      <w:r>
        <w:rPr>
          <w:highlight w:val="white"/>
        </w:rPr>
      </w:r>
      <w:bookmarkStart w:id="43" w:name="_Toc31009"/>
      <w:r>
        <w:rPr>
          <w:rFonts w:hint="eastAsia" w:ascii="宋体" w:hAnsi="宋体" w:cs="宋体"/>
          <w:b/>
          <w:color w:val="auto"/>
          <w:sz w:val="24"/>
          <w:szCs w:val="24"/>
          <w:highlight w:val="white"/>
        </w:rPr>
        <w:t xml:space="preserve">附件3、</w:t>
      </w:r>
      <w:bookmarkEnd w:id="42"/>
      <w:r>
        <w:rPr>
          <w:rFonts w:hint="eastAsia" w:ascii="宋体" w:hAnsi="宋体" w:cs="宋体"/>
          <w:b/>
          <w:color w:val="auto"/>
          <w:sz w:val="24"/>
          <w:szCs w:val="24"/>
          <w:highlight w:val="white"/>
        </w:rPr>
        <w:t xml:space="preserve">报价明细表</w:t>
      </w:r>
      <w:r>
        <w:rPr>
          <w:highlight w:val="white"/>
        </w:rPr>
      </w:r>
    </w:p>
    <w:p>
      <w:pPr>
        <w:pStyle w:val="1033"/>
        <w:ind w:left="0" w:firstLine="0"/>
        <w:jc w:val="center"/>
        <w:spacing w:line="360" w:lineRule="auto"/>
        <w:widowControl w:val="off"/>
        <w:rPr>
          <w:rStyle w:val="1032"/>
          <w:rFonts w:ascii="宋体" w:hAnsi="宋体"/>
          <w:b/>
          <w:bCs/>
          <w:color w:val="auto"/>
          <w:szCs w:val="24"/>
          <w:highlight w:val="white"/>
        </w:rPr>
      </w:pPr>
      <w:r>
        <w:rPr>
          <w:rStyle w:val="1032"/>
          <w:rFonts w:hint="eastAsia" w:ascii="宋体" w:hAnsi="宋体"/>
          <w:b/>
          <w:bCs/>
          <w:color w:val="auto"/>
          <w:szCs w:val="24"/>
          <w:highlight w:val="white"/>
        </w:rPr>
        <w:t xml:space="preserve">报价明细表</w:t>
      </w:r>
      <w:r>
        <w:rPr>
          <w:highlight w:val="white"/>
        </w:rPr>
      </w:r>
    </w:p>
    <w:tbl>
      <w:tblPr>
        <w:tblStyle w:val="82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487"/>
        <w:gridCol w:w="2495"/>
        <w:gridCol w:w="1018"/>
        <w:gridCol w:w="2046"/>
        <w:gridCol w:w="1512"/>
        <w:gridCol w:w="1518"/>
      </w:tblGrid>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t xml:space="preserve">序号</w:t>
            </w:r>
            <w:r>
              <w:rPr>
                <w:highlight w:val="white"/>
              </w:rP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t xml:space="preserve">项目名称</w:t>
            </w:r>
            <w:r>
              <w:rPr>
                <w:highlight w:val="white"/>
              </w:rP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t xml:space="preserve">数量</w:t>
            </w:r>
            <w:r>
              <w:rPr>
                <w:highlight w:val="white"/>
              </w:rP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t xml:space="preserve">单价</w:t>
            </w:r>
            <w:r>
              <w:rPr>
                <w:highlight w:val="white"/>
              </w:rPr>
            </w:r>
          </w:p>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t xml:space="preserve">（元）</w:t>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t xml:space="preserve">合</w:t>
            </w:r>
            <w:r>
              <w:rPr>
                <w:rFonts w:hint="eastAsia" w:ascii="宋体" w:hAnsi="宋体"/>
                <w:color w:val="auto"/>
                <w:sz w:val="24"/>
                <w:szCs w:val="24"/>
                <w:highlight w:val="white"/>
              </w:rPr>
              <w:t xml:space="preserve">价</w:t>
            </w:r>
            <w:r>
              <w:rPr>
                <w:highlight w:val="white"/>
              </w:rPr>
            </w:r>
          </w:p>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t xml:space="preserve">（元）</w:t>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t xml:space="preserve">备注</w:t>
            </w:r>
            <w:r>
              <w:rPr>
                <w:highlight w:val="whit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t xml:space="preserve">1</w:t>
            </w:r>
            <w:r>
              <w:rPr>
                <w:highlight w:val="white"/>
              </w:rP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t xml:space="preserve">…</w:t>
            </w:r>
            <w:r>
              <w:rPr>
                <w:highlight w:val="white"/>
              </w:rP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12"/>
              <w:ind w:left="0"/>
              <w:jc w:val="center"/>
              <w:widowControl w:val="off"/>
              <w:rPr>
                <w:rFonts w:ascii="宋体" w:hAnsi="宋体"/>
                <w:color w:val="auto"/>
                <w:sz w:val="24"/>
                <w:szCs w:val="24"/>
                <w:highlight w:val="white"/>
              </w:rPr>
            </w:pPr>
            <w:r>
              <w:rPr>
                <w:rFonts w:ascii="宋体"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t xml:space="preserve">合计</w:t>
            </w:r>
            <w:r>
              <w:rPr>
                <w:highlight w:val="white"/>
              </w:rPr>
            </w:r>
          </w:p>
        </w:tc>
        <w:tc>
          <w:tcPr>
            <w:gridSpan w:val="5"/>
            <w:tcBorders>
              <w:top w:val="single" w:color="000000" w:sz="4" w:space="0"/>
              <w:left w:val="none" w:color="000000" w:sz="4" w:space="0"/>
              <w:bottom w:val="single" w:color="000000" w:sz="4" w:space="0"/>
              <w:right w:val="single" w:color="000000" w:sz="4" w:space="0"/>
            </w:tcBorders>
            <w:tcW w:w="4261" w:type="pct"/>
            <w:vAlign w:val="center"/>
            <w:textDirection w:val="lrTb"/>
            <w:noWrap w:val="false"/>
          </w:tcPr>
          <w:p>
            <w:pPr>
              <w:pStyle w:val="1042"/>
              <w:ind w:left="0"/>
              <w:jc w:val="center"/>
              <w:rPr>
                <w:rFonts w:hAnsi="宋体"/>
                <w:color w:val="auto"/>
                <w:sz w:val="24"/>
                <w:szCs w:val="24"/>
                <w:highlight w:val="white"/>
              </w:rPr>
            </w:pPr>
            <w:r>
              <w:rPr>
                <w:rFonts w:hAnsi="宋体"/>
                <w:color w:val="auto"/>
                <w:sz w:val="24"/>
                <w:szCs w:val="24"/>
                <w:highlight w:val="white"/>
              </w:rPr>
            </w:r>
            <w:r>
              <w:rPr>
                <w:highlight w:val="white"/>
              </w:rPr>
            </w:r>
          </w:p>
        </w:tc>
      </w:tr>
    </w:tbl>
    <w:p>
      <w:pPr>
        <w:ind w:left="0" w:firstLine="482"/>
        <w:spacing w:line="360" w:lineRule="auto"/>
        <w:widowControl w:val="off"/>
        <w:rPr>
          <w:rFonts w:hint="eastAsia" w:ascii="宋体" w:hAnsi="宋体"/>
          <w:b/>
          <w:color w:val="auto"/>
          <w:sz w:val="24"/>
          <w:szCs w:val="24"/>
          <w:highlight w:val="white"/>
        </w:rPr>
      </w:pPr>
      <w:r>
        <w:rPr>
          <w:rStyle w:val="1032"/>
          <w:rFonts w:hint="eastAsia" w:ascii="宋体" w:hAnsi="宋体"/>
          <w:b/>
          <w:bCs/>
          <w:color w:val="auto"/>
          <w:sz w:val="24"/>
          <w:szCs w:val="24"/>
          <w:highlight w:val="white"/>
        </w:rPr>
        <w:t xml:space="preserve">注：</w:t>
      </w:r>
      <w:r>
        <w:rPr>
          <w:rFonts w:hint="eastAsia" w:ascii="宋体" w:hAnsi="宋体"/>
          <w:b/>
          <w:color w:val="auto"/>
          <w:sz w:val="24"/>
          <w:szCs w:val="24"/>
          <w:highlight w:val="white"/>
        </w:rPr>
        <w:t xml:space="preserve">本表合计金额应与《</w:t>
      </w:r>
      <w:r>
        <w:rPr>
          <w:rFonts w:ascii="宋体" w:hAnsi="宋体"/>
          <w:b/>
          <w:color w:val="auto"/>
          <w:sz w:val="24"/>
          <w:szCs w:val="24"/>
          <w:highlight w:val="white"/>
        </w:rPr>
        <w:t xml:space="preserve">磋商报价表</w:t>
      </w:r>
      <w:r>
        <w:rPr>
          <w:rFonts w:hint="eastAsia" w:ascii="宋体" w:hAnsi="宋体"/>
          <w:b/>
          <w:color w:val="auto"/>
          <w:sz w:val="24"/>
          <w:szCs w:val="24"/>
          <w:highlight w:val="white"/>
        </w:rPr>
        <w:t xml:space="preserve">》</w:t>
      </w:r>
      <w:r>
        <w:rPr>
          <w:rFonts w:ascii="宋体" w:hAnsi="宋体"/>
          <w:b/>
          <w:color w:val="auto"/>
          <w:sz w:val="24"/>
          <w:szCs w:val="24"/>
          <w:highlight w:val="white"/>
        </w:rPr>
        <w:t xml:space="preserve">的</w:t>
      </w:r>
      <w:r>
        <w:rPr>
          <w:rFonts w:hint="eastAsia" w:ascii="宋体" w:hAnsi="宋体"/>
          <w:b/>
          <w:color w:val="auto"/>
          <w:sz w:val="24"/>
          <w:szCs w:val="24"/>
          <w:highlight w:val="white"/>
        </w:rPr>
        <w:t xml:space="preserve">响应总报价一致，否则以《</w:t>
      </w:r>
      <w:r>
        <w:rPr>
          <w:rFonts w:ascii="宋体" w:hAnsi="宋体"/>
          <w:b/>
          <w:color w:val="auto"/>
          <w:sz w:val="24"/>
          <w:szCs w:val="24"/>
          <w:highlight w:val="white"/>
        </w:rPr>
        <w:t xml:space="preserve">磋商报价表</w:t>
      </w:r>
      <w:r>
        <w:rPr>
          <w:rFonts w:hint="eastAsia" w:ascii="宋体" w:hAnsi="宋体"/>
          <w:b/>
          <w:color w:val="auto"/>
          <w:sz w:val="24"/>
          <w:szCs w:val="24"/>
          <w:highlight w:val="white"/>
        </w:rPr>
        <w:t xml:space="preserve">》为准。</w:t>
      </w:r>
      <w:r>
        <w:rPr>
          <w:highlight w:val="white"/>
        </w:rPr>
      </w:r>
    </w:p>
    <w:p>
      <w:pPr>
        <w:pStyle w:val="1006"/>
        <w:rPr>
          <w:rFonts w:hint="eastAsia" w:ascii="宋体" w:hAnsi="宋体"/>
          <w:b/>
          <w:color w:val="auto"/>
          <w:sz w:val="24"/>
          <w:szCs w:val="24"/>
          <w:highlight w:val="white"/>
        </w:rPr>
      </w:pPr>
      <w:r>
        <w:rPr>
          <w:rFonts w:hint="eastAsia" w:ascii="宋体" w:hAnsi="宋体"/>
          <w:b/>
          <w:color w:val="auto"/>
          <w:sz w:val="24"/>
          <w:szCs w:val="24"/>
          <w:highlight w:val="white"/>
        </w:rPr>
      </w:r>
      <w:r>
        <w:rPr>
          <w:highlight w:val="white"/>
        </w:rPr>
      </w:r>
    </w:p>
    <w:p>
      <w:pPr>
        <w:pStyle w:val="1004"/>
        <w:rPr>
          <w:rFonts w:hint="eastAsia" w:ascii="宋体" w:hAnsi="宋体"/>
          <w:b/>
          <w:color w:val="auto"/>
          <w:sz w:val="24"/>
          <w:szCs w:val="24"/>
          <w:highlight w:val="white"/>
        </w:rPr>
      </w:pPr>
      <w:r>
        <w:rPr>
          <w:rFonts w:hint="eastAsia" w:ascii="宋体" w:hAnsi="宋体"/>
          <w:b/>
          <w:color w:val="auto"/>
          <w:sz w:val="24"/>
          <w:szCs w:val="24"/>
          <w:highlight w:val="white"/>
        </w:rPr>
      </w:r>
      <w:r>
        <w:rPr>
          <w:highlight w:val="white"/>
        </w:rPr>
      </w:r>
    </w:p>
    <w:p>
      <w:pPr>
        <w:ind w:left="0" w:firstLine="480"/>
        <w:jc w:val="left"/>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供应商名称：（公章）</w:t>
      </w:r>
      <w:r>
        <w:rPr>
          <w:highlight w:val="white"/>
        </w:rPr>
      </w:r>
    </w:p>
    <w:p>
      <w:pPr>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法定代表人或</w:t>
      </w:r>
      <w:r>
        <w:rPr>
          <w:rFonts w:hint="eastAsia" w:ascii="宋体" w:hAnsi="宋体" w:cs="宋体"/>
          <w:color w:val="auto"/>
          <w:sz w:val="24"/>
          <w:szCs w:val="24"/>
          <w:highlight w:val="white"/>
        </w:rPr>
        <w:t xml:space="preserve">代理人</w:t>
      </w:r>
      <w:r>
        <w:rPr>
          <w:rFonts w:hint="eastAsia" w:ascii="宋体" w:hAnsi="宋体" w:cs="宋体"/>
          <w:color w:val="auto"/>
          <w:sz w:val="24"/>
          <w:szCs w:val="24"/>
          <w:highlight w:val="white"/>
          <w:lang w:val="zh-CN"/>
        </w:rPr>
        <w:t xml:space="preserve">：（签字或盖章）</w:t>
      </w:r>
      <w:r>
        <w:rPr>
          <w:highlight w:val="white"/>
        </w:rPr>
      </w:r>
    </w:p>
    <w:p>
      <w:pPr>
        <w:ind w:left="0" w:firstLine="480"/>
        <w:spacing w:line="360" w:lineRule="auto"/>
        <w:rPr>
          <w:rFonts w:hint="eastAsia"/>
          <w:color w:val="auto"/>
          <w:highlight w:val="white"/>
        </w:rPr>
      </w:pPr>
      <w:r>
        <w:rPr>
          <w:rFonts w:hint="eastAsia" w:ascii="宋体" w:hAnsi="宋体" w:cs="宋体"/>
          <w:color w:val="auto"/>
          <w:sz w:val="24"/>
          <w:szCs w:val="24"/>
          <w:highlight w:val="white"/>
          <w:lang w:val="zh-CN"/>
        </w:rPr>
        <w:t xml:space="preserve">日    期：     年</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月   </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日</w:t>
      </w:r>
      <w:r>
        <w:rPr>
          <w:highlight w:val="white"/>
        </w:rPr>
      </w:r>
    </w:p>
    <w:p>
      <w:pPr>
        <w:ind w:left="0"/>
        <w:jc w:val="left"/>
        <w:spacing w:line="360" w:lineRule="auto"/>
        <w:rPr>
          <w:rFonts w:hint="eastAsia" w:ascii="宋体" w:hAnsi="宋体" w:cs="宋体"/>
          <w:color w:val="auto"/>
          <w:sz w:val="24"/>
          <w:szCs w:val="24"/>
          <w:highlight w:val="white"/>
        </w:rPr>
        <w:outlineLvl w:val="1"/>
      </w:pPr>
      <w:r>
        <w:rPr>
          <w:rFonts w:hint="eastAsia" w:ascii="宋体" w:hAnsi="宋体" w:cs="宋体"/>
          <w:b/>
          <w:color w:val="auto"/>
          <w:sz w:val="24"/>
          <w:szCs w:val="24"/>
          <w:highlight w:val="white"/>
        </w:rPr>
        <w:br w:type="page" w:clear="all"/>
      </w:r>
      <w:r>
        <w:rPr>
          <w:rFonts w:hint="eastAsia" w:ascii="宋体" w:hAnsi="宋体" w:cs="宋体"/>
          <w:b/>
          <w:color w:val="auto"/>
          <w:sz w:val="24"/>
          <w:szCs w:val="24"/>
          <w:highlight w:val="white"/>
        </w:rPr>
        <w:t xml:space="preserve">附件4、法定代表人授权委托书</w:t>
      </w:r>
      <w:bookmarkEnd w:id="43"/>
      <w:r>
        <w:rPr>
          <w:highlight w:val="white"/>
        </w:rPr>
      </w:r>
      <w:r>
        <w:rPr>
          <w:highlight w:val="white"/>
        </w:rPr>
      </w:r>
    </w:p>
    <w:p>
      <w:pPr>
        <w:ind w:left="0"/>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ind w:left="0"/>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法定代表人授权委托书</w:t>
      </w:r>
      <w:r>
        <w:rPr>
          <w:highlight w:val="white"/>
        </w:rPr>
      </w:r>
    </w:p>
    <w:p>
      <w:pPr>
        <w:pStyle w:val="1006"/>
        <w:rPr>
          <w:rFonts w:hint="eastAsia" w:ascii="宋体" w:hAnsi="宋体" w:cs="宋体"/>
          <w:color w:val="auto"/>
          <w:highlight w:val="white"/>
        </w:rPr>
      </w:pPr>
      <w:r>
        <w:rPr>
          <w:rFonts w:hint="eastAsia" w:ascii="宋体" w:hAnsi="宋体" w:cs="宋体"/>
          <w:color w:val="auto"/>
          <w:highlight w:val="white"/>
        </w:rPr>
      </w:r>
      <w:r>
        <w:rPr>
          <w:highlight w:val="white"/>
        </w:rPr>
      </w:r>
    </w:p>
    <w:p>
      <w:pPr>
        <w:ind w:left="0" w:firstLine="480"/>
        <w:jc w:val="left"/>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本授权委托书声明：  我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（姓名）系</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供应商名称）的法定代表人，现授权委托</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（姓名）为我公司授权代表（即代理人），以本公司的名义参</w:t>
      </w:r>
      <w:r>
        <w:rPr>
          <w:rFonts w:hint="eastAsia" w:ascii="宋体" w:hAnsi="宋体" w:cs="宋体"/>
          <w:color w:val="auto"/>
          <w:sz w:val="24"/>
          <w:szCs w:val="24"/>
          <w:highlight w:val="white"/>
          <w:u w:val="single"/>
        </w:rPr>
        <w:t xml:space="preserve">加苏州合亿盛工程咨询有限公司</w:t>
      </w:r>
      <w:r>
        <w:rPr>
          <w:rFonts w:hint="eastAsia" w:ascii="宋体" w:hAnsi="宋体" w:cs="宋体"/>
          <w:color w:val="auto"/>
          <w:sz w:val="24"/>
          <w:szCs w:val="24"/>
          <w:highlight w:val="white"/>
        </w:rPr>
        <w:t xml:space="preserve">组织实施的编号为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号（项目编号）的竞争性磋商活动。代理人在磋商活动过程中所签署的一切文件和处理与这有关的一切事务，我均予以承认。</w:t>
      </w:r>
      <w:r>
        <w:rPr>
          <w:highlight w:val="white"/>
        </w:rPr>
      </w:r>
    </w:p>
    <w:p>
      <w:pPr>
        <w:ind w:left="0" w:firstLine="480"/>
        <w:jc w:val="left"/>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代理人在授权委托书有效期内签署的所有文件不因授权委托的撤销而失效，除非有撤销授权委托的书面通知，本授权委托书自磋商活动开始至合同履行完毕止。</w:t>
      </w:r>
      <w:r>
        <w:rPr>
          <w:highlight w:val="white"/>
        </w:rPr>
      </w:r>
    </w:p>
    <w:p>
      <w:pPr>
        <w:ind w:left="0" w:firstLine="480"/>
        <w:jc w:val="left"/>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代理人无转委托权。特此委托。</w:t>
      </w:r>
      <w:r>
        <w:rPr>
          <w:highlight w:val="white"/>
        </w:rPr>
      </w:r>
    </w:p>
    <w:p>
      <w:pPr>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firstLine="480"/>
        <w:jc w:val="left"/>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供应商名称：（公章）</w:t>
      </w:r>
      <w:r>
        <w:rPr>
          <w:highlight w:val="white"/>
        </w:rPr>
      </w:r>
    </w:p>
    <w:p>
      <w:pPr>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法定代表人：（签字或盖章）</w:t>
      </w:r>
      <w:r>
        <w:rPr>
          <w:highlight w:val="white"/>
        </w:rPr>
      </w:r>
    </w:p>
    <w:p>
      <w:pPr>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日   </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 期：     年</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月   </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日</w:t>
      </w:r>
      <w:r>
        <w:rPr>
          <w:highlight w:val="white"/>
        </w:rPr>
      </w:r>
    </w:p>
    <w:p>
      <w:pPr>
        <w:ind w:left="0"/>
        <w:jc w:val="left"/>
        <w:rPr>
          <w:rFonts w:hint="eastAsia" w:ascii="宋体" w:hAnsi="宋体" w:cs="宋体"/>
          <w:color w:val="auto"/>
          <w:sz w:val="24"/>
          <w:szCs w:val="24"/>
          <w:highlight w:val="white"/>
        </w:rPr>
        <w:outlineLvl w:val="1"/>
      </w:pPr>
      <w:r>
        <w:rPr>
          <w:rFonts w:hint="eastAsia" w:ascii="宋体" w:hAnsi="宋体" w:cs="宋体"/>
          <w:b/>
          <w:color w:val="auto"/>
          <w:sz w:val="21"/>
          <w:szCs w:val="21"/>
          <w:highlight w:val="white"/>
        </w:rPr>
        <w:br w:type="page" w:clear="all"/>
      </w:r>
      <w:bookmarkStart w:id="44" w:name="_Toc31308"/>
      <w:r>
        <w:rPr>
          <w:rFonts w:hint="eastAsia" w:ascii="宋体" w:hAnsi="宋体" w:cs="宋体"/>
          <w:b/>
          <w:color w:val="auto"/>
          <w:sz w:val="24"/>
          <w:szCs w:val="24"/>
          <w:highlight w:val="white"/>
        </w:rPr>
        <w:t xml:space="preserve">附件5、关于资格文件的声明函</w:t>
      </w:r>
      <w:bookmarkEnd w:id="44"/>
      <w:r>
        <w:rPr>
          <w:highlight w:val="white"/>
        </w:rPr>
      </w:r>
      <w:r>
        <w:rPr>
          <w:highlight w:val="white"/>
        </w:rPr>
      </w:r>
    </w:p>
    <w:p>
      <w:pPr>
        <w:ind w:left="0" w:firstLine="420"/>
        <w:jc w:val="center"/>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ind w:left="0" w:firstLine="420"/>
        <w:jc w:val="center"/>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关于资格文件的声明函</w:t>
      </w:r>
      <w:r>
        <w:rPr>
          <w:highlight w:val="white"/>
        </w:rPr>
      </w:r>
    </w:p>
    <w:p>
      <w:pPr>
        <w:ind w:left="0" w:firstLine="420"/>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u w:val="single"/>
        </w:rPr>
        <w:t xml:space="preserve">苏州合亿盛工程咨询有限公司</w:t>
      </w:r>
      <w:r>
        <w:rPr>
          <w:rFonts w:hint="eastAsia" w:ascii="宋体" w:hAnsi="宋体" w:cs="宋体"/>
          <w:color w:val="auto"/>
          <w:sz w:val="24"/>
          <w:szCs w:val="24"/>
          <w:highlight w:val="white"/>
        </w:rPr>
        <w:t xml:space="preserve">：</w:t>
      </w:r>
      <w:r>
        <w:rPr>
          <w:highlight w:val="white"/>
        </w:rPr>
      </w:r>
    </w:p>
    <w:p>
      <w:pPr>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本公司愿就由贵公司组织实施的编号为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号（项目编号）的磋商采购活动进行响应。本公司所提交的响应文件中所有关于磋商资格的文件、证明和陈述均是真实的、准确的。若与真实情况不符，本公司愿意承担由此而产生的一切后果。</w:t>
      </w:r>
      <w:r>
        <w:rPr>
          <w:highlight w:val="white"/>
        </w:rPr>
      </w:r>
    </w:p>
    <w:p>
      <w:pPr>
        <w:ind w:left="0" w:firstLine="42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firstLine="42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right="-200"/>
        <w:jc w:val="left"/>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供应商名称：（公章）</w:t>
      </w:r>
      <w:r>
        <w:rPr>
          <w:highlight w:val="white"/>
        </w:rPr>
      </w:r>
    </w:p>
    <w:p>
      <w:pPr>
        <w:ind w:left="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法定代表人或</w:t>
      </w:r>
      <w:r>
        <w:rPr>
          <w:rFonts w:hint="eastAsia" w:ascii="宋体" w:hAnsi="宋体" w:cs="宋体"/>
          <w:color w:val="auto"/>
          <w:sz w:val="24"/>
          <w:szCs w:val="24"/>
          <w:highlight w:val="white"/>
        </w:rPr>
        <w:t xml:space="preserve">被授权</w:t>
      </w:r>
      <w:r>
        <w:rPr>
          <w:rFonts w:hint="eastAsia" w:ascii="宋体" w:hAnsi="宋体" w:cs="宋体"/>
          <w:color w:val="auto"/>
          <w:sz w:val="24"/>
          <w:szCs w:val="24"/>
          <w:highlight w:val="white"/>
          <w:lang w:val="zh-CN"/>
        </w:rPr>
        <w:t xml:space="preserve">人：（签字或盖章）</w:t>
      </w:r>
      <w:r>
        <w:rPr>
          <w:highlight w:val="white"/>
        </w:rPr>
      </w:r>
    </w:p>
    <w:p>
      <w:pPr>
        <w:ind w:left="0" w:right="30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日    期：     年</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月   </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日</w:t>
      </w:r>
      <w:r>
        <w:rPr>
          <w:highlight w:val="white"/>
        </w:rPr>
      </w:r>
    </w:p>
    <w:p>
      <w:pPr>
        <w:ind w:left="0"/>
        <w:jc w:val="left"/>
        <w:spacing w:line="360" w:lineRule="auto"/>
        <w:rPr>
          <w:rFonts w:hint="eastAsia" w:ascii="宋体" w:hAnsi="宋体" w:cs="宋体"/>
          <w:b/>
          <w:color w:val="auto"/>
          <w:sz w:val="24"/>
          <w:szCs w:val="24"/>
          <w:highlight w:val="white"/>
        </w:rPr>
        <w:outlineLvl w:val="1"/>
      </w:pPr>
      <w:r>
        <w:rPr>
          <w:rFonts w:hint="eastAsia" w:ascii="宋体" w:hAnsi="宋体" w:cs="宋体"/>
          <w:b/>
          <w:color w:val="auto"/>
          <w:sz w:val="21"/>
          <w:szCs w:val="21"/>
          <w:highlight w:val="white"/>
        </w:rPr>
        <w:br w:type="page" w:clear="all"/>
      </w:r>
      <w:bookmarkStart w:id="45" w:name="_Toc30056"/>
      <w:r>
        <w:rPr>
          <w:rFonts w:hint="eastAsia" w:ascii="宋体" w:hAnsi="宋体" w:cs="宋体"/>
          <w:b/>
          <w:color w:val="auto"/>
          <w:sz w:val="24"/>
          <w:szCs w:val="24"/>
          <w:highlight w:val="white"/>
        </w:rPr>
        <w:t xml:space="preserve">附件6、磋商响应单位基本情况表</w:t>
      </w:r>
      <w:bookmarkEnd w:id="45"/>
      <w:r>
        <w:rPr>
          <w:highlight w:val="white"/>
        </w:rPr>
      </w:r>
      <w:r>
        <w:rPr>
          <w:highlight w:val="white"/>
        </w:rPr>
      </w:r>
    </w:p>
    <w:p>
      <w:pPr>
        <w:ind w:left="0"/>
        <w:jc w:val="center"/>
        <w:spacing w:line="360" w:lineRule="auto"/>
        <w:rPr>
          <w:rFonts w:hint="eastAsia" w:ascii="宋体" w:hAnsi="宋体" w:cs="宋体"/>
          <w:color w:val="auto"/>
          <w:sz w:val="21"/>
          <w:szCs w:val="21"/>
          <w:highlight w:val="white"/>
        </w:rPr>
      </w:pPr>
      <w:r>
        <w:rPr>
          <w:rFonts w:hint="eastAsia" w:ascii="宋体" w:hAnsi="宋体" w:cs="宋体"/>
          <w:b/>
          <w:color w:val="auto"/>
          <w:sz w:val="24"/>
          <w:szCs w:val="24"/>
          <w:highlight w:val="white"/>
        </w:rPr>
        <w:t xml:space="preserve">磋商响应单位基本情况表</w:t>
      </w:r>
      <w:r>
        <w:rPr>
          <w:highlight w:val="white"/>
        </w:rPr>
      </w:r>
    </w:p>
    <w:tbl>
      <w:tblPr>
        <w:tblStyle w:val="820"/>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法定代表人</w:t>
            </w:r>
            <w:r>
              <w:rPr>
                <w:highlight w:val="white"/>
              </w:rPr>
            </w:r>
          </w:p>
        </w:tc>
        <w:tc>
          <w:tcPr>
            <w:tcW w:w="2005"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c>
          <w:tcPr>
            <w:tcW w:w="1461"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成立日期</w:t>
            </w:r>
            <w:r>
              <w:rPr>
                <w:highlight w:val="white"/>
              </w:rPr>
            </w:r>
          </w:p>
        </w:tc>
        <w:tc>
          <w:tcPr>
            <w:gridSpan w:val="2"/>
            <w:tcW w:w="3292"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企业地址</w:t>
            </w:r>
            <w:r>
              <w:rPr>
                <w:highlight w:val="white"/>
              </w:rPr>
            </w:r>
          </w:p>
        </w:tc>
        <w:tc>
          <w:tcPr>
            <w:tcW w:w="2005"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c>
          <w:tcPr>
            <w:tcW w:w="1461"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注册资本</w:t>
            </w:r>
            <w:r>
              <w:rPr>
                <w:highlight w:val="white"/>
              </w:rPr>
            </w:r>
          </w:p>
        </w:tc>
        <w:tc>
          <w:tcPr>
            <w:gridSpan w:val="2"/>
            <w:tcW w:w="3292" w:type="dxa"/>
            <w:vAlign w:val="top"/>
            <w:textDirection w:val="lrTb"/>
            <w:noWrap w:val="false"/>
          </w:tcPr>
          <w:p>
            <w:pPr>
              <w:pStyle w:val="1033"/>
              <w:ind w:left="0" w:firstLine="120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万元</w:t>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经营范围</w:t>
            </w:r>
            <w:r>
              <w:rPr>
                <w:highlight w:val="white"/>
              </w:rPr>
            </w:r>
          </w:p>
        </w:tc>
        <w:tc>
          <w:tcPr>
            <w:gridSpan w:val="4"/>
            <w:tcW w:w="6758"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职工人数</w:t>
            </w:r>
            <w:r>
              <w:rPr>
                <w:highlight w:val="white"/>
              </w:rPr>
            </w:r>
          </w:p>
        </w:tc>
        <w:tc>
          <w:tcPr>
            <w:tcW w:w="2005"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c>
          <w:tcPr>
            <w:gridSpan w:val="2"/>
            <w:tcW w:w="3517"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其中：有中高级以上职称的人数</w:t>
            </w:r>
            <w:r>
              <w:rPr>
                <w:highlight w:val="white"/>
              </w:rPr>
            </w:r>
          </w:p>
        </w:tc>
        <w:tc>
          <w:tcPr>
            <w:tcW w:w="1236"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Pr>
        <w:tc>
          <w:tcPr>
            <w:tcW w:w="2510" w:type="dxa"/>
            <w:vAlign w:val="center"/>
            <w:textDirection w:val="lrTb"/>
            <w:noWrap w:val="false"/>
          </w:tcPr>
          <w:p>
            <w:pPr>
              <w:pStyle w:val="1033"/>
              <w:ind w:left="0" w:firstLine="0"/>
              <w:jc w:val="both"/>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资产总计</w:t>
            </w:r>
            <w:r>
              <w:rPr>
                <w:highlight w:val="white"/>
              </w:rPr>
            </w:r>
          </w:p>
        </w:tc>
        <w:tc>
          <w:tcPr>
            <w:tcW w:w="2005" w:type="dxa"/>
            <w:vAlign w:val="center"/>
            <w:textDirection w:val="lrTb"/>
            <w:noWrap w:val="false"/>
          </w:tcPr>
          <w:p>
            <w:pPr>
              <w:pStyle w:val="1033"/>
              <w:ind w:left="0" w:firstLine="0"/>
              <w:jc w:val="center"/>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         万元</w:t>
            </w:r>
            <w:r>
              <w:rPr>
                <w:highlight w:val="white"/>
              </w:rPr>
            </w:r>
          </w:p>
        </w:tc>
        <w:tc>
          <w:tcPr>
            <w:tcW w:w="1461" w:type="dxa"/>
            <w:vAlign w:val="center"/>
            <w:textDirection w:val="lrTb"/>
            <w:noWrap w:val="false"/>
          </w:tcPr>
          <w:p>
            <w:pPr>
              <w:pStyle w:val="1033"/>
              <w:ind w:left="0" w:firstLine="0"/>
              <w:jc w:val="both"/>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净资产</w:t>
            </w:r>
            <w:r>
              <w:rPr>
                <w:highlight w:val="white"/>
              </w:rPr>
            </w:r>
          </w:p>
        </w:tc>
        <w:tc>
          <w:tcPr>
            <w:gridSpan w:val="2"/>
            <w:tcW w:w="3292" w:type="dxa"/>
            <w:vAlign w:val="center"/>
            <w:textDirection w:val="lrTb"/>
            <w:noWrap w:val="false"/>
          </w:tcPr>
          <w:p>
            <w:pPr>
              <w:pStyle w:val="1033"/>
              <w:ind w:left="0" w:firstLine="0"/>
              <w:jc w:val="center"/>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                万元</w:t>
            </w:r>
            <w:r>
              <w:rPr>
                <w:highlight w:val="white"/>
              </w:rPr>
            </w:r>
          </w:p>
        </w:tc>
      </w:tr>
      <w:tr>
        <w:trPr>
          <w:cantSplit/>
        </w:trPr>
        <w:tc>
          <w:tcPr>
            <w:tcW w:w="2510" w:type="dxa"/>
            <w:vAlign w:val="center"/>
            <w:textDirection w:val="lrTb"/>
            <w:noWrap w:val="false"/>
          </w:tcPr>
          <w:p>
            <w:pPr>
              <w:pStyle w:val="1033"/>
              <w:ind w:left="0" w:firstLine="0"/>
              <w:jc w:val="both"/>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股东权益</w:t>
            </w:r>
            <w:r>
              <w:rPr>
                <w:highlight w:val="white"/>
              </w:rPr>
            </w:r>
          </w:p>
        </w:tc>
        <w:tc>
          <w:tcPr>
            <w:tcW w:w="2005" w:type="dxa"/>
            <w:vAlign w:val="center"/>
            <w:textDirection w:val="lrTb"/>
            <w:noWrap w:val="false"/>
          </w:tcPr>
          <w:p>
            <w:pPr>
              <w:pStyle w:val="1033"/>
              <w:ind w:left="0" w:firstLine="0"/>
              <w:jc w:val="center"/>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         万元</w:t>
            </w:r>
            <w:r>
              <w:rPr>
                <w:highlight w:val="white"/>
              </w:rPr>
            </w:r>
          </w:p>
        </w:tc>
        <w:tc>
          <w:tcPr>
            <w:tcW w:w="1461" w:type="dxa"/>
            <w:vAlign w:val="center"/>
            <w:textDirection w:val="lrTb"/>
            <w:noWrap w:val="false"/>
          </w:tcPr>
          <w:p>
            <w:pPr>
              <w:pStyle w:val="1033"/>
              <w:ind w:left="0" w:firstLine="0"/>
              <w:jc w:val="both"/>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销售收入</w:t>
            </w:r>
            <w:r>
              <w:rPr>
                <w:highlight w:val="white"/>
              </w:rPr>
            </w:r>
          </w:p>
        </w:tc>
        <w:tc>
          <w:tcPr>
            <w:gridSpan w:val="2"/>
            <w:tcW w:w="3292" w:type="dxa"/>
            <w:vAlign w:val="center"/>
            <w:textDirection w:val="lrTb"/>
            <w:noWrap w:val="false"/>
          </w:tcPr>
          <w:p>
            <w:pPr>
              <w:pStyle w:val="1033"/>
              <w:ind w:left="0" w:firstLine="0"/>
              <w:jc w:val="center"/>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lang w:eastAsia="zh-CN"/>
              </w:rPr>
              <w:t xml:space="preserve">2024年</w:t>
            </w:r>
            <w:r>
              <w:rPr>
                <w:rStyle w:val="1032"/>
                <w:rFonts w:hint="eastAsia" w:ascii="宋体" w:hAnsi="宋体" w:cs="宋体"/>
                <w:color w:val="auto"/>
                <w:szCs w:val="24"/>
                <w:highlight w:val="white"/>
              </w:rPr>
              <w:t xml:space="preserve">          万元</w:t>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实现利润</w:t>
            </w:r>
            <w:r>
              <w:rPr>
                <w:highlight w:val="white"/>
              </w:rPr>
            </w:r>
          </w:p>
        </w:tc>
        <w:tc>
          <w:tcPr>
            <w:tcW w:w="2005"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lang w:eastAsia="zh-CN"/>
              </w:rPr>
              <w:t xml:space="preserve">2024年</w:t>
            </w:r>
            <w:r>
              <w:rPr>
                <w:rStyle w:val="1032"/>
                <w:rFonts w:hint="eastAsia" w:ascii="宋体" w:hAnsi="宋体" w:cs="宋体"/>
                <w:color w:val="auto"/>
                <w:szCs w:val="24"/>
                <w:highlight w:val="white"/>
              </w:rPr>
              <w:t xml:space="preserve">    万元</w:t>
            </w:r>
            <w:r>
              <w:rPr>
                <w:highlight w:val="white"/>
              </w:rPr>
            </w:r>
          </w:p>
        </w:tc>
        <w:tc>
          <w:tcPr>
            <w:tcW w:w="1461"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c>
          <w:tcPr>
            <w:gridSpan w:val="2"/>
            <w:tcW w:w="3292"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营业面积（含厂房面积）</w:t>
            </w:r>
            <w:r>
              <w:rPr>
                <w:highlight w:val="white"/>
              </w:rPr>
            </w:r>
          </w:p>
        </w:tc>
        <w:tc>
          <w:tcPr>
            <w:tcW w:w="2005" w:type="dxa"/>
            <w:vAlign w:val="center"/>
            <w:textDirection w:val="lrTb"/>
            <w:noWrap w:val="false"/>
          </w:tcPr>
          <w:p>
            <w:pPr>
              <w:pStyle w:val="1033"/>
              <w:ind w:left="0" w:firstLine="0"/>
              <w:jc w:val="both"/>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        平方米</w:t>
            </w:r>
            <w:r>
              <w:rPr>
                <w:highlight w:val="white"/>
              </w:rPr>
            </w:r>
          </w:p>
        </w:tc>
        <w:tc>
          <w:tcPr>
            <w:tcW w:w="1461"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其中：</w:t>
            </w:r>
            <w:r>
              <w:rPr>
                <w:highlight w:val="white"/>
              </w:rPr>
            </w:r>
          </w:p>
        </w:tc>
        <w:tc>
          <w:tcPr>
            <w:gridSpan w:val="2"/>
            <w:tcW w:w="3292"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自有面积         平方米</w:t>
            </w:r>
            <w:r>
              <w:rPr>
                <w:highlight w:val="white"/>
              </w:rPr>
            </w:r>
          </w:p>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承租面积         平方米</w:t>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单位简历及内设机构情况</w:t>
            </w:r>
            <w:r>
              <w:rPr>
                <w:highlight w:val="white"/>
              </w:rPr>
            </w:r>
          </w:p>
        </w:tc>
        <w:tc>
          <w:tcPr>
            <w:gridSpan w:val="4"/>
            <w:tcW w:w="6758"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单位优势及特长</w:t>
            </w:r>
            <w:r>
              <w:rPr>
                <w:highlight w:val="white"/>
              </w:rPr>
            </w:r>
          </w:p>
        </w:tc>
        <w:tc>
          <w:tcPr>
            <w:gridSpan w:val="4"/>
            <w:tcW w:w="6758"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近三年来完成或正在履行的重大合同情况</w:t>
            </w:r>
            <w:r>
              <w:rPr>
                <w:highlight w:val="white"/>
              </w:rPr>
            </w:r>
          </w:p>
        </w:tc>
        <w:tc>
          <w:tcPr>
            <w:gridSpan w:val="4"/>
            <w:tcW w:w="6758"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最近3年内在经营过程中受到何种奖励或处分（包括情况和结果）</w:t>
            </w:r>
            <w:r>
              <w:rPr>
                <w:highlight w:val="white"/>
              </w:rPr>
            </w:r>
          </w:p>
        </w:tc>
        <w:tc>
          <w:tcPr>
            <w:gridSpan w:val="4"/>
            <w:tcW w:w="6758"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最近3年内有无因售假、售劣或是其他原因被消费者投诉或起诉的情况及说明（包括解决方式和结果）</w:t>
            </w:r>
            <w:r>
              <w:rPr>
                <w:highlight w:val="white"/>
              </w:rPr>
            </w:r>
          </w:p>
        </w:tc>
        <w:tc>
          <w:tcPr>
            <w:gridSpan w:val="4"/>
            <w:tcW w:w="6758"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最近3年内主要负责人有无因经济犯罪被司法机关追究的情况及说明</w:t>
            </w:r>
            <w:r>
              <w:rPr>
                <w:highlight w:val="white"/>
              </w:rPr>
            </w:r>
          </w:p>
        </w:tc>
        <w:tc>
          <w:tcPr>
            <w:gridSpan w:val="4"/>
            <w:tcW w:w="6758"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获得技术认证的工程师及简介</w:t>
            </w:r>
            <w:r>
              <w:rPr>
                <w:highlight w:val="white"/>
              </w:rPr>
            </w:r>
          </w:p>
        </w:tc>
        <w:tc>
          <w:tcPr>
            <w:gridSpan w:val="4"/>
            <w:tcW w:w="6758"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r>
        <w:trPr>
          <w:cantSplit/>
          <w:trHeight w:val="560"/>
        </w:trPr>
        <w:tc>
          <w:tcPr>
            <w:tcW w:w="2510"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其他需要说明的情况</w:t>
            </w:r>
            <w:r>
              <w:rPr>
                <w:highlight w:val="white"/>
              </w:rPr>
            </w:r>
          </w:p>
        </w:tc>
        <w:tc>
          <w:tcPr>
            <w:gridSpan w:val="4"/>
            <w:tcW w:w="6758" w:type="dxa"/>
            <w:vAlign w:val="top"/>
            <w:textDirection w:val="lrTb"/>
            <w:noWrap w:val="false"/>
          </w:tcPr>
          <w:p>
            <w:pPr>
              <w:pStyle w:val="1033"/>
              <w:ind w:left="0" w:firstLine="0"/>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tc>
      </w:tr>
    </w:tbl>
    <w:p>
      <w:pPr>
        <w:ind w:left="0" w:firstLine="315"/>
        <w:jc w:val="left"/>
        <w:spacing w:line="360" w:lineRule="auto"/>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ind w:left="0" w:right="-200"/>
        <w:jc w:val="left"/>
        <w:spacing w:line="360" w:lineRule="auto"/>
        <w:widowControl w:val="off"/>
        <w:rPr>
          <w:rFonts w:hint="eastAsia" w:ascii="宋体" w:hAnsi="宋体" w:cs="宋体"/>
          <w:color w:val="auto"/>
          <w:sz w:val="24"/>
          <w:szCs w:val="24"/>
          <w:highlight w:val="white"/>
        </w:rPr>
      </w:pPr>
      <w:r>
        <w:rPr>
          <w:highlight w:val="white"/>
        </w:rPr>
      </w:r>
      <w:bookmarkStart w:id="46" w:name="_Toc241"/>
      <w:r>
        <w:rPr>
          <w:highlight w:val="white"/>
        </w:rPr>
      </w:r>
      <w:bookmarkStart w:id="47" w:name="_Toc7945"/>
      <w:r>
        <w:rPr>
          <w:highlight w:val="white"/>
        </w:rPr>
      </w:r>
      <w:r>
        <w:rPr>
          <w:highlight w:val="white"/>
        </w:rPr>
      </w:r>
    </w:p>
    <w:p>
      <w:pPr>
        <w:ind w:left="0" w:right="-200"/>
        <w:jc w:val="left"/>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供应商名称：（公章）</w:t>
      </w:r>
      <w:r>
        <w:rPr>
          <w:rFonts w:hint="eastAsia" w:ascii="宋体" w:hAnsi="宋体" w:cs="宋体"/>
          <w:color w:val="auto"/>
          <w:sz w:val="24"/>
          <w:szCs w:val="24"/>
          <w:highlight w:val="white"/>
          <w:lang w:val="zh-CN"/>
        </w:rPr>
        <w:t xml:space="preserve"> </w:t>
      </w:r>
      <w:r>
        <w:rPr>
          <w:highlight w:val="white"/>
        </w:rPr>
      </w:r>
    </w:p>
    <w:p>
      <w:pPr>
        <w:ind w:left="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法定代表人或</w:t>
      </w:r>
      <w:r>
        <w:rPr>
          <w:rFonts w:hint="eastAsia" w:ascii="宋体" w:hAnsi="宋体" w:cs="宋体"/>
          <w:color w:val="auto"/>
          <w:sz w:val="24"/>
          <w:szCs w:val="24"/>
          <w:highlight w:val="white"/>
        </w:rPr>
        <w:t xml:space="preserve">被授权</w:t>
      </w:r>
      <w:r>
        <w:rPr>
          <w:rFonts w:hint="eastAsia" w:ascii="宋体" w:hAnsi="宋体" w:cs="宋体"/>
          <w:color w:val="auto"/>
          <w:sz w:val="24"/>
          <w:szCs w:val="24"/>
          <w:highlight w:val="white"/>
          <w:lang w:val="zh-CN"/>
        </w:rPr>
        <w:t xml:space="preserve">人：（签字或盖章）</w:t>
      </w:r>
      <w:r>
        <w:rPr>
          <w:highlight w:val="white"/>
        </w:rPr>
      </w:r>
    </w:p>
    <w:p>
      <w:pPr>
        <w:ind w:left="0" w:right="30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日    期：     年</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月   </w:t>
      </w:r>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lang w:val="zh-CN"/>
        </w:rPr>
        <w:t xml:space="preserve">日</w:t>
      </w:r>
      <w:r>
        <w:rPr>
          <w:highlight w:val="white"/>
        </w:rPr>
      </w:r>
    </w:p>
    <w:p>
      <w:pPr>
        <w:ind w:left="0" w:right="300" w:firstLine="840"/>
        <w:jc w:val="right"/>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r>
      <w:r>
        <w:rPr>
          <w:highlight w:val="white"/>
        </w:rPr>
      </w:r>
    </w:p>
    <w:p>
      <w:pPr>
        <w:ind w:left="0"/>
        <w:rPr>
          <w:rFonts w:hint="eastAsia" w:ascii="宋体" w:hAnsi="宋体" w:cs="宋体"/>
          <w:color w:val="auto"/>
          <w:sz w:val="21"/>
          <w:szCs w:val="21"/>
          <w:highlight w:val="white"/>
        </w:rPr>
      </w:pPr>
      <w:r>
        <w:rPr>
          <w:rFonts w:hint="eastAsia" w:ascii="宋体" w:hAnsi="宋体" w:cs="宋体"/>
          <w:color w:val="auto"/>
          <w:sz w:val="21"/>
          <w:szCs w:val="21"/>
          <w:highlight w:val="white"/>
        </w:rPr>
      </w:r>
      <w:bookmarkEnd w:id="46"/>
      <w:r/>
      <w:bookmarkEnd w:id="47"/>
      <w:r/>
      <w:r>
        <w:rPr>
          <w:highlight w:val="white"/>
        </w:rPr>
      </w:r>
    </w:p>
    <w:p>
      <w:pPr>
        <w:pStyle w:val="1033"/>
        <w:ind w:left="0" w:firstLine="0"/>
        <w:jc w:val="both"/>
        <w:widowControl w:val="off"/>
        <w:rPr>
          <w:rStyle w:val="1032"/>
          <w:rFonts w:hint="eastAsia" w:ascii="宋体" w:hAnsi="宋体" w:cs="宋体"/>
          <w:b/>
          <w:color w:val="auto"/>
          <w:szCs w:val="24"/>
          <w:highlight w:val="white"/>
        </w:rPr>
        <w:outlineLvl w:val="1"/>
      </w:pPr>
      <w:r>
        <w:rPr>
          <w:highlight w:val="white"/>
        </w:rPr>
      </w:r>
      <w:bookmarkStart w:id="48" w:name="_Toc19621"/>
      <w:r>
        <w:rPr>
          <w:highlight w:val="white"/>
        </w:rPr>
      </w:r>
      <w:bookmarkStart w:id="49" w:name="_Toc21574"/>
      <w:r>
        <w:rPr>
          <w:rFonts w:hint="eastAsia" w:ascii="宋体" w:hAnsi="宋体" w:cs="宋体"/>
          <w:b/>
          <w:color w:val="auto"/>
          <w:sz w:val="21"/>
          <w:szCs w:val="21"/>
          <w:highlight w:val="white"/>
        </w:rPr>
        <w:br w:type="page" w:clear="all"/>
      </w:r>
      <w:r>
        <w:rPr>
          <w:rFonts w:hint="eastAsia" w:ascii="宋体" w:hAnsi="宋体" w:cs="宋体"/>
          <w:b/>
          <w:color w:val="auto"/>
          <w:sz w:val="21"/>
          <w:szCs w:val="21"/>
          <w:highlight w:val="white"/>
        </w:rPr>
        <w:t xml:space="preserve">附件</w:t>
      </w:r>
      <w:r>
        <w:rPr>
          <w:rStyle w:val="1032"/>
          <w:rFonts w:hint="eastAsia" w:ascii="宋体" w:hAnsi="宋体" w:cs="宋体"/>
          <w:b/>
          <w:bCs/>
          <w:color w:val="auto"/>
          <w:szCs w:val="24"/>
          <w:highlight w:val="white"/>
        </w:rPr>
        <w:t xml:space="preserve">7、服务要求偏离表</w:t>
      </w:r>
      <w:r>
        <w:rPr>
          <w:highlight w:val="white"/>
        </w:rPr>
      </w:r>
    </w:p>
    <w:p>
      <w:pPr>
        <w:ind w:left="0"/>
        <w:jc w:val="center"/>
        <w:spacing w:line="360" w:lineRule="auto"/>
        <w:widowControl w:val="off"/>
        <w:rPr>
          <w:rStyle w:val="1032"/>
          <w:rFonts w:hint="eastAsia" w:ascii="宋体" w:hAnsi="宋体" w:cs="宋体"/>
          <w:b/>
          <w:color w:val="auto"/>
          <w:sz w:val="24"/>
          <w:szCs w:val="24"/>
          <w:highlight w:val="white"/>
        </w:rPr>
      </w:pPr>
      <w:r>
        <w:rPr>
          <w:rStyle w:val="1032"/>
          <w:rFonts w:hint="eastAsia" w:ascii="宋体" w:hAnsi="宋体" w:cs="宋体"/>
          <w:b/>
          <w:color w:val="auto"/>
          <w:sz w:val="24"/>
          <w:szCs w:val="24"/>
          <w:highlight w:val="white"/>
        </w:rPr>
        <w:t xml:space="preserve">服务要求偏离表</w:t>
      </w:r>
      <w:r>
        <w:rPr>
          <w:highlight w:val="white"/>
        </w:rPr>
      </w:r>
    </w:p>
    <w:p>
      <w:pP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bl>
      <w:tblPr>
        <w:tblStyle w:val="820"/>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序号</w:t>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项目名称</w:t>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采购要求</w:t>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响应要求</w:t>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偏离/响应</w:t>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说明</w:t>
            </w:r>
            <w:r>
              <w:rPr>
                <w:highlight w:val="white"/>
              </w:rPr>
            </w:r>
          </w:p>
        </w:tc>
      </w:tr>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80"/>
        </w:trPr>
        <w:tc>
          <w:tcPr>
            <w:tcW w:w="82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8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44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699"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bl>
    <w:p>
      <w:pPr>
        <w:ind w:left="0" w:firstLine="482"/>
        <w:widowControl w:val="off"/>
        <w:rPr>
          <w:rStyle w:val="1032"/>
          <w:rFonts w:hint="eastAsia" w:ascii="宋体" w:hAnsi="宋体" w:cs="宋体"/>
          <w:b/>
          <w:color w:val="auto"/>
          <w:sz w:val="24"/>
          <w:szCs w:val="24"/>
          <w:highlight w:val="white"/>
        </w:rPr>
      </w:pPr>
      <w:r>
        <w:rPr>
          <w:rStyle w:val="1032"/>
          <w:rFonts w:hint="eastAsia" w:ascii="宋体" w:hAnsi="宋体" w:cs="宋体"/>
          <w:b/>
          <w:color w:val="auto"/>
          <w:sz w:val="24"/>
          <w:szCs w:val="24"/>
          <w:highlight w:val="white"/>
        </w:rPr>
        <w:t xml:space="preserve">注：1.响应人应对照磋商文件服务要求等要求，所投标的物与磋商文件的规定有偏离的，应在此表中申明与服务要求条文的偏差和例外。</w:t>
      </w:r>
      <w:r>
        <w:rPr>
          <w:highlight w:val="white"/>
        </w:rPr>
      </w:r>
    </w:p>
    <w:p>
      <w:pPr>
        <w:ind w:left="0" w:firstLine="482"/>
        <w:widowControl w:val="off"/>
        <w:rPr>
          <w:rStyle w:val="1032"/>
          <w:rFonts w:hint="eastAsia" w:ascii="宋体" w:hAnsi="宋体" w:cs="宋体"/>
          <w:color w:val="auto"/>
          <w:sz w:val="24"/>
          <w:szCs w:val="24"/>
          <w:highlight w:val="white"/>
        </w:rPr>
      </w:pPr>
      <w:r>
        <w:rPr>
          <w:rStyle w:val="1032"/>
          <w:rFonts w:hint="eastAsia" w:ascii="宋体" w:hAnsi="宋体" w:cs="宋体"/>
          <w:b/>
          <w:color w:val="auto"/>
          <w:sz w:val="24"/>
          <w:szCs w:val="24"/>
          <w:highlight w:val="whit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highlight w:val="white"/>
        </w:rPr>
      </w:r>
    </w:p>
    <w:p>
      <w:pP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850"/>
        <w:ind w:firstLine="480"/>
        <w:rPr>
          <w:rFonts w:hint="eastAsia" w:hAnsi="宋体" w:cs="宋体"/>
          <w:color w:val="auto"/>
          <w:highlight w:val="white"/>
        </w:rPr>
      </w:pPr>
      <w:r>
        <w:rPr>
          <w:rFonts w:hint="eastAsia" w:hAnsi="宋体" w:cs="宋体"/>
          <w:color w:val="auto"/>
          <w:highlight w:val="white"/>
        </w:rPr>
      </w:r>
      <w:r>
        <w:rPr>
          <w:highlight w:val="white"/>
        </w:rPr>
      </w:r>
    </w:p>
    <w:p>
      <w:pP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供应商：（盖章）</w:t>
      </w:r>
      <w:r>
        <w:rPr>
          <w:highlight w:val="white"/>
        </w:rPr>
      </w:r>
    </w:p>
    <w:p>
      <w:pP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法定代表人或代理人：（签字或盖章）</w:t>
      </w:r>
      <w:r>
        <w:rPr>
          <w:highlight w:val="white"/>
        </w:rPr>
      </w:r>
    </w:p>
    <w:p>
      <w:pPr>
        <w:spacing w:line="360" w:lineRule="auto"/>
        <w:widowControl w:val="off"/>
        <w:rPr>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日期：      年    月    日</w:t>
      </w:r>
      <w:r>
        <w:rPr>
          <w:highlight w:val="white"/>
        </w:rPr>
      </w:r>
    </w:p>
    <w:p>
      <w:pPr>
        <w:pStyle w:val="1033"/>
        <w:ind w:left="0" w:firstLine="0"/>
        <w:widowControl w:val="off"/>
        <w:rPr>
          <w:rStyle w:val="1032"/>
          <w:rFonts w:hint="eastAsia" w:ascii="宋体" w:hAnsi="宋体" w:cs="宋体"/>
          <w:b/>
          <w:color w:val="auto"/>
          <w:szCs w:val="24"/>
          <w:highlight w:val="white"/>
        </w:rPr>
        <w:outlineLvl w:val="1"/>
      </w:pPr>
      <w:r>
        <w:rPr>
          <w:rStyle w:val="1032"/>
          <w:rFonts w:hint="eastAsia" w:ascii="宋体" w:hAnsi="宋体" w:cs="宋体"/>
          <w:b/>
          <w:color w:val="auto"/>
          <w:szCs w:val="24"/>
          <w:highlight w:val="white"/>
        </w:rPr>
        <w:br w:type="page" w:clear="all"/>
      </w:r>
      <w:bookmarkStart w:id="50" w:name="_Toc6051"/>
      <w:r>
        <w:rPr>
          <w:rStyle w:val="1032"/>
          <w:rFonts w:hint="eastAsia" w:ascii="宋体" w:hAnsi="宋体" w:cs="宋体"/>
          <w:b/>
          <w:color w:val="auto"/>
          <w:szCs w:val="24"/>
          <w:highlight w:val="white"/>
        </w:rPr>
        <w:t xml:space="preserve">附件8、商务条款偏离表</w:t>
      </w:r>
      <w:bookmarkEnd w:id="50"/>
      <w:r>
        <w:rPr>
          <w:highlight w:val="white"/>
        </w:rPr>
      </w:r>
      <w:r>
        <w:rPr>
          <w:highlight w:val="white"/>
        </w:rPr>
      </w:r>
    </w:p>
    <w:p>
      <w:pPr>
        <w:pStyle w:val="1035"/>
        <w:ind w:left="0" w:firstLine="0"/>
        <w:jc w:val="center"/>
        <w:widowControl w:val="off"/>
        <w:rPr>
          <w:rStyle w:val="1032"/>
          <w:rFonts w:hint="eastAsia" w:ascii="宋体" w:hAnsi="宋体" w:cs="宋体"/>
          <w:b/>
          <w:color w:val="auto"/>
          <w:highlight w:val="white"/>
        </w:rPr>
      </w:pPr>
      <w:r>
        <w:rPr>
          <w:rStyle w:val="1032"/>
          <w:rFonts w:hint="eastAsia" w:ascii="宋体" w:hAnsi="宋体" w:cs="宋体"/>
          <w:b/>
          <w:color w:val="auto"/>
          <w:highlight w:val="white"/>
        </w:rPr>
        <w:t xml:space="preserve">商务条款偏离表</w:t>
      </w:r>
      <w:r>
        <w:rPr>
          <w:highlight w:val="white"/>
        </w:rPr>
      </w:r>
    </w:p>
    <w:p>
      <w:pP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bl>
      <w:tblPr>
        <w:tblStyle w:val="820"/>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序号</w:t>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磋商文件条目号</w:t>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磋商文件的商务条款</w:t>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响应文件的商务条款</w:t>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说明</w:t>
            </w:r>
            <w:r>
              <w:rPr>
                <w:highlight w:val="white"/>
              </w:rPr>
            </w:r>
          </w:p>
        </w:tc>
      </w:tr>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624"/>
        </w:trPr>
        <w:tc>
          <w:tcPr>
            <w:tcW w:w="708"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92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2400"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097" w:type="dxa"/>
            <w:vAlign w:val="center"/>
            <w:textDirection w:val="lrTb"/>
            <w:noWrap w:val="false"/>
          </w:tcPr>
          <w:p>
            <w:pPr>
              <w:ind w:left="0"/>
              <w:jc w:val="center"/>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bl>
    <w:p>
      <w:pPr>
        <w:pStyle w:val="1035"/>
        <w:spacing w:line="240" w:lineRule="auto"/>
        <w:widowControl w:val="off"/>
        <w:rPr>
          <w:rStyle w:val="1032"/>
          <w:rFonts w:hint="eastAsia" w:ascii="宋体" w:hAnsi="宋体" w:cs="宋体"/>
          <w:b/>
          <w:color w:val="auto"/>
          <w:highlight w:val="white"/>
        </w:rPr>
      </w:pPr>
      <w:r>
        <w:rPr>
          <w:rStyle w:val="1032"/>
          <w:rFonts w:hint="eastAsia" w:ascii="宋体" w:hAnsi="宋体" w:cs="宋体"/>
          <w:b/>
          <w:color w:val="auto"/>
          <w:highlight w:val="whit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highlight w:val="white"/>
        </w:rPr>
      </w:r>
    </w:p>
    <w:p>
      <w:pPr>
        <w:ind w:firstLine="480"/>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1035"/>
        <w:widowControl w:val="off"/>
        <w:rPr>
          <w:rStyle w:val="1032"/>
          <w:rFonts w:hint="eastAsia" w:ascii="宋体" w:hAnsi="宋体" w:cs="宋体"/>
          <w:color w:val="auto"/>
          <w:highlight w:val="white"/>
        </w:rPr>
      </w:pPr>
      <w:r>
        <w:rPr>
          <w:rStyle w:val="1032"/>
          <w:rFonts w:hint="eastAsia" w:ascii="宋体" w:hAnsi="宋体" w:cs="宋体"/>
          <w:color w:val="auto"/>
          <w:highlight w:val="white"/>
        </w:rPr>
        <w:t xml:space="preserve">供应商：（盖章）</w:t>
      </w:r>
      <w:r>
        <w:rPr>
          <w:highlight w:val="white"/>
        </w:rPr>
      </w:r>
    </w:p>
    <w:p>
      <w:pPr>
        <w:pStyle w:val="1035"/>
        <w:widowControl w:val="off"/>
        <w:rPr>
          <w:rStyle w:val="1032"/>
          <w:rFonts w:hint="eastAsia" w:ascii="宋体" w:hAnsi="宋体" w:cs="宋体"/>
          <w:color w:val="auto"/>
          <w:highlight w:val="white"/>
        </w:rPr>
      </w:pPr>
      <w:r>
        <w:rPr>
          <w:rStyle w:val="1032"/>
          <w:rFonts w:hint="eastAsia" w:ascii="宋体" w:hAnsi="宋体" w:cs="宋体"/>
          <w:color w:val="auto"/>
          <w:highlight w:val="white"/>
        </w:rPr>
        <w:t xml:space="preserve">法定代表人或代理人：（签字或盖章）</w:t>
      </w:r>
      <w:r>
        <w:rPr>
          <w:highlight w:val="white"/>
        </w:rPr>
      </w:r>
    </w:p>
    <w:p>
      <w:pPr>
        <w:pStyle w:val="1035"/>
        <w:widowControl w:val="off"/>
        <w:rPr>
          <w:rStyle w:val="1032"/>
          <w:rFonts w:hint="eastAsia" w:ascii="宋体" w:hAnsi="宋体" w:cs="宋体"/>
          <w:color w:val="auto"/>
          <w:sz w:val="21"/>
          <w:szCs w:val="21"/>
          <w:highlight w:val="white"/>
        </w:rPr>
      </w:pPr>
      <w:r>
        <w:rPr>
          <w:rStyle w:val="1032"/>
          <w:rFonts w:hint="eastAsia" w:ascii="宋体" w:hAnsi="宋体" w:cs="宋体"/>
          <w:color w:val="auto"/>
          <w:highlight w:val="white"/>
        </w:rPr>
        <w:t xml:space="preserve">日期：      年    月    日</w:t>
      </w:r>
      <w:r>
        <w:rPr>
          <w:highlight w:val="white"/>
        </w:rPr>
      </w:r>
    </w:p>
    <w:p>
      <w:pPr>
        <w:pStyle w:val="1033"/>
        <w:ind w:left="0" w:firstLine="0"/>
        <w:jc w:val="both"/>
        <w:spacing w:line="360" w:lineRule="auto"/>
        <w:widowControl w:val="off"/>
        <w:rPr>
          <w:rStyle w:val="1032"/>
          <w:rFonts w:hint="eastAsia" w:ascii="宋体" w:hAnsi="宋体" w:cs="宋体"/>
          <w:b/>
          <w:color w:val="auto"/>
          <w:szCs w:val="24"/>
          <w:highlight w:val="white"/>
        </w:rPr>
        <w:outlineLvl w:val="1"/>
      </w:pPr>
      <w:r>
        <w:rPr>
          <w:rStyle w:val="1032"/>
          <w:rFonts w:hint="eastAsia" w:ascii="宋体" w:hAnsi="宋体" w:cs="宋体"/>
          <w:b/>
          <w:color w:val="auto"/>
          <w:sz w:val="21"/>
          <w:szCs w:val="21"/>
          <w:highlight w:val="white"/>
        </w:rPr>
        <w:br w:type="page" w:clear="all"/>
      </w:r>
      <w:bookmarkStart w:id="51" w:name="_Toc5258"/>
      <w:r>
        <w:rPr>
          <w:highlight w:val="white"/>
        </w:rPr>
      </w:r>
      <w:bookmarkStart w:id="52" w:name="_Toc23227"/>
      <w:r>
        <w:rPr>
          <w:rStyle w:val="1032"/>
          <w:rFonts w:hint="eastAsia" w:ascii="宋体" w:hAnsi="宋体" w:cs="宋体"/>
          <w:b/>
          <w:color w:val="auto"/>
          <w:szCs w:val="24"/>
          <w:highlight w:val="white"/>
        </w:rPr>
        <w:t xml:space="preserve">附件9</w:t>
      </w:r>
      <w:r>
        <w:rPr>
          <w:rStyle w:val="1032"/>
          <w:rFonts w:hint="eastAsia" w:ascii="宋体" w:hAnsi="宋体" w:cs="宋体"/>
          <w:b/>
          <w:bCs/>
          <w:color w:val="auto"/>
          <w:szCs w:val="24"/>
          <w:highlight w:val="white"/>
        </w:rPr>
        <w:t xml:space="preserve">、</w:t>
      </w:r>
      <w:r>
        <w:rPr>
          <w:rStyle w:val="1032"/>
          <w:rFonts w:hint="eastAsia" w:ascii="宋体" w:hAnsi="宋体" w:cs="宋体"/>
          <w:b/>
          <w:color w:val="auto"/>
          <w:szCs w:val="24"/>
          <w:highlight w:val="white"/>
        </w:rPr>
        <w:t xml:space="preserve">实施方案</w:t>
      </w:r>
      <w:r>
        <w:rPr>
          <w:highlight w:val="white"/>
        </w:rPr>
      </w:r>
    </w:p>
    <w:p>
      <w:pPr>
        <w:pStyle w:val="1033"/>
        <w:ind w:left="0" w:firstLine="0"/>
        <w:jc w:val="center"/>
        <w:spacing w:line="360" w:lineRule="auto"/>
        <w:widowControl w:val="off"/>
        <w:rPr>
          <w:rStyle w:val="1032"/>
          <w:rFonts w:hint="eastAsia" w:ascii="宋体" w:hAnsi="宋体" w:cs="宋体"/>
          <w:b/>
          <w:color w:val="auto"/>
          <w:szCs w:val="24"/>
          <w:highlight w:val="white"/>
        </w:rPr>
      </w:pPr>
      <w:r>
        <w:rPr>
          <w:rStyle w:val="1032"/>
          <w:rFonts w:hint="eastAsia" w:ascii="宋体" w:hAnsi="宋体" w:cs="宋体"/>
          <w:b/>
          <w:color w:val="auto"/>
          <w:szCs w:val="24"/>
          <w:highlight w:val="white"/>
        </w:rPr>
        <w:t xml:space="preserve">实施方案</w:t>
      </w:r>
      <w:r>
        <w:rPr>
          <w:highlight w:val="white"/>
        </w:rPr>
      </w:r>
    </w:p>
    <w:tbl>
      <w:tblPr>
        <w:tblStyle w:val="820"/>
        <w:tblW w:w="848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676"/>
        </w:trPr>
        <w:tc>
          <w:tcPr>
            <w:tcW w:w="8482" w:type="dxa"/>
            <w:vAlign w:val="top"/>
            <w:textDirection w:val="lrTb"/>
            <w:noWrap w:val="false"/>
          </w:tcPr>
          <w:p>
            <w:pPr>
              <w:pStyle w:val="1041"/>
              <w:ind w:left="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提示：</w:t>
            </w:r>
            <w:r>
              <w:rPr>
                <w:highlight w:val="white"/>
              </w:rPr>
            </w:r>
          </w:p>
          <w:p>
            <w:pPr>
              <w:pStyle w:val="1041"/>
              <w:ind w:left="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1.供应商应根据本次采购项目要求，对所投服务进行详细的说明与描述。</w:t>
            </w:r>
            <w:r>
              <w:rPr>
                <w:highlight w:val="white"/>
              </w:rPr>
            </w:r>
          </w:p>
          <w:p>
            <w:pPr>
              <w:pStyle w:val="1041"/>
              <w:ind w:left="0"/>
              <w:widowControl w:val="off"/>
              <w:rPr>
                <w:rStyle w:val="1032"/>
                <w:rFonts w:hint="eastAsia" w:hAnsi="宋体" w:cs="宋体"/>
                <w:color w:val="auto"/>
                <w:sz w:val="24"/>
                <w:szCs w:val="24"/>
                <w:highlight w:val="white"/>
              </w:rPr>
            </w:pPr>
            <w:r>
              <w:rPr>
                <w:rStyle w:val="1032"/>
                <w:rFonts w:hint="eastAsia" w:hAnsi="宋体" w:cs="宋体"/>
                <w:color w:val="auto"/>
                <w:sz w:val="24"/>
                <w:szCs w:val="24"/>
                <w:highlight w:val="white"/>
              </w:rPr>
              <w:t xml:space="preserve">2.供应商可根据自身情况编写，本页不够可另加页附后。</w:t>
            </w:r>
            <w:r>
              <w:rPr>
                <w:highlight w:val="white"/>
              </w:rPr>
            </w:r>
          </w:p>
        </w:tc>
      </w:tr>
      <w:tr>
        <w:trPr>
          <w:jc w:val="center"/>
          <w:trHeight w:val="8913"/>
        </w:trPr>
        <w:tc>
          <w:tcPr>
            <w:tcW w:w="8482" w:type="dxa"/>
            <w:vAlign w:val="bottom"/>
            <w:textDirection w:val="lrTb"/>
            <w:noWrap w:val="false"/>
          </w:tcPr>
          <w:p>
            <w:pPr>
              <w:ind w:left="0" w:firstLine="240"/>
              <w:widowControl w:val="off"/>
              <w:tabs>
                <w:tab w:val="left" w:pos="1320" w:leader="none"/>
              </w:tabs>
              <w:rPr>
                <w:rStyle w:val="1032"/>
                <w:rFonts w:hint="eastAsia" w:ascii="宋体" w:hAnsi="宋体" w:cs="宋体"/>
                <w:color w:val="auto"/>
                <w:sz w:val="24"/>
                <w:szCs w:val="24"/>
                <w:highlight w:val="white"/>
                <w:u w:val="single"/>
              </w:rPr>
            </w:pPr>
            <w:r>
              <w:rPr>
                <w:rFonts w:hint="eastAsia" w:ascii="宋体" w:hAnsi="宋体" w:cs="宋体"/>
                <w:color w:val="auto"/>
                <w:sz w:val="24"/>
                <w:szCs w:val="24"/>
                <w:highlight w:val="white"/>
                <w:u w:val="single"/>
              </w:rPr>
            </w:r>
            <w:r>
              <w:rPr>
                <w:highlight w:val="white"/>
              </w:rPr>
            </w:r>
          </w:p>
        </w:tc>
      </w:tr>
    </w:tbl>
    <w:p>
      <w:pPr>
        <w:pStyle w:val="1033"/>
        <w:ind w:firstLine="0"/>
        <w:widowControl w:val="off"/>
        <w:rPr>
          <w:rStyle w:val="1032"/>
          <w:rFonts w:hint="eastAsia" w:ascii="宋体" w:hAnsi="宋体" w:cs="宋体"/>
          <w:b/>
          <w:color w:val="auto"/>
          <w:szCs w:val="24"/>
          <w:highlight w:val="white"/>
        </w:rPr>
      </w:pPr>
      <w:r>
        <w:rPr>
          <w:rFonts w:hint="eastAsia" w:ascii="宋体" w:hAnsi="宋体" w:cs="宋体"/>
          <w:b/>
          <w:color w:val="auto"/>
          <w:szCs w:val="24"/>
          <w:highlight w:val="white"/>
        </w:rPr>
      </w:r>
      <w:r>
        <w:rPr>
          <w:highlight w:val="white"/>
        </w:rPr>
      </w:r>
    </w:p>
    <w:p>
      <w:pPr>
        <w:ind w:firstLine="480"/>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供应商：（盖章）</w:t>
      </w:r>
      <w:r>
        <w:rPr>
          <w:highlight w:val="white"/>
        </w:rPr>
      </w:r>
    </w:p>
    <w:p>
      <w:pPr>
        <w:ind w:firstLine="480"/>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法定代表人或代理人：（签字或盖章）</w:t>
      </w:r>
      <w:r>
        <w:rPr>
          <w:highlight w:val="white"/>
        </w:rPr>
      </w:r>
    </w:p>
    <w:p>
      <w:pPr>
        <w:ind w:firstLine="480"/>
        <w:spacing w:line="360" w:lineRule="auto"/>
        <w:widowControl w:val="off"/>
        <w:rPr>
          <w:rStyle w:val="1032"/>
          <w:rFonts w:hint="eastAsia" w:ascii="宋体" w:hAnsi="宋体" w:cs="宋体"/>
          <w:b/>
          <w:color w:val="auto"/>
          <w:sz w:val="24"/>
          <w:szCs w:val="24"/>
          <w:highlight w:val="white"/>
        </w:rPr>
      </w:pPr>
      <w:r>
        <w:rPr>
          <w:rStyle w:val="1032"/>
          <w:rFonts w:hint="eastAsia" w:ascii="宋体" w:hAnsi="宋体" w:cs="宋体"/>
          <w:color w:val="auto"/>
          <w:sz w:val="24"/>
          <w:szCs w:val="24"/>
          <w:highlight w:val="white"/>
        </w:rPr>
        <w:t xml:space="preserve">日期：      年    月    日</w:t>
      </w:r>
      <w:r>
        <w:rPr>
          <w:highlight w:val="white"/>
        </w:rPr>
      </w:r>
    </w:p>
    <w:p>
      <w:pPr>
        <w:pStyle w:val="1035"/>
        <w:ind w:left="0" w:firstLine="0"/>
        <w:widowControl w:val="off"/>
        <w:rPr>
          <w:rStyle w:val="1032"/>
          <w:rFonts w:hint="eastAsia" w:ascii="宋体" w:hAnsi="宋体" w:cs="宋体"/>
          <w:color w:val="auto"/>
          <w:szCs w:val="24"/>
          <w:highlight w:val="white"/>
        </w:rPr>
        <w:outlineLvl w:val="1"/>
      </w:pPr>
      <w:r>
        <w:rPr>
          <w:rStyle w:val="1032"/>
          <w:rFonts w:hint="eastAsia" w:ascii="宋体" w:hAnsi="宋体" w:cs="宋体"/>
          <w:b/>
          <w:color w:val="auto"/>
          <w:szCs w:val="24"/>
          <w:highlight w:val="white"/>
        </w:rPr>
        <w:br w:type="page" w:clear="all"/>
      </w:r>
      <w:r>
        <w:rPr>
          <w:rStyle w:val="1032"/>
          <w:rFonts w:hint="eastAsia" w:ascii="宋体" w:hAnsi="宋体" w:cs="宋体"/>
          <w:b/>
          <w:color w:val="auto"/>
          <w:szCs w:val="24"/>
          <w:highlight w:val="white"/>
        </w:rPr>
        <w:t xml:space="preserve">附件10、拟投入本项目人员配备一览表</w:t>
      </w:r>
      <w:bookmarkEnd w:id="51"/>
      <w:r>
        <w:rPr>
          <w:highlight w:val="white"/>
        </w:rPr>
      </w:r>
      <w:bookmarkEnd w:id="52"/>
      <w:r>
        <w:rPr>
          <w:highlight w:val="white"/>
        </w:rPr>
      </w:r>
      <w:r>
        <w:rPr>
          <w:highlight w:val="white"/>
        </w:rPr>
      </w:r>
    </w:p>
    <w:p>
      <w:pPr>
        <w:widowControl w:val="off"/>
        <w:rPr>
          <w:rStyle w:val="1032"/>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1035"/>
        <w:ind w:left="0" w:firstLine="0"/>
        <w:jc w:val="center"/>
        <w:widowControl w:val="off"/>
        <w:rPr>
          <w:rStyle w:val="1032"/>
          <w:rFonts w:hint="eastAsia" w:ascii="宋体" w:hAnsi="宋体" w:cs="宋体"/>
          <w:b/>
          <w:color w:val="auto"/>
          <w:szCs w:val="24"/>
          <w:highlight w:val="white"/>
        </w:rPr>
      </w:pPr>
      <w:r>
        <w:rPr>
          <w:rStyle w:val="1032"/>
          <w:rFonts w:hint="eastAsia" w:ascii="宋体" w:hAnsi="宋体" w:cs="宋体"/>
          <w:b/>
          <w:color w:val="auto"/>
          <w:szCs w:val="24"/>
          <w:highlight w:val="white"/>
        </w:rPr>
        <w:t xml:space="preserve">拟投入本项目人员配备一览表</w:t>
      </w:r>
      <w:r>
        <w:rPr>
          <w:highlight w:val="white"/>
        </w:rPr>
      </w:r>
    </w:p>
    <w:tbl>
      <w:tblPr>
        <w:tblStyle w:val="820"/>
        <w:tblW w:w="889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jc w:val="center"/>
        </w:trPr>
        <w:tc>
          <w:tcPr>
            <w:tcW w:w="459"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序号</w:t>
            </w:r>
            <w:r>
              <w:rPr>
                <w:highlight w:val="white"/>
              </w:rPr>
            </w:r>
          </w:p>
        </w:tc>
        <w:tc>
          <w:tcPr>
            <w:tcW w:w="121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项目组所任职务</w:t>
            </w:r>
            <w:r>
              <w:rPr>
                <w:highlight w:val="white"/>
              </w:rPr>
            </w:r>
          </w:p>
        </w:tc>
        <w:tc>
          <w:tcPr>
            <w:tcW w:w="99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姓名</w:t>
            </w:r>
            <w:r>
              <w:rPr>
                <w:highlight w:val="white"/>
              </w:rPr>
            </w:r>
          </w:p>
        </w:tc>
        <w:tc>
          <w:tcPr>
            <w:tcW w:w="566"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性别</w:t>
            </w:r>
            <w:r>
              <w:rPr>
                <w:highlight w:val="white"/>
              </w:rPr>
            </w:r>
          </w:p>
        </w:tc>
        <w:tc>
          <w:tcPr>
            <w:tcW w:w="56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年龄</w:t>
            </w:r>
            <w:r>
              <w:rPr>
                <w:highlight w:val="white"/>
              </w:rPr>
            </w:r>
          </w:p>
        </w:tc>
        <w:tc>
          <w:tcPr>
            <w:tcW w:w="93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职称</w:t>
            </w:r>
            <w:r>
              <w:rPr>
                <w:highlight w:val="white"/>
              </w:rPr>
            </w:r>
          </w:p>
        </w:tc>
        <w:tc>
          <w:tcPr>
            <w:tcW w:w="133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专业/资格</w:t>
            </w:r>
            <w:r>
              <w:rPr>
                <w:highlight w:val="white"/>
              </w:rPr>
            </w:r>
          </w:p>
        </w:tc>
        <w:tc>
          <w:tcPr>
            <w:tcW w:w="1288"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从事本工作时间</w:t>
            </w:r>
            <w:r>
              <w:rPr>
                <w:highlight w:val="white"/>
              </w:rPr>
            </w:r>
          </w:p>
        </w:tc>
        <w:tc>
          <w:tcPr>
            <w:tcW w:w="154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典型业务与技术专长</w:t>
            </w:r>
            <w:r>
              <w:rPr>
                <w:highlight w:val="white"/>
              </w:rPr>
            </w:r>
          </w:p>
        </w:tc>
      </w:tr>
      <w:tr>
        <w:trPr>
          <w:jc w:val="center"/>
        </w:trPr>
        <w:tc>
          <w:tcPr>
            <w:tcW w:w="459"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1</w:t>
            </w:r>
            <w:r>
              <w:rPr>
                <w:highlight w:val="white"/>
              </w:rPr>
            </w:r>
          </w:p>
        </w:tc>
        <w:tc>
          <w:tcPr>
            <w:tcW w:w="121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9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6"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3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33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88"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4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459"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2</w:t>
            </w:r>
            <w:r>
              <w:rPr>
                <w:highlight w:val="white"/>
              </w:rPr>
            </w:r>
          </w:p>
        </w:tc>
        <w:tc>
          <w:tcPr>
            <w:tcW w:w="121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9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6"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3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33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88"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4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459"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3</w:t>
            </w:r>
            <w:r>
              <w:rPr>
                <w:highlight w:val="white"/>
              </w:rPr>
            </w:r>
          </w:p>
        </w:tc>
        <w:tc>
          <w:tcPr>
            <w:tcW w:w="121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9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6"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3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33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88"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4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459"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4</w:t>
            </w:r>
            <w:r>
              <w:rPr>
                <w:highlight w:val="white"/>
              </w:rPr>
            </w:r>
          </w:p>
        </w:tc>
        <w:tc>
          <w:tcPr>
            <w:tcW w:w="121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9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6"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3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33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88"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4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459"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5</w:t>
            </w:r>
            <w:r>
              <w:rPr>
                <w:highlight w:val="white"/>
              </w:rPr>
            </w:r>
          </w:p>
        </w:tc>
        <w:tc>
          <w:tcPr>
            <w:tcW w:w="121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9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6"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3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33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88"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4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459"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6</w:t>
            </w:r>
            <w:r>
              <w:rPr>
                <w:highlight w:val="white"/>
              </w:rPr>
            </w:r>
          </w:p>
        </w:tc>
        <w:tc>
          <w:tcPr>
            <w:tcW w:w="121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9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6"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3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33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88"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4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459"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7</w:t>
            </w:r>
            <w:r>
              <w:rPr>
                <w:highlight w:val="white"/>
              </w:rPr>
            </w:r>
          </w:p>
        </w:tc>
        <w:tc>
          <w:tcPr>
            <w:tcW w:w="121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9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6"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3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33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88"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4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459"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8</w:t>
            </w:r>
            <w:r>
              <w:rPr>
                <w:highlight w:val="white"/>
              </w:rPr>
            </w:r>
          </w:p>
        </w:tc>
        <w:tc>
          <w:tcPr>
            <w:tcW w:w="121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9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6"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3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33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88"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4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459"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9</w:t>
            </w:r>
            <w:r>
              <w:rPr>
                <w:highlight w:val="white"/>
              </w:rPr>
            </w:r>
          </w:p>
        </w:tc>
        <w:tc>
          <w:tcPr>
            <w:tcW w:w="121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9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6"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31"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33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88"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47" w:type="dxa"/>
            <w:vAlign w:val="center"/>
            <w:textDirection w:val="lrTb"/>
            <w:noWrap w:val="false"/>
          </w:tcPr>
          <w:p>
            <w:pPr>
              <w:pStyle w:val="1036"/>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Pr>
        <w:tc>
          <w:tcPr>
            <w:tcW w:w="459" w:type="dxa"/>
            <w:vAlign w:val="center"/>
            <w:textDirection w:val="lrTb"/>
            <w:noWrap w:val="false"/>
          </w:tcPr>
          <w:p>
            <w:pPr>
              <w:ind w:left="0"/>
              <w:jc w:val="center"/>
              <w:spacing w:line="360" w:lineRule="auto"/>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rPr>
              <w:t xml:space="preserve">10</w:t>
            </w:r>
            <w:r>
              <w:rPr>
                <w:highlight w:val="white"/>
              </w:rPr>
            </w:r>
          </w:p>
        </w:tc>
        <w:tc>
          <w:tcPr>
            <w:tcW w:w="1211" w:type="dxa"/>
            <w:vAlign w:val="center"/>
            <w:textDirection w:val="lrTb"/>
            <w:noWrap w:val="false"/>
          </w:tcPr>
          <w:p>
            <w:pPr>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91" w:type="dxa"/>
            <w:vAlign w:val="center"/>
            <w:textDirection w:val="lrTb"/>
            <w:noWrap w:val="false"/>
          </w:tcPr>
          <w:p>
            <w:pPr>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6" w:type="dxa"/>
            <w:vAlign w:val="center"/>
            <w:textDirection w:val="lrTb"/>
            <w:noWrap w:val="false"/>
          </w:tcPr>
          <w:p>
            <w:pPr>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567" w:type="dxa"/>
            <w:vAlign w:val="center"/>
            <w:textDirection w:val="lrTb"/>
            <w:noWrap w:val="false"/>
          </w:tcPr>
          <w:p>
            <w:pPr>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931" w:type="dxa"/>
            <w:vAlign w:val="center"/>
            <w:textDirection w:val="lrTb"/>
            <w:noWrap w:val="false"/>
          </w:tcPr>
          <w:p>
            <w:pPr>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337" w:type="dxa"/>
            <w:vAlign w:val="center"/>
            <w:textDirection w:val="lrTb"/>
            <w:noWrap w:val="false"/>
          </w:tcPr>
          <w:p>
            <w:pPr>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88" w:type="dxa"/>
            <w:vAlign w:val="center"/>
            <w:textDirection w:val="lrTb"/>
            <w:noWrap w:val="false"/>
          </w:tcPr>
          <w:p>
            <w:pPr>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47" w:type="dxa"/>
            <w:vAlign w:val="center"/>
            <w:textDirection w:val="lrTb"/>
            <w:noWrap w:val="false"/>
          </w:tcPr>
          <w:p>
            <w:pPr>
              <w:ind w:left="0"/>
              <w:jc w:val="center"/>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bl>
    <w:p>
      <w:pPr>
        <w:pStyle w:val="1035"/>
        <w:widowControl w:val="off"/>
        <w:rPr>
          <w:rStyle w:val="1032"/>
          <w:rFonts w:hint="eastAsia" w:ascii="宋体" w:hAnsi="宋体" w:cs="宋体"/>
          <w:color w:val="auto"/>
          <w:szCs w:val="24"/>
          <w:highlight w:val="white"/>
        </w:rPr>
      </w:pPr>
      <w:r>
        <w:rPr>
          <w:rFonts w:hint="eastAsia" w:ascii="宋体" w:hAnsi="宋体" w:cs="宋体"/>
          <w:color w:val="auto"/>
          <w:szCs w:val="24"/>
          <w:highlight w:val="white"/>
        </w:rPr>
      </w:r>
      <w:r>
        <w:rPr>
          <w:highlight w:val="white"/>
        </w:rPr>
      </w:r>
    </w:p>
    <w:p>
      <w:pPr>
        <w:ind w:firstLine="482"/>
        <w:spacing w:line="360" w:lineRule="auto"/>
        <w:widowControl w:val="off"/>
        <w:rPr>
          <w:rStyle w:val="1032"/>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1035"/>
        <w:ind w:left="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供应商：（单位盖章）</w:t>
      </w:r>
      <w:r>
        <w:rPr>
          <w:highlight w:val="white"/>
        </w:rPr>
      </w:r>
    </w:p>
    <w:p>
      <w:pPr>
        <w:pStyle w:val="1035"/>
        <w:ind w:left="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法定代表人或代理人：（签字或盖章）</w:t>
      </w:r>
      <w:r>
        <w:rPr>
          <w:highlight w:val="white"/>
        </w:rPr>
      </w:r>
    </w:p>
    <w:p>
      <w:pPr>
        <w:pStyle w:val="1035"/>
        <w:ind w:left="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日期：      年    月    日</w:t>
      </w:r>
      <w:r>
        <w:rPr>
          <w:highlight w:val="white"/>
        </w:rPr>
      </w:r>
    </w:p>
    <w:p>
      <w:pPr>
        <w:pStyle w:val="1035"/>
        <w:ind w:left="0" w:firstLine="0"/>
        <w:widowControl w:val="off"/>
        <w:rPr>
          <w:rStyle w:val="1032"/>
          <w:rFonts w:hint="eastAsia" w:ascii="宋体" w:hAnsi="宋体" w:cs="宋体"/>
          <w:b/>
          <w:color w:val="auto"/>
          <w:highlight w:val="white"/>
        </w:rPr>
        <w:outlineLvl w:val="1"/>
      </w:pPr>
      <w:r>
        <w:rPr>
          <w:rStyle w:val="1032"/>
          <w:rFonts w:hint="eastAsia" w:ascii="宋体" w:hAnsi="宋体" w:cs="宋体"/>
          <w:color w:val="auto"/>
          <w:sz w:val="21"/>
          <w:szCs w:val="21"/>
          <w:highlight w:val="white"/>
        </w:rPr>
        <w:br w:type="page" w:clear="all"/>
      </w:r>
      <w:bookmarkStart w:id="53" w:name="_Toc5921"/>
      <w:r>
        <w:rPr>
          <w:rStyle w:val="1032"/>
          <w:rFonts w:hint="eastAsia" w:ascii="宋体" w:hAnsi="宋体" w:cs="宋体"/>
          <w:b/>
          <w:color w:val="auto"/>
          <w:highlight w:val="white"/>
        </w:rPr>
        <w:t xml:space="preserve">附件11、企业类似项目一览表</w:t>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jc w:val="center"/>
        <w:spacing w:line="360" w:lineRule="auto"/>
        <w:widowControl w:val="off"/>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企业类似项目一览表</w:t>
      </w:r>
      <w:r>
        <w:rPr>
          <w:highlight w:val="white"/>
        </w:rPr>
      </w:r>
    </w:p>
    <w:p>
      <w:pPr>
        <w:spacing w:line="360" w:lineRule="auto"/>
        <w:widowControl w:val="off"/>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ind w:left="0"/>
              <w:jc w:val="center"/>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序号</w:t>
            </w:r>
            <w:r>
              <w:rPr>
                <w:highlight w:val="white"/>
              </w:rPr>
            </w:r>
          </w:p>
        </w:tc>
        <w:tc>
          <w:tcPr>
            <w:tcW w:w="1649" w:type="dxa"/>
            <w:vAlign w:val="center"/>
            <w:textDirection w:val="lrTb"/>
            <w:noWrap w:val="false"/>
          </w:tcPr>
          <w:p>
            <w:pPr>
              <w:ind w:left="0"/>
              <w:jc w:val="center"/>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合同名称</w:t>
            </w:r>
            <w:r>
              <w:rPr>
                <w:highlight w:val="white"/>
              </w:rP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业主单位</w:t>
            </w:r>
            <w:r>
              <w:rPr>
                <w:highlight w:val="white"/>
              </w:rP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项目时间</w:t>
            </w:r>
            <w:r>
              <w:rPr>
                <w:highlight w:val="white"/>
              </w:rPr>
            </w:r>
          </w:p>
        </w:tc>
        <w:tc>
          <w:tcPr>
            <w:tcW w:w="1757" w:type="dxa"/>
            <w:vAlign w:val="center"/>
            <w:textDirection w:val="lrTb"/>
            <w:noWrap w:val="false"/>
          </w:tcPr>
          <w:p>
            <w:pPr>
              <w:ind w:left="0"/>
              <w:jc w:val="center"/>
              <w:widowControl w:val="off"/>
              <w:tabs>
                <w:tab w:val="left" w:pos="6252"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合同金额</w:t>
            </w:r>
            <w:r>
              <w:rPr>
                <w:highlight w:val="white"/>
              </w:rPr>
            </w:r>
          </w:p>
        </w:tc>
        <w:tc>
          <w:tcPr>
            <w:tcW w:w="1201" w:type="dxa"/>
            <w:vAlign w:val="center"/>
            <w:textDirection w:val="lrTb"/>
            <w:noWrap w:val="false"/>
          </w:tcPr>
          <w:p>
            <w:pPr>
              <w:ind w:left="0"/>
              <w:jc w:val="center"/>
              <w:widowControl w:val="off"/>
              <w:tabs>
                <w:tab w:val="left" w:pos="6252"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备注</w:t>
            </w:r>
            <w:r>
              <w:rPr>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w:t>
            </w:r>
            <w:r>
              <w:rPr>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w:t>
            </w:r>
            <w:r>
              <w:rPr>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rPr>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rPr>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w:t>
            </w:r>
            <w:r>
              <w:rPr>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tc>
      </w:tr>
    </w:tbl>
    <w:p>
      <w:pPr>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1033"/>
        <w:ind w:firstLine="0"/>
        <w:jc w:val="both"/>
        <w:spacing w:line="360" w:lineRule="auto"/>
        <w:widowControl w:val="off"/>
        <w:rPr>
          <w:rStyle w:val="1032"/>
          <w:rFonts w:hint="eastAsia" w:ascii="宋体" w:hAnsi="宋体" w:cs="宋体"/>
          <w:b/>
          <w:color w:val="auto"/>
          <w:szCs w:val="24"/>
          <w:highlight w:val="white"/>
        </w:rPr>
      </w:pPr>
      <w:r>
        <w:rPr>
          <w:rFonts w:hint="eastAsia" w:ascii="宋体" w:hAnsi="宋体" w:cs="宋体"/>
          <w:b/>
          <w:color w:val="auto"/>
          <w:szCs w:val="24"/>
          <w:highlight w:val="white"/>
        </w:rPr>
      </w:r>
      <w:r>
        <w:rPr>
          <w:highlight w:val="white"/>
        </w:rPr>
      </w:r>
    </w:p>
    <w:p>
      <w:pPr>
        <w:pStyle w:val="1035"/>
        <w:widowControl w:val="off"/>
        <w:rPr>
          <w:rStyle w:val="1032"/>
          <w:rFonts w:hint="eastAsia" w:ascii="宋体" w:hAnsi="宋体" w:cs="宋体"/>
          <w:color w:val="auto"/>
          <w:highlight w:val="white"/>
        </w:rPr>
      </w:pPr>
      <w:r>
        <w:rPr>
          <w:rStyle w:val="1032"/>
          <w:rFonts w:hint="eastAsia" w:ascii="宋体" w:hAnsi="宋体" w:cs="宋体"/>
          <w:color w:val="auto"/>
          <w:highlight w:val="white"/>
        </w:rPr>
        <w:t xml:space="preserve">供应商：（单位盖章）</w:t>
      </w:r>
      <w:r>
        <w:rPr>
          <w:highlight w:val="white"/>
        </w:rPr>
      </w:r>
    </w:p>
    <w:p>
      <w:pPr>
        <w:pStyle w:val="1035"/>
        <w:widowControl w:val="off"/>
        <w:rPr>
          <w:rStyle w:val="1032"/>
          <w:rFonts w:hint="eastAsia" w:ascii="宋体" w:hAnsi="宋体" w:cs="宋体"/>
          <w:color w:val="auto"/>
          <w:highlight w:val="white"/>
        </w:rPr>
      </w:pPr>
      <w:r>
        <w:rPr>
          <w:rStyle w:val="1032"/>
          <w:rFonts w:hint="eastAsia" w:ascii="宋体" w:hAnsi="宋体" w:cs="宋体"/>
          <w:color w:val="auto"/>
          <w:highlight w:val="white"/>
        </w:rPr>
        <w:t xml:space="preserve">法定代表人或代理人：（签字或盖章）</w:t>
      </w:r>
      <w:r>
        <w:rPr>
          <w:highlight w:val="white"/>
        </w:rPr>
      </w:r>
    </w:p>
    <w:p>
      <w:pPr>
        <w:pStyle w:val="1035"/>
        <w:widowControl w:val="off"/>
        <w:rPr>
          <w:rStyle w:val="1032"/>
          <w:rFonts w:hint="eastAsia" w:ascii="宋体" w:hAnsi="宋体" w:cs="宋体"/>
          <w:color w:val="auto"/>
          <w:highlight w:val="white"/>
        </w:rPr>
      </w:pPr>
      <w:r>
        <w:rPr>
          <w:rStyle w:val="1032"/>
          <w:rFonts w:hint="eastAsia" w:ascii="宋体" w:hAnsi="宋体" w:cs="宋体"/>
          <w:color w:val="auto"/>
          <w:highlight w:val="white"/>
        </w:rPr>
        <w:t xml:space="preserve">日期：   年   月   日</w:t>
      </w:r>
      <w:r>
        <w:rPr>
          <w:highlight w:val="white"/>
        </w:rPr>
      </w:r>
    </w:p>
    <w:p>
      <w:pPr>
        <w:pStyle w:val="1033"/>
        <w:ind w:left="0" w:firstLine="0"/>
        <w:jc w:val="both"/>
        <w:spacing w:line="360" w:lineRule="auto"/>
        <w:widowControl w:val="off"/>
        <w:rPr>
          <w:rFonts w:hint="eastAsia" w:ascii="宋体" w:hAnsi="宋体" w:cs="宋体"/>
          <w:b/>
          <w:color w:val="auto"/>
          <w:sz w:val="21"/>
          <w:szCs w:val="21"/>
          <w:highlight w:val="white"/>
        </w:rPr>
        <w:outlineLvl w:val="1"/>
      </w:pPr>
      <w:r>
        <w:rPr>
          <w:rFonts w:hint="eastAsia" w:ascii="宋体" w:hAnsi="宋体" w:cs="宋体"/>
          <w:b/>
          <w:color w:val="auto"/>
          <w:sz w:val="21"/>
          <w:szCs w:val="21"/>
          <w:highlight w:val="white"/>
        </w:rPr>
        <w:br w:type="page" w:clear="all"/>
      </w:r>
      <w:r>
        <w:rPr>
          <w:rFonts w:hint="eastAsia" w:ascii="宋体" w:hAnsi="宋体" w:cs="宋体"/>
          <w:b/>
          <w:color w:val="auto"/>
          <w:szCs w:val="24"/>
          <w:highlight w:val="white"/>
        </w:rPr>
        <w:t xml:space="preserve">附件12、中小企业声明函</w:t>
      </w:r>
      <w:bookmarkEnd w:id="48"/>
      <w:r>
        <w:rPr>
          <w:highlight w:val="white"/>
        </w:rPr>
      </w:r>
      <w:bookmarkEnd w:id="49"/>
      <w:r>
        <w:rPr>
          <w:highlight w:val="white"/>
        </w:rPr>
      </w:r>
      <w:bookmarkEnd w:id="53"/>
      <w:r>
        <w:rPr>
          <w:highlight w:val="white"/>
        </w:rPr>
      </w:r>
      <w:r>
        <w:rPr>
          <w:highlight w:val="white"/>
        </w:rPr>
      </w:r>
    </w:p>
    <w:p>
      <w:pPr>
        <w:ind w:left="0"/>
        <w:jc w:val="center"/>
        <w:spacing w:line="400" w:lineRule="exact"/>
        <w:widowControl w:val="off"/>
        <w:rPr>
          <w:rStyle w:val="1032"/>
          <w:rFonts w:hint="eastAsia" w:ascii="宋体" w:hAnsi="宋体" w:cs="宋体"/>
          <w:color w:val="auto"/>
          <w:sz w:val="24"/>
          <w:szCs w:val="24"/>
          <w:highlight w:val="white"/>
        </w:rPr>
      </w:pPr>
      <w:r>
        <w:rPr>
          <w:rStyle w:val="1032"/>
          <w:rFonts w:hint="eastAsia" w:ascii="宋体" w:hAnsi="宋体" w:cs="宋体"/>
          <w:color w:val="auto"/>
          <w:sz w:val="24"/>
          <w:szCs w:val="24"/>
          <w:highlight w:val="white"/>
          <w:lang w:val="zh-CN"/>
        </w:rPr>
        <w:t xml:space="preserve">中小企业声明函</w:t>
      </w:r>
      <w:r>
        <w:rPr>
          <w:highlight w:val="white"/>
        </w:rPr>
      </w:r>
    </w:p>
    <w:p>
      <w:pPr>
        <w:ind w:left="0" w:firstLine="480"/>
        <w:spacing w:line="360" w:lineRule="auto"/>
        <w:widowControl w:val="off"/>
        <w:rPr>
          <w:rStyle w:val="1032"/>
          <w:rFonts w:hint="eastAsia" w:ascii="宋体" w:hAnsi="宋体" w:cs="宋体"/>
          <w:color w:val="auto"/>
          <w:sz w:val="24"/>
          <w:szCs w:val="24"/>
          <w:highlight w:val="white"/>
        </w:rPr>
      </w:pPr>
      <w:r>
        <w:rPr>
          <w:rFonts w:hint="eastAsia" w:ascii="宋体" w:hAnsi="宋体" w:cs="宋体"/>
          <w:color w:val="auto"/>
          <w:sz w:val="24"/>
          <w:szCs w:val="24"/>
          <w:highlight w:val="white"/>
          <w:lang w:val="zh-CN"/>
        </w:rPr>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本公司(联合体）郑重声明，根据《政府采购促进中小企业发展管理办法》(财库【2020】46号）的规定，本公司(联合体）参加</w:t>
      </w:r>
      <w:r>
        <w:rPr>
          <w:rFonts w:hint="eastAsia" w:ascii="宋体" w:hAnsi="宋体" w:cs="宋体"/>
          <w:b/>
          <w:color w:val="auto"/>
          <w:sz w:val="24"/>
          <w:szCs w:val="24"/>
          <w:highlight w:val="white"/>
          <w:u w:val="single"/>
        </w:rPr>
        <w:t xml:space="preserve">                  </w:t>
      </w:r>
      <w:r>
        <w:rPr>
          <w:rFonts w:hint="eastAsia" w:ascii="宋体" w:hAnsi="宋体" w:cs="宋体"/>
          <w:color w:val="auto"/>
          <w:sz w:val="24"/>
          <w:szCs w:val="24"/>
          <w:highlight w:val="white"/>
        </w:rPr>
        <w:t xml:space="preserve">采购活动，服务全部由符合政策要求的中小企业承接。相关企业（含联合体中的中小企业、签订分包意向协议的中小企业）的具体情况如下:</w:t>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u w:val="single"/>
        </w:rPr>
        <w:t xml:space="preserve">（标的名称)</w:t>
      </w:r>
      <w:r>
        <w:rPr>
          <w:rFonts w:hint="eastAsia" w:ascii="宋体" w:hAnsi="宋体" w:cs="宋体"/>
          <w:color w:val="auto"/>
          <w:sz w:val="24"/>
          <w:szCs w:val="24"/>
          <w:highlight w:val="white"/>
        </w:rPr>
        <w:t xml:space="preserve">，属于</w:t>
      </w:r>
      <w:r>
        <w:rPr>
          <w:rFonts w:hint="eastAsia" w:ascii="宋体" w:hAnsi="宋体" w:cs="宋体"/>
          <w:color w:val="auto"/>
          <w:sz w:val="24"/>
          <w:szCs w:val="24"/>
          <w:highlight w:val="white"/>
          <w:u w:val="single"/>
        </w:rPr>
        <w:t xml:space="preserve">（采购文件中明确的所属行业)</w:t>
      </w:r>
      <w:r>
        <w:rPr>
          <w:rFonts w:hint="eastAsia" w:ascii="宋体" w:hAnsi="宋体" w:cs="宋体"/>
          <w:color w:val="auto"/>
          <w:sz w:val="24"/>
          <w:szCs w:val="24"/>
          <w:highlight w:val="white"/>
        </w:rPr>
        <w:t xml:space="preserve">；承建（承接）企业为</w:t>
      </w:r>
      <w:r>
        <w:rPr>
          <w:rFonts w:hint="eastAsia" w:ascii="宋体" w:hAnsi="宋体" w:cs="宋体"/>
          <w:color w:val="auto"/>
          <w:sz w:val="24"/>
          <w:szCs w:val="24"/>
          <w:highlight w:val="white"/>
          <w:u w:val="single"/>
        </w:rPr>
        <w:t xml:space="preserve">（企业名称)</w:t>
      </w:r>
      <w:r>
        <w:rPr>
          <w:rFonts w:hint="eastAsia" w:ascii="宋体" w:hAnsi="宋体" w:cs="宋体"/>
          <w:color w:val="auto"/>
          <w:sz w:val="24"/>
          <w:szCs w:val="24"/>
          <w:highlight w:val="white"/>
        </w:rPr>
        <w:t xml:space="preserve">，从业人员__人，营业收入为__万元，资产总额为__万元，属于（中型企业、小型企业、微型企业)；</w:t>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u w:val="single"/>
        </w:rPr>
        <w:t xml:space="preserve">(标的名称)</w:t>
      </w:r>
      <w:r>
        <w:rPr>
          <w:rFonts w:hint="eastAsia" w:ascii="宋体" w:hAnsi="宋体" w:cs="宋体"/>
          <w:color w:val="auto"/>
          <w:sz w:val="24"/>
          <w:szCs w:val="24"/>
          <w:highlight w:val="white"/>
        </w:rPr>
        <w:t xml:space="preserve">，属于</w:t>
      </w:r>
      <w:r>
        <w:rPr>
          <w:rFonts w:hint="eastAsia" w:ascii="宋体" w:hAnsi="宋体" w:cs="宋体"/>
          <w:color w:val="auto"/>
          <w:sz w:val="24"/>
          <w:szCs w:val="24"/>
          <w:highlight w:val="white"/>
          <w:u w:val="single"/>
        </w:rPr>
        <w:t xml:space="preserve">(采购文件中明确的所属行业)</w:t>
      </w:r>
      <w:r>
        <w:rPr>
          <w:rFonts w:hint="eastAsia" w:ascii="宋体" w:hAnsi="宋体" w:cs="宋体"/>
          <w:color w:val="auto"/>
          <w:sz w:val="24"/>
          <w:szCs w:val="24"/>
          <w:highlight w:val="white"/>
        </w:rPr>
        <w:t xml:space="preserve">；承建（承接）企业为</w:t>
      </w:r>
      <w:r>
        <w:rPr>
          <w:rFonts w:hint="eastAsia" w:ascii="宋体" w:hAnsi="宋体" w:cs="宋体"/>
          <w:color w:val="auto"/>
          <w:sz w:val="24"/>
          <w:szCs w:val="24"/>
          <w:highlight w:val="white"/>
          <w:u w:val="single"/>
        </w:rPr>
        <w:t xml:space="preserve">(企业名称)</w:t>
      </w:r>
      <w:r>
        <w:rPr>
          <w:rFonts w:hint="eastAsia" w:ascii="宋体" w:hAnsi="宋体" w:cs="宋体"/>
          <w:color w:val="auto"/>
          <w:sz w:val="24"/>
          <w:szCs w:val="24"/>
          <w:highlight w:val="white"/>
        </w:rPr>
        <w:t xml:space="preserve">，从业人员</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人，营业收入为___万元，资产总额为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万元，属于</w:t>
      </w:r>
      <w:r>
        <w:rPr>
          <w:rFonts w:hint="eastAsia" w:ascii="宋体" w:hAnsi="宋体" w:cs="宋体"/>
          <w:color w:val="auto"/>
          <w:sz w:val="24"/>
          <w:szCs w:val="24"/>
          <w:highlight w:val="white"/>
          <w:u w:val="single"/>
        </w:rPr>
        <w:t xml:space="preserve">（中型企业、小型企业、微型企业)</w:t>
      </w:r>
      <w:r>
        <w:rPr>
          <w:rFonts w:hint="eastAsia" w:ascii="宋体" w:hAnsi="宋体" w:cs="宋体"/>
          <w:color w:val="auto"/>
          <w:sz w:val="24"/>
          <w:szCs w:val="24"/>
          <w:highlight w:val="white"/>
        </w:rPr>
        <w:t xml:space="preserve">；</w:t>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以上企业，不属于大企业的分支机构，不存在控股股东为大企业的情形，也不存在与大企业的负责人为同一人的情形。</w:t>
      </w:r>
      <w:r>
        <w:rPr>
          <w:highlight w:val="white"/>
        </w:rPr>
      </w:r>
    </w:p>
    <w:p>
      <w:pPr>
        <w:pStyle w:val="850"/>
        <w:ind w:firstLine="480"/>
        <w:rPr>
          <w:rFonts w:hint="eastAsia" w:hAnsi="宋体" w:cs="宋体"/>
          <w:color w:val="auto"/>
          <w:sz w:val="21"/>
          <w:szCs w:val="21"/>
          <w:highlight w:val="white"/>
        </w:rPr>
      </w:pPr>
      <w:r>
        <w:rPr>
          <w:rFonts w:hint="eastAsia" w:hAnsi="宋体" w:cs="宋体"/>
          <w:color w:val="auto"/>
          <w:szCs w:val="24"/>
          <w:highlight w:val="white"/>
        </w:rPr>
        <w:t xml:space="preserve">本企业对上述声明内容的真实性负责。如有虚假，将依法承担相应责任。</w:t>
      </w:r>
      <w:r>
        <w:rPr>
          <w:highlight w:val="white"/>
        </w:rPr>
      </w:r>
    </w:p>
    <w:p>
      <w:pPr>
        <w:ind w:left="0" w:firstLine="420"/>
        <w:spacing w:line="360" w:lineRule="auto"/>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ind w:left="0"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注：从业人员、营业收入、资产总额填报上一年度数据，无上一年度数据的新成立企业可不填报。</w:t>
      </w:r>
      <w:r>
        <w:rPr>
          <w:highlight w:val="white"/>
        </w:rPr>
      </w:r>
    </w:p>
    <w:p>
      <w:pPr>
        <w:pStyle w:val="1004"/>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1004"/>
        <w:ind w:left="0" w:firstLine="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1004"/>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企业名称（盖章）：</w:t>
      </w:r>
      <w:r>
        <w:rPr>
          <w:highlight w:val="white"/>
        </w:rPr>
      </w:r>
    </w:p>
    <w:p>
      <w:pPr>
        <w:pStyle w:val="1004"/>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1004"/>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日  期：</w:t>
      </w:r>
      <w:r>
        <w:rPr>
          <w:highlight w:val="white"/>
        </w:rPr>
      </w:r>
    </w:p>
    <w:p>
      <w:pPr>
        <w:pStyle w:val="1004"/>
        <w:ind w:left="0" w:firstLine="0"/>
        <w:jc w:val="left"/>
        <w:spacing w:line="360" w:lineRule="auto"/>
        <w:rPr>
          <w:rFonts w:hint="eastAsia" w:ascii="宋体" w:hAnsi="宋体" w:cs="宋体"/>
          <w:b/>
          <w:bCs/>
          <w:color w:val="auto"/>
          <w:sz w:val="21"/>
          <w:szCs w:val="21"/>
          <w:highlight w:val="white"/>
        </w:rPr>
        <w:outlineLvl w:val="1"/>
      </w:pPr>
      <w:r>
        <w:rPr>
          <w:rFonts w:hint="eastAsia" w:ascii="宋体" w:hAnsi="宋体" w:cs="宋体"/>
          <w:b/>
          <w:bCs/>
          <w:color w:val="auto"/>
          <w:sz w:val="21"/>
          <w:szCs w:val="21"/>
          <w:highlight w:val="white"/>
        </w:rPr>
        <w:br w:type="page" w:clear="all"/>
      </w:r>
      <w:bookmarkStart w:id="54" w:name="_Toc14042"/>
      <w:r>
        <w:rPr>
          <w:rFonts w:hint="eastAsia" w:ascii="宋体" w:hAnsi="宋体" w:cs="宋体"/>
          <w:b/>
          <w:bCs/>
          <w:color w:val="auto"/>
          <w:sz w:val="21"/>
          <w:szCs w:val="21"/>
          <w:highlight w:val="white"/>
        </w:rPr>
        <w:t xml:space="preserve">附：中小企业划型标准规定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（一）农、林、牧、渔业。营业收入20000万元以下的为中小微型企业。其中，营业收入500万元及以上的为中型企业，营业收入50万元及以上的为小型企业，营业收入50万元以下的为微型企业。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p>
    <w:p>
      <w:pPr>
        <w:pStyle w:val="1004"/>
        <w:ind w:left="0" w:firstLine="0"/>
        <w:jc w:val="left"/>
        <w:spacing w:line="360" w:lineRule="auto"/>
        <w:rPr>
          <w:rFonts w:hint="eastAsia" w:ascii="宋体" w:hAnsi="宋体" w:cs="宋体"/>
          <w:color w:val="auto"/>
          <w:sz w:val="21"/>
          <w:szCs w:val="21"/>
          <w:highlight w:val="white"/>
        </w:rPr>
        <w:outlineLvl w:val="1"/>
      </w:pPr>
      <w:r>
        <w:rPr>
          <w:rFonts w:hint="eastAsia" w:ascii="宋体" w:hAnsi="宋体" w:cs="宋体"/>
          <w:color w:val="auto"/>
          <w:sz w:val="21"/>
          <w:szCs w:val="21"/>
          <w:highlight w:val="white"/>
        </w:rPr>
        <w:t xml:space="preserve">（十六）其他未列明行业。从业人员300人以下的为中小微型企业。其中，从业人员100人及以上的为中型企业；从业人员10人及以上的为小型企业；从业人员10人以下的为微型企业。</w:t>
      </w:r>
      <w:r>
        <w:rPr>
          <w:highlight w:val="white"/>
        </w:rPr>
      </w:r>
    </w:p>
    <w:p>
      <w:pPr>
        <w:pStyle w:val="1004"/>
        <w:ind w:left="0" w:firstLine="0"/>
        <w:jc w:val="left"/>
        <w:spacing w:line="360" w:lineRule="auto"/>
        <w:rPr>
          <w:rFonts w:hint="eastAsia" w:ascii="宋体" w:hAnsi="宋体" w:cs="宋体"/>
          <w:b/>
          <w:bCs/>
          <w:color w:val="auto"/>
          <w:sz w:val="24"/>
          <w:szCs w:val="24"/>
          <w:highlight w:val="white"/>
        </w:rPr>
        <w:outlineLvl w:val="1"/>
      </w:pPr>
      <w:r>
        <w:rPr>
          <w:rFonts w:hint="eastAsia" w:ascii="宋体" w:hAnsi="宋体" w:cs="宋体"/>
          <w:b/>
          <w:bCs/>
          <w:color w:val="auto"/>
          <w:sz w:val="24"/>
          <w:szCs w:val="24"/>
          <w:highlight w:val="white"/>
        </w:rPr>
        <w:br w:type="page" w:clear="all"/>
      </w:r>
      <w:r>
        <w:rPr>
          <w:rFonts w:hint="eastAsia" w:ascii="宋体" w:hAnsi="宋体" w:cs="宋体"/>
          <w:b/>
          <w:bCs/>
          <w:color w:val="auto"/>
          <w:sz w:val="24"/>
          <w:szCs w:val="24"/>
          <w:highlight w:val="white"/>
        </w:rPr>
        <w:t xml:space="preserve">附件13、</w:t>
      </w:r>
      <w:r>
        <w:rPr>
          <w:rFonts w:hint="eastAsia" w:ascii="宋体" w:hAnsi="宋体" w:cs="宋体"/>
          <w:b/>
          <w:bCs/>
          <w:color w:val="auto"/>
          <w:sz w:val="24"/>
          <w:szCs w:val="24"/>
          <w:highlight w:val="white"/>
          <w:lang w:val="zh-CN"/>
        </w:rPr>
        <w:t xml:space="preserve">残疾人福利性单位声明函</w:t>
      </w:r>
      <w:bookmarkEnd w:id="54"/>
      <w:r>
        <w:rPr>
          <w:highlight w:val="white"/>
        </w:rPr>
      </w:r>
      <w:r>
        <w:rPr>
          <w:highlight w:val="white"/>
        </w:rPr>
      </w:r>
    </w:p>
    <w:p>
      <w:pPr>
        <w:pStyle w:val="1026"/>
        <w:ind w:left="0"/>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firstLine="482"/>
        <w:jc w:val="cente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ind w:left="0"/>
        <w:jc w:val="cente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残疾人福利性单位声明函</w:t>
      </w:r>
      <w:r>
        <w:rPr>
          <w:highlight w:val="white"/>
        </w:rPr>
      </w:r>
    </w:p>
    <w:p>
      <w:pPr>
        <w:ind w:left="0"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r>
      <w:r>
        <w:rPr>
          <w:highlight w:val="white"/>
        </w:rPr>
      </w:r>
    </w:p>
    <w:p>
      <w:pPr>
        <w:ind w:left="0"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white"/>
          <w:lang w:val="zh-CN"/>
        </w:rPr>
        <w:t xml:space="preserve">贵中心组织实施的编号为</w:t>
      </w:r>
      <w:r>
        <w:rPr>
          <w:rFonts w:hint="eastAsia" w:ascii="宋体" w:hAnsi="宋体" w:cs="宋体"/>
          <w:color w:val="auto"/>
          <w:sz w:val="24"/>
          <w:szCs w:val="24"/>
          <w:highlight w:val="white"/>
          <w:u w:val="single"/>
          <w:lang w:val="zh-CN"/>
        </w:rPr>
        <w:t xml:space="preserve">              </w:t>
      </w:r>
      <w:r>
        <w:rPr>
          <w:rFonts w:hint="eastAsia" w:ascii="宋体" w:hAnsi="宋体" w:cs="宋体"/>
          <w:color w:val="auto"/>
          <w:sz w:val="24"/>
          <w:szCs w:val="24"/>
          <w:highlight w:val="white"/>
          <w:lang w:val="zh-CN"/>
        </w:rPr>
        <w:t xml:space="preserve">号的采购活动</w:t>
      </w:r>
      <w:r>
        <w:rPr>
          <w:rFonts w:hint="eastAsia" w:ascii="宋体" w:hAnsi="宋体" w:cs="宋体"/>
          <w:color w:val="auto"/>
          <w:sz w:val="24"/>
          <w:szCs w:val="24"/>
          <w:highlight w:val="white"/>
        </w:rPr>
        <w:t xml:space="preserve">提供本单位制造的货物（由本单位承担工程/提供服务），或者提供其他残疾人福利性单位制造的货物（不包括使用非残疾人福利性单位注册商标的货物）。</w:t>
      </w:r>
      <w:r>
        <w:rPr>
          <w:highlight w:val="white"/>
        </w:rPr>
      </w:r>
    </w:p>
    <w:p>
      <w:pPr>
        <w:ind w:left="0"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本单位对上述声明的真实性负责。如有虚假，将依法承担相应责任。</w:t>
      </w:r>
      <w:r>
        <w:rPr>
          <w:highlight w:val="white"/>
        </w:rPr>
      </w:r>
    </w:p>
    <w:p>
      <w:pPr>
        <w:pStyle w:val="1028"/>
        <w:ind w:left="0" w:firstLine="480"/>
        <w:spacing w:line="360" w:lineRule="auto"/>
        <w:rPr>
          <w:rFonts w:hint="eastAsia" w:hAnsi="宋体" w:cs="宋体"/>
          <w:color w:val="auto"/>
          <w:sz w:val="24"/>
          <w:szCs w:val="24"/>
          <w:highlight w:val="white"/>
        </w:rPr>
      </w:pPr>
      <w:r>
        <w:rPr>
          <w:rFonts w:hint="eastAsia" w:hAnsi="宋体" w:cs="宋体"/>
          <w:color w:val="auto"/>
          <w:sz w:val="24"/>
          <w:szCs w:val="24"/>
          <w:highlight w:val="white"/>
        </w:rPr>
      </w:r>
      <w:r>
        <w:rPr>
          <w:highlight w:val="white"/>
        </w:rPr>
      </w:r>
    </w:p>
    <w:p>
      <w:pPr>
        <w:ind w:left="0" w:firstLine="48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ind w:left="0" w:firstLine="48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ind w:left="0" w:firstLine="48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供应商名称：（盖章）</w:t>
      </w:r>
      <w:r>
        <w:rPr>
          <w:highlight w:val="white"/>
        </w:rPr>
      </w:r>
    </w:p>
    <w:p>
      <w:pPr>
        <w:ind w:left="0"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firstLine="480"/>
        <w:jc w:val="left"/>
        <w:spacing w:line="360" w:lineRule="auto"/>
        <w:rPr>
          <w:rFonts w:hint="eastAsia" w:ascii="宋体" w:hAnsi="宋体" w:cs="宋体"/>
          <w:b/>
          <w:color w:val="auto"/>
          <w:sz w:val="24"/>
          <w:szCs w:val="24"/>
          <w:highlight w:val="white"/>
        </w:rPr>
      </w:pPr>
      <w:r>
        <w:rPr>
          <w:rFonts w:hint="eastAsia" w:ascii="宋体" w:hAnsi="宋体" w:cs="宋体"/>
          <w:color w:val="auto"/>
          <w:sz w:val="24"/>
          <w:szCs w:val="24"/>
          <w:highlight w:val="white"/>
        </w:rPr>
        <w:t xml:space="preserve">日期:       年      月     日</w:t>
      </w:r>
      <w:r>
        <w:rPr>
          <w:highlight w:val="white"/>
        </w:rPr>
      </w:r>
    </w:p>
    <w:p>
      <w:pPr>
        <w:ind w:left="0"/>
        <w:spacing w:line="360" w:lineRule="auto"/>
        <w:widowControl w:val="off"/>
        <w:rPr>
          <w:rFonts w:hint="eastAsia" w:ascii="宋体" w:hAnsi="宋体" w:cs="宋体"/>
          <w:b/>
          <w:color w:val="auto"/>
          <w:sz w:val="21"/>
          <w:szCs w:val="21"/>
          <w:highlight w:val="white"/>
        </w:rPr>
      </w:pPr>
      <w:r>
        <w:rPr>
          <w:rFonts w:hint="eastAsia" w:ascii="宋体" w:hAnsi="宋体" w:cs="宋体"/>
          <w:b/>
          <w:color w:val="auto"/>
          <w:sz w:val="21"/>
          <w:szCs w:val="21"/>
          <w:highlight w:val="white"/>
        </w:rPr>
      </w:r>
      <w:r>
        <w:rPr>
          <w:highlight w:val="white"/>
        </w:rPr>
      </w:r>
    </w:p>
    <w:p>
      <w:pPr>
        <w:ind w:left="0" w:right="48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r>
      <w:r>
        <w:rPr>
          <w:highlight w:val="white"/>
        </w:rPr>
      </w:r>
    </w:p>
    <w:p>
      <w:pPr>
        <w:ind w:left="0"/>
        <w:jc w:val="left"/>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ind w:left="0" w:right="48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r>
      <w:r>
        <w:rPr>
          <w:highlight w:val="white"/>
        </w:rPr>
      </w:r>
    </w:p>
    <w:p>
      <w:pPr>
        <w:ind w:left="0"/>
        <w:jc w:val="center"/>
        <w:spacing w:line="48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ind w:left="0"/>
        <w:spacing w:line="48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ind w:left="0"/>
        <w:spacing w:line="400" w:lineRule="exact"/>
        <w:rPr>
          <w:rFonts w:hint="eastAsia" w:ascii="宋体" w:hAnsi="宋体" w:cs="宋体"/>
          <w:b/>
          <w:color w:val="auto"/>
          <w:sz w:val="24"/>
          <w:szCs w:val="24"/>
          <w:highlight w:val="white"/>
        </w:rPr>
        <w:outlineLvl w:val="1"/>
      </w:pPr>
      <w:r>
        <w:rPr>
          <w:rFonts w:hint="eastAsia" w:ascii="宋体" w:hAnsi="宋体" w:cs="宋体"/>
          <w:color w:val="auto"/>
          <w:sz w:val="21"/>
          <w:szCs w:val="21"/>
          <w:highlight w:val="white"/>
        </w:rPr>
        <w:br w:type="page" w:clear="all"/>
      </w:r>
      <w:bookmarkStart w:id="55" w:name="_Toc7573"/>
      <w:r>
        <w:rPr>
          <w:rFonts w:hint="eastAsia" w:ascii="宋体" w:hAnsi="宋体" w:cs="宋体"/>
          <w:b/>
          <w:color w:val="auto"/>
          <w:sz w:val="24"/>
          <w:szCs w:val="24"/>
          <w:highlight w:val="white"/>
        </w:rPr>
        <w:t xml:space="preserve">附件14、响应保证承诺书</w:t>
      </w:r>
      <w:bookmarkEnd w:id="55"/>
      <w:r>
        <w:rPr>
          <w:highlight w:val="white"/>
        </w:rPr>
      </w:r>
      <w:r>
        <w:rPr>
          <w:highlight w:val="white"/>
        </w:rPr>
      </w:r>
    </w:p>
    <w:p>
      <w:pPr>
        <w:ind w:left="0"/>
        <w:jc w:val="center"/>
        <w:widowControl w:val="off"/>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ind w:left="0"/>
        <w:jc w:val="center"/>
        <w:widowControl w:val="off"/>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响应保证承诺书</w:t>
      </w:r>
      <w:r>
        <w:rPr>
          <w:highlight w:val="white"/>
        </w:rPr>
      </w:r>
    </w:p>
    <w:p>
      <w:pPr>
        <w:ind w:left="0"/>
        <w:widowControl w:val="off"/>
        <w:rPr>
          <w:rFonts w:hint="eastAsia" w:ascii="宋体" w:hAnsi="宋体" w:cs="宋体"/>
          <w:color w:val="auto"/>
          <w:sz w:val="24"/>
          <w:szCs w:val="24"/>
          <w:highlight w:val="white"/>
          <w:u w:val="single"/>
        </w:rPr>
      </w:pPr>
      <w:r>
        <w:rPr>
          <w:rFonts w:hint="eastAsia" w:ascii="宋体" w:hAnsi="宋体" w:cs="宋体"/>
          <w:color w:val="auto"/>
          <w:sz w:val="24"/>
          <w:szCs w:val="24"/>
          <w:highlight w:val="white"/>
        </w:rPr>
        <w:t xml:space="preserve">致</w:t>
      </w:r>
      <w:r>
        <w:rPr>
          <w:rFonts w:hint="eastAsia" w:ascii="宋体" w:hAnsi="宋体" w:cs="宋体"/>
          <w:color w:val="auto"/>
          <w:sz w:val="24"/>
          <w:szCs w:val="24"/>
          <w:highlight w:val="white"/>
          <w:u w:val="single"/>
        </w:rPr>
        <w:t xml:space="preserve">：（采购代理机构名称）</w:t>
      </w:r>
      <w:r>
        <w:rPr>
          <w:highlight w:val="white"/>
        </w:rPr>
      </w:r>
    </w:p>
    <w:p>
      <w:pPr>
        <w:ind w:left="0" w:firstLine="48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我（单位/本人，以下统称我单位）自愿参加</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（项目名称和采购编号）的响应,并做出如下承诺：</w:t>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一、除不可抗力外，我单位如果发生以下行为，将在行为发生的10个工作日内，向贵方</w:t>
      </w:r>
      <w:r>
        <w:rPr>
          <w:rFonts w:hint="eastAsia" w:ascii="宋体" w:hAnsi="宋体" w:cs="宋体"/>
          <w:color w:val="auto"/>
          <w:sz w:val="24"/>
          <w:szCs w:val="24"/>
          <w:highlight w:val="white"/>
          <w:u w:val="single"/>
        </w:rPr>
        <w:t xml:space="preserve">（或采购人）</w:t>
      </w:r>
      <w:r>
        <w:rPr>
          <w:rFonts w:hint="eastAsia" w:ascii="宋体" w:hAnsi="宋体" w:cs="宋体"/>
          <w:color w:val="auto"/>
          <w:sz w:val="24"/>
          <w:szCs w:val="24"/>
          <w:highlight w:val="white"/>
        </w:rPr>
        <w:t xml:space="preserve">支付本采购文件公布的预算金额（或最高限价）的2%作为违约赔偿金（数量不确定的单价采购须约定具体金额）。</w:t>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1.自响应截止时间至本项目发布成交公告为止，撤销响应；</w:t>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2.成交后不依法与采购人签订合同；</w:t>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3.成交后不按本采购文件规定向采购人提交履约保证金；</w:t>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4.成交后不按本采购文件规定向贵方缴纳采购代理费。</w:t>
      </w:r>
      <w:r>
        <w:rPr>
          <w:highlight w:val="white"/>
        </w:rPr>
      </w:r>
    </w:p>
    <w:p>
      <w:pPr>
        <w:ind w:left="0" w:firstLine="48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二、我单位知晓上述行为的法律后果，承认本承诺书作为贵方（或采购人）要求我单位履行违约赔偿义务的依据作用。</w:t>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 </w:t>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投标（响应）人：        （盖公章）</w:t>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地址：                                                                </w:t>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电话：                     传真：                      </w:t>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电子邮件：                 邮编：                      </w:t>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法定代表人或委托代理人(签字或签章)：                                 </w:t>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日期： </w:t>
      </w:r>
      <w:r>
        <w:rPr>
          <w:highlight w:val="white"/>
        </w:rPr>
      </w:r>
    </w:p>
    <w:p>
      <w:pPr>
        <w:ind w:left="0"/>
        <w:widowControl w:val="off"/>
        <w:rPr>
          <w:rFonts w:hint="eastAsia" w:ascii="宋体" w:hAnsi="宋体" w:cs="宋体"/>
          <w:b/>
          <w:color w:val="auto"/>
          <w:sz w:val="24"/>
          <w:szCs w:val="24"/>
          <w:highlight w:val="white"/>
        </w:rPr>
        <w:outlineLvl w:val="1"/>
      </w:pPr>
      <w:r>
        <w:rPr>
          <w:rFonts w:hint="eastAsia" w:ascii="宋体" w:hAnsi="宋体" w:cs="宋体"/>
          <w:color w:val="auto"/>
          <w:sz w:val="21"/>
          <w:szCs w:val="21"/>
          <w:highlight w:val="white"/>
        </w:rPr>
        <w:br w:type="page" w:clear="all"/>
      </w:r>
      <w:bookmarkStart w:id="56" w:name="_Toc9516"/>
      <w:r>
        <w:rPr>
          <w:rFonts w:hint="eastAsia" w:ascii="宋体" w:hAnsi="宋体" w:cs="宋体"/>
          <w:b/>
          <w:color w:val="auto"/>
          <w:sz w:val="24"/>
          <w:szCs w:val="24"/>
          <w:highlight w:val="white"/>
        </w:rPr>
        <w:t xml:space="preserve">附件15、响应单位与其他单位存在控股、管理关系情况表</w:t>
      </w:r>
      <w:bookmarkEnd w:id="56"/>
      <w:r>
        <w:rPr>
          <w:highlight w:val="white"/>
        </w:rPr>
      </w:r>
      <w:r>
        <w:rPr>
          <w:highlight w:val="white"/>
        </w:rPr>
      </w:r>
    </w:p>
    <w:p>
      <w:pPr>
        <w:pStyle w:val="1006"/>
        <w:ind w:firstLine="0"/>
        <w:jc w:val="left"/>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响应单位与其他单位存在控股、管理关系情况表</w:t>
      </w:r>
      <w:r>
        <w:rPr>
          <w:highlight w:val="white"/>
        </w:rPr>
      </w:r>
    </w:p>
    <w:p>
      <w:pPr>
        <w:pStyle w:val="1006"/>
        <w:rPr>
          <w:rFonts w:hint="eastAsia" w:ascii="宋体" w:hAnsi="宋体" w:cs="宋体"/>
          <w:color w:val="auto"/>
          <w:highlight w:val="white"/>
        </w:rPr>
      </w:pPr>
      <w:r>
        <w:rPr>
          <w:rFonts w:hint="eastAsia" w:ascii="宋体" w:hAnsi="宋体" w:cs="宋体"/>
          <w:color w:val="auto"/>
          <w:highlight w:val="white"/>
        </w:rPr>
      </w:r>
      <w:r>
        <w:rPr>
          <w:highlight w:val="white"/>
        </w:rPr>
      </w:r>
    </w:p>
    <w:tbl>
      <w:tblPr>
        <w:tblStyle w:val="820"/>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与响应供应商存在控股、管理关系的单位名称</w:t>
            </w:r>
            <w:r>
              <w:rPr>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控股、管理关系情况说明</w:t>
            </w:r>
            <w:r>
              <w:rPr>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tc>
      </w:tr>
    </w:tbl>
    <w:p>
      <w:pPr>
        <w:ind w:left="0" w:firstLine="482"/>
        <w:jc w:val="left"/>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注：响应单位应当按实填写所有与之有控股、管理关系的情况。</w:t>
      </w:r>
      <w:r>
        <w:rPr>
          <w:highlight w:val="white"/>
        </w:rPr>
      </w:r>
    </w:p>
    <w:p>
      <w:pPr>
        <w:jc w:val="left"/>
        <w:spacing w:line="30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pStyle w:val="1035"/>
        <w:ind w:left="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供应商：（单位盖章）</w:t>
      </w:r>
      <w:r>
        <w:rPr>
          <w:highlight w:val="white"/>
        </w:rPr>
      </w:r>
    </w:p>
    <w:p>
      <w:pPr>
        <w:pStyle w:val="1035"/>
        <w:ind w:left="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法定代表人或代理人：（签字或盖章）</w:t>
      </w:r>
      <w:r>
        <w:rPr>
          <w:highlight w:val="white"/>
        </w:rPr>
      </w:r>
    </w:p>
    <w:p>
      <w:pPr>
        <w:pStyle w:val="1035"/>
        <w:ind w:left="0"/>
        <w:widowControl w:val="off"/>
        <w:rPr>
          <w:rStyle w:val="1032"/>
          <w:rFonts w:hint="eastAsia" w:ascii="宋体" w:hAnsi="宋体" w:cs="宋体"/>
          <w:color w:val="auto"/>
          <w:szCs w:val="24"/>
          <w:highlight w:val="white"/>
        </w:rPr>
      </w:pPr>
      <w:r>
        <w:rPr>
          <w:rStyle w:val="1032"/>
          <w:rFonts w:hint="eastAsia" w:ascii="宋体" w:hAnsi="宋体" w:cs="宋体"/>
          <w:color w:val="auto"/>
          <w:szCs w:val="24"/>
          <w:highlight w:val="white"/>
        </w:rPr>
        <w:t xml:space="preserve">日期：   年   月   日</w:t>
      </w:r>
      <w:r>
        <w:rPr>
          <w:highlight w:val="white"/>
        </w:rPr>
      </w:r>
    </w:p>
    <w:p>
      <w:pPr>
        <w:ind w:left="0"/>
        <w:jc w:val="center"/>
        <w:spacing w:line="360" w:lineRule="auto"/>
        <w:rPr>
          <w:rFonts w:hint="eastAsia" w:ascii="宋体" w:hAnsi="宋体" w:cs="宋体"/>
          <w:b/>
          <w:color w:val="auto"/>
          <w:sz w:val="44"/>
          <w:szCs w:val="44"/>
          <w:highlight w:val="white"/>
        </w:rPr>
      </w:pPr>
      <w:r>
        <w:rPr>
          <w:highlight w:val="white"/>
        </w:rPr>
      </w:r>
      <w:bookmarkStart w:id="57" w:name="_Toc58248882"/>
      <w:r>
        <w:rPr>
          <w:highlight w:val="white"/>
        </w:rPr>
      </w:r>
      <w:bookmarkStart w:id="58" w:name="_Toc4098"/>
      <w:r>
        <w:rPr>
          <w:highlight w:val="white"/>
        </w:rPr>
      </w:r>
      <w:bookmarkStart w:id="59" w:name="_Toc57376408"/>
      <w:r>
        <w:rPr>
          <w:highlight w:val="white"/>
        </w:rPr>
      </w:r>
      <w:bookmarkStart w:id="60" w:name="_Toc23660"/>
      <w:r>
        <w:rPr>
          <w:highlight w:val="white"/>
        </w:rPr>
      </w:r>
      <w:bookmarkStart w:id="61" w:name="_Toc6898"/>
      <w:r>
        <w:rPr>
          <w:rFonts w:hint="eastAsia" w:ascii="宋体" w:hAnsi="宋体" w:cs="宋体"/>
          <w:b/>
          <w:color w:val="auto"/>
          <w:sz w:val="44"/>
          <w:szCs w:val="44"/>
          <w:highlight w:val="white"/>
        </w:rPr>
        <w:br w:type="page" w:clear="all"/>
      </w:r>
      <w:r>
        <w:rPr>
          <w:highlight w:val="white"/>
        </w:rPr>
      </w:r>
    </w:p>
    <w:p>
      <w:pPr>
        <w:ind w:left="0"/>
        <w:jc w:val="center"/>
        <w:spacing w:line="360"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ind w:left="0"/>
        <w:jc w:val="center"/>
        <w:spacing w:line="360"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ind w:left="0"/>
        <w:jc w:val="center"/>
        <w:spacing w:line="360"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ind w:left="0"/>
        <w:jc w:val="center"/>
        <w:spacing w:line="360"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ind w:left="0"/>
        <w:jc w:val="center"/>
        <w:spacing w:line="360"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r>
      <w:bookmarkEnd w:id="57"/>
      <w:r/>
      <w:bookmarkEnd w:id="58"/>
      <w:r/>
      <w:bookmarkEnd w:id="59"/>
      <w:r/>
      <w:bookmarkEnd w:id="60"/>
      <w:r/>
      <w:r>
        <w:rPr>
          <w:highlight w:val="white"/>
        </w:rPr>
      </w:r>
    </w:p>
    <w:p>
      <w:pPr>
        <w:numPr>
          <w:ilvl w:val="0"/>
          <w:numId w:val="3"/>
        </w:numPr>
        <w:ind w:left="0"/>
        <w:jc w:val="center"/>
        <w:spacing w:line="360" w:lineRule="auto"/>
        <w:rPr>
          <w:rFonts w:hint="eastAsia" w:ascii="宋体" w:hAnsi="宋体" w:cs="宋体"/>
          <w:b/>
          <w:color w:val="auto"/>
          <w:sz w:val="44"/>
          <w:szCs w:val="44"/>
          <w:highlight w:val="white"/>
        </w:rPr>
        <w:outlineLvl w:val="0"/>
      </w:pPr>
      <w:r>
        <w:rPr>
          <w:highlight w:val="white"/>
        </w:rPr>
      </w:r>
      <w:bookmarkStart w:id="62" w:name="招标书"/>
      <w:r>
        <w:rPr>
          <w:highlight w:val="white"/>
        </w:rPr>
      </w:r>
      <w:bookmarkEnd w:id="62"/>
      <w:r>
        <w:rPr>
          <w:highlight w:val="white"/>
        </w:rPr>
      </w:r>
      <w:bookmarkStart w:id="63" w:name="_Toc19236"/>
      <w:r>
        <w:rPr>
          <w:rFonts w:hint="eastAsia" w:ascii="宋体" w:hAnsi="宋体" w:cs="宋体"/>
          <w:b/>
          <w:color w:val="auto"/>
          <w:sz w:val="44"/>
          <w:szCs w:val="44"/>
          <w:highlight w:val="white"/>
        </w:rPr>
        <w:t xml:space="preserve"> </w:t>
      </w:r>
      <w:bookmarkStart w:id="64" w:name="_Toc23981"/>
      <w:r>
        <w:rPr>
          <w:rFonts w:hint="eastAsia" w:ascii="宋体" w:hAnsi="宋体" w:cs="宋体"/>
          <w:b/>
          <w:color w:val="auto"/>
          <w:sz w:val="44"/>
          <w:szCs w:val="44"/>
          <w:highlight w:val="white"/>
        </w:rPr>
        <w:t xml:space="preserve">采购内容</w:t>
      </w:r>
      <w:bookmarkEnd w:id="61"/>
      <w:r>
        <w:rPr>
          <w:highlight w:val="white"/>
        </w:rPr>
      </w:r>
      <w:bookmarkEnd w:id="63"/>
      <w:r>
        <w:rPr>
          <w:highlight w:val="white"/>
        </w:rPr>
      </w:r>
      <w:bookmarkEnd w:id="64"/>
      <w:r>
        <w:rPr>
          <w:highlight w:val="white"/>
        </w:rPr>
      </w:r>
      <w:r>
        <w:rPr>
          <w:highlight w:val="white"/>
        </w:rPr>
      </w:r>
    </w:p>
    <w:p>
      <w:pPr>
        <w:pStyle w:val="1006"/>
        <w:ind w:firstLine="400"/>
        <w:rPr>
          <w:rFonts w:hint="eastAsia" w:ascii="宋体" w:hAnsi="宋体" w:cs="宋体"/>
          <w:color w:val="auto"/>
          <w:highlight w:val="white"/>
        </w:rPr>
      </w:pPr>
      <w:r>
        <w:rPr>
          <w:rFonts w:hint="eastAsia" w:ascii="宋体" w:hAnsi="宋体" w:cs="宋体"/>
          <w:color w:val="auto"/>
          <w:highlight w:val="white"/>
        </w:rPr>
      </w:r>
      <w:r>
        <w:rPr>
          <w:highlight w:val="white"/>
        </w:rPr>
      </w:r>
    </w:p>
    <w:p>
      <w:pPr>
        <w:ind w:left="0"/>
        <w:jc w:val="center"/>
        <w:spacing w:line="360"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br w:type="page" w:clear="all"/>
      </w:r>
      <w:r>
        <w:rPr>
          <w:rStyle w:val="1032"/>
          <w:rFonts w:hint="eastAsia" w:ascii="宋体" w:hAnsi="宋体" w:cs="宋体"/>
          <w:b/>
          <w:color w:val="auto"/>
          <w:sz w:val="28"/>
          <w:szCs w:val="28"/>
          <w:highlight w:val="white"/>
        </w:rPr>
        <w:t xml:space="preserve">采购内容</w:t>
      </w:r>
      <w:r>
        <w:rPr>
          <w:highlight w:val="white"/>
        </w:rPr>
      </w:r>
    </w:p>
    <w:p>
      <w:pPr>
        <w:ind w:left="0" w:firstLine="480"/>
        <w:keepLines w:val="0"/>
        <w:keepNext w:val="0"/>
        <w:pageBreakBefore w:val="0"/>
        <w:spacing w:line="360" w:lineRule="auto"/>
        <w:widowControl w:val="off"/>
        <w:rPr>
          <w:rFonts w:hint="eastAsia" w:ascii="宋体" w:hAnsi="宋体" w:cs="宋体"/>
          <w:color w:val="auto"/>
          <w:sz w:val="21"/>
          <w:szCs w:val="21"/>
          <w:highlight w:val="white"/>
        </w:rPr>
      </w:pPr>
      <w:r>
        <w:rPr>
          <w:rFonts w:hint="eastAsia" w:ascii="宋体" w:hAnsi="宋体" w:cs="宋体"/>
          <w:color w:val="auto"/>
          <w:sz w:val="24"/>
          <w:szCs w:val="24"/>
          <w:highlight w:val="white"/>
        </w:rPr>
        <w:t xml:space="preserve">苏州合亿盛工程咨询有限公司受</w:t>
      </w:r>
      <w:r>
        <w:rPr>
          <w:rFonts w:hint="eastAsia" w:ascii="宋体" w:hAnsi="宋体" w:cs="宋体"/>
          <w:color w:val="auto"/>
          <w:sz w:val="24"/>
          <w:szCs w:val="24"/>
          <w:highlight w:val="white"/>
          <w:u w:val="single"/>
          <w:lang w:eastAsia="zh-CN"/>
        </w:rPr>
        <w:t xml:space="preserve">苏州大学实验学校</w:t>
      </w:r>
      <w:r>
        <w:rPr>
          <w:rFonts w:hint="eastAsia" w:ascii="宋体" w:hAnsi="宋体" w:cs="宋体"/>
          <w:color w:val="auto"/>
          <w:sz w:val="24"/>
          <w:szCs w:val="24"/>
          <w:highlight w:val="white"/>
        </w:rPr>
        <w:t xml:space="preserve">的委托，就其拟采购的</w:t>
      </w:r>
      <w:r>
        <w:rPr>
          <w:rFonts w:hint="eastAsia" w:ascii="宋体" w:hAnsi="宋体" w:cs="宋体"/>
          <w:color w:val="auto"/>
          <w:sz w:val="24"/>
          <w:szCs w:val="24"/>
          <w:highlight w:val="white"/>
          <w:u w:val="single"/>
          <w:lang w:eastAsia="zh-CN"/>
        </w:rPr>
        <w:t xml:space="preserve">校园绿化年度养护服务</w:t>
      </w:r>
      <w:r>
        <w:rPr>
          <w:rFonts w:hint="eastAsia" w:ascii="宋体" w:hAnsi="宋体" w:cs="宋体"/>
          <w:color w:val="auto"/>
          <w:sz w:val="24"/>
          <w:szCs w:val="24"/>
          <w:highlight w:val="white"/>
        </w:rPr>
        <w:t xml:space="preserve">采用竞争性磋商方式进行采购。欢迎符合资格条件的供应商前来报名参加磋商。</w:t>
      </w:r>
      <w:r>
        <w:rPr>
          <w:highlight w:val="white"/>
        </w:rPr>
      </w:r>
    </w:p>
    <w:p>
      <w:pPr>
        <w:ind w:left="0" w:firstLine="482"/>
        <w:keepLines w:val="0"/>
        <w:keepNext w:val="0"/>
        <w:pageBreakBefore w:val="0"/>
        <w:spacing w:line="360" w:lineRule="auto"/>
        <w:widowControl w:val="off"/>
        <w:rPr>
          <w:rFonts w:hint="eastAsia" w:ascii="宋体" w:hAnsi="宋体" w:cs="宋体"/>
          <w:b/>
          <w:bCs/>
          <w:color w:val="auto"/>
          <w:sz w:val="24"/>
          <w:szCs w:val="24"/>
          <w:highlight w:val="white"/>
        </w:rPr>
        <w:outlineLvl w:val="1"/>
      </w:pPr>
      <w:r>
        <w:rPr>
          <w:highlight w:val="white"/>
        </w:rPr>
      </w:r>
      <w:bookmarkStart w:id="65" w:name="_Toc14261"/>
      <w:r>
        <w:rPr>
          <w:highlight w:val="white"/>
        </w:rPr>
      </w:r>
      <w:bookmarkStart w:id="66" w:name="_Toc30080"/>
      <w:r>
        <w:rPr>
          <w:highlight w:val="white"/>
        </w:rPr>
      </w:r>
      <w:bookmarkStart w:id="67" w:name="_Toc63066515"/>
      <w:r>
        <w:rPr>
          <w:highlight w:val="white"/>
        </w:rPr>
      </w:r>
      <w:bookmarkStart w:id="68" w:name="_Toc27667"/>
      <w:r>
        <w:rPr>
          <w:highlight w:val="white"/>
        </w:rPr>
      </w:r>
      <w:bookmarkStart w:id="69" w:name="_Toc58248884"/>
      <w:r>
        <w:rPr>
          <w:highlight w:val="white"/>
        </w:rPr>
      </w:r>
      <w:bookmarkStart w:id="70" w:name="_Toc8564"/>
      <w:r>
        <w:rPr>
          <w:highlight w:val="white"/>
        </w:rPr>
      </w:r>
      <w:bookmarkStart w:id="71" w:name="_Toc57376410"/>
      <w:r>
        <w:rPr>
          <w:rFonts w:hint="eastAsia" w:ascii="宋体" w:hAnsi="宋体" w:cs="宋体"/>
          <w:b/>
          <w:bCs/>
          <w:color w:val="auto"/>
          <w:sz w:val="24"/>
          <w:szCs w:val="24"/>
          <w:highlight w:val="white"/>
        </w:rPr>
        <w:t xml:space="preserve">一、磋商编号：</w:t>
      </w:r>
      <w:r>
        <w:rPr>
          <w:rFonts w:hint="eastAsia" w:ascii="宋体" w:hAnsi="宋体" w:cs="宋体"/>
          <w:b/>
          <w:bCs/>
          <w:color w:val="auto"/>
          <w:sz w:val="24"/>
          <w:szCs w:val="24"/>
          <w:highlight w:val="white"/>
          <w:lang w:eastAsia="zh-CN"/>
        </w:rPr>
        <w:t xml:space="preserve">JSZC-320507-SHYS-C2025-0017</w:t>
      </w:r>
      <w:r>
        <w:rPr>
          <w:rFonts w:hint="eastAsia" w:ascii="宋体" w:hAnsi="宋体" w:cs="宋体"/>
          <w:b/>
          <w:bCs/>
          <w:color w:val="auto"/>
          <w:sz w:val="24"/>
          <w:szCs w:val="24"/>
          <w:highlight w:val="white"/>
        </w:rPr>
        <w:t xml:space="preserve">号</w:t>
      </w:r>
      <w:bookmarkEnd w:id="65"/>
      <w:r>
        <w:rPr>
          <w:highlight w:val="white"/>
        </w:rPr>
      </w:r>
      <w:bookmarkEnd w:id="66"/>
      <w:r>
        <w:rPr>
          <w:highlight w:val="white"/>
        </w:rPr>
      </w:r>
      <w:r>
        <w:rPr>
          <w:highlight w:val="white"/>
        </w:rP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outlineLvl w:val="1"/>
      </w:pPr>
      <w:r>
        <w:rPr>
          <w:highlight w:val="white"/>
        </w:rPr>
      </w:r>
      <w:bookmarkStart w:id="72" w:name="_Toc22665"/>
      <w:r>
        <w:rPr>
          <w:highlight w:val="white"/>
        </w:rPr>
      </w:r>
      <w:bookmarkStart w:id="73" w:name="_Toc8029"/>
      <w:r>
        <w:rPr>
          <w:rFonts w:hint="eastAsia" w:ascii="宋体" w:hAnsi="宋体" w:cs="宋体"/>
          <w:b/>
          <w:bCs/>
          <w:color w:val="auto"/>
          <w:sz w:val="24"/>
          <w:szCs w:val="24"/>
          <w:highlight w:val="white"/>
        </w:rPr>
        <w:t xml:space="preserve">二、项目名称：</w:t>
      </w:r>
      <w:bookmarkEnd w:id="72"/>
      <w:r>
        <w:rPr>
          <w:highlight w:val="white"/>
        </w:rPr>
      </w:r>
      <w:bookmarkEnd w:id="73"/>
      <w:r>
        <w:rPr>
          <w:rFonts w:hint="eastAsia" w:ascii="宋体" w:hAnsi="宋体" w:cs="宋体"/>
          <w:b/>
          <w:bCs/>
          <w:color w:val="auto"/>
          <w:sz w:val="24"/>
          <w:szCs w:val="24"/>
          <w:highlight w:val="white"/>
          <w:lang w:eastAsia="zh-CN"/>
        </w:rPr>
        <w:t xml:space="preserve">校园绿化年度养护服务</w:t>
      </w:r>
      <w:r>
        <w:rPr>
          <w:highlight w:val="white"/>
        </w:rPr>
      </w:r>
    </w:p>
    <w:p>
      <w:pPr>
        <w:ind w:left="0" w:firstLine="482"/>
        <w:keepLines w:val="0"/>
        <w:keepNext w:val="0"/>
        <w:pageBreakBefore w:val="0"/>
        <w:spacing w:line="360" w:lineRule="auto"/>
        <w:widowControl w:val="off"/>
        <w:rPr>
          <w:rFonts w:hint="eastAsia" w:ascii="宋体" w:hAnsi="宋体" w:cs="宋体"/>
          <w:b/>
          <w:bCs/>
          <w:color w:val="auto"/>
          <w:sz w:val="24"/>
          <w:szCs w:val="24"/>
          <w:highlight w:val="white"/>
        </w:rPr>
        <w:outlineLvl w:val="1"/>
      </w:pPr>
      <w:r>
        <w:rPr>
          <w:highlight w:val="white"/>
        </w:rPr>
      </w:r>
      <w:bookmarkStart w:id="74" w:name="_Toc31907"/>
      <w:r>
        <w:rPr>
          <w:rFonts w:hint="eastAsia" w:ascii="宋体" w:hAnsi="宋体" w:cs="宋体"/>
          <w:b/>
          <w:bCs/>
          <w:color w:val="auto"/>
          <w:sz w:val="24"/>
          <w:szCs w:val="24"/>
          <w:highlight w:val="white"/>
        </w:rPr>
        <w:t xml:space="preserve">三、采购需求：</w:t>
      </w:r>
      <w:bookmarkEnd w:id="74"/>
      <w:r>
        <w:rPr>
          <w:highlight w:val="white"/>
        </w:rPr>
      </w:r>
      <w:r>
        <w:rPr>
          <w:highlight w:val="white"/>
        </w:rP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white"/>
        </w:rPr>
      </w:pPr>
      <w:r>
        <w:rPr>
          <w:highlight w:val="white"/>
        </w:rPr>
      </w:r>
      <w:bookmarkStart w:id="75" w:name="_Toc2247"/>
      <w:r>
        <w:rPr>
          <w:rFonts w:hint="eastAsia" w:ascii="宋体" w:hAnsi="宋体" w:eastAsia="宋体" w:cs="宋体"/>
          <w:b/>
          <w:bCs/>
          <w:color w:val="auto"/>
          <w:sz w:val="24"/>
          <w:szCs w:val="24"/>
          <w:highlight w:val="white"/>
          <w:lang w:val="en-US" w:eastAsia="zh-CN"/>
        </w:rPr>
        <w:t xml:space="preserve">（一）绿化养护区域及范围</w:t>
      </w:r>
      <w:r>
        <w:rPr>
          <w:rFonts w:hint="eastAsia" w:ascii="宋体" w:hAnsi="宋体" w:eastAsia="宋体" w:cs="宋体"/>
          <w:color w:val="auto"/>
          <w:sz w:val="24"/>
          <w:szCs w:val="24"/>
          <w:highlight w:val="white"/>
          <w:lang w:val="en-US" w:eastAsia="zh-CN"/>
        </w:rPr>
        <w:t xml:space="preserve">：</w:t>
      </w:r>
      <w:r>
        <w:rPr>
          <w:highlight w:val="white"/>
        </w:rPr>
      </w:r>
    </w:p>
    <w:tbl>
      <w:tblPr>
        <w:tblStyle w:val="8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3"/>
        <w:gridCol w:w="1281"/>
        <w:gridCol w:w="1118"/>
        <w:gridCol w:w="1118"/>
        <w:gridCol w:w="1118"/>
        <w:gridCol w:w="932"/>
        <w:gridCol w:w="932"/>
        <w:gridCol w:w="2938"/>
      </w:tblGrid>
      <w:tr>
        <w:trPr>
          <w:trHeight w:val="737"/>
        </w:trPr>
        <w:tc>
          <w:tcPr>
            <w:gridSpan w:val="8"/>
            <w:shd w:val="clear" w:color="auto" w:fill="auto"/>
            <w:tcW w:w="102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苏州大学实验学校本部校区（中小学、幼儿园）</w:t>
            </w:r>
            <w:r>
              <w:rPr>
                <w:rFonts w:hint="eastAsia" w:ascii="宋体" w:hAnsi="宋体" w:eastAsia="宋体" w:cs="宋体"/>
                <w:b/>
                <w:bCs/>
                <w:i w:val="0"/>
                <w:iCs w:val="0"/>
                <w:color w:val="auto"/>
                <w:sz w:val="24"/>
                <w:szCs w:val="24"/>
                <w:highlight w:val="white"/>
                <w:u w:val="none"/>
                <w:lang w:val="en-US" w:eastAsia="zh-CN" w:bidi="ar"/>
              </w:rPr>
              <w:br/>
            </w:r>
            <w:r>
              <w:rPr>
                <w:rFonts w:hint="eastAsia" w:ascii="宋体" w:hAnsi="宋体" w:cs="宋体"/>
                <w:b/>
                <w:bCs/>
                <w:i w:val="0"/>
                <w:iCs w:val="0"/>
                <w:color w:val="auto"/>
                <w:sz w:val="24"/>
                <w:szCs w:val="24"/>
                <w:highlight w:val="white"/>
                <w:u w:val="none"/>
                <w:lang w:val="en-US" w:eastAsia="zh-CN" w:bidi="ar"/>
              </w:rPr>
              <w:t xml:space="preserve">校园绿化年度养护服务</w:t>
            </w:r>
            <w:r>
              <w:rPr>
                <w:rFonts w:hint="eastAsia" w:ascii="宋体" w:hAnsi="宋体" w:eastAsia="宋体" w:cs="宋体"/>
                <w:b/>
                <w:bCs/>
                <w:i w:val="0"/>
                <w:iCs w:val="0"/>
                <w:color w:val="auto"/>
                <w:sz w:val="24"/>
                <w:szCs w:val="24"/>
                <w:highlight w:val="white"/>
                <w:u w:val="none"/>
                <w:lang w:val="en-US" w:eastAsia="zh-CN" w:bidi="ar"/>
              </w:rPr>
              <w:t xml:space="preserve">清单</w:t>
            </w:r>
            <w:r>
              <w:rPr>
                <w:highlight w:val="white"/>
              </w:rPr>
            </w:r>
          </w:p>
        </w:tc>
      </w:tr>
      <w:tr>
        <w:trPr>
          <w:trHeight w:val="272"/>
        </w:trPr>
        <w:tc>
          <w:tcPr>
            <w:shd w:val="clear" w:color="auto" w:fill="auto"/>
            <w:tcW w:w="587" w:type="dxa"/>
            <w:vAlign w:val="center"/>
            <w:vMerge w:val="restart"/>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序号</w:t>
            </w:r>
            <w:r>
              <w:rPr>
                <w:highlight w:val="white"/>
              </w:rPr>
            </w:r>
          </w:p>
        </w:tc>
        <w:tc>
          <w:tcPr>
            <w:shd w:val="clear" w:color="auto" w:fill="auto"/>
            <w:tcW w:w="1169"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名称</w:t>
            </w:r>
            <w:r>
              <w:rPr>
                <w:highlight w:val="white"/>
              </w:rPr>
            </w:r>
          </w:p>
        </w:tc>
        <w:tc>
          <w:tcPr>
            <w:gridSpan w:val="3"/>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规格（cm）</w:t>
            </w:r>
            <w:r>
              <w:rPr>
                <w:highlight w:val="white"/>
              </w:rPr>
            </w:r>
          </w:p>
        </w:tc>
        <w:tc>
          <w:tcPr>
            <w:shd w:val="clear" w:color="auto" w:fill="auto"/>
            <w:tcW w:w="850" w:type="dxa"/>
            <w:vAlign w:val="center"/>
            <w:vMerge w:val="restart"/>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单位</w:t>
            </w:r>
            <w:r>
              <w:rPr>
                <w:highlight w:val="white"/>
              </w:rPr>
            </w:r>
          </w:p>
        </w:tc>
        <w:tc>
          <w:tcPr>
            <w:shd w:val="clear" w:color="auto" w:fill="auto"/>
            <w:tcW w:w="850" w:type="dxa"/>
            <w:vAlign w:val="center"/>
            <w:vMerge w:val="restart"/>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数量</w:t>
            </w:r>
            <w:r>
              <w:rPr>
                <w:highlight w:val="white"/>
              </w:rPr>
            </w:r>
          </w:p>
        </w:tc>
        <w:tc>
          <w:tcPr>
            <w:shd w:val="clear" w:color="auto" w:fill="auto"/>
            <w:tcW w:w="2681"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备注</w:t>
            </w:r>
            <w:r>
              <w:rPr>
                <w:highlight w:val="white"/>
              </w:rPr>
            </w:r>
          </w:p>
        </w:tc>
      </w:tr>
      <w:tr>
        <w:trPr>
          <w:trHeight w:val="272"/>
        </w:trPr>
        <w:tc>
          <w:tcPr>
            <w:shd w:val="clear" w:color="auto" w:fill="auto"/>
            <w:tcW w:w="587" w:type="dxa"/>
            <w:vAlign w:val="center"/>
            <w:vMerge w:val="continue"/>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169"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胸/地径</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高度</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冠幅</w:t>
            </w:r>
            <w:r>
              <w:rPr>
                <w:highlight w:val="white"/>
              </w:rPr>
            </w:r>
          </w:p>
        </w:tc>
        <w:tc>
          <w:tcPr>
            <w:shd w:val="clear" w:color="auto" w:fill="auto"/>
            <w:tcW w:w="850" w:type="dxa"/>
            <w:vAlign w:val="center"/>
            <w:vMerge w:val="continue"/>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850" w:type="dxa"/>
            <w:vAlign w:val="center"/>
            <w:vMerge w:val="continue"/>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2681"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丛生朴树</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合并胸径44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800-900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500-600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全冠，丛生，每分枝地径不小于15cm</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丛生紫薇</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110-150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丛生紫薇，全冠，8枝条以上/株，树型优美。红色或紫色花</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造型罗汉松</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特选，直杆式，5层以上，树冠平展，造型优美，第一分支点不高于80cm</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造型五针松</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特选，直杆式，4层以上，树冠平展，造型优美，第一分支点不高于80cm</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造型黑松A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造型独特，曲杆式，树冠平展，树形优美，扎片饱满，扎片6-7层</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造型黑松B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260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造型独特，曲杆式，树冠平展，树形优美，扎片饱满，扎片6-7层</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造型瓜子黄杨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190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190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特选造型，树形优美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无患子A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15-18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全冠，树型优美，三分枝以上，分枝点2.5-3.0m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无患子B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600-650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全冠，树型优美，三分枝以上，分枝点2.5-3.0m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银杏A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实生苗，雄性，杆直，全冠，树型优美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银杏B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550-600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实生苗，雄性，杆直，全冠，树型优美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银杏C</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22-23</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实生苗，雄性，杆直，全冠，树型优美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雪松A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全冠，树型优美，不偏冠</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梧桐A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青桐，全冠，树型优美</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香樟A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分支点2.2M，全冠，不偏冠，由一级分枝至末级分枝均要保留完好</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香樟B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分支点2.2M，全冠，不偏冠，由一级分枝至末级分枝均要保留完好</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香樟C</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450-480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分支点2.2M，全冠，不偏冠，由一级分枝至末级分枝均要保留完好</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朴树A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750-800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550-600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分支点2.2M，全冠，由一级分枝至末级分枝均要保留完好</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朴树B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750-800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550-600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分支点2.2M，全冠，由一级分枝至末级分枝均要保留完好</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朴树C</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750-800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550-600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分支点2.2M，全冠，由一级分枝至末级分枝均要保留完好</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朴树D</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51</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750-800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550-600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分支点2.2M，全冠，由一级分枝至末级分枝均要保留完好</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杂交马褂木A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700-750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合欢B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全冠，树型优美，分枝点2.0-2.5m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合欢C</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23-24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悬铃木B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600-650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一级分叉在3枝以上</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国槐A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450-500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国槐B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430-480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重阳木B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20-21</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全冠，三分枝以上，分枝点2.0-2.5m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柿子树</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20-21</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720-750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350-370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复羽叶栾树B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乌桕A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500-600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全冠，树型优美，不偏冠，分枝点2.5-3.0m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枫香A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800-900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全冠，树型优美，三分枝以上，分枝点2.0-2.5m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榆树A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全冠，树型优美，三分枝以上，分枝点2.0-2.5m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榆树B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全冠，树型优美，三分枝以上，分枝点2.0-2.5m</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榉树A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19-20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800-850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500-550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分支点2.2M，全冠，由一级分枝至末级分枝均要保留完好</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榉树B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800-850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580-600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分支点2.5-3.0M，全冠，由一级分枝至末级分枝均要保留完好</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石楠树C</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17-18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全冠，树型优美，三分枝以上，分枝点1.8-2.0m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梨树</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水杉A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600-650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100-150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水杉B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650-700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二乔玉兰B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700-750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三角枫</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全冠，树型优美，三分枝以上，分枝点2.0-2.5m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女贞A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750-800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全冠，树型优美，三分枝以上，分枝点1.8-2.0m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女贞B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330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全冠，树型优美，三分枝以上，分枝点2.0-2.5m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北美红枫</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10-11</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650-700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分枝点1.8m，全冠，姿态优美</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广玉兰A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分支点2.2M，全冠，由一级分枝至末级分枝均要保留完好</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广玉兰B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18-19</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700-750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分支点2.2M，全冠，由一级分枝至末级分枝均要保留完好</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黄山叶栾树A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18-19</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全冠，树型优美，三分枝以上，分枝点2.5-3.0m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白玉兰A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750-800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210-260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全冠，三分枝以上，分枝点3.0-3.5m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白玉兰B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全冠，三分枝以上，分枝点2.5-3.0m</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高杆桂花</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D9</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230-250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独本金桂，蓬型饱满，精品移栽苗（移植两次以上），分支点1.65m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金桂A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230-280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散本，全冠，树型优美，近似球形</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金桂B</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310-360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470-500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散本，全冠，树型优美，近似球形</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金桂C</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430-460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散本，全冠，树型优美，近似球形</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四季桂A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220-250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日本早樱A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160-200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日本早樱B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D15-17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晚樱A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D13-14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250-290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全冠，树型优美，三分枝以上，分枝点1.2-1.5m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晚樱B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D15-16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全冠，树型优美，三分枝以上，分枝点1.8-2.0m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七叶树</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丁香A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230-270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垂丝海棠A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垂丝海棠B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D10-11</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230-250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山茶B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120-170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株型圆整，冠型饱满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枇杷A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D9-10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枇杷B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D11-12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果石榴A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D11</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330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果石榴B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D15-16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430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300-330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碧桃A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D9-10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全冠，树型优美，分枝点0.5-0.8m（红叶碧桃）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碧桃B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全冠，树型优美，分枝点0.5-0.8m（红叶碧桃）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紫叶李A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全冠，树型优美，三分枝以上，分枝点1.8-2.0m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紫叶李B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D13-15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全冠，树型优美，三分枝以上，分枝点1.5-1.8m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紫薇A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D9-10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190-230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全冠，树型饱满，第一份分支点70-90cm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紫薇B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D11-12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全冠，树型饱满，第一份分支点70-90cm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红枫A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D10-11</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分枝点小于0.6m，树型洒脱飘逸，全冠</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红枫B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D13-15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270-320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230-280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分枝点小于0.6m，树型洒脱飘逸，全冠</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红枫C</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特选，分枝点小于0.6m，树型洒脱飘逸，全冠</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红枫D</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特选，分枝点小于0.6m，树型洒脱飘逸，全冠</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花石榴A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120-150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花石榴B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D9-10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蜡梅A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150-170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丛生，15枝条以上/丛，素心蜡梅</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山楂</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D9</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木槿A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150-180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120-150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全冠，树型优美，分枝点于0.5-0.8m，似丛生状</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木槿B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D10-11</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180-230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全冠，树型优美，分枝点于0.5-0.8m，似丛生状</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梅花A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D13-14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180-200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红梅，全冠，树型优美，三分枝以上，分枝点0.6-0.8m</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梅花B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D15-17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绿梅，全冠，树型优美，三分枝以上，分枝点0.6-0.8m</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鸡爪槭A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D9-10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分支点小于0.6m，树型洒脱飘逸，全冠，姿态飘逸</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鸡爪槭B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D11-12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分支点小于0.6m，树型洒脱飘逸，全冠，姿态飘逸</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鸡爪槭C</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D13-14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300-330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特选，分支点小于0.6m，树型洒脱飘逸，全冠，姿态飘逸</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羽毛枫</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白丁香B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D9-10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280-300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西府海棠A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全冠，树型优美，三分枝以上，分枝点1.5-1.8m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西府海棠B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D10-11</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250-280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全冠，树型优美，三分枝以上，分枝点1.5-1.8m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杨梅A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杨梅B</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280-330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270-320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料红桔A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165-170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180-185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紫荆A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120-150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骨架饱满，10杆以上/株</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紫荆B</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180-250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骨架饱满，10杆以上/株</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海桐球A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100-150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160-180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海桐球B</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120-170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180-240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海桐球C</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260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大叶黄杨球A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100-120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120-140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红叶石楠球A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120-130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150-170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红叶石楠球B</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150-180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瓜子黄杨球</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100-150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140-190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红花继木球A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80-100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70-110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红花继木球B</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120-140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130-150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南天竹球</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80-100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80-100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结香</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130-150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130-150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精球，不脱脚，球形饱满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常绿蒲苇</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50-100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50-100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全冠，树型优美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苏铁A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50-70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100-120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杆高25-30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苏铁B</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90-110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150-170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杆高40-45</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景石A</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长90cm，宽40cm，高60cm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景石B</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长80cm，宽60cm，高70cm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景石C</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长140cm，宽100cm，高70cm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慈孝竹</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杆径2-2.5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9株/㎡，不杀头，带土球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早园竹</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杆径2-2.5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400-500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9株/㎡，不杀头，带土球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紫竹</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杆径1-2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16株/㎡不杀头，带土球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云南黄馨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85-90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70-75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红叶石楠</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50-55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742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红花继木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65-70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50-55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金叶大花六道木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50-55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茶梅</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春鹃</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1644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小叶女贞</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夏鹃</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953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栀子花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65-70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南天竹</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192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金森女贞</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海桐</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50-55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1233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金边黄杨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50-55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337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金丝桃</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60-65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55-60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洒金桃叶珊瑚</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50-55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468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花叶杞柳</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120-125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60-65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64株/平方</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八角金盘</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862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25株/平方</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花叶络石</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L＞30</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49株/平方，不露土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丰花月季</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41-45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31-35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16株/平方</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大吴风草</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49株/平方</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黄金菊</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36株/平方</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法国冬青B</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170-175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951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25株/平方</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八仙花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49株/平方</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德国鸢尾</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70-75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49株/㎡多年生，大丛</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常春藤</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L＞30</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49株/平方，不露土，藤长50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144</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玉簪</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80-85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65-70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36株/平方</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145</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葱兰</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64株/平方，铺满不露土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146</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金边阔叶麦冬</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25-30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64株/平方，不露土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147</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细叶麦冬</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64株/平方，袋装苗，铺满不露土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148</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细叶麦冬收边</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2301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64株/平方，袋装苗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149</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玉珑草</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10-15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2241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81株/平方，不露土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麦冬与二月兰混播</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麦冬25株/平方，二月兰籽播5g株/平方，满铺</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151</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时令草花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64株/平方，一年换6季</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152</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足球场专用草坪</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8708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50厚阳江狗牙根草茎高密度种植，冬季补播多年矮生黑麦草</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153</w:t>
            </w:r>
            <w:r>
              <w:rPr>
                <w:highlight w:val="white"/>
              </w:rPr>
            </w:r>
          </w:p>
        </w:tc>
        <w:tc>
          <w:tcPr>
            <w:shd w:val="clear" w:color="auto" w:fill="auto"/>
            <w:tcW w:w="1169"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草地</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7765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果岭草草坪（砂培）满铺</w:t>
            </w:r>
            <w:r>
              <w:rPr>
                <w:highlight w:val="white"/>
              </w:rPr>
            </w:r>
          </w:p>
        </w:tc>
      </w:tr>
      <w:tr>
        <w:trPr>
          <w:trHeight w:val="270"/>
        </w:trPr>
        <w:tc>
          <w:tcPr>
            <w:shd w:val="clear" w:color="auto" w:fill="auto"/>
            <w:tcW w:w="58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154</w:t>
            </w:r>
            <w:r>
              <w:rPr>
                <w:highlight w:val="white"/>
              </w:rPr>
            </w:r>
          </w:p>
        </w:tc>
        <w:tc>
          <w:tcPr>
            <w:gridSpan w:val="4"/>
            <w:shd w:val="clear" w:color="auto" w:fill="auto"/>
            <w:tcW w:w="102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合计</w:t>
            </w:r>
            <w:r>
              <w:rPr>
                <w:highlight w:val="white"/>
              </w:rPr>
            </w:r>
          </w:p>
        </w:tc>
        <w:tc>
          <w:tcPr>
            <w:shd w:val="clear" w:color="auto" w:fill="auto"/>
            <w:tcW w:w="85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30744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737"/>
        </w:trPr>
        <w:tc>
          <w:tcPr>
            <w:gridSpan w:val="8"/>
            <w:shd w:val="clear" w:color="auto" w:fill="auto"/>
            <w:tcW w:w="102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苏州大学实验学校北校区（初中部、高中部）</w:t>
            </w:r>
            <w:r>
              <w:rPr>
                <w:rFonts w:hint="eastAsia" w:ascii="宋体" w:hAnsi="宋体" w:eastAsia="宋体" w:cs="宋体"/>
                <w:b/>
                <w:bCs/>
                <w:i w:val="0"/>
                <w:iCs w:val="0"/>
                <w:color w:val="auto"/>
                <w:sz w:val="24"/>
                <w:szCs w:val="24"/>
                <w:highlight w:val="white"/>
                <w:u w:val="none"/>
                <w:lang w:val="en-US" w:eastAsia="zh-CN" w:bidi="ar"/>
              </w:rPr>
              <w:br/>
            </w:r>
            <w:r>
              <w:rPr>
                <w:rFonts w:hint="eastAsia" w:ascii="宋体" w:hAnsi="宋体" w:cs="宋体"/>
                <w:b/>
                <w:bCs/>
                <w:i w:val="0"/>
                <w:iCs w:val="0"/>
                <w:color w:val="auto"/>
                <w:sz w:val="24"/>
                <w:szCs w:val="24"/>
                <w:highlight w:val="white"/>
                <w:u w:val="none"/>
                <w:lang w:val="en-US" w:eastAsia="zh-CN" w:bidi="ar"/>
              </w:rPr>
              <w:t xml:space="preserve">校园绿化年度养护服务</w:t>
            </w:r>
            <w:r>
              <w:rPr>
                <w:rFonts w:hint="eastAsia" w:ascii="宋体" w:hAnsi="宋体" w:eastAsia="宋体" w:cs="宋体"/>
                <w:b/>
                <w:bCs/>
                <w:i w:val="0"/>
                <w:iCs w:val="0"/>
                <w:color w:val="auto"/>
                <w:sz w:val="24"/>
                <w:szCs w:val="24"/>
                <w:highlight w:val="white"/>
                <w:u w:val="none"/>
                <w:lang w:val="en-US" w:eastAsia="zh-CN" w:bidi="ar"/>
              </w:rPr>
              <w:t xml:space="preserve">清单</w:t>
            </w:r>
            <w:r>
              <w:rPr>
                <w:highlight w:val="white"/>
              </w:rPr>
            </w:r>
          </w:p>
        </w:tc>
      </w:tr>
      <w:tr>
        <w:trPr>
          <w:trHeight w:val="270"/>
        </w:trPr>
        <w:tc>
          <w:tcPr>
            <w:shd w:val="clear" w:color="auto" w:fill="auto"/>
            <w:tcW w:w="587" w:type="dxa"/>
            <w:vAlign w:val="center"/>
            <w:vMerge w:val="restart"/>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序号</w:t>
            </w:r>
            <w:r>
              <w:rPr>
                <w:highlight w:val="white"/>
              </w:rPr>
            </w:r>
          </w:p>
        </w:tc>
        <w:tc>
          <w:tcPr>
            <w:shd w:val="clear" w:color="auto" w:fill="auto"/>
            <w:tcW w:w="1169" w:type="dxa"/>
            <w:vAlign w:val="center"/>
            <w:vMerge w:val="restart"/>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品种</w:t>
            </w:r>
            <w:r>
              <w:rPr>
                <w:highlight w:val="white"/>
              </w:rPr>
            </w:r>
          </w:p>
        </w:tc>
        <w:tc>
          <w:tcPr>
            <w:gridSpan w:val="3"/>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苗木规格（cm）</w:t>
            </w:r>
            <w:r>
              <w:rPr>
                <w:highlight w:val="white"/>
              </w:rPr>
            </w:r>
          </w:p>
        </w:tc>
        <w:tc>
          <w:tcPr>
            <w:shd w:val="clear" w:color="auto" w:fill="auto"/>
            <w:tcW w:w="850" w:type="dxa"/>
            <w:vAlign w:val="center"/>
            <w:vMerge w:val="restart"/>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单位</w:t>
            </w:r>
            <w:r>
              <w:rPr>
                <w:highlight w:val="white"/>
              </w:rPr>
            </w:r>
          </w:p>
        </w:tc>
        <w:tc>
          <w:tcPr>
            <w:shd w:val="clear" w:color="auto" w:fill="auto"/>
            <w:tcW w:w="850"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数量</w:t>
            </w:r>
            <w:r>
              <w:rPr>
                <w:highlight w:val="white"/>
              </w:rPr>
            </w:r>
          </w:p>
        </w:tc>
        <w:tc>
          <w:tcPr>
            <w:shd w:val="clear" w:color="auto" w:fill="auto"/>
            <w:tcW w:w="2681"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服务要求</w:t>
            </w:r>
            <w:r>
              <w:rPr>
                <w:highlight w:val="white"/>
              </w:rPr>
            </w:r>
          </w:p>
        </w:tc>
      </w:tr>
      <w:tr>
        <w:trPr>
          <w:trHeight w:val="270"/>
        </w:trPr>
        <w:tc>
          <w:tcPr>
            <w:shd w:val="clear" w:color="auto" w:fill="auto"/>
            <w:tcW w:w="587" w:type="dxa"/>
            <w:vAlign w:val="center"/>
            <w:vMerge w:val="continue"/>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169" w:type="dxa"/>
            <w:vAlign w:val="center"/>
            <w:vMerge w:val="continue"/>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胸（地）径</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高度</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冠幅</w:t>
            </w:r>
            <w:r>
              <w:rPr>
                <w:highlight w:val="white"/>
              </w:rPr>
            </w:r>
          </w:p>
        </w:tc>
        <w:tc>
          <w:tcPr>
            <w:shd w:val="clear" w:color="auto" w:fill="auto"/>
            <w:tcW w:w="850" w:type="dxa"/>
            <w:vAlign w:val="center"/>
            <w:vMerge w:val="continue"/>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850"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2681"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70"/>
        </w:trPr>
        <w:tc>
          <w:tcPr>
            <w:shd w:val="clear" w:color="auto" w:fill="auto"/>
            <w:tcW w:w="587"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一</w:t>
            </w:r>
            <w:r>
              <w:rPr>
                <w:highlight w:val="white"/>
              </w:rPr>
            </w:r>
          </w:p>
        </w:tc>
        <w:tc>
          <w:tcPr>
            <w:gridSpan w:val="7"/>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1F地面乔灌数量统计表</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香樟A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25-26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850-900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550-600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全冠，4级以上分枝，分支点高度及树高差小于50cm，各级分枝均要保留完好。</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香樟B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22-24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800-850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500-550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全冠，4级以上分枝，分支点高度及树高差小于50cm，各级分枝均要保留完好。</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丛生香樟</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1200-1250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650-700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4-5分支，全冠，移栽苗，树姿优美全冠，移栽苗，树姿优美</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大叶女贞</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22-24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800-850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全冠，3级以上分枝，第1个分枝有3个以上不同方向的分枝,树形优美。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广玉兰</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700-750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全冠，4分枝以上，分枝均匀开展，树形优美。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三角枫</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601-650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351-400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全冠，4级以上分枝，分枝均匀开展，树形优美。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枫香</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22-24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801-850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351-400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全冠，本地移栽苗，树姿优美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丛生乌桕</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分支≥12-15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700-750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500-550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5-7分支，全冠，移栽苗，树姿优美</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朴树</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25-26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750-800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450-500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全冠，5级以上分枝，姿态优美，树形饱满，各级分枝均要保留完好。</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榉树</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651-700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水杉A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16-18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600-650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301-350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全冠，不可去尖，树干挺直，树冠饱满，枝下高小于1.5m。</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水杉B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201-250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全冠，不可去尖，树干挺直，树冠饱满，枝下高小于1m。</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染井吉野樱A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东京樱花，全冠，软蓬，枝条飘逸，树形均匀完整。</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染井吉野樱B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600-650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500-550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东京樱花，全冠，软蓬，枝条飘逸，树形均匀完整。</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乌桕</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800-850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特选大香樟</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1200-1300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600-650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全冠，移栽苗，树姿优美，三方选型</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鸡爪槭A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鸡爪槭B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d:15-16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19</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羽毛枫</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d:8-10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150-160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赤枫</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d:15-16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红枫A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d:14.1-16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全冠,三季红品种,树姿优美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红枫B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d:12.1-14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全冠,三季红品种,树姿优美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红枫C</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d:8.1-9</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＞151</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全冠,三季红品种,树姿优美</w:t>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垂丝海棠</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d:12-14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全冠,软蓬，树形均匀完整，树形饱满。全冠，移栽苗，树姿优美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二乔玉兰</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d:13-15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全冠，4级以上分枝，分枝均匀开展，树形优美。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金桂</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紫藤</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d:6-8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藤长＞200</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二年生，地径2-3cm，多分枝</w:t>
            </w:r>
            <w:r>
              <w:rPr>
                <w:highlight w:val="white"/>
              </w:rPr>
            </w:r>
          </w:p>
        </w:tc>
      </w:tr>
      <w:tr>
        <w:trPr>
          <w:trHeight w:val="270"/>
        </w:trPr>
        <w:tc>
          <w:tcPr>
            <w:shd w:val="clear" w:color="auto" w:fill="auto"/>
            <w:tcW w:w="587"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二</w:t>
            </w:r>
            <w:r>
              <w:rPr>
                <w:highlight w:val="white"/>
              </w:rPr>
            </w:r>
          </w:p>
        </w:tc>
        <w:tc>
          <w:tcPr>
            <w:shd w:val="clear" w:color="auto" w:fill="auto"/>
            <w:tcW w:w="1169"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1F地面灌木地被面积表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百子莲</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272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扶芳藤</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L=80</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49株/m2，三年生以上，盆栽容器苗,种后不露土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大花萱草</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49株/m2,每株3-5支，容器苗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龟甲冬青</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771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25株/m2,毛球，容器苗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日本血草</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36丛/M2，30-35芽/丛，容器苗,种后不露土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火炬花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343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25株/m2,容器苗,种后不露土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兰花三七</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1431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49株/m2,容器苗,种后不露土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石蒜</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10-15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384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6-8芽/株,容器苗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小兔子狼尾草</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36丛/m2,30-50芽/丛,容器苗，种后不露土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红叶石楠</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553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16株/m2,容器苗，毛球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紫叶狼尾草</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25-30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16丛/m2,60-80芽/丛，多年生容器苗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夏鹃</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324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25株/m2，容器苗，毛球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毛鹃</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288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25株/m2，毛球，容器苗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栀子花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217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25株/m2，容器苗，毛球</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天人菊</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49株/m2,三年生以上，盆栽容器苗,种后不露土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大花金鸡菊</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380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36株/m2,12头以上/株，容器苗,种后不露土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大滨菊</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328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36株/m2,8-12头/株，容器苗,种后不露土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细叶芒</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285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36丛/M2，20芽以上/丛，容器苗,种后不露土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19</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西伯利亚鸢尾</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244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49丛/M2，3-4芽/丛，不要黄花</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常绿水生鸢尾（蓝）</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49丛/M2，3-4芽/丛，不要黄花</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常绿水生鸢尾(红）</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49丛/M2，3-4芽/丛，不要黄花</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千叶蓍</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36株/m2,5头以上/株，容器苗,种后不露土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紫娇花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49丛/m2,8-10支/丛，容器苗，种后不露土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珊瑚篱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米</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840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全冠，品字型种植，5株/米，种植宽度500-600mm</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牡丹</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40-45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36丛/m2,6-8芽/丛,多年生容器苗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百慕大</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6473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草坪卷，冬季追播黑麦草</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足球场专用草坪</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7466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狗牙根草坪卷，冬季追播黑麦草25g/m2</w:t>
            </w:r>
            <w:r>
              <w:rPr>
                <w:highlight w:val="white"/>
              </w:rPr>
            </w:r>
          </w:p>
        </w:tc>
      </w:tr>
      <w:tr>
        <w:trPr>
          <w:trHeight w:val="270"/>
        </w:trPr>
        <w:tc>
          <w:tcPr>
            <w:shd w:val="clear" w:color="auto" w:fill="auto"/>
            <w:tcW w:w="587"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三</w:t>
            </w:r>
            <w:r>
              <w:rPr>
                <w:highlight w:val="white"/>
              </w:rPr>
            </w:r>
          </w:p>
        </w:tc>
        <w:tc>
          <w:tcPr>
            <w:shd w:val="clear" w:color="auto" w:fill="auto"/>
            <w:tcW w:w="1169"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2F屋面乔灌数量统计表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鸡爪槭A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d:10-12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鸡爪槭B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d:15-16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红枫A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d:14.1-16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&gt;350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&gt;350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全冠,三季红品种,树姿优美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金桂B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d:15-17</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270"/>
        </w:trPr>
        <w:tc>
          <w:tcPr>
            <w:shd w:val="clear" w:color="auto" w:fill="auto"/>
            <w:tcW w:w="587"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四</w:t>
            </w:r>
            <w:r>
              <w:rPr>
                <w:highlight w:val="white"/>
              </w:rPr>
            </w:r>
          </w:p>
        </w:tc>
        <w:tc>
          <w:tcPr>
            <w:shd w:val="clear" w:color="auto" w:fill="auto"/>
            <w:tcW w:w="1169"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2F屋面灌木地被面积表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百子莲</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金叶石菖蒲</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36丛/m2,30-35芽/丛，容器苗,种后不露土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千叶蓍</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36丛/m2,8-10支/丛，容器苗,种后不露土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瓜子黄杨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36株/m2,毛球，容器苗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大叶黄杨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36株/m2,毛球，容器苗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松果菊</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36丛/m2,6-8支/丛，容器苗,种后不露土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栀子花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36株/m2,毛球，容器苗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火炬花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红继木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36株/m2,毛球，容器苗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红叶石楠</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36株/m2,毛球，容器苗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黄金菊</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36株/m2,毛球，容器苗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毛鹃</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30-35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25株/m2,毛球，容器苗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蓝霸鼠尾草</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35-40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36丛/m2,8-10支/丛，容器苗,种后不露土</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紫娇花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49丛/m2,8-10支/丛，容器苗</w:t>
            </w:r>
            <w:r>
              <w:rPr>
                <w:highlight w:val="white"/>
              </w:rPr>
            </w:r>
          </w:p>
        </w:tc>
      </w:tr>
      <w:tr>
        <w:trPr>
          <w:trHeight w:val="270"/>
        </w:trPr>
        <w:tc>
          <w:tcPr>
            <w:shd w:val="clear" w:color="auto" w:fill="auto"/>
            <w:tcW w:w="587"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五</w:t>
            </w:r>
            <w:r>
              <w:rPr>
                <w:highlight w:val="white"/>
              </w:rPr>
            </w:r>
          </w:p>
        </w:tc>
        <w:tc>
          <w:tcPr>
            <w:shd w:val="clear" w:color="auto" w:fill="auto"/>
            <w:tcW w:w="1169"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小学屋面灌木数量统计表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紫荆</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≥8分支,全冠,移栽苗,树姿优美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日本早樱</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d：13.1-14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全冠，移栽苗，树姿优美,非截杆，自然形态树形</w:t>
            </w:r>
            <w:r>
              <w:rPr>
                <w:highlight w:val="white"/>
              </w:rPr>
            </w:r>
          </w:p>
        </w:tc>
      </w:tr>
      <w:tr>
        <w:trPr>
          <w:trHeight w:val="270"/>
        </w:trPr>
        <w:tc>
          <w:tcPr>
            <w:shd w:val="clear" w:color="auto" w:fill="auto"/>
            <w:tcW w:w="587"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六</w:t>
            </w:r>
            <w:r>
              <w:rPr>
                <w:highlight w:val="white"/>
              </w:rPr>
            </w:r>
          </w:p>
        </w:tc>
        <w:tc>
          <w:tcPr>
            <w:shd w:val="clear" w:color="auto" w:fill="auto"/>
            <w:tcW w:w="1169"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小学屋面地被面积表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46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紫娇花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49株/m2,8-10支/株，容器苗，种后不露土,不可分芽种植</w:t>
            </w:r>
            <w:r>
              <w:rPr>
                <w:highlight w:val="white"/>
              </w:rPr>
            </w:r>
          </w:p>
        </w:tc>
      </w:tr>
      <w:tr>
        <w:trPr>
          <w:trHeight w:val="69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四季草花</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106</w:t>
            </w:r>
            <w:r>
              <w:rPr>
                <w:highlight w:val="white"/>
              </w:rPr>
            </w:r>
          </w:p>
        </w:tc>
        <w:tc>
          <w:tcPr>
            <w:shd w:val="clear" w:color="auto" w:fill="auto"/>
            <w:tcW w:w="2681" w:type="dxa"/>
            <w:vAlign w:val="top"/>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容器苗，种植后不露土，不可分芽种植。每年更换4次。趣味农场苗圃可按业主要求对品种及面积进行调整。</w:t>
            </w:r>
            <w:r>
              <w:rPr>
                <w:highlight w:val="white"/>
              </w:rPr>
            </w:r>
          </w:p>
        </w:tc>
      </w:tr>
      <w:tr>
        <w:trPr>
          <w:trHeight w:val="270"/>
        </w:trPr>
        <w:tc>
          <w:tcPr>
            <w:shd w:val="clear" w:color="auto" w:fill="auto"/>
            <w:tcW w:w="587"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七</w:t>
            </w:r>
            <w:r>
              <w:rPr>
                <w:highlight w:val="white"/>
              </w:rPr>
            </w:r>
          </w:p>
        </w:tc>
        <w:tc>
          <w:tcPr>
            <w:shd w:val="clear" w:color="auto" w:fill="auto"/>
            <w:tcW w:w="1169"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中学屋面灌木数量统计表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金桂C</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日本早樱</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d：13.1-14</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全冠，移栽苗，树姿优美,非截杆，自然形态树形</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梅花</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d：12.1-13</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全冠，移栽苗，树姿优美,非截杆，自然形态树形</w:t>
            </w:r>
            <w:r>
              <w:rPr>
                <w:highlight w:val="white"/>
              </w:rPr>
            </w:r>
          </w:p>
        </w:tc>
      </w:tr>
      <w:tr>
        <w:trPr>
          <w:trHeight w:val="270"/>
        </w:trPr>
        <w:tc>
          <w:tcPr>
            <w:shd w:val="clear" w:color="auto" w:fill="auto"/>
            <w:tcW w:w="587"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八</w:t>
            </w:r>
            <w:r>
              <w:rPr>
                <w:highlight w:val="white"/>
              </w:rPr>
            </w:r>
          </w:p>
        </w:tc>
        <w:tc>
          <w:tcPr>
            <w:shd w:val="clear" w:color="auto" w:fill="auto"/>
            <w:tcW w:w="1169"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中学屋面地被面积表</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兰花三七</w:t>
            </w:r>
            <w:r>
              <w:rPr>
                <w:highlight w:val="white"/>
              </w:rPr>
            </w:r>
          </w:p>
        </w:tc>
        <w:tc>
          <w:tcPr>
            <w:shd w:val="clear" w:color="auto" w:fill="auto"/>
            <w:tcW w:w="1020"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49丛/m2,25-30根/丛,容器苗,种后不露土</w:t>
            </w:r>
            <w:r>
              <w:rPr>
                <w:highlight w:val="white"/>
              </w:rPr>
            </w:r>
          </w:p>
        </w:tc>
      </w:tr>
      <w:tr>
        <w:trPr>
          <w:trHeight w:val="276"/>
        </w:trPr>
        <w:tc>
          <w:tcPr>
            <w:gridSpan w:val="5"/>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合计</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22005</w:t>
            </w:r>
            <w:r>
              <w:rPr>
                <w:highlight w:val="white"/>
              </w:rPr>
            </w:r>
          </w:p>
        </w:tc>
        <w:tc>
          <w:tcPr>
            <w:shd w:val="clear" w:color="auto" w:fill="auto"/>
            <w:tcW w:w="2681" w:type="dxa"/>
            <w:vAlign w:val="bottom"/>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737"/>
        </w:trPr>
        <w:tc>
          <w:tcPr>
            <w:gridSpan w:val="8"/>
            <w:shd w:val="clear" w:color="auto" w:fill="auto"/>
            <w:tcW w:w="1020" w:type="dxa"/>
            <w:vAlign w:val="center"/>
            <w:textDirection w:val="lrTb"/>
            <w:noWrap w:val="false"/>
          </w:tcPr>
          <w:p>
            <w:pPr>
              <w:ind w:left="0" w:firstLine="0"/>
              <w:jc w:val="center"/>
              <w:keepLines w:val="0"/>
              <w:keepNext w:val="0"/>
              <w:widowControl/>
              <w:rPr>
                <w:rFonts w:hint="eastAsia" w:ascii="宋体" w:hAnsi="宋体" w:eastAsia="宋体" w:cs="宋体"/>
                <w:b/>
                <w:bCs/>
                <w:i w:val="0"/>
                <w:iCs w:val="0"/>
                <w:color w:val="auto"/>
                <w:sz w:val="24"/>
                <w:szCs w:val="24"/>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苏州大学实验学校小学西区（小学部）</w:t>
            </w:r>
            <w:r>
              <w:rPr>
                <w:rFonts w:hint="eastAsia" w:ascii="宋体" w:hAnsi="宋体" w:eastAsia="宋体" w:cs="宋体"/>
                <w:b/>
                <w:bCs/>
                <w:i w:val="0"/>
                <w:iCs w:val="0"/>
                <w:color w:val="auto"/>
                <w:sz w:val="24"/>
                <w:szCs w:val="24"/>
                <w:highlight w:val="white"/>
                <w:u w:val="none"/>
                <w:lang w:val="en-US" w:eastAsia="zh-CN" w:bidi="ar"/>
              </w:rPr>
              <w:br/>
            </w:r>
            <w:r>
              <w:rPr>
                <w:rFonts w:hint="eastAsia" w:ascii="宋体" w:hAnsi="宋体" w:cs="宋体"/>
                <w:b/>
                <w:bCs/>
                <w:i w:val="0"/>
                <w:iCs w:val="0"/>
                <w:color w:val="auto"/>
                <w:sz w:val="24"/>
                <w:szCs w:val="24"/>
                <w:highlight w:val="white"/>
                <w:u w:val="none"/>
                <w:lang w:val="en-US" w:eastAsia="zh-CN" w:bidi="ar"/>
              </w:rPr>
              <w:t xml:space="preserve">校园绿化年度养护服务</w:t>
            </w:r>
            <w:r>
              <w:rPr>
                <w:rFonts w:hint="eastAsia" w:ascii="宋体" w:hAnsi="宋体" w:eastAsia="宋体" w:cs="宋体"/>
                <w:b/>
                <w:bCs/>
                <w:i w:val="0"/>
                <w:iCs w:val="0"/>
                <w:color w:val="auto"/>
                <w:sz w:val="24"/>
                <w:szCs w:val="24"/>
                <w:highlight w:val="white"/>
                <w:u w:val="none"/>
                <w:lang w:val="en-US" w:eastAsia="zh-CN" w:bidi="ar"/>
              </w:rPr>
              <w:t xml:space="preserve">清单</w:t>
            </w:r>
            <w:r>
              <w:rPr>
                <w:highlight w:val="white"/>
              </w:rPr>
            </w:r>
          </w:p>
        </w:tc>
      </w:tr>
      <w:tr>
        <w:trPr>
          <w:trHeight w:val="270"/>
        </w:trPr>
        <w:tc>
          <w:tcPr>
            <w:shd w:val="clear" w:color="auto" w:fill="auto"/>
            <w:tcW w:w="587" w:type="dxa"/>
            <w:vAlign w:val="center"/>
            <w:vMerge w:val="restart"/>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序号</w:t>
            </w:r>
            <w:r>
              <w:rPr>
                <w:highlight w:val="white"/>
              </w:rPr>
            </w:r>
          </w:p>
        </w:tc>
        <w:tc>
          <w:tcPr>
            <w:shd w:val="clear" w:color="auto" w:fill="auto"/>
            <w:tcW w:w="1169" w:type="dxa"/>
            <w:vAlign w:val="center"/>
            <w:vMerge w:val="restart"/>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名称</w:t>
            </w:r>
            <w:r>
              <w:rPr>
                <w:highlight w:val="white"/>
              </w:rPr>
            </w:r>
          </w:p>
        </w:tc>
        <w:tc>
          <w:tcPr>
            <w:gridSpan w:val="3"/>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规格（cm）</w:t>
            </w:r>
            <w:r>
              <w:rPr>
                <w:highlight w:val="white"/>
              </w:rPr>
            </w:r>
          </w:p>
        </w:tc>
        <w:tc>
          <w:tcPr>
            <w:shd w:val="clear" w:color="auto" w:fill="auto"/>
            <w:tcW w:w="850" w:type="dxa"/>
            <w:vAlign w:val="center"/>
            <w:vMerge w:val="restart"/>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单位</w:t>
            </w:r>
            <w:r>
              <w:rPr>
                <w:highlight w:val="white"/>
              </w:rPr>
            </w:r>
          </w:p>
        </w:tc>
        <w:tc>
          <w:tcPr>
            <w:shd w:val="clear" w:color="auto" w:fill="auto"/>
            <w:tcW w:w="850" w:type="dxa"/>
            <w:vAlign w:val="center"/>
            <w:vMerge w:val="restart"/>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数量</w:t>
            </w:r>
            <w:r>
              <w:rPr>
                <w:highlight w:val="white"/>
              </w:rPr>
            </w:r>
          </w:p>
        </w:tc>
        <w:tc>
          <w:tcPr>
            <w:shd w:val="clear" w:color="auto" w:fill="auto"/>
            <w:tcW w:w="2681"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备注</w:t>
            </w:r>
            <w:r>
              <w:rPr>
                <w:highlight w:val="white"/>
              </w:rPr>
            </w:r>
          </w:p>
        </w:tc>
      </w:tr>
      <w:tr>
        <w:trPr>
          <w:trHeight w:val="270"/>
        </w:trPr>
        <w:tc>
          <w:tcPr>
            <w:shd w:val="clear" w:color="auto" w:fill="auto"/>
            <w:tcW w:w="587" w:type="dxa"/>
            <w:vAlign w:val="center"/>
            <w:vMerge w:val="continue"/>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169" w:type="dxa"/>
            <w:vAlign w:val="center"/>
            <w:vMerge w:val="continue"/>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胸（地）径</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高度</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冠幅</w:t>
            </w:r>
            <w:r>
              <w:rPr>
                <w:highlight w:val="white"/>
              </w:rPr>
            </w:r>
          </w:p>
        </w:tc>
        <w:tc>
          <w:tcPr>
            <w:shd w:val="clear" w:color="auto" w:fill="auto"/>
            <w:tcW w:w="850" w:type="dxa"/>
            <w:vAlign w:val="center"/>
            <w:vMerge w:val="continue"/>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850" w:type="dxa"/>
            <w:vAlign w:val="center"/>
            <w:vMerge w:val="continue"/>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W w:w="2681" w:type="dxa"/>
            <w:vAlign w:val="center"/>
            <w:vMerge w:val="continue"/>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一</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地面绿化乔灌木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香樟B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650-700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全冠，树形饱满优美，三级分枝以上，分枝点200-220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乌桕A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600-650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全冠，树形饱满优美，四级分枝以上，分枝点200-220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乌桕B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700-750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全冠移栽苗，树形饱满优美，三级分枝以上，分枝点220-250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朴树B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650-700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全冠，树形饱满优美，三级分枝以上，分枝点220-250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丛生朴树A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累计胸径45以上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400以上</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特选苗圃容器苗，树形舒展如伞状，分支不少于4杆，胸径大于12的不少于3杆</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丛生黄连木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累计胸径40以上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400以上</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特选苗圃容器苗，树形舒展如伞状，主杆不少于5杆，每杆胸径不小于8</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榉树A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650-700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全冠，树形饱满优美，三级分枝以上，分枝点200-220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枣树</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全冠，树形饱满优美，三级分枝以上，分枝点200-220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柿树</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500-550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全冠，树形饱满优美，三级分枝以上，分枝点180-200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黄山栾树B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650-700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全冠，树形饱满优美，三级分枝以上，分枝点200-220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金桂A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丛生,枝繁叶茂,植株饱满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金桂B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丛生,枝繁叶茂,植株饱满</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丛生胡柚B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累计地径18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450-500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特选，蓬冠丰满，枝叶开展，5杆以上</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杨梅</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累计地径15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丛生，5分支及以上，全冠苗，蓬冠丰满，间隙小</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柑橘</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地径12以上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枝干遒劲，树形饱满优美，分枝点不高于60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鸡爪槭B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特选，树形饱满优美，分枝点80-100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日本红枫A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树形饱满优美，分枝点40-60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日本红枫B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树形饱满优美，5主枝以上，分枝点60-80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19</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特选红梅</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地径18以上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特选，造型妖娆，枝繁叶茂，红花，分枝点不高于50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染井吉野A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地径11</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单瓣白花，树形饱满优美，分枝点80-100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绯红晚樱B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重瓣红花，树形饱满优美，分枝点80-100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垂丝海棠A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树形饱满优美，分枝点60-70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紫薇A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树形饱满优美，红花，6主枝以上，分枝点50-60，带软篷</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紫薇B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450-500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树形饱满优美，红花，多分枝，带软篷</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丛生紫薇</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精品苗，树形饱满优美，6枝以上/棵，每枝地径不少于3，红花，带软篷</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榆叶梅</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树形饱满优美，分枝点60-80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海滨木槿</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150-200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树形饱满优美，分支匀称</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南天竹</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6-8枝/丛</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29</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黄馨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枝长120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25-30枝/丛</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海桐球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球形饱满，不脱脚</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红叶石楠球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球形饱满，不脱脚</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无刺构骨球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球形饱满，不脱脚</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金姬小蜡球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球形饱满，不脱脚</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红花继木球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球形饱满，不脱脚</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矮蒲苇</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80-100芽/丛</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二</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地面绿化竹类</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金镶玉竹</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自然高</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25棵/平方米，品字形种植，不打尖，带竹鞭</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三</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地面绿化灌木地被</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毛鹃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金森女贞</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大叶黄杨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49棵/平方米</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金边黄杨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49棵/平方米</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红叶石楠</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南天竹</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洒金桃叶珊瑚</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法国冬青</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36棵/平方米，双排品字形密缝种植</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木槿</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36棵/平方米，双排品字形密缝种植</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麦冬</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81棵/平方米，8叶以上/棵</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吉祥草</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64棵/平方米，8叶以上/棵</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玉龙草</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矮生沿阶草，64墩/平方米</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金叶石菖蒲</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25盆/平方米，1加仑苗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旱伞草</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16盆/平方米，1加仑苗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晨光芒</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60-70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16盆/平方米，26X21营养钵</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千屈菜</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16盆/平方米，1加仑苗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翠芦莉</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16盆/平方米，1加仑苗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草坪</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1497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矮生百慕大草皮卷，秋季追播黑麦草</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四</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地下一层绿化乔灌木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丛生朴树B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累计胸径50以上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800以上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500以上</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特选，树形舒展如伞状，分支不少于5杆，胸径大于12的不少于3杆</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丛生乌桕A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累计胸径45以上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700以上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400以上</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特选，树形舒展如伞状，主杆不少于5杆，胸径大于10的不少于3杆</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乌桕A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600-650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全冠，树形饱满优美，四级分枝以上，分枝点200-220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中山杉</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750-800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全冠，树形饱满优美，分枝点150-180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金桂B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本地精品容器苗,丛生硬骨架,蓬形饱满,树形端正</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丛生胡柚B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450-500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特选，蓬冠丰满，枝叶开展，5杆以上</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山茶</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地径8</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180-200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蓬冠丰满，不偏冠，“香妃”品种</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精选果石榴</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200-250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3-4分支，具有一定的扭曲性</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9</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红叶李A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250-300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树形饱满优美，5主枝以上，分枝点不高于70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特选红叶李</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地径15以上</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特选，树型饱满优美，树冠打开如伞状，5主枝以上，分支点&lt;60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日本红枫A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树形饱满优美，分枝点40-60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日本红枫B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400-450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树形饱满优美，5主枝以上，分枝点60-80</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红叶石楠球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精球，球形饱满，不脱脚</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无刺构骨球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精球，球形饱满，不脱脚</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红花继木球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球形饱满，不脱脚</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金姬小蜡球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精球，球形饱满，不脱脚</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南天竹</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6-8枝/丛</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矮蒲苇</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100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80-100芽/丛</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五</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地下一层绿化竹类</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刚竹</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2-2.5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自然高</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147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16棵/平方米，品字形种植，不打尖，带竹鞭</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金镶玉竹</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1.5-2</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自然高</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25棵/平方米，品字形种植，不打尖，带竹鞭</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六</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地下一层绿化灌木地被</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毛鹃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大叶黄杨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金边黄杨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南天竹</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八角金盘</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八仙花</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45</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25棵/平方米，1加仑苗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麦冬</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490</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81棵/平方米，8叶以上/棵</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常春藤</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蔓长30-40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64棵/平方米，两年生以上苗龄</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七</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屋顶花园绿化乔灌木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日本红枫A</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地径10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350-400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300-350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树形饱满优美，分枝点40-60</w:t>
            </w:r>
            <w:r>
              <w:rPr>
                <w:highlight w:val="white"/>
              </w:rPr>
            </w:r>
          </w:p>
        </w:tc>
      </w:tr>
      <w:tr>
        <w:trPr>
          <w:trHeight w:val="495"/>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藤本月季</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3枝以上/丛，红龙沙宝石，三年苗龄以上，两加仑</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红叶石楠球B</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180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株</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精球，球形饱满，不脱脚</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八</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屋顶花园绿化乔灌木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毛鹃</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35</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44</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64棵/平方米，多年生毛球苗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金边黄杨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25</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73</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49棵/平方米，多年生毛球苗</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3</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云南黄馨</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枝长60-80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49</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5-6支/丛，36丛/平方米，两年生以上苗龄</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麦冬</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20</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127</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81棵/平方米，8叶以上/棵</w:t>
            </w:r>
            <w:r>
              <w:rPr>
                <w:highlight w:val="white"/>
              </w:rPr>
            </w:r>
          </w:p>
        </w:tc>
      </w:tr>
      <w:tr>
        <w:trPr>
          <w:trHeight w:val="270"/>
        </w:trPr>
        <w:tc>
          <w:tcPr>
            <w:shd w:val="clear" w:color="auto" w:fill="auto"/>
            <w:tcW w:w="587"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w:t>
            </w:r>
            <w:r>
              <w:rPr>
                <w:highlight w:val="white"/>
              </w:rPr>
            </w:r>
          </w:p>
        </w:tc>
        <w:tc>
          <w:tcPr>
            <w:shd w:val="clear" w:color="auto" w:fill="auto"/>
            <w:tcW w:w="1169"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菜地</w:t>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m2</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168</w:t>
            </w:r>
            <w:r>
              <w:rPr>
                <w:highlight w:val="white"/>
              </w:rPr>
            </w:r>
          </w:p>
        </w:tc>
        <w:tc>
          <w:tcPr>
            <w:shd w:val="clear" w:color="auto" w:fill="auto"/>
            <w:tcW w:w="2681"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时令蔬菜</w:t>
            </w:r>
            <w:r>
              <w:rPr>
                <w:highlight w:val="white"/>
              </w:rPr>
            </w:r>
          </w:p>
        </w:tc>
      </w:tr>
      <w:tr>
        <w:trPr>
          <w:trHeight w:val="270"/>
        </w:trPr>
        <w:tc>
          <w:tcPr>
            <w:gridSpan w:val="5"/>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合计</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m²</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4198</w:t>
            </w:r>
            <w:r>
              <w:rPr>
                <w:highlight w:val="white"/>
              </w:rPr>
            </w:r>
          </w:p>
        </w:tc>
        <w:tc>
          <w:tcPr>
            <w:shd w:val="clear" w:color="auto" w:fill="auto"/>
            <w:tcW w:w="2681"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r>
              <w:rPr>
                <w:highlight w:val="white"/>
              </w:rPr>
            </w:r>
          </w:p>
        </w:tc>
      </w:tr>
      <w:tr>
        <w:trPr>
          <w:trHeight w:val="270"/>
        </w:trPr>
        <w:tc>
          <w:tcPr>
            <w:gridSpan w:val="5"/>
            <w:shd w:val="clear" w:color="auto" w:fill="auto"/>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总计</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m²</w:t>
            </w:r>
            <w:r>
              <w:rPr>
                <w:highlight w:val="white"/>
              </w:rPr>
            </w:r>
          </w:p>
        </w:tc>
        <w:tc>
          <w:tcPr>
            <w:shd w:val="clear" w:color="auto" w:fill="auto"/>
            <w:tcW w:w="850"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56947</w:t>
            </w:r>
            <w:r>
              <w:rPr>
                <w:highlight w:val="white"/>
              </w:rPr>
            </w:r>
          </w:p>
        </w:tc>
        <w:tc>
          <w:tcPr>
            <w:shd w:val="clear" w:color="auto" w:fill="auto"/>
            <w:tcW w:w="2681"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r>
            <w:bookmarkEnd w:id="75"/>
            <w:r>
              <w:rPr>
                <w:highlight w:val="white"/>
              </w:rPr>
            </w:r>
          </w:p>
        </w:tc>
      </w:tr>
    </w:tbl>
    <w:p>
      <w:pPr>
        <w:ind w:left="0" w:firstLine="482"/>
        <w:jc w:val="both"/>
        <w:keepLines w:val="0"/>
        <w:keepNext w:val="0"/>
        <w:pageBreakBefore w:val="0"/>
        <w:spacing w:line="360" w:lineRule="auto"/>
        <w:widowControl w:val="off"/>
        <w:rPr>
          <w:rFonts w:hint="eastAsia" w:ascii="宋体" w:hAnsi="宋体" w:eastAsia="宋体" w:cs="宋体"/>
          <w:b/>
          <w:bCs w:val="0"/>
          <w:color w:val="auto"/>
          <w:sz w:val="24"/>
          <w:highlight w:val="white"/>
        </w:rPr>
      </w:pPr>
      <w:r>
        <w:rPr>
          <w:rFonts w:hint="eastAsia" w:ascii="宋体" w:hAnsi="宋体" w:eastAsia="宋体" w:cs="宋体"/>
          <w:b/>
          <w:bCs w:val="0"/>
          <w:color w:val="auto"/>
          <w:sz w:val="24"/>
          <w:highlight w:val="white"/>
          <w:lang w:val="en-US" w:eastAsia="zh-CN" w:bidi="ar-SA"/>
        </w:rPr>
        <w:t xml:space="preserve">（二）</w:t>
      </w:r>
      <w:r>
        <w:rPr>
          <w:rFonts w:hint="eastAsia" w:ascii="宋体" w:hAnsi="宋体" w:eastAsia="宋体" w:cs="宋体"/>
          <w:b/>
          <w:bCs w:val="0"/>
          <w:color w:val="auto"/>
          <w:sz w:val="24"/>
          <w:highlight w:val="white"/>
          <w:lang w:val="en-US" w:eastAsia="zh-CN" w:bidi="ar-SA"/>
        </w:rPr>
        <w:t xml:space="preserve">养护管理技术要求：</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1、绿化比较充分，植物配置基本合理，基本达到黄土不露天。</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2、校园绿色植物养护基本达到要求如下：</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(1)生长势：正常。生长达到该树种该规格的平均生长量。</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(2)叶子正常：①叶色、大小、薄厚正常；②较严重黄叶、焦叶、卷叶、带虫尿虫网灰尘的株数在2％以下；③被啃咬的叶片最严重的每株在10％以下。</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(3)枝、干正常：</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①无明显枯枝、死权；</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②有蛀干害虫的株数在2％以下(包括2％，以下同)；</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③介壳虫最严重处主枝主干100平方厘米2头活虫以下，较细枝条每尺长一段上在10头活虫以下，株数都在4％以下；</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④树冠基本完整：主侧枝分布均称，树冠通风透光。</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(4)措施：按要求认真进行养护。</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(5)行道树缺株在l％以下。</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(6)草坪覆盖率达95％以上；草坪内杂草控制在20％以内；生长和颜色正常，不枯黄；每年修剪暖地型二次以上，冷地型10次以上；基本无病虫害。</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en-US" w:eastAsia="zh-CN"/>
        </w:rPr>
        <w:t xml:space="preserve">3、</w:t>
      </w:r>
      <w:r>
        <w:rPr>
          <w:rFonts w:hint="eastAsia" w:ascii="宋体" w:hAnsi="宋体" w:eastAsia="宋体" w:cs="宋体"/>
          <w:bCs/>
          <w:color w:val="auto"/>
          <w:sz w:val="24"/>
          <w:highlight w:val="white"/>
        </w:rPr>
        <w:t xml:space="preserve">行道树和绿地内无死树，树木修剪基本合理，树形美观，能较好地解决树木与电线、建筑物、交通等之间的矛盾。</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en-US" w:eastAsia="zh-CN"/>
        </w:rPr>
        <w:t xml:space="preserve">4、</w:t>
      </w:r>
      <w:r>
        <w:rPr>
          <w:rFonts w:hint="eastAsia" w:ascii="宋体" w:hAnsi="宋体" w:eastAsia="宋体" w:cs="宋体"/>
          <w:bCs/>
          <w:color w:val="auto"/>
          <w:sz w:val="24"/>
          <w:highlight w:val="white"/>
        </w:rPr>
        <w:t xml:space="preserve">绿化生产垃圾要做到日产日清，绿地内无明显的废弃物，能坚持在重大节日前进行突击清理。</w:t>
      </w:r>
      <w:r>
        <w:rPr>
          <w:highlight w:val="white"/>
        </w:rPr>
      </w:r>
    </w:p>
    <w:p>
      <w:pPr>
        <w:ind w:left="0" w:firstLine="480"/>
        <w:jc w:val="both"/>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en-US" w:eastAsia="zh-CN" w:bidi="ar-SA"/>
        </w:rPr>
        <w:t xml:space="preserve">5、栏杆、园路、桌椅、井盖和牌饰等园林设施基本完整，基本做到及时维护和油饰。</w:t>
      </w:r>
      <w:r>
        <w:rPr>
          <w:highlight w:val="white"/>
        </w:rPr>
      </w:r>
    </w:p>
    <w:p>
      <w:pPr>
        <w:ind w:left="0" w:firstLine="480"/>
        <w:jc w:val="both"/>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en-US" w:eastAsia="zh-CN" w:bidi="ar-SA"/>
        </w:rPr>
        <w:t xml:space="preserve">6、无较重的人为损坏。对轻微或偶尔发生难以控制的人为损坏，能及时发现和处理、绿地、草坪内无堆物堆料、搭棚或侵占等；行道树树干无明显地钉栓刻画现象，树下距树2米以内无影响树木养护管理的堆物堆料、搭棚、圈栏等。</w:t>
      </w:r>
      <w:r>
        <w:rPr>
          <w:highlight w:val="white"/>
        </w:rPr>
      </w:r>
    </w:p>
    <w:p>
      <w:pPr>
        <w:ind w:left="0" w:firstLine="482"/>
        <w:keepLines w:val="0"/>
        <w:keepNext w:val="0"/>
        <w:pageBreakBefore w:val="0"/>
        <w:spacing w:line="360" w:lineRule="auto"/>
        <w:widowControl w:val="off"/>
        <w:rPr>
          <w:rFonts w:hint="eastAsia" w:ascii="宋体" w:hAnsi="宋体" w:eastAsia="宋体" w:cs="宋体"/>
          <w:b/>
          <w:bCs w:val="0"/>
          <w:color w:val="auto"/>
          <w:sz w:val="24"/>
          <w:highlight w:val="white"/>
        </w:rPr>
      </w:pPr>
      <w:r>
        <w:rPr>
          <w:rFonts w:hint="eastAsia" w:ascii="宋体" w:hAnsi="宋体" w:eastAsia="宋体" w:cs="宋体"/>
          <w:b/>
          <w:bCs w:val="0"/>
          <w:color w:val="auto"/>
          <w:sz w:val="24"/>
          <w:highlight w:val="white"/>
        </w:rPr>
        <w:t xml:space="preserve">（三）绿化养护</w:t>
      </w:r>
      <w:r>
        <w:rPr>
          <w:rFonts w:hint="eastAsia" w:ascii="宋体" w:hAnsi="宋体" w:eastAsia="宋体" w:cs="宋体"/>
          <w:b/>
          <w:bCs w:val="0"/>
          <w:color w:val="auto"/>
          <w:sz w:val="24"/>
          <w:highlight w:val="white"/>
          <w:lang w:val="en-US" w:eastAsia="zh-CN"/>
        </w:rPr>
        <w:t xml:space="preserve">具体服务</w:t>
      </w:r>
      <w:r>
        <w:rPr>
          <w:rFonts w:hint="eastAsia" w:ascii="宋体" w:hAnsi="宋体" w:eastAsia="宋体" w:cs="宋体"/>
          <w:b/>
          <w:bCs w:val="0"/>
          <w:color w:val="auto"/>
          <w:sz w:val="24"/>
          <w:highlight w:val="white"/>
        </w:rPr>
        <w:t xml:space="preserve">要求：</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1</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修剪：所有乔灌木冬季修剪在12月底前完成，春季修剪在植物生长开始前完成。行道树和园林乔木主要修剪内膛枝、徒长枝、病虫枝等，无枯枝危膀，园林乔木要求树型优美，新植行道树要求分枝点高度留养一致，不影响校内交通。生长季节及时剥芽，芽长不超过10厘米。花灌木秋冬季修剪要有利于短枝和花芽的形成，遵循“先上后下，先内后外，去弱留强，去老留新”的原则进行修剪，生长季节及时剥芽（含脚芽），芽长不超过10厘米。绿篱、地被要及时修剪，促其分枝，保持全株枝叶丰满，加速覆盖。球形灌木应常年保持形</w:t>
      </w:r>
      <w:r>
        <w:rPr>
          <w:rFonts w:hint="eastAsia" w:ascii="宋体" w:hAnsi="宋体" w:eastAsia="宋体" w:cs="宋体"/>
          <w:bCs/>
          <w:color w:val="auto"/>
          <w:sz w:val="24"/>
          <w:highlight w:val="white"/>
        </w:rPr>
        <w:t xml:space="preserve">态完整，色块灌木应保持一定高度，常年保持完整，曲线清晰流畅，无缺株、无空洞。草坪在生长季节，应采用条纹状交叉修剪方式，按三分之一原则适时进行修剪，修剪后高度宜为5－7公分，年修剪次数：冬季12－2月份，2 次／月；春季3－4月份，3次／月；5－6月份，5次／月；夏季7－8月份，2次／月；秋季9－11月份，5次／月。具有特殊造型的景观树修剪按照盆景要求进行，由盆景工负责作业。所有修剪剩余物要及时清理，保证现场整洁，防止滋生病虫害。修剪时不得影响教育、教学工作。产生噪声的修剪应该利用双休日、节假日或放学后进行。</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2</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浇水：植物浇水应根据不同的立地条件、季节差异和生长状况及时进行，并要浇透。草坪浇水必须湿透根系层，冷季型草坪在春秋二季充分浇水，暖季型草坪夏季要勤浇水， 1－2月，1次／周；3－6月，3次／周；7－8月，4次／周；9－10月，3次／周；11－12月，2次／周。对于名贵树木及新种植树木，视天气干旱情况和植物生长情况对树干和树体进行喷雾。对于球类、色块等植物要每周进行冲洗蒙尘，保持植物叶面清洁卫生，色泽光洁。植物周围雨后积水应及时排除。</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3</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松土、除草：树木根部周围的土壤要保持疏松，易板结的土壤在蒸腾旺季须每月松土一次，松土深度以不伤根系生长为限。种植在草坪内的树木在树穴周围对草坪切边，乔、灌木下的杂草应及时铲除。地被植物在未覆盖前，应及时进行松土、除草，松土除草时要防止损伤根系和地下茎。草坪杂草应及时连根清除，做到除早、除小、除净，草坪覆盖度不少于95％，集中空秃不大于1平方米。清除方法可采用人工除草、生物除草、机械除草和化学除草，采用化学除草剂必须慎重，不能造成药害。</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4</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病虫害防治：做好植物病虫害的预测、预报，及时防治、控制，用药配比正确，安全操作。发现病虫害应在2天内治理完毕，病虫害应控制在以不影响观赏效果的范围之内，其中食叶害虫危害的叶片，每株不超过5%，刺吸性害虫危害的叶片，每株不超过10%，无蛀干性害虫的活虫、活卵。用药必须符合环保要求，使用生态农药比例不少于50%。喷药时间宜在清早或傍晚，为防止产生抗药性，应轮流使用多种药剂。草坪修剪后过1－2天，应喷洒一次常规抗菌剂（如甲基托布津、代森锌等）防止病害发生，特别是在6－8月病害多发季节。</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5</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施肥：施肥应根据不同的树种、树龄、生长势和土壤理化性质而定。树木休眠期施基肥，生长期施追肥，花灌木应在花前、花后进行施肥。各类绿地应以施有机肥为主，有机肥应腐熟后施用。应用微量元素和根外施肥技术，推广应用复合肥料和长效缓释肥料。绿地内树木</w:t>
      </w:r>
      <w:r>
        <w:rPr>
          <w:rFonts w:hint="eastAsia" w:ascii="宋体" w:hAnsi="宋体" w:eastAsia="宋体" w:cs="宋体"/>
          <w:bCs/>
          <w:color w:val="auto"/>
          <w:sz w:val="24"/>
          <w:highlight w:val="white"/>
        </w:rPr>
        <w:t xml:space="preserve">施肥应先挖好施肥环沟，其外径与冠幅相适应。环沟深、宽均为25－30公分。草坪主要施肥时期在春秋季，施肥可采用撒施和根外追肥，每次修剪后需立即施肥，不发生明显的肥害现象。1－2月，1次／月，结合打孔施用鸡粪等草坪专用有机肥，130g/m2·次；3－6月，2次／月施复合肥（N∶P∶K＝10∶5∶5 ），20g/m2·次；7－8月基本不需施肥；9－10月，2次／月，施复合肥（N∶P∶K＝10∶6∶4 ），15g/m2·次；11－12月，1次／月，结合中耕施用复合肥（N∶P∶K＝5∶10∶5 ），15g/m2·次。</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en-US" w:eastAsia="zh-CN"/>
        </w:rPr>
        <w:t xml:space="preserve">6、</w:t>
      </w:r>
      <w:r>
        <w:rPr>
          <w:rFonts w:hint="eastAsia" w:ascii="宋体" w:hAnsi="宋体" w:eastAsia="宋体" w:cs="宋体"/>
          <w:bCs/>
          <w:color w:val="auto"/>
          <w:sz w:val="24"/>
          <w:highlight w:val="white"/>
        </w:rPr>
        <w:t xml:space="preserve">保护：每年的初冬，均需对行道树进行抗冻处理（根际培土、主干包扎、涂白），并在树木休眠期内，进行扶正。对树体上出现的伤口应清理后用药剂消毒，涂保护剂或抹灰膏。出现树洞要及时修补，防止腐朽进一步扩大；对腐烂部位应按外科方法进行处理。台风季节，做好高大乔木抗风暴的预防工作，根据树木的实际情况，采取立支柱、绑扎、加土、扶正、疏枝等措施。一旦风暴来临，应及时检查，发现问题，妥善处理。用于支撑、固定的材料应坚固耐用美观，并采用软性材料同植物接触。</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7</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补植：发现枯枝、死枝须24小时内处理完毕；如出现乔木死亡，及时报批、倒伐和补植，对枯死的树木应连同根部在一周内挖除，并填平挖穴，并在一星期内补种完毕。补植树木应选用同品种、同规格苗木，并确保成活。因人为破坏或其它因素造成的花灌木、地被、草坪及草花缺损的，应在15天内补种完成。</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8</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专项养护：草坪更新</w:t>
      </w:r>
      <w:r>
        <w:rPr>
          <w:rFonts w:hint="eastAsia" w:ascii="宋体" w:hAnsi="宋体" w:eastAsia="宋体" w:cs="宋体"/>
          <w:bCs/>
          <w:color w:val="auto"/>
          <w:sz w:val="24"/>
          <w:highlight w:val="white"/>
        </w:rPr>
        <w:t xml:space="preserve">可采用补播草籽复壮、条状更新、定期封闭和断根更新等方法。每年早春土壤解冻之际，应对草坪进行滚压一次，滚压后及时对草坪进行疏耙，并追施PK为主的复合肥25公斤/亩。每年深秋采用专用草坪打孔机进行打孔，打孔深度达到5-8厘米，以改良草坪的物理性能，增加土壤透气性，促进地下部分生长。每年夏末和初秋用松土机或中耕机进行近地表的垂直刈剪或划破草皮，中耕后需及时修剪一次，并清除枯草、修正草坪。冬季应在草坪上覆盖厚为0.5－1公分的细土或细砂，为保证草坪的弹性和保护根系。用专门机械对草坪疏草一次，以减少来年病虫害的发生。</w:t>
      </w:r>
      <w:r>
        <w:rPr>
          <w:highlight w:val="white"/>
        </w:rP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highlight w:val="white"/>
        </w:rPr>
      </w:pPr>
      <w:r>
        <w:rPr>
          <w:rFonts w:hint="eastAsia" w:ascii="宋体" w:hAnsi="宋体" w:eastAsia="宋体" w:cs="宋体"/>
          <w:b/>
          <w:bCs w:val="0"/>
          <w:color w:val="auto"/>
          <w:sz w:val="24"/>
          <w:highlight w:val="white"/>
          <w:lang w:val="en-US" w:eastAsia="zh-CN" w:bidi="ar-SA"/>
        </w:rPr>
        <w:t xml:space="preserve">（四）绿化养护定点服务商标准：</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1</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具体维护达到</w:t>
      </w:r>
      <w:r>
        <w:rPr>
          <w:rFonts w:hint="eastAsia" w:ascii="宋体" w:hAnsi="宋体" w:eastAsia="宋体" w:cs="宋体"/>
          <w:bCs/>
          <w:color w:val="auto"/>
          <w:sz w:val="24"/>
          <w:highlight w:val="white"/>
          <w:lang w:val="en-US" w:eastAsia="zh-CN"/>
        </w:rPr>
        <w:t xml:space="preserve">一</w:t>
      </w:r>
      <w:r>
        <w:rPr>
          <w:rFonts w:hint="eastAsia" w:ascii="宋体" w:hAnsi="宋体" w:eastAsia="宋体" w:cs="宋体"/>
          <w:bCs/>
          <w:color w:val="auto"/>
          <w:sz w:val="24"/>
          <w:highlight w:val="white"/>
        </w:rPr>
        <w:t xml:space="preserve">级绿化养护定点服务商标准；</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2</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排涝：在梅雨或台风季节造成的绿化地面积水，必须采取诸如挖排水沟、抽水机抽水等措施排水，不可出现24小时之后仍有积水现象；</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3</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草坪清洁管理：养护产生的杂草、草渣、落叶及绿化带内的其它垃圾，及时清理，保持环境整洁美观，确保草坪没有杂物；</w:t>
      </w:r>
      <w:r>
        <w:rPr>
          <w:highlight w:val="white"/>
        </w:rPr>
      </w:r>
    </w:p>
    <w:p>
      <w:pPr>
        <w:ind w:left="0" w:firstLine="480"/>
        <w:jc w:val="both"/>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en-US" w:eastAsia="zh-CN" w:bidi="ar-SA"/>
        </w:rPr>
        <w:t xml:space="preserve">4、补种与换植：由于养护不当或不可抗力等原因造成的苗木、草坪损坏或死亡，养护人员必须在发现后在半个月内更换，或补种。</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5</w:t>
      </w:r>
      <w:r>
        <w:rPr>
          <w:rFonts w:hint="eastAsia" w:ascii="宋体" w:hAnsi="宋体" w:eastAsia="宋体" w:cs="宋体"/>
          <w:bCs/>
          <w:color w:val="auto"/>
          <w:sz w:val="24"/>
          <w:highlight w:val="white"/>
          <w:lang w:eastAsia="zh-CN"/>
        </w:rPr>
        <w:t xml:space="preserve">、</w:t>
      </w:r>
      <w:r>
        <w:rPr>
          <w:rFonts w:hint="eastAsia" w:ascii="宋体" w:hAnsi="宋体" w:eastAsia="宋体" w:cs="宋体"/>
          <w:bCs/>
          <w:color w:val="auto"/>
          <w:sz w:val="24"/>
          <w:highlight w:val="white"/>
        </w:rPr>
        <w:t xml:space="preserve">甲方若有重大活动或养护不符合合约要求，养护单位应以良好的服务态度，并在采购单位要求的合理时间范围完成。</w:t>
      </w:r>
      <w:r>
        <w:rPr>
          <w:highlight w:val="white"/>
        </w:rP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w:t>
      </w:r>
      <w:r>
        <w:rPr>
          <w:rFonts w:hint="eastAsia" w:ascii="宋体" w:hAnsi="宋体" w:eastAsia="宋体" w:cs="宋体"/>
          <w:b/>
          <w:bCs/>
          <w:color w:val="auto"/>
          <w:sz w:val="24"/>
          <w:szCs w:val="24"/>
          <w:highlight w:val="white"/>
          <w:lang w:val="en-US" w:eastAsia="zh-CN"/>
        </w:rPr>
        <w:t xml:space="preserve">五</w:t>
      </w:r>
      <w:r>
        <w:rPr>
          <w:rFonts w:hint="eastAsia" w:ascii="宋体" w:hAnsi="宋体" w:eastAsia="宋体" w:cs="宋体"/>
          <w:b/>
          <w:bCs/>
          <w:color w:val="auto"/>
          <w:sz w:val="24"/>
          <w:szCs w:val="24"/>
          <w:highlight w:val="white"/>
          <w:lang w:val="en-US" w:eastAsia="zh-CN"/>
        </w:rPr>
        <w:t xml:space="preserve">）人员配备要求：</w:t>
      </w:r>
      <w:r>
        <w:rPr>
          <w:highlight w:val="whit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本项目须绿化养护定需配备人员不少于5人（项目经理1人），年龄低于60周岁。</w:t>
      </w:r>
      <w:r>
        <w:rPr>
          <w:highlight w:val="white"/>
        </w:rP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w:t>
      </w:r>
      <w:r>
        <w:rPr>
          <w:rFonts w:hint="eastAsia" w:ascii="宋体" w:hAnsi="宋体" w:eastAsia="宋体" w:cs="宋体"/>
          <w:b/>
          <w:bCs/>
          <w:color w:val="auto"/>
          <w:sz w:val="24"/>
          <w:szCs w:val="24"/>
          <w:highlight w:val="white"/>
          <w:lang w:val="en-US" w:eastAsia="zh-CN"/>
        </w:rPr>
        <w:t xml:space="preserve">六</w:t>
      </w:r>
      <w:r>
        <w:rPr>
          <w:rFonts w:hint="eastAsia" w:ascii="宋体" w:hAnsi="宋体" w:eastAsia="宋体" w:cs="宋体"/>
          <w:b/>
          <w:bCs/>
          <w:color w:val="auto"/>
          <w:sz w:val="24"/>
          <w:szCs w:val="24"/>
          <w:highlight w:val="white"/>
          <w:lang w:val="en-US" w:eastAsia="zh-CN"/>
        </w:rPr>
        <w:t xml:space="preserve">）项目养护安全规范要求：</w:t>
      </w:r>
      <w:r>
        <w:rPr>
          <w:highlight w:val="whit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1、须按规范进行相应操作，并做好各种安全防范措施；杜绝野蛮养护，在养护过程中造成采购单位现有的任何物品损坏由成交单位及时负责修复，拒不修复或无法修复的由成交单位负责赔偿采购单位的损失；</w:t>
      </w:r>
      <w:r>
        <w:rPr>
          <w:highlight w:val="whit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2、成交单位在项目范围内应做到文明绿化养护，以保障业主通行和人身安全，具体如下：</w:t>
      </w:r>
      <w:r>
        <w:rPr>
          <w:highlight w:val="whit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（1）现场材料堆放有序、整齐；</w:t>
      </w:r>
      <w:r>
        <w:rPr>
          <w:highlight w:val="whit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（2）养护现场做到工完场清，垃圾集中堆放并及时清运（每天清运当日垃圾）；</w:t>
      </w:r>
      <w:r>
        <w:rPr>
          <w:highlight w:val="whit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（3）危险区域有醒目的安全警示牌，夜间作业要设警示灯；</w:t>
      </w:r>
      <w:r>
        <w:rPr>
          <w:highlight w:val="whit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（4）养护人员无打架斗殴事件，无黄、赌、毒等社会丑恶现象。</w:t>
      </w:r>
      <w:r>
        <w:rPr>
          <w:highlight w:val="white"/>
        </w:rPr>
      </w:r>
    </w:p>
    <w:p>
      <w:pPr>
        <w:pStyle w:val="850"/>
        <w:ind w:firstLine="482"/>
        <w:keepLines w:val="0"/>
        <w:keepNext w:val="0"/>
        <w:pageBreakBefore w:val="0"/>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w:t>
      </w:r>
      <w:r>
        <w:rPr>
          <w:rFonts w:hint="eastAsia" w:ascii="宋体" w:hAnsi="宋体" w:eastAsia="宋体" w:cs="宋体"/>
          <w:b/>
          <w:bCs/>
          <w:color w:val="auto"/>
          <w:sz w:val="24"/>
          <w:szCs w:val="24"/>
          <w:highlight w:val="white"/>
          <w:lang w:val="en-US" w:eastAsia="zh-CN" w:bidi="ar-SA"/>
        </w:rPr>
        <w:t xml:space="preserve">七</w:t>
      </w:r>
      <w:r>
        <w:rPr>
          <w:rFonts w:hint="eastAsia" w:ascii="宋体" w:hAnsi="宋体" w:eastAsia="宋体" w:cs="宋体"/>
          <w:b/>
          <w:bCs/>
          <w:color w:val="auto"/>
          <w:sz w:val="24"/>
          <w:szCs w:val="24"/>
          <w:highlight w:val="white"/>
          <w:lang w:val="en-US" w:eastAsia="zh-CN" w:bidi="ar-SA"/>
        </w:rPr>
        <w:t xml:space="preserve">）服务响应要求：</w:t>
      </w:r>
      <w:r>
        <w:rPr>
          <w:highlight w:val="white"/>
        </w:rPr>
      </w:r>
    </w:p>
    <w:p>
      <w:pPr>
        <w:pStyle w:val="850"/>
        <w:ind w:firstLine="480"/>
        <w:keepLines w:val="0"/>
        <w:keepNext w:val="0"/>
        <w:pageBreakBefore w:val="0"/>
        <w:widowControl w:val="off"/>
        <w:rPr>
          <w:rFonts w:hint="eastAsia" w:ascii="宋体" w:hAnsi="宋体" w:eastAsia="宋体" w:cs="宋体"/>
          <w:color w:val="auto"/>
          <w:szCs w:val="24"/>
          <w:highlight w:val="white"/>
        </w:rPr>
      </w:pPr>
      <w:r>
        <w:rPr>
          <w:rFonts w:hint="eastAsia" w:ascii="宋体" w:hAnsi="宋体" w:eastAsia="宋体" w:cs="宋体"/>
          <w:color w:val="auto"/>
          <w:sz w:val="24"/>
          <w:szCs w:val="24"/>
          <w:highlight w:val="white"/>
          <w:lang w:val="en-US" w:eastAsia="zh-CN"/>
        </w:rPr>
        <w:t xml:space="preserve">采购单位需要及时养护时，成交单位应在2小时以内响应，8小时内完成采购方提出养护要求。如需修复，必须在2个工作日内解决。</w:t>
      </w:r>
      <w:r>
        <w:rPr>
          <w:highlight w:val="white"/>
        </w:rP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四</w:t>
      </w:r>
      <w:r>
        <w:rPr>
          <w:rFonts w:hint="eastAsia" w:ascii="宋体" w:hAnsi="宋体" w:eastAsia="宋体" w:cs="宋体"/>
          <w:b/>
          <w:bCs/>
          <w:color w:val="auto"/>
          <w:sz w:val="24"/>
          <w:szCs w:val="24"/>
          <w:highlight w:val="white"/>
        </w:rPr>
        <w:t xml:space="preserve">、综合说明：</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1、磋商供应商需在响应文件中明确服务内容和服务方案。</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2、磋商供应商必须承诺文件中提出的全部要求，如果其中某些条款不响应时，应在文件中逐条列出，未列出的视同响应。</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3、磋商供应商应对所投项目的全部内容进行报价，只投其中部分内容者或出现选择性报价的，其响应文件将被拒绝。</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4、其他要求：</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4.1供应商在项目进行过程中产生的任何安全、损坏等责</w:t>
      </w:r>
      <w:r>
        <w:rPr>
          <w:rFonts w:hint="eastAsia" w:ascii="宋体" w:hAnsi="宋体" w:eastAsia="宋体" w:cs="宋体"/>
          <w:color w:val="auto"/>
          <w:sz w:val="24"/>
          <w:szCs w:val="24"/>
          <w:highlight w:val="white"/>
        </w:rPr>
        <w:t xml:space="preserve">任事故一律由供应商自行承担。如遇突发情况，供应商需协助采购人完成需要配合的服务。</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4.2供应商需严格按采购文件中规定的时间完成项目全部工作内容，如在实施的过程中出现错误、误差的，供应商需及时更正至采购人确认并经主管部门验收合格。</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4.3本项目不允许转包、分包，发现查实者一律取消合同。</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4.4供应商应对服务危险性、潜在危险认真考虑周全，对所有项目安全负责，并承担由此可能产生的一切费用，采购人不承担任何责任；如需采购人配合的工作，供应商需及时通知采购方。</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w:t>
      </w:r>
      <w:r>
        <w:rPr>
          <w:rFonts w:hint="eastAsia" w:ascii="宋体" w:hAnsi="宋体" w:eastAsia="宋体" w:cs="宋体"/>
          <w:color w:val="auto"/>
          <w:sz w:val="24"/>
          <w:szCs w:val="24"/>
          <w:highlight w:val="white"/>
          <w:lang w:val="en-US" w:eastAsia="zh-CN"/>
        </w:rPr>
        <w:t xml:space="preserve">本项目</w:t>
      </w:r>
      <w:r>
        <w:rPr>
          <w:rFonts w:hint="eastAsia" w:ascii="宋体" w:hAnsi="宋体" w:eastAsia="宋体" w:cs="宋体"/>
          <w:color w:val="auto"/>
          <w:sz w:val="24"/>
          <w:szCs w:val="24"/>
          <w:highlight w:val="white"/>
          <w:lang w:eastAsia="zh-CN"/>
        </w:rPr>
        <w:t xml:space="preserve">报价包含完成该项目所需的全部人工费、辅助费用、设备材料、全部税费、保险费、代理服务费、企业利润、及政策性文件规定及合同包含的所有风险、责任等各项应有费用</w:t>
      </w:r>
      <w:r>
        <w:rPr>
          <w:rFonts w:hint="eastAsia" w:ascii="宋体" w:hAnsi="宋体" w:eastAsia="宋体" w:cs="宋体"/>
          <w:bCs/>
          <w:color w:val="auto"/>
          <w:sz w:val="24"/>
          <w:szCs w:val="24"/>
          <w:highlight w:val="white"/>
          <w:lang w:eastAsia="zh-CN"/>
        </w:rPr>
        <w:t xml:space="preserve">。</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知识产权：成交单位须保障采购人在使用该服务或其任何一部分时不受到第三方关于侵犯专利权、商标权的指控。如果任何第三方提出侵权指控，成交单位须与第三方交涉，并承担由此而产生的索赔、损失、损害、支出等一切费用（含律师费）。如采购人因此而遭致损失的，成交单位应赔偿该损失。</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、服务时间：自</w:t>
      </w:r>
      <w:r>
        <w:rPr>
          <w:rFonts w:hint="eastAsia" w:ascii="宋体" w:hAnsi="宋体" w:eastAsia="宋体" w:cs="宋体"/>
          <w:color w:val="auto"/>
          <w:sz w:val="24"/>
          <w:szCs w:val="24"/>
          <w:highlight w:val="white"/>
          <w:lang w:val="en-US" w:eastAsia="zh-CN"/>
        </w:rPr>
        <w:t xml:space="preserve">合同签订之日起一年，具体起止时间以采购单位通知为准。</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、服务地点：采购人指定地点。</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、验收：</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（1）验收时间：</w:t>
      </w:r>
      <w:r>
        <w:rPr>
          <w:rFonts w:hint="eastAsia" w:ascii="宋体" w:hAnsi="宋体" w:eastAsia="宋体" w:cs="宋体"/>
          <w:color w:val="auto"/>
          <w:sz w:val="24"/>
          <w:szCs w:val="24"/>
          <w:highlight w:val="white"/>
          <w:lang w:eastAsia="zh-CN"/>
        </w:rPr>
        <w:t xml:space="preserve">采购方</w:t>
      </w:r>
      <w:r>
        <w:rPr>
          <w:rFonts w:hint="eastAsia" w:ascii="宋体" w:hAnsi="宋体" w:eastAsia="宋体" w:cs="宋体"/>
          <w:color w:val="auto"/>
          <w:sz w:val="24"/>
          <w:szCs w:val="24"/>
          <w:highlight w:val="white"/>
        </w:rPr>
        <w:t xml:space="preserve">根据实际情况在合理时间内进行验收。</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（2）验收标准：按国家相关法律法规、行业相关标准及采购文件要求和成交单位的承诺进行验收。</w:t>
      </w:r>
      <w:r>
        <w:rPr>
          <w:highlight w:val="white"/>
        </w:rPr>
      </w:r>
    </w:p>
    <w:p>
      <w:pPr>
        <w:pStyle w:val="1004"/>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color w:val="auto"/>
          <w:sz w:val="24"/>
          <w:szCs w:val="24"/>
          <w:highlight w:val="white"/>
          <w:lang w:val="zh-CN" w:eastAsia="zh-CN" w:bidi="ar-SA"/>
        </w:rPr>
        <w:t xml:space="preserve">10、付款方式</w:t>
      </w:r>
      <w:r>
        <w:rPr>
          <w:rFonts w:hint="eastAsia" w:ascii="宋体" w:hAnsi="宋体" w:eastAsia="宋体" w:cs="宋体"/>
          <w:color w:val="auto"/>
          <w:sz w:val="24"/>
          <w:szCs w:val="24"/>
          <w:highlight w:val="white"/>
          <w:lang w:val="zh-CN" w:eastAsia="zh-CN"/>
        </w:rPr>
        <w:t xml:space="preserve">：</w:t>
      </w:r>
      <w:r>
        <w:rPr>
          <w:rFonts w:hint="eastAsia" w:ascii="宋体" w:hAnsi="宋体" w:eastAsia="宋体" w:cs="宋体"/>
          <w:color w:val="auto"/>
          <w:sz w:val="24"/>
          <w:szCs w:val="24"/>
          <w:highlight w:val="white"/>
          <w:lang w:val="en-US" w:eastAsia="zh-CN"/>
        </w:rPr>
        <w:t xml:space="preserve">合同签订生效后，在服务期内按季度分期支付，甲方根据每月考核结果向乙方支付季度服务费</w:t>
      </w:r>
      <w:r>
        <w:rPr>
          <w:rFonts w:hint="eastAsia" w:ascii="宋体" w:hAnsi="宋体" w:cs="宋体"/>
          <w:b w:val="0"/>
          <w:bCs w:val="0"/>
          <w:color w:val="auto"/>
          <w:sz w:val="24"/>
          <w:szCs w:val="24"/>
          <w:highlight w:val="white"/>
          <w:lang w:eastAsia="zh-CN"/>
        </w:rPr>
        <w:t xml:space="preserve">，</w:t>
      </w:r>
      <w:r>
        <w:rPr>
          <w:rFonts w:hint="eastAsia" w:ascii="宋体" w:hAnsi="宋体" w:cs="宋体"/>
          <w:b w:val="0"/>
          <w:bCs w:val="0"/>
          <w:color w:val="auto"/>
          <w:sz w:val="24"/>
          <w:szCs w:val="24"/>
          <w:highlight w:val="white"/>
          <w:lang w:val="en-US" w:eastAsia="zh-CN"/>
        </w:rPr>
        <w:t xml:space="preserve">考核表详见合同附件</w:t>
      </w:r>
      <w:r>
        <w:rPr>
          <w:rFonts w:hint="eastAsia" w:ascii="宋体" w:hAnsi="宋体" w:eastAsia="宋体" w:cs="宋体"/>
          <w:b w:val="0"/>
          <w:bCs w:val="0"/>
          <w:color w:val="auto"/>
          <w:sz w:val="24"/>
          <w:szCs w:val="24"/>
          <w:highlight w:val="white"/>
        </w:rPr>
        <w:t xml:space="preserve">。</w:t>
      </w:r>
      <w:r>
        <w:rPr>
          <w:highlight w:val="white"/>
        </w:rPr>
      </w:r>
    </w:p>
    <w:p>
      <w:pPr>
        <w:pStyle w:val="1004"/>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注：上述付款方式可在甲乙双方签订合同时根据《苏财购[2022]16号》文件相关内容进行调整。</w:t>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付款前，乙方需先向甲方提供：</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（1）合格的发票；</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（2）由甲乙双方及采购代理机构签章的《政府采购合同履行验收报告》</w:t>
      </w:r>
      <w:r>
        <w:rPr>
          <w:rFonts w:hint="eastAsia" w:ascii="宋体" w:hAnsi="宋体" w:eastAsia="宋体" w:cs="宋体"/>
          <w:color w:val="auto"/>
          <w:sz w:val="24"/>
          <w:szCs w:val="24"/>
          <w:highlight w:val="white"/>
          <w:lang w:eastAsia="zh-CN"/>
        </w:rPr>
        <w:t xml:space="preserve">；</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《考核表》。</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11</w:t>
      </w:r>
      <w:r>
        <w:rPr>
          <w:rFonts w:hint="eastAsia" w:ascii="宋体" w:hAnsi="宋体" w:eastAsia="宋体" w:cs="宋体"/>
          <w:color w:val="auto"/>
          <w:sz w:val="24"/>
          <w:szCs w:val="24"/>
          <w:highlight w:val="white"/>
        </w:rPr>
        <w:t xml:space="preserve">、凡涉及采购文件的补充说明和修改，均以最后在苏州市政府采购网发布的内容为准。</w:t>
      </w:r>
      <w:r>
        <w:rPr>
          <w:highlight w:val="white"/>
        </w:rPr>
      </w:r>
    </w:p>
    <w:p>
      <w:pPr>
        <w:jc w:val="center"/>
        <w:spacing w:before="340" w:after="330" w:line="578"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br w:type="page" w:clear="all"/>
      </w:r>
      <w:r>
        <w:rPr>
          <w:highlight w:val="white"/>
        </w:rPr>
      </w:r>
    </w:p>
    <w:p>
      <w:pPr>
        <w:jc w:val="center"/>
        <w:spacing w:before="340" w:after="330" w:line="578"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jc w:val="center"/>
        <w:spacing w:before="340" w:after="330" w:line="578"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jc w:val="center"/>
        <w:spacing w:before="340" w:after="330" w:line="578"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numPr>
          <w:ilvl w:val="0"/>
          <w:numId w:val="3"/>
        </w:numPr>
        <w:ind w:left="0"/>
        <w:jc w:val="center"/>
        <w:spacing w:before="340" w:after="330" w:line="579" w:lineRule="auto"/>
        <w:rPr>
          <w:rFonts w:hint="eastAsia" w:ascii="宋体" w:hAnsi="宋体" w:cs="宋体"/>
          <w:b/>
          <w:color w:val="auto"/>
          <w:sz w:val="44"/>
          <w:szCs w:val="44"/>
          <w:highlight w:val="white"/>
        </w:rPr>
        <w:outlineLvl w:val="0"/>
      </w:pPr>
      <w:r>
        <w:rPr>
          <w:highlight w:val="white"/>
        </w:rPr>
      </w:r>
      <w:bookmarkStart w:id="76" w:name="合同的特殊条款"/>
      <w:r>
        <w:rPr>
          <w:highlight w:val="white"/>
        </w:rPr>
      </w:r>
      <w:bookmarkEnd w:id="76"/>
      <w:r>
        <w:rPr>
          <w:highlight w:val="white"/>
        </w:rPr>
      </w:r>
      <w:bookmarkStart w:id="77" w:name="_Toc3589"/>
      <w:r>
        <w:rPr>
          <w:rFonts w:hint="eastAsia" w:ascii="宋体" w:hAnsi="宋体" w:cs="宋体"/>
          <w:b/>
          <w:color w:val="auto"/>
          <w:sz w:val="44"/>
          <w:szCs w:val="44"/>
          <w:highlight w:val="white"/>
        </w:rPr>
        <w:t xml:space="preserve"> </w:t>
      </w:r>
      <w:bookmarkStart w:id="78" w:name="_Toc26481"/>
      <w:r>
        <w:rPr>
          <w:rFonts w:hint="eastAsia" w:ascii="宋体" w:hAnsi="宋体" w:cs="宋体"/>
          <w:b/>
          <w:color w:val="auto"/>
          <w:sz w:val="44"/>
          <w:szCs w:val="44"/>
          <w:highlight w:val="white"/>
        </w:rPr>
        <w:t xml:space="preserve">合同及主要条款</w:t>
      </w:r>
      <w:bookmarkEnd w:id="67"/>
      <w:r>
        <w:rPr>
          <w:highlight w:val="white"/>
        </w:rPr>
      </w:r>
      <w:bookmarkEnd w:id="77"/>
      <w:r>
        <w:rPr>
          <w:highlight w:val="white"/>
        </w:rPr>
      </w:r>
      <w:bookmarkEnd w:id="78"/>
      <w:r>
        <w:rPr>
          <w:highlight w:val="white"/>
        </w:rPr>
      </w:r>
      <w:r>
        <w:rPr>
          <w:highlight w:val="white"/>
        </w:rPr>
      </w:r>
    </w:p>
    <w:p>
      <w:pPr>
        <w:pStyle w:val="1006"/>
        <w:ind w:firstLine="0"/>
        <w:rPr>
          <w:rFonts w:hint="eastAsia" w:ascii="宋体" w:hAnsi="宋体" w:cs="宋体"/>
          <w:color w:val="auto"/>
          <w:highlight w:val="white"/>
        </w:rPr>
      </w:pPr>
      <w:r>
        <w:rPr>
          <w:rFonts w:hint="eastAsia" w:ascii="宋体" w:hAnsi="宋体" w:cs="宋体"/>
          <w:color w:val="auto"/>
          <w:highlight w:val="white"/>
        </w:rPr>
      </w:r>
      <w:r>
        <w:rPr>
          <w:highlight w:val="white"/>
        </w:rPr>
      </w:r>
    </w:p>
    <w:p>
      <w:pPr>
        <w:ind w:left="0"/>
        <w:jc w:val="center"/>
        <w:keepLines w:val="0"/>
        <w:keepNext w:val="0"/>
        <w:pageBreakBefore w:val="0"/>
        <w:spacing w:line="360" w:lineRule="auto"/>
        <w:widowControl w:val="off"/>
        <w:rPr>
          <w:rFonts w:hint="eastAsia" w:ascii="宋体" w:hAnsi="宋体" w:cs="宋体"/>
          <w:b/>
          <w:color w:val="auto"/>
          <w:sz w:val="44"/>
          <w:szCs w:val="44"/>
          <w:highlight w:val="white"/>
        </w:rPr>
      </w:pPr>
      <w:r>
        <w:rPr>
          <w:rFonts w:hint="eastAsia" w:ascii="宋体" w:hAnsi="宋体" w:cs="宋体"/>
          <w:b/>
          <w:color w:val="auto"/>
          <w:sz w:val="44"/>
          <w:szCs w:val="44"/>
          <w:highlight w:val="white"/>
        </w:rPr>
        <w:br w:type="page" w:clear="all"/>
      </w:r>
      <w:bookmarkStart w:id="79" w:name="_Toc32730"/>
      <w:r>
        <w:rPr>
          <w:rFonts w:hint="eastAsia" w:ascii="宋体" w:hAnsi="宋体" w:cs="宋体"/>
          <w:b/>
          <w:color w:val="auto"/>
          <w:sz w:val="32"/>
          <w:szCs w:val="32"/>
          <w:highlight w:val="white"/>
        </w:rPr>
        <w:t xml:space="preserve">合同主要条款</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rPr>
        <w:t xml:space="preserve">依据甲方委托</w:t>
      </w:r>
      <w:r>
        <w:rPr>
          <w:rFonts w:hint="eastAsia" w:ascii="宋体" w:hAnsi="宋体" w:eastAsia="宋体" w:cs="宋体"/>
          <w:color w:val="auto"/>
          <w:sz w:val="24"/>
          <w:szCs w:val="24"/>
          <w:highlight w:val="white"/>
        </w:rPr>
        <w:t xml:space="preserve">苏州合亿盛工程咨询</w:t>
      </w:r>
      <w:r>
        <w:rPr>
          <w:rFonts w:hint="eastAsia" w:ascii="宋体" w:hAnsi="宋体" w:eastAsia="宋体" w:cs="宋体"/>
          <w:color w:val="auto"/>
          <w:sz w:val="24"/>
          <w:szCs w:val="24"/>
          <w:highlight w:val="white"/>
          <w:lang w:val="zh-CN"/>
        </w:rPr>
        <w:t xml:space="preserve">有限公司进行本项目政府采购（采购编号：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lang w:val="zh-CN"/>
        </w:rPr>
        <w:t xml:space="preserve">）的采购结果，确定乙方为本次成交供应商，现依照采购文件、乙方的响应文件及相关文件的内容，签订本合同书。</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一、合同标的物和合同价格组成</w:t>
      </w:r>
      <w:r>
        <w:rPr>
          <w:highlight w:val="white"/>
        </w:rPr>
      </w:r>
    </w:p>
    <w:p>
      <w:pPr>
        <w:pStyle w:val="1004"/>
        <w:ind w:left="0" w:firstLine="480"/>
        <w:keepLines w:val="0"/>
        <w:keepNext w:val="0"/>
        <w:pageBreakBefore w:val="0"/>
        <w:spacing w:line="360" w:lineRule="auto"/>
        <w:widowControl w:val="off"/>
        <w:tabs>
          <w:tab w:val="left" w:pos="75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1.1采购的服务内容概述；</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1.2服务具体范围，</w:t>
      </w:r>
      <w:r>
        <w:rPr>
          <w:rFonts w:hint="eastAsia" w:ascii="宋体" w:hAnsi="宋体" w:eastAsia="宋体" w:cs="宋体"/>
          <w:b/>
          <w:color w:val="auto"/>
          <w:sz w:val="24"/>
          <w:szCs w:val="24"/>
          <w:highlight w:val="white"/>
        </w:rPr>
        <w:t xml:space="preserve">详见第四章；</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1.3服务期限，</w:t>
      </w:r>
      <w:r>
        <w:rPr>
          <w:rFonts w:hint="eastAsia" w:ascii="宋体" w:hAnsi="宋体" w:eastAsia="宋体" w:cs="宋体"/>
          <w:b/>
          <w:color w:val="auto"/>
          <w:sz w:val="24"/>
          <w:szCs w:val="24"/>
          <w:highlight w:val="white"/>
        </w:rPr>
        <w:t xml:space="preserve">详见第四章；</w:t>
      </w:r>
      <w:r>
        <w:rPr>
          <w:highlight w:val="white"/>
        </w:rPr>
      </w:r>
    </w:p>
    <w:p>
      <w:pPr>
        <w:ind w:left="0" w:firstLine="480"/>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t xml:space="preserve">1.4合同价款的组成：合同价款包含甲方应付乙方的全部款项，</w:t>
      </w:r>
      <w:r>
        <w:rPr>
          <w:rFonts w:hint="eastAsia" w:ascii="宋体" w:hAnsi="宋体" w:eastAsia="宋体" w:cs="宋体"/>
          <w:b/>
          <w:color w:val="auto"/>
          <w:sz w:val="24"/>
          <w:szCs w:val="24"/>
          <w:highlight w:val="white"/>
        </w:rPr>
        <w:t xml:space="preserve">详见第四章。</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二、下列文件为本合同不可分割部分</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2.1成交通知书；</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2.2乙方成交的响应文件；</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2.3采购文件；</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2.4乙方在磋商过程中所作的其它承诺、声明、书面澄清等。</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三、合同价格支付</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3.1支付步骤和比例，</w:t>
      </w:r>
      <w:r>
        <w:rPr>
          <w:rFonts w:hint="eastAsia" w:ascii="宋体" w:hAnsi="宋体" w:eastAsia="宋体" w:cs="宋体"/>
          <w:b/>
          <w:color w:val="auto"/>
          <w:sz w:val="24"/>
          <w:szCs w:val="24"/>
          <w:highlight w:val="white"/>
        </w:rPr>
        <w:t xml:space="preserve">详见第四章。</w:t>
      </w:r>
      <w:r>
        <w:rPr>
          <w:highlight w:val="white"/>
        </w:rPr>
      </w:r>
    </w:p>
    <w:p>
      <w:pPr>
        <w:ind w:left="0" w:firstLine="480"/>
        <w:keepLines w:val="0"/>
        <w:keepNext w:val="0"/>
        <w:pageBreakBefore w:val="0"/>
        <w:spacing w:line="360" w:lineRule="auto"/>
        <w:widowControl w:val="off"/>
        <w:rPr>
          <w:rFonts w:hint="eastAsia" w:ascii="宋体" w:hAnsi="宋体" w:eastAsia="宋体" w:cs="宋体"/>
          <w:i/>
          <w:iCs/>
          <w:color w:val="auto"/>
          <w:sz w:val="24"/>
          <w:szCs w:val="24"/>
          <w:highlight w:val="white"/>
        </w:rPr>
      </w:pPr>
      <w:r>
        <w:rPr>
          <w:rFonts w:hint="eastAsia" w:ascii="宋体" w:hAnsi="宋体" w:eastAsia="宋体" w:cs="宋体"/>
          <w:color w:val="auto"/>
          <w:sz w:val="24"/>
          <w:szCs w:val="24"/>
          <w:highlight w:val="white"/>
        </w:rPr>
        <w:t xml:space="preserve">3.2根据现行税法对甲方征收的与本合同有关的一切税费均由甲方承担；根据现行税法对乙方征收的与本合同有关的一切税费均由乙方承担。</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3.3乙方要求付款应提供以下资料：</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（1）合格的发票；</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（2）由甲乙双方及采购代理机构签章的《政府采购合同履行验收报告》</w:t>
      </w:r>
      <w:r>
        <w:rPr>
          <w:rFonts w:hint="eastAsia" w:ascii="宋体" w:hAnsi="宋体" w:eastAsia="宋体" w:cs="宋体"/>
          <w:color w:val="auto"/>
          <w:sz w:val="24"/>
          <w:szCs w:val="24"/>
          <w:highlight w:val="white"/>
          <w:lang w:eastAsia="zh-CN"/>
        </w:rPr>
        <w:t xml:space="preserve">；</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《考核表》。</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3.4支付方式：银行转账、银行汇票或转账支票，具体支付方式甲方有权根据财务安排自主选择。</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四、服务工作管理</w:t>
      </w:r>
      <w:r>
        <w:rPr>
          <w:highlight w:val="white"/>
        </w:rP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详见第四章</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五、不可抗力</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5.1因不可抗力不能履行合同的，根据不可抗力的影响，部分或者全部免除责任。但合同一方延迟履行后发生不可抗力的，不能免除责任。</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5.2合同一方因不可抗力不能履行合同的，应当及时通知对方，以减轻可能给对方造成的损失，并应当在合理期限内提供证明。</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六、合同的解除和转让</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6.1甲方和乙方协商一致，可以解除合同。</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6.2有下列情形之一，合同一方可以解除合同：</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6.2.1因不可抗力致使不能实现合同目的，未受不可抗力影响的一方有权解除合同；</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6.2.2因合同一方违约导致合同不能履行，另一方有权解除合同；</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6.2.3因乙方在履行合同过程中造成社会不良影响的，甲方有权解除合同。</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6.3有权解除合同的一方，应当在违约事实或不可抗力发生之后三十天内书面通知对方以主张解除合同，合同在书面通知到达对方时解除。</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6.4合同的部分和全部都不得转让。</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七、违约责任</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7.1合同一方不履行合同义务或者履行合同义务不符合约定的，应当承担继续履行、采取补救措施或赔偿损失等违约责任。</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7.2甲方违约责任。甲方未按照约定时间支付合同价款的，应当承担逾期付款违约责任。</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7.3乙方违约责任。</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7.3.1甲方有权按照规定对乙方进行考核，并按照考核办法的规定要求乙方承担相应责任。</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7.3.2乙方承担的违约金不足以赔偿甲方实际损失的，甲方有权要</w:t>
      </w:r>
      <w:r>
        <w:rPr>
          <w:rFonts w:hint="eastAsia" w:ascii="宋体" w:hAnsi="宋体" w:eastAsia="宋体" w:cs="宋体"/>
          <w:color w:val="auto"/>
          <w:sz w:val="24"/>
          <w:szCs w:val="24"/>
          <w:highlight w:val="white"/>
          <w:lang w:val="en-US" w:eastAsia="zh-CN"/>
        </w:rPr>
        <w:t xml:space="preserve">求</w:t>
      </w:r>
      <w:r>
        <w:rPr>
          <w:rFonts w:hint="eastAsia" w:ascii="宋体" w:hAnsi="宋体" w:eastAsia="宋体" w:cs="宋体"/>
          <w:color w:val="auto"/>
          <w:sz w:val="24"/>
          <w:szCs w:val="24"/>
          <w:highlight w:val="white"/>
        </w:rPr>
        <w:t xml:space="preserve">乙方继续赔偿。</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7.3.3乙方履行合同不符合合同要求的，甲方有权责令乙方立即改正，乙方拒不改正或已经造成不良社会影响的，甲方有权要求乙方承担责任。</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八、争议解决办法</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因本合同或与本合同有关的一切事项发生争议，由双方友好协商解决。协商不成的，任何一方均可以向甲方所在地人民法院起诉。</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九、合同生效</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本合同在双方签字盖章后生效，并需经政府采购管理部门备案。</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十、其他</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highlight w:val="white"/>
        </w:rP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十一、附则</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11.1本合同一式四份，甲方、乙方各执一份，政府采购监督管理部门备案一份，采购代理机构一份。</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11.2本合同文件使用中文书写、解释和说明。</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11.3本合同履行过程中产生的纪要、协议以及成交通知书、响应文件和采购文件为本合同的附件，与合同具有同等效力。</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11.4未尽事宜</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按《中华人民共和国政府采购法》及其他有关的法律法规的规定执行。</w:t>
      </w:r>
      <w:r>
        <w:rPr>
          <w:highlight w:val="white"/>
        </w:rPr>
      </w:r>
    </w:p>
    <w:p>
      <w:pPr>
        <w:rPr>
          <w:rFonts w:hint="eastAsia" w:ascii="宋体" w:hAnsi="宋体" w:cs="宋体"/>
          <w:b/>
          <w:color w:val="auto"/>
          <w:sz w:val="44"/>
          <w:szCs w:val="44"/>
          <w:highlight w:val="white"/>
        </w:rPr>
      </w:pPr>
      <w:r>
        <w:rPr>
          <w:rFonts w:hint="eastAsia" w:ascii="宋体" w:hAnsi="宋体" w:cs="宋体"/>
          <w:b/>
          <w:color w:val="auto"/>
          <w:sz w:val="44"/>
          <w:szCs w:val="44"/>
          <w:highlight w:val="white"/>
        </w:rPr>
        <w:br w:type="page" w:clear="all"/>
      </w:r>
      <w:r>
        <w:rPr>
          <w:highlight w:val="white"/>
        </w:rP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en-US" w:eastAsia="zh-CN"/>
        </w:rPr>
        <w:t xml:space="preserve">附件</w:t>
      </w:r>
      <w:r>
        <w:rPr>
          <w:highlight w:val="white"/>
        </w:rPr>
      </w:r>
    </w:p>
    <w:p>
      <w:pPr>
        <w:ind w:left="0" w:firstLine="482"/>
        <w:jc w:val="cente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en-US" w:eastAsia="zh-CN"/>
        </w:rPr>
        <w:t xml:space="preserve">苏大实验绿化养护管理百分考核细则</w:t>
      </w:r>
      <w:r>
        <w:rPr>
          <w:highlight w:val="white"/>
        </w:rPr>
      </w:r>
    </w:p>
    <w:tbl>
      <w:tblPr>
        <w:tblStyle w:val="82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185"/>
        <w:gridCol w:w="726"/>
        <w:gridCol w:w="3412"/>
        <w:gridCol w:w="788"/>
        <w:gridCol w:w="3191"/>
      </w:tblGrid>
      <w:tr>
        <w:trPr>
          <w:jc w:val="center"/>
          <w:trHeight w:val="570"/>
        </w:trPr>
        <w:tc>
          <w:tcPr>
            <w:tcW w:w="385" w:type="pct"/>
            <w:vAlign w:val="center"/>
            <w:textDirection w:val="lrTb"/>
            <w:noWrap w:val="false"/>
          </w:tcPr>
          <w:p>
            <w:pPr>
              <w:ind w:left="0"/>
              <w:jc w:val="center"/>
              <w:spacing w:line="240" w:lineRule="auto"/>
              <w:widowControl/>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序号</w:t>
            </w:r>
            <w:r>
              <w:rPr>
                <w:highlight w:val="white"/>
              </w:rPr>
            </w:r>
          </w:p>
        </w:tc>
        <w:tc>
          <w:tcPr>
            <w:tcW w:w="588" w:type="pct"/>
            <w:vAlign w:val="center"/>
            <w:textDirection w:val="lrTb"/>
            <w:noWrap w:val="false"/>
          </w:tcPr>
          <w:p>
            <w:pPr>
              <w:ind w:left="0"/>
              <w:jc w:val="center"/>
              <w:spacing w:line="240" w:lineRule="auto"/>
              <w:widowControl/>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分类</w:t>
            </w:r>
            <w:r>
              <w:rPr>
                <w:highlight w:val="white"/>
              </w:rPr>
            </w:r>
          </w:p>
        </w:tc>
        <w:tc>
          <w:tcPr>
            <w:tcW w:w="360" w:type="pct"/>
            <w:vAlign w:val="center"/>
            <w:textDirection w:val="lrTb"/>
            <w:noWrap w:val="false"/>
          </w:tcPr>
          <w:p>
            <w:pPr>
              <w:ind w:left="0"/>
              <w:jc w:val="center"/>
              <w:spacing w:line="240" w:lineRule="auto"/>
              <w:widowControl/>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条目</w:t>
            </w:r>
            <w:r>
              <w:rPr>
                <w:highlight w:val="white"/>
              </w:rPr>
            </w:r>
          </w:p>
        </w:tc>
        <w:tc>
          <w:tcPr>
            <w:tcW w:w="1691" w:type="pct"/>
            <w:vAlign w:val="center"/>
            <w:textDirection w:val="lrTb"/>
            <w:noWrap w:val="false"/>
          </w:tcPr>
          <w:p>
            <w:pPr>
              <w:ind w:left="0"/>
              <w:jc w:val="center"/>
              <w:spacing w:line="240" w:lineRule="auto"/>
              <w:widowControl/>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考核内容及管护要求</w:t>
            </w:r>
            <w:r>
              <w:rPr>
                <w:highlight w:val="white"/>
              </w:rPr>
            </w:r>
          </w:p>
        </w:tc>
        <w:tc>
          <w:tcPr>
            <w:tcW w:w="391" w:type="pct"/>
            <w:vAlign w:val="center"/>
            <w:textDirection w:val="lrTb"/>
            <w:noWrap w:val="false"/>
          </w:tcPr>
          <w:p>
            <w:pPr>
              <w:ind w:left="0"/>
              <w:jc w:val="center"/>
              <w:spacing w:line="240" w:lineRule="auto"/>
              <w:widowControl/>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标准得分</w:t>
            </w:r>
            <w:r>
              <w:rPr>
                <w:highlight w:val="white"/>
              </w:rPr>
            </w:r>
          </w:p>
        </w:tc>
        <w:tc>
          <w:tcPr>
            <w:tcW w:w="1581" w:type="pct"/>
            <w:vAlign w:val="center"/>
            <w:textDirection w:val="lrTb"/>
            <w:noWrap w:val="false"/>
          </w:tcPr>
          <w:p>
            <w:pPr>
              <w:ind w:left="0"/>
              <w:jc w:val="center"/>
              <w:spacing w:line="240" w:lineRule="auto"/>
              <w:widowControl/>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扣分细则</w:t>
            </w:r>
            <w:r>
              <w:rPr>
                <w:highlight w:val="white"/>
              </w:rPr>
            </w:r>
          </w:p>
        </w:tc>
      </w:tr>
      <w:tr>
        <w:trPr>
          <w:jc w:val="center"/>
          <w:trHeight w:val="1346"/>
        </w:trPr>
        <w:tc>
          <w:tcPr>
            <w:tcW w:w="385"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p>
        </w:tc>
        <w:tc>
          <w:tcPr>
            <w:tcW w:w="588"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卫生保洁（10分）</w:t>
            </w:r>
            <w:r>
              <w:rPr>
                <w:highlight w:val="white"/>
              </w:rP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养护产生的杂草、草渣、落叶及绿化带内的其它垃圾，及时清理，保持环境整洁美观，确保草坪没有杂物</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零星垃圾杂物枯枝及落叶，扣0.5分/处；积存垃圾杂物枯枝及落叶，扣1分/路段。</w:t>
            </w:r>
            <w:r>
              <w:rPr>
                <w:highlight w:val="white"/>
              </w:rPr>
            </w:r>
          </w:p>
        </w:tc>
      </w:tr>
      <w:tr>
        <w:trPr>
          <w:jc w:val="center"/>
          <w:trHeight w:val="1960"/>
        </w:trPr>
        <w:tc>
          <w:tcPr>
            <w:tcW w:w="385" w:type="pct"/>
            <w:vAlign w:val="center"/>
            <w:vMerge w:val="restart"/>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p>
        </w:tc>
        <w:tc>
          <w:tcPr>
            <w:tcW w:w="588" w:type="pct"/>
            <w:vAlign w:val="center"/>
            <w:vMerge w:val="restart"/>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除草、松土（13分）</w:t>
            </w:r>
            <w:r>
              <w:rPr>
                <w:highlight w:val="white"/>
              </w:rP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种植在草坪内的树木在树穴周围对草坪切边，乔、灌木下的杂草应及时铲除。地被植物在未覆盖前，应及时进行松土、除草，松土除草时要防止损伤根系和地下茎</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p>
        </w:tc>
        <w:tc>
          <w:tcPr>
            <w:tcW w:w="1581" w:type="pct"/>
            <w:vAlign w:val="center"/>
            <w:textDirection w:val="lrTb"/>
            <w:noWrap w:val="false"/>
          </w:tcPr>
          <w:p>
            <w:pPr>
              <w:ind w:left="0"/>
              <w:jc w:val="left"/>
              <w:widowControl/>
              <w:rPr>
                <w:rFonts w:hint="eastAsia" w:ascii="宋体" w:hAnsi="宋体" w:eastAsia="宋体" w:cs="宋体"/>
                <w:b/>
                <w:bCs/>
                <w:color w:val="auto"/>
                <w:sz w:val="21"/>
                <w:szCs w:val="21"/>
                <w:highlight w:val="white"/>
              </w:rPr>
            </w:pPr>
            <w:r>
              <w:rPr>
                <w:rFonts w:hint="eastAsia" w:ascii="宋体" w:hAnsi="宋体" w:eastAsia="宋体" w:cs="宋体"/>
                <w:bCs/>
                <w:color w:val="auto"/>
                <w:sz w:val="21"/>
                <w:szCs w:val="21"/>
                <w:highlight w:val="white"/>
              </w:rPr>
              <w:t xml:space="preserve">草坪杂草应及时连根清除，做到除早、除小、除净，草坪覆盖度不少于95％，集中空秃不大于1平方米。覆盖度低于95%，集中空秃超过1平方米的扣1分/处。</w:t>
            </w:r>
            <w:r>
              <w:rPr>
                <w:highlight w:val="white"/>
              </w:rPr>
            </w:r>
          </w:p>
        </w:tc>
      </w:tr>
      <w:tr>
        <w:trPr>
          <w:jc w:val="center"/>
          <w:trHeight w:val="1140"/>
        </w:trPr>
        <w:tc>
          <w:tcPr>
            <w:tcW w:w="385" w:type="pct"/>
            <w:vAlign w:val="center"/>
            <w:vMerge w:val="continue"/>
            <w:textDirection w:val="lrTb"/>
            <w:noWrap w:val="false"/>
          </w:tcPr>
          <w:p>
            <w:pPr>
              <w:ind w:left="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 w:type="pct"/>
            <w:vAlign w:val="center"/>
            <w:vMerge w:val="continue"/>
            <w:textDirection w:val="lrTb"/>
            <w:noWrap w:val="false"/>
          </w:tcPr>
          <w:p>
            <w:pPr>
              <w:ind w:left="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经同意使用除草剂，用药后枯黄的杂草需及时清除干净。保证林木色块草坪的安全，确保不发生药害。</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发现药害扣0.5分/处；用药后枯黄的杂草未及时清除干净的扣0.5分/路段</w:t>
            </w:r>
            <w:r>
              <w:rPr>
                <w:highlight w:val="white"/>
              </w:rPr>
            </w:r>
          </w:p>
        </w:tc>
      </w:tr>
      <w:tr>
        <w:trPr>
          <w:jc w:val="center"/>
          <w:trHeight w:val="1140"/>
        </w:trPr>
        <w:tc>
          <w:tcPr>
            <w:tcW w:w="385" w:type="pct"/>
            <w:vAlign w:val="center"/>
            <w:vMerge w:val="continue"/>
            <w:textDirection w:val="lrTb"/>
            <w:noWrap w:val="false"/>
          </w:tcPr>
          <w:p>
            <w:pPr>
              <w:ind w:left="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 w:type="pct"/>
            <w:vAlign w:val="center"/>
            <w:vMerge w:val="continue"/>
            <w:textDirection w:val="lrTb"/>
            <w:noWrap w:val="false"/>
          </w:tcPr>
          <w:p>
            <w:pPr>
              <w:ind w:left="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树木根部周围的土壤要保持疏松，易板结的土壤在蒸腾旺季须每月松土一次，松土深度以不伤根系生长为限。</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发现未松土扣0.5分/处，松土伤根扣0.5分/处</w:t>
            </w:r>
            <w:r>
              <w:rPr>
                <w:highlight w:val="white"/>
              </w:rPr>
            </w:r>
          </w:p>
        </w:tc>
      </w:tr>
      <w:tr>
        <w:trPr>
          <w:jc w:val="center"/>
          <w:trHeight w:val="1017"/>
        </w:trPr>
        <w:tc>
          <w:tcPr>
            <w:tcW w:w="385" w:type="pct"/>
            <w:vAlign w:val="center"/>
            <w:vMerge w:val="restart"/>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highlight w:val="white"/>
              </w:rPr>
            </w:r>
          </w:p>
        </w:tc>
        <w:tc>
          <w:tcPr>
            <w:tcW w:w="588" w:type="pct"/>
            <w:vAlign w:val="center"/>
            <w:vMerge w:val="restart"/>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修剪（25分）</w:t>
            </w:r>
            <w:r>
              <w:rPr>
                <w:highlight w:val="white"/>
              </w:rP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行道树和园林乔木主要修剪内膛枝、徒长枝、病虫枝等，无枯枝危膀</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修剪不平整，边角有遗漏，每次扣1分。</w:t>
            </w:r>
            <w:r>
              <w:rPr>
                <w:highlight w:val="white"/>
              </w:rPr>
            </w:r>
          </w:p>
        </w:tc>
      </w:tr>
      <w:tr>
        <w:trPr>
          <w:jc w:val="center"/>
          <w:trHeight w:val="990"/>
        </w:trPr>
        <w:tc>
          <w:tcPr>
            <w:tcW w:w="385" w:type="pct"/>
            <w:vAlign w:val="center"/>
            <w:vMerge w:val="continue"/>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 w:type="pct"/>
            <w:vAlign w:val="center"/>
            <w:vMerge w:val="continue"/>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园林乔木要求树型优美，新植行道树要求分枝点高度留养一致</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修剪不平整，边角有遗漏，每次扣1分。</w:t>
            </w:r>
            <w:r>
              <w:rPr>
                <w:highlight w:val="white"/>
              </w:rPr>
            </w:r>
          </w:p>
        </w:tc>
      </w:tr>
      <w:tr>
        <w:trPr>
          <w:jc w:val="center"/>
          <w:trHeight w:val="274"/>
        </w:trPr>
        <w:tc>
          <w:tcPr>
            <w:tcW w:w="385" w:type="pct"/>
            <w:vAlign w:val="center"/>
            <w:vMerge w:val="continue"/>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 w:type="pct"/>
            <w:vAlign w:val="center"/>
            <w:vMerge w:val="continue"/>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花灌木秋冬季修剪要有利于短枝和花芽的形成，遵循“先上后下，先内后外，去弱留强，去老留新”的原则进行修剪，生长季节及时剥芽（含脚芽），芽长不超过10厘米</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高度超过规定的，每次扣1分。修剪不平整，边角有遗漏，每次扣1分。</w:t>
            </w:r>
            <w:r>
              <w:rPr>
                <w:highlight w:val="white"/>
              </w:rPr>
            </w:r>
          </w:p>
        </w:tc>
      </w:tr>
      <w:tr>
        <w:trPr>
          <w:jc w:val="center"/>
          <w:trHeight w:val="945"/>
        </w:trPr>
        <w:tc>
          <w:tcPr>
            <w:tcW w:w="385" w:type="pct"/>
            <w:vAlign w:val="center"/>
            <w:vMerge w:val="continue"/>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 w:type="pct"/>
            <w:vAlign w:val="center"/>
            <w:vMerge w:val="continue"/>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绿篱、地被要及时修剪，促其分枝，保持全株枝叶丰满，加速覆盖</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修剪不平整，边角有遗漏，每次扣1分</w:t>
            </w:r>
            <w:r>
              <w:rPr>
                <w:highlight w:val="white"/>
              </w:rPr>
            </w:r>
          </w:p>
        </w:tc>
      </w:tr>
      <w:tr>
        <w:trPr>
          <w:jc w:val="center"/>
          <w:trHeight w:val="297"/>
        </w:trPr>
        <w:tc>
          <w:tcPr>
            <w:tcW w:w="385" w:type="pct"/>
            <w:vAlign w:val="center"/>
            <w:vMerge w:val="continue"/>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 w:type="pct"/>
            <w:vAlign w:val="center"/>
            <w:vMerge w:val="continue"/>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球形灌木应常年保持形态完整，色块灌木应保持一定高度，常年保持完整，曲线清晰流畅，无缺株、无空洞</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修剪不平整，边角有遗漏，每次扣1分</w:t>
            </w:r>
            <w:r>
              <w:rPr>
                <w:highlight w:val="white"/>
              </w:rPr>
            </w:r>
          </w:p>
        </w:tc>
      </w:tr>
      <w:tr>
        <w:trPr>
          <w:jc w:val="center"/>
          <w:trHeight w:val="1109"/>
        </w:trPr>
        <w:tc>
          <w:tcPr>
            <w:tcW w:w="385" w:type="pct"/>
            <w:vAlign w:val="center"/>
            <w:vMerge w:val="continue"/>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 w:type="pct"/>
            <w:vAlign w:val="center"/>
            <w:vMerge w:val="continue"/>
            <w:textDirection w:val="lrTb"/>
            <w:noWrap w:val="false"/>
          </w:tcPr>
          <w:p>
            <w:pPr>
              <w:ind w:left="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草坪在生长季节，应采用条纹状交叉修剪方式，按三分之一原则适时进行修剪，修剪后高度宜为5－7公分，年修剪次数：冬季12－2月份，2 次／月；春季3－4月份，3次／月；5－6月份，5次／月；夏季7－8月份，2次／月；秋季9－11月份，5次／月</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高度超过规定的，每次扣1分。修剪不平整，边角有遗漏，每次扣1分。修剪次数少一次扣1分</w:t>
            </w:r>
            <w:r>
              <w:rPr>
                <w:highlight w:val="white"/>
              </w:rPr>
            </w:r>
          </w:p>
        </w:tc>
      </w:tr>
      <w:tr>
        <w:trPr>
          <w:jc w:val="center"/>
          <w:trHeight w:val="1109"/>
        </w:trPr>
        <w:tc>
          <w:tcPr>
            <w:tcW w:w="385"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p>
        </w:tc>
        <w:tc>
          <w:tcPr>
            <w:tcW w:w="588"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排涝（2分）</w:t>
            </w:r>
            <w:r>
              <w:rPr>
                <w:highlight w:val="white"/>
              </w:rP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在梅雨或台风季节造成的绿化地面积水，必须采取诸如挖排水沟、抽水机抽水等措施排水，不可出现24小时之后仍有积水现象。若有客观原因导致的排水不畅的，需及时上报。</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发现积水扣1分/路段（客观原因导致排水不畅已上报的除外），客观原因导致的积水提出整改方案2天内未处理的，扣0.5分/路段。</w:t>
            </w:r>
            <w:r>
              <w:rPr>
                <w:highlight w:val="white"/>
              </w:rPr>
            </w:r>
          </w:p>
        </w:tc>
      </w:tr>
      <w:tr>
        <w:trPr>
          <w:jc w:val="center"/>
          <w:trHeight w:val="2627"/>
        </w:trPr>
        <w:tc>
          <w:tcPr>
            <w:tcW w:w="385"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p>
        </w:tc>
        <w:tc>
          <w:tcPr>
            <w:tcW w:w="588"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补植（4分）</w:t>
            </w:r>
            <w:r>
              <w:rPr>
                <w:highlight w:val="white"/>
              </w:rP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乔木死亡，及时报批、倒伐和补植，对枯死的树木应连同根部在一周内挖除，并填平挖穴，并在一星期内补种完毕。补植树木应选用同品种、同规格苗木，并确保成活。因人为破坏或其它因素造成的花灌木、地被、草坪及草花缺损的，应在15天内补种完成</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p>
        </w:tc>
        <w:tc>
          <w:tcPr>
            <w:tcW w:w="1581" w:type="pct"/>
            <w:vAlign w:val="center"/>
            <w:textDirection w:val="lrTb"/>
            <w:noWrap w:val="false"/>
          </w:tcPr>
          <w:p>
            <w:pPr>
              <w:ind w:left="0"/>
              <w:jc w:val="lef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未及时补种的发现每一处扣0.5分</w:t>
            </w:r>
            <w:r>
              <w:rPr>
                <w:highlight w:val="white"/>
              </w:rPr>
            </w:r>
          </w:p>
        </w:tc>
      </w:tr>
      <w:tr>
        <w:trPr>
          <w:jc w:val="center"/>
          <w:trHeight w:val="1405"/>
        </w:trPr>
        <w:tc>
          <w:tcPr>
            <w:tcW w:w="385"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rPr>
                <w:highlight w:val="white"/>
              </w:rPr>
            </w:r>
          </w:p>
        </w:tc>
        <w:tc>
          <w:tcPr>
            <w:tcW w:w="588"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病虫防治（5分）</w:t>
            </w:r>
            <w:r>
              <w:rPr>
                <w:highlight w:val="white"/>
              </w:rP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食叶害虫危害的叶片，每株不超过5%，刺吸性害虫危害的叶片，每株不超过10%，无蛀干性害虫的活虫、活卵</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有病虫害危害症状，色块、草坪扣0.5分/m</w:t>
            </w:r>
            <w:r>
              <w:rPr>
                <w:rFonts w:hint="eastAsia" w:ascii="宋体" w:hAnsi="宋体" w:eastAsia="宋体" w:cs="宋体"/>
                <w:color w:val="auto"/>
                <w:sz w:val="21"/>
                <w:szCs w:val="21"/>
                <w:highlight w:val="white"/>
                <w:vertAlign w:val="superscript"/>
              </w:rPr>
              <w:t xml:space="preserve">2</w:t>
            </w:r>
            <w:r>
              <w:rPr>
                <w:rFonts w:hint="eastAsia" w:ascii="宋体" w:hAnsi="宋体" w:eastAsia="宋体" w:cs="宋体"/>
                <w:color w:val="auto"/>
                <w:sz w:val="21"/>
                <w:szCs w:val="21"/>
                <w:highlight w:val="white"/>
              </w:rPr>
              <w:t xml:space="preserve">。</w:t>
            </w:r>
            <w:r>
              <w:rPr>
                <w:highlight w:val="white"/>
              </w:rPr>
            </w:r>
          </w:p>
        </w:tc>
      </w:tr>
      <w:tr>
        <w:trPr>
          <w:jc w:val="center"/>
          <w:trHeight w:val="274"/>
        </w:trPr>
        <w:tc>
          <w:tcPr>
            <w:tcW w:w="385" w:type="pct"/>
            <w:vAlign w:val="center"/>
            <w:textDirection w:val="lrTb"/>
            <w:noWrap w:val="false"/>
          </w:tcPr>
          <w:p>
            <w:pPr>
              <w:ind w:left="0"/>
              <w:jc w:val="lef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rPr>
                <w:highlight w:val="white"/>
              </w:rPr>
            </w:r>
          </w:p>
        </w:tc>
        <w:tc>
          <w:tcPr>
            <w:tcW w:w="588" w:type="pct"/>
            <w:vAlign w:val="center"/>
            <w:textDirection w:val="lrTb"/>
            <w:noWrap w:val="false"/>
          </w:tcPr>
          <w:p>
            <w:pPr>
              <w:ind w:left="0"/>
              <w:jc w:val="lef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施肥（10分）</w:t>
            </w:r>
            <w:r>
              <w:rPr>
                <w:highlight w:val="white"/>
              </w:rP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按要求及时施肥，规范操作，施肥前及时上报。1－2月，1次／月，结合打孔施用鸡粪等草坪专用有机肥，130g/m2•次；3－6月，2次／月施复合肥（N∶P∶K＝10∶5∶5 ），20g/m2•次；7－8月基本不需施肥；9－10月，2次／月，施复合肥（N∶P∶K＝10∶6∶4 ），15g/m2•次；11－12月，1次／月，结合中耕施用复合肥（N∶P∶K＝5∶10∶5 ），15g/m2•次。</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highlight w:val="white"/>
              </w:rPr>
            </w:r>
          </w:p>
        </w:tc>
        <w:tc>
          <w:tcPr>
            <w:tcW w:w="1581" w:type="pct"/>
            <w:vAlign w:val="center"/>
            <w:textDirection w:val="lrTb"/>
            <w:noWrap w:val="false"/>
          </w:tcPr>
          <w:p>
            <w:pPr>
              <w:ind w:left="0"/>
              <w:jc w:val="lef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未上报不得分；不按规定及时施肥，扣0.1分/路段；偷工减料，发现一次扣0.1分。扣满为止。</w:t>
            </w:r>
            <w:r>
              <w:rPr>
                <w:highlight w:val="white"/>
              </w:rPr>
            </w:r>
          </w:p>
        </w:tc>
      </w:tr>
      <w:tr>
        <w:trPr>
          <w:jc w:val="center"/>
          <w:trHeight w:val="1275"/>
        </w:trPr>
        <w:tc>
          <w:tcPr>
            <w:tcW w:w="385" w:type="pct"/>
            <w:vAlign w:val="center"/>
            <w:vMerge w:val="restart"/>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rPr>
                <w:highlight w:val="white"/>
              </w:rPr>
            </w:r>
          </w:p>
        </w:tc>
        <w:tc>
          <w:tcPr>
            <w:tcW w:w="588" w:type="pct"/>
            <w:vAlign w:val="center"/>
            <w:vMerge w:val="restart"/>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保护（15分）</w:t>
            </w:r>
            <w:r>
              <w:rPr>
                <w:highlight w:val="white"/>
              </w:rP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每年的初冬，均需对行道树进行抗冻处理（根际培土、主干包扎、涂白），并在树木休眠期内，进行扶正。</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未对行道树进行抗冻处理的，每一处扣1分</w:t>
            </w:r>
            <w:r>
              <w:rPr>
                <w:highlight w:val="white"/>
              </w:rPr>
            </w:r>
          </w:p>
        </w:tc>
      </w:tr>
      <w:tr>
        <w:trPr>
          <w:jc w:val="center"/>
          <w:trHeight w:val="1360"/>
        </w:trPr>
        <w:tc>
          <w:tcPr>
            <w:tcW w:w="385" w:type="pct"/>
            <w:vAlign w:val="center"/>
            <w:vMerge w:val="continue"/>
            <w:textDirection w:val="lrTb"/>
            <w:noWrap w:val="false"/>
          </w:tcPr>
          <w:p>
            <w:pPr>
              <w:ind w:left="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 w:type="pct"/>
            <w:vAlign w:val="center"/>
            <w:vMerge w:val="continue"/>
            <w:textDirection w:val="lrTb"/>
            <w:noWrap w:val="false"/>
          </w:tcPr>
          <w:p>
            <w:pPr>
              <w:ind w:left="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对树体上出现的伤口应清理后用药剂消毒，涂保护剂或抹灰膏。出现树洞要及时修补，防止腐朽进一步扩大；对腐烂部位应按外科方法进行处理</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未及时进行修补的每一处扣1分</w:t>
            </w:r>
            <w:r>
              <w:rPr>
                <w:highlight w:val="white"/>
              </w:rPr>
            </w:r>
          </w:p>
        </w:tc>
      </w:tr>
      <w:tr>
        <w:trPr>
          <w:jc w:val="center"/>
          <w:trHeight w:val="1130"/>
        </w:trPr>
        <w:tc>
          <w:tcPr>
            <w:tcW w:w="385" w:type="pct"/>
            <w:vAlign w:val="center"/>
            <w:vMerge w:val="continue"/>
            <w:textDirection w:val="lrTb"/>
            <w:noWrap w:val="false"/>
          </w:tcPr>
          <w:p>
            <w:pPr>
              <w:ind w:left="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 w:type="pct"/>
            <w:vAlign w:val="center"/>
            <w:vMerge w:val="continue"/>
            <w:textDirection w:val="lrTb"/>
            <w:noWrap w:val="false"/>
          </w:tcPr>
          <w:p>
            <w:pPr>
              <w:ind w:left="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台风季节，做好高大乔木抗风暴的预防工作，根据树木的实际情况，采取立支柱、绑扎、加土、扶正、疏枝等措施</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未及时采取抗风暴措施的每一处扣1分</w:t>
            </w:r>
            <w:r>
              <w:rPr>
                <w:highlight w:val="white"/>
              </w:rPr>
            </w:r>
          </w:p>
        </w:tc>
      </w:tr>
      <w:tr>
        <w:trPr>
          <w:jc w:val="center"/>
          <w:trHeight w:val="1425"/>
        </w:trPr>
        <w:tc>
          <w:tcPr>
            <w:tcW w:w="385"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rPr>
                <w:highlight w:val="white"/>
              </w:rPr>
            </w:r>
          </w:p>
        </w:tc>
        <w:tc>
          <w:tcPr>
            <w:tcW w:w="588"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专项养护（6分）</w:t>
            </w:r>
            <w:r>
              <w:rPr>
                <w:highlight w:val="white"/>
              </w:rP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早春应对草坪进行滚压一次，滚压后及时对草坪进行疏耙，并追施PK为主的复合肥25公斤/亩。深秋采用专用草坪打孔机进行打孔，打孔深度达到5-8厘米。夏末和初秋用松土机或中耕机进行近地表的垂直刈剪或划破草皮，中耕后需及时修剪一次，并清除枯草、修正草坪。冬季应在草坪上覆盖厚为0.5－1公分的细土或细砂，为保证草坪的弹性和保护根系</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未按规定养护的发现一次扣1分；打孔深度未达到的扣0.5分；覆盖厚度为达到的扣0.5分</w:t>
            </w:r>
            <w:r>
              <w:rPr>
                <w:highlight w:val="white"/>
              </w:rPr>
            </w:r>
          </w:p>
        </w:tc>
      </w:tr>
      <w:tr>
        <w:trPr>
          <w:jc w:val="center"/>
          <w:trHeight w:val="557"/>
        </w:trPr>
        <w:tc>
          <w:tcPr>
            <w:tcW w:w="385"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highlight w:val="white"/>
              </w:rPr>
            </w:r>
          </w:p>
        </w:tc>
        <w:tc>
          <w:tcPr>
            <w:tcW w:w="588"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养护工人在岗率       （10分）</w:t>
            </w:r>
            <w:r>
              <w:rPr>
                <w:highlight w:val="white"/>
              </w:rPr>
            </w:r>
          </w:p>
        </w:tc>
        <w:tc>
          <w:tcPr>
            <w:tcW w:w="360"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19</w:t>
            </w:r>
            <w:r>
              <w:rPr>
                <w:highlight w:val="white"/>
              </w:rPr>
            </w:r>
          </w:p>
        </w:tc>
        <w:tc>
          <w:tcPr>
            <w:tcW w:w="169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绿化养护定点服务商技术人员不少于</w:t>
            </w:r>
            <w:r>
              <w:rPr>
                <w:rFonts w:hint="eastAsia" w:ascii="宋体" w:hAnsi="宋体" w:eastAsia="宋体" w:cs="宋体"/>
                <w:color w:val="auto"/>
                <w:sz w:val="21"/>
                <w:szCs w:val="21"/>
                <w:highlight w:val="white"/>
                <w:lang w:val="en-US" w:eastAsia="zh-CN"/>
              </w:rPr>
              <w:t xml:space="preserve">5</w:t>
            </w:r>
            <w:r>
              <w:rPr>
                <w:rFonts w:hint="eastAsia" w:ascii="宋体" w:hAnsi="宋体" w:eastAsia="宋体" w:cs="宋体"/>
                <w:color w:val="auto"/>
                <w:sz w:val="21"/>
                <w:szCs w:val="21"/>
                <w:highlight w:val="white"/>
              </w:rPr>
              <w:t xml:space="preserve">人，年龄保证低于60周岁（项目经理1人）</w:t>
            </w:r>
            <w:r>
              <w:rPr>
                <w:highlight w:val="white"/>
              </w:rPr>
            </w:r>
          </w:p>
        </w:tc>
        <w:tc>
          <w:tcPr>
            <w:tcW w:w="391" w:type="pct"/>
            <w:vAlign w:val="center"/>
            <w:textDirection w:val="lrTb"/>
            <w:noWrap w:val="false"/>
          </w:tcPr>
          <w:p>
            <w:pPr>
              <w:ind w:left="0"/>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highlight w:val="white"/>
              </w:rPr>
            </w:r>
          </w:p>
        </w:tc>
        <w:tc>
          <w:tcPr>
            <w:tcW w:w="1581" w:type="pct"/>
            <w:vAlign w:val="center"/>
            <w:textDirection w:val="lrTb"/>
            <w:noWrap w:val="false"/>
          </w:tcPr>
          <w:p>
            <w:pPr>
              <w:ind w:left="0"/>
              <w:jc w:val="lef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项目负责人配备不达标的，扣2分/人；未在岗的，扣1分/人。</w:t>
            </w:r>
            <w:r>
              <w:rPr>
                <w:highlight w:val="white"/>
              </w:rPr>
            </w:r>
          </w:p>
        </w:tc>
      </w:tr>
      <w:tr>
        <w:trPr>
          <w:jc w:val="center"/>
          <w:trHeight w:val="388"/>
        </w:trPr>
        <w:tc>
          <w:tcPr>
            <w:gridSpan w:val="4"/>
            <w:tcW w:w="3026" w:type="pct"/>
            <w:vAlign w:val="center"/>
            <w:textDirection w:val="lrTb"/>
            <w:noWrap w:val="false"/>
          </w:tcPr>
          <w:p>
            <w:pPr>
              <w:ind w:left="0"/>
              <w:jc w:val="center"/>
              <w:widowControl/>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总计</w:t>
            </w:r>
            <w:r>
              <w:rPr>
                <w:highlight w:val="white"/>
              </w:rPr>
            </w:r>
          </w:p>
        </w:tc>
        <w:tc>
          <w:tcPr>
            <w:tcW w:w="391" w:type="pct"/>
            <w:vAlign w:val="center"/>
            <w:textDirection w:val="lrTb"/>
            <w:noWrap w:val="false"/>
          </w:tcPr>
          <w:p>
            <w:pPr>
              <w:ind w:left="0"/>
              <w:jc w:val="center"/>
              <w:widowControl/>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fldChar w:fldCharType="begin"/>
            </w:r>
            <w:r>
              <w:rPr>
                <w:rFonts w:hint="eastAsia" w:ascii="宋体" w:hAnsi="宋体" w:eastAsia="宋体" w:cs="宋体"/>
                <w:b/>
                <w:bCs/>
                <w:color w:val="auto"/>
                <w:sz w:val="21"/>
                <w:szCs w:val="21"/>
                <w:highlight w:val="white"/>
              </w:rPr>
              <w:instrText xml:space="preserve"> =SUM(ABOVE) </w:instrText>
            </w:r>
            <w:r>
              <w:rPr>
                <w:rFonts w:hint="eastAsia" w:ascii="宋体" w:hAnsi="宋体" w:eastAsia="宋体" w:cs="宋体"/>
                <w:b/>
                <w:bCs/>
                <w:color w:val="auto"/>
                <w:sz w:val="21"/>
                <w:szCs w:val="21"/>
                <w:highlight w:val="white"/>
              </w:rPr>
              <w:fldChar w:fldCharType="separate"/>
            </w:r>
            <w:r>
              <w:rPr>
                <w:rFonts w:hint="eastAsia" w:ascii="宋体" w:hAnsi="宋体" w:eastAsia="宋体" w:cs="宋体"/>
                <w:b/>
                <w:bCs/>
                <w:color w:val="auto"/>
                <w:sz w:val="21"/>
                <w:szCs w:val="21"/>
                <w:highlight w:val="white"/>
              </w:rPr>
              <w:t xml:space="preserve">100</w:t>
            </w:r>
            <w:r>
              <w:rPr>
                <w:rFonts w:hint="eastAsia" w:ascii="宋体" w:hAnsi="宋体" w:eastAsia="宋体" w:cs="宋体"/>
                <w:b/>
                <w:bCs/>
                <w:color w:val="auto"/>
                <w:sz w:val="21"/>
                <w:szCs w:val="21"/>
                <w:highlight w:val="white"/>
              </w:rPr>
              <w:fldChar w:fldCharType="end"/>
            </w:r>
            <w:r>
              <w:rPr>
                <w:highlight w:val="white"/>
              </w:rPr>
            </w:r>
          </w:p>
        </w:tc>
        <w:tc>
          <w:tcPr>
            <w:tcW w:w="1581" w:type="pct"/>
            <w:vAlign w:val="center"/>
            <w:textDirection w:val="lrTb"/>
            <w:noWrap w:val="false"/>
          </w:tcPr>
          <w:p>
            <w:pPr>
              <w:ind w:left="0"/>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　</w:t>
            </w:r>
            <w:r>
              <w:rPr>
                <w:highlight w:val="white"/>
              </w:rPr>
            </w:r>
          </w:p>
        </w:tc>
      </w:tr>
      <w:tr>
        <w:trPr>
          <w:jc w:val="center"/>
          <w:trHeight w:val="388"/>
        </w:trPr>
        <w:tc>
          <w:tcPr>
            <w:gridSpan w:val="6"/>
            <w:tcW w:w="5000" w:type="pct"/>
            <w:vAlign w:val="center"/>
            <w:textDirection w:val="lrTb"/>
            <w:noWrap w:val="false"/>
          </w:tcPr>
          <w:p>
            <w:pPr>
              <w:ind w:left="0" w:firstLine="0"/>
              <w:jc w:val="both"/>
              <w:rPr>
                <w:rStyle w:val="1045"/>
                <w:rFonts w:hint="eastAsia" w:ascii="宋体" w:hAnsi="宋体" w:eastAsia="宋体" w:cs="宋体"/>
                <w:b/>
                <w:bCs/>
                <w:color w:val="auto"/>
                <w:sz w:val="21"/>
                <w:szCs w:val="21"/>
                <w:highlight w:val="white"/>
              </w:rPr>
            </w:pPr>
            <w:r>
              <w:rPr>
                <w:rStyle w:val="1045"/>
                <w:rFonts w:hint="eastAsia" w:ascii="宋体" w:hAnsi="宋体" w:eastAsia="宋体" w:cs="宋体"/>
                <w:b/>
                <w:bCs/>
                <w:color w:val="auto"/>
                <w:sz w:val="21"/>
                <w:szCs w:val="21"/>
                <w:highlight w:val="white"/>
                <w:lang w:val="en-US" w:eastAsia="zh-CN"/>
              </w:rPr>
              <w:t xml:space="preserve">备注：</w:t>
            </w:r>
            <w:r>
              <w:rPr>
                <w:highlight w:val="white"/>
              </w:rPr>
            </w:r>
          </w:p>
          <w:p>
            <w:pPr>
              <w:ind w:left="0" w:firstLine="0"/>
              <w:jc w:val="both"/>
              <w:rPr>
                <w:rStyle w:val="1045"/>
                <w:rFonts w:hint="eastAsia" w:ascii="宋体" w:hAnsi="宋体" w:eastAsia="宋体" w:cs="宋体"/>
                <w:b/>
                <w:bCs/>
                <w:color w:val="auto"/>
                <w:sz w:val="21"/>
                <w:szCs w:val="21"/>
                <w:highlight w:val="white"/>
              </w:rPr>
            </w:pPr>
            <w:r>
              <w:rPr>
                <w:rStyle w:val="1045"/>
                <w:rFonts w:hint="eastAsia" w:ascii="宋体" w:hAnsi="宋体" w:eastAsia="宋体" w:cs="宋体"/>
                <w:b/>
                <w:bCs/>
                <w:color w:val="auto"/>
                <w:sz w:val="21"/>
                <w:szCs w:val="21"/>
                <w:highlight w:val="white"/>
                <w:lang w:val="en-US" w:eastAsia="zh-CN"/>
              </w:rPr>
              <w:t xml:space="preserve">1.采购单位付款前将对成交单位进行考核，根据考核结果进行付款。</w:t>
            </w:r>
            <w:r>
              <w:rPr>
                <w:highlight w:val="white"/>
              </w:rPr>
            </w:r>
          </w:p>
          <w:p>
            <w:pPr>
              <w:ind w:left="0" w:firstLine="0"/>
              <w:jc w:val="both"/>
              <w:rPr>
                <w:rFonts w:hint="eastAsia" w:ascii="宋体" w:hAnsi="宋体" w:eastAsia="宋体" w:cs="宋体"/>
                <w:color w:val="auto"/>
                <w:sz w:val="21"/>
                <w:szCs w:val="21"/>
                <w:highlight w:val="white"/>
              </w:rPr>
            </w:pPr>
            <w:r>
              <w:rPr>
                <w:rStyle w:val="1045"/>
                <w:rFonts w:hint="eastAsia" w:ascii="宋体" w:hAnsi="宋体" w:eastAsia="宋体" w:cs="宋体"/>
                <w:b/>
                <w:bCs/>
                <w:color w:val="auto"/>
                <w:sz w:val="21"/>
                <w:szCs w:val="21"/>
                <w:highlight w:val="white"/>
                <w:lang w:val="en-US" w:eastAsia="zh-CN"/>
              </w:rPr>
              <w:t xml:space="preserve">2.项目考核总分100分，考核分数≥90分的，足额支付服务费；90＞考核分数≥80的，扣除每次支付服务费的10%；考核分数＜80的，扣除每次支付服务费的20%，且采购方有权提前终止服务合同。</w:t>
            </w:r>
            <w:r>
              <w:rPr>
                <w:highlight w:val="white"/>
              </w:rPr>
            </w:r>
          </w:p>
        </w:tc>
      </w:tr>
    </w:tbl>
    <w:p>
      <w:pPr>
        <w:pStyle w:val="834"/>
        <w:ind w:left="0" w:firstLine="0"/>
        <w:jc w:val="center"/>
        <w:rPr>
          <w:rFonts w:hint="eastAsia" w:ascii="宋体" w:hAnsi="宋体" w:cs="宋体"/>
          <w:b/>
          <w:color w:val="auto"/>
          <w:sz w:val="44"/>
          <w:szCs w:val="44"/>
          <w:highlight w:val="white"/>
        </w:rPr>
      </w:pPr>
      <w:r>
        <w:rPr>
          <w:rFonts w:hint="eastAsia" w:ascii="宋体" w:hAnsi="宋体" w:cs="宋体"/>
          <w:b/>
          <w:color w:val="auto"/>
          <w:sz w:val="44"/>
          <w:szCs w:val="44"/>
          <w:highlight w:val="white"/>
        </w:rPr>
        <w:br w:type="page" w:clear="all"/>
      </w:r>
      <w:bookmarkStart w:id="80" w:name="评分要点"/>
      <w:r>
        <w:rPr>
          <w:highlight w:val="white"/>
        </w:rPr>
      </w:r>
      <w:bookmarkEnd w:id="80"/>
      <w:r>
        <w:rPr>
          <w:highlight w:val="white"/>
        </w:rPr>
      </w:r>
      <w:r>
        <w:rPr>
          <w:highlight w:val="white"/>
        </w:rPr>
      </w:r>
    </w:p>
    <w:p>
      <w:pPr>
        <w:pStyle w:val="834"/>
        <w:ind w:left="0" w:firstLine="0"/>
        <w:jc w:val="center"/>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pStyle w:val="834"/>
        <w:ind w:left="0" w:firstLine="0"/>
        <w:rPr>
          <w:rFonts w:hint="eastAsia" w:ascii="宋体" w:hAnsi="宋体" w:cs="宋体"/>
          <w:b/>
          <w:color w:val="auto"/>
          <w:sz w:val="44"/>
          <w:szCs w:val="44"/>
          <w:highlight w:val="white"/>
        </w:rPr>
      </w:pPr>
      <w:r>
        <w:rPr>
          <w:rFonts w:hint="eastAsia" w:ascii="宋体" w:hAnsi="宋体" w:cs="宋体"/>
          <w:b/>
          <w:color w:val="auto"/>
          <w:sz w:val="44"/>
          <w:szCs w:val="44"/>
          <w:highlight w:val="white"/>
        </w:rPr>
      </w:r>
      <w:r>
        <w:rPr>
          <w:highlight w:val="white"/>
        </w:rPr>
      </w:r>
    </w:p>
    <w:p>
      <w:pPr>
        <w:pStyle w:val="834"/>
        <w:numPr>
          <w:ilvl w:val="0"/>
          <w:numId w:val="3"/>
        </w:numPr>
        <w:ind w:left="0" w:firstLine="0"/>
        <w:jc w:val="center"/>
        <w:spacing w:line="579" w:lineRule="auto"/>
        <w:rPr>
          <w:rFonts w:hint="eastAsia" w:ascii="宋体" w:hAnsi="宋体" w:cs="宋体"/>
          <w:b/>
          <w:color w:val="auto"/>
          <w:sz w:val="44"/>
          <w:szCs w:val="44"/>
          <w:highlight w:val="white"/>
        </w:rPr>
      </w:pPr>
      <w:r>
        <w:rPr>
          <w:rFonts w:hint="eastAsia" w:ascii="宋体" w:hAnsi="宋体" w:cs="宋体"/>
          <w:b/>
          <w:color w:val="auto"/>
          <w:sz w:val="44"/>
          <w:szCs w:val="44"/>
          <w:highlight w:val="white"/>
        </w:rPr>
        <w:t xml:space="preserve"> </w:t>
      </w:r>
      <w:bookmarkStart w:id="81" w:name="_Toc16154"/>
      <w:r>
        <w:rPr>
          <w:highlight w:val="white"/>
        </w:rPr>
      </w:r>
      <w:bookmarkStart w:id="82" w:name="_Toc27775"/>
      <w:r>
        <w:rPr>
          <w:rFonts w:hint="eastAsia" w:ascii="宋体" w:hAnsi="宋体" w:cs="宋体"/>
          <w:b/>
          <w:color w:val="auto"/>
          <w:sz w:val="44"/>
          <w:szCs w:val="44"/>
          <w:highlight w:val="white"/>
        </w:rPr>
        <w:t xml:space="preserve">评审办法</w:t>
      </w:r>
      <w:bookmarkEnd w:id="68"/>
      <w:r>
        <w:rPr>
          <w:highlight w:val="white"/>
        </w:rPr>
      </w:r>
      <w:bookmarkEnd w:id="69"/>
      <w:r>
        <w:rPr>
          <w:highlight w:val="white"/>
        </w:rPr>
      </w:r>
      <w:bookmarkEnd w:id="70"/>
      <w:r>
        <w:rPr>
          <w:highlight w:val="white"/>
        </w:rPr>
      </w:r>
      <w:bookmarkEnd w:id="71"/>
      <w:r>
        <w:rPr>
          <w:highlight w:val="white"/>
        </w:rPr>
      </w:r>
      <w:bookmarkEnd w:id="79"/>
      <w:r>
        <w:rPr>
          <w:highlight w:val="white"/>
        </w:rPr>
      </w:r>
      <w:bookmarkEnd w:id="81"/>
      <w:r>
        <w:rPr>
          <w:highlight w:val="white"/>
        </w:rPr>
      </w:r>
      <w:bookmarkEnd w:id="82"/>
      <w:r>
        <w:rPr>
          <w:highlight w:val="white"/>
        </w:rPr>
      </w:r>
      <w:r>
        <w:rPr>
          <w:highlight w:val="white"/>
        </w:rP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pStyle w:val="1006"/>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b/>
          <w:bCs/>
          <w:color w:val="auto"/>
          <w:sz w:val="24"/>
          <w:szCs w:val="24"/>
          <w:highlight w:val="white"/>
        </w:rPr>
      </w:pPr>
      <w:r>
        <w:rPr>
          <w:rFonts w:hint="eastAsia" w:ascii="宋体" w:hAnsi="宋体" w:cs="宋体"/>
          <w:color w:val="auto"/>
          <w:sz w:val="24"/>
          <w:szCs w:val="24"/>
          <w:highlight w:val="white"/>
        </w:rPr>
        <w:br w:type="page" w:clear="all"/>
      </w:r>
      <w:r>
        <w:rPr>
          <w:rStyle w:val="1032"/>
          <w:rFonts w:hint="eastAsia" w:ascii="宋体" w:hAnsi="宋体" w:eastAsia="宋体" w:cs="宋体"/>
          <w:b/>
          <w:bCs/>
          <w:color w:val="auto"/>
          <w:sz w:val="24"/>
          <w:szCs w:val="24"/>
          <w:highlight w:val="white"/>
        </w:rPr>
        <w:t xml:space="preserve">一、评审方法</w:t>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1、本次磋商采用综合评分法，即在响应文件满足采购文件全部实质性要求且按评审因素的量化指标评审得分最高的供应商为成交候选供应商。采购人书面授权磋商小组直接确定成交单位。</w:t>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2、评审小组各成员独立对每个进入打分程序的有效磋商供应商的响应文件技术和资质部分以打分的形式进行评审和评价。</w:t>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3、对评委的评分（除价格分外）进行统计汇总，直接算术平均计算出每个磋商供应商的得分，加上价格得分即为每个磋商供应商的综合得分。</w:t>
      </w:r>
      <w:r>
        <w:rPr>
          <w:highlight w:val="white"/>
        </w:rPr>
      </w:r>
    </w:p>
    <w:p>
      <w:pPr>
        <w:ind w:left="0" w:firstLine="480"/>
        <w:keepLines w:val="0"/>
        <w:keepNext w:val="0"/>
        <w:pageBreakBefore w:val="0"/>
        <w:spacing w:line="360" w:lineRule="auto"/>
        <w:widowControl w:val="off"/>
        <w:rPr>
          <w:rStyle w:val="1032"/>
          <w:rFonts w:hint="eastAsia" w:ascii="宋体" w:hAnsi="宋体" w:eastAsia="宋体" w:cs="宋体"/>
          <w:color w:val="auto"/>
          <w:sz w:val="24"/>
          <w:szCs w:val="24"/>
          <w:highlight w:val="white"/>
        </w:rPr>
      </w:pPr>
      <w:r>
        <w:rPr>
          <w:rStyle w:val="1032"/>
          <w:rFonts w:hint="eastAsia" w:ascii="宋体" w:hAnsi="宋体" w:eastAsia="宋体" w:cs="宋体"/>
          <w:color w:val="auto"/>
          <w:sz w:val="24"/>
          <w:szCs w:val="24"/>
          <w:highlight w:val="white"/>
        </w:rPr>
        <w:t xml:space="preserve">4、如出现评审总得分最高的磋商供应商有两个或两个以上的，以磋商报价较低者优先作为成交候选人，如果磋商报价也相同的，则由采购人组织以抽签方式确定成交候选人。</w:t>
      </w:r>
      <w:r>
        <w:rPr>
          <w:highlight w:val="white"/>
        </w:rPr>
      </w:r>
    </w:p>
    <w:p>
      <w:pPr>
        <w:ind w:left="0" w:firstLine="482"/>
        <w:jc w:val="both"/>
        <w:keepLines w:val="0"/>
        <w:keepNext w:val="0"/>
        <w:pageBreakBefore w:val="0"/>
        <w:spacing w:line="360" w:lineRule="auto"/>
        <w:widowControl w:val="off"/>
        <w:rPr>
          <w:rStyle w:val="1032"/>
          <w:rFonts w:hint="eastAsia" w:ascii="宋体" w:hAnsi="宋体" w:eastAsia="宋体" w:cs="宋体"/>
          <w:b/>
          <w:color w:val="auto"/>
          <w:sz w:val="24"/>
          <w:szCs w:val="24"/>
          <w:highlight w:val="white"/>
        </w:rPr>
      </w:pPr>
      <w:r>
        <w:rPr>
          <w:rStyle w:val="1032"/>
          <w:rFonts w:hint="eastAsia" w:ascii="宋体" w:hAnsi="宋体" w:eastAsia="宋体" w:cs="宋体"/>
          <w:b/>
          <w:color w:val="auto"/>
          <w:sz w:val="24"/>
          <w:szCs w:val="24"/>
          <w:highlight w:val="white"/>
          <w:lang w:val="en-US" w:eastAsia="zh-CN" w:bidi="ar-SA"/>
        </w:rPr>
        <w:t xml:space="preserve">二、评分标准</w:t>
      </w:r>
      <w:r>
        <w:rPr>
          <w:highlight w:val="white"/>
        </w:rP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（一）价格基准分</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10分</w:t>
      </w:r>
      <w:r>
        <w:rPr>
          <w:rFonts w:hint="eastAsia" w:ascii="宋体" w:hAnsi="宋体" w:cs="宋体"/>
          <w:b/>
          <w:bCs/>
          <w:color w:val="auto"/>
          <w:sz w:val="24"/>
          <w:szCs w:val="24"/>
          <w:highlight w:val="white"/>
          <w:lang w:eastAsia="zh-CN"/>
        </w:rPr>
        <w:t xml:space="preserve">）</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第一步：磋商报价低于或等于财政预算价格的，为有效磋商报价。超财政预算的磋商报价文件为未实质性响应文件，不参与评审。</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第二步：在所有有效磋商报价中满足采购文件要求，且磋商价格最低的磋商报价为评标基准价，其价格分为10分，其他磋商供应商的价格分按照下列公式计算（计算结果四舍五入保留两位小数）。</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磋商报价得分＝（评标基准价/磋商报价）×10%×100。</w:t>
      </w:r>
      <w:r>
        <w:rPr>
          <w:highlight w:val="white"/>
        </w:rPr>
      </w:r>
    </w:p>
    <w:p>
      <w:pPr>
        <w:ind w:left="0" w:firstLine="482"/>
        <w:keepLines w:val="0"/>
        <w:keepNext w:val="0"/>
        <w:pageBreakBefore w:val="0"/>
        <w:spacing w:line="360" w:lineRule="auto"/>
        <w:widowControl w:val="off"/>
        <w:rPr>
          <w:rStyle w:val="1045"/>
          <w:rFonts w:hint="eastAsia" w:ascii="宋体" w:hAnsi="宋体" w:eastAsia="宋体" w:cs="宋体"/>
          <w:b/>
          <w:bCs/>
          <w:color w:val="auto"/>
          <w:sz w:val="24"/>
          <w:highlight w:val="white"/>
        </w:rPr>
      </w:pPr>
      <w:r>
        <w:rPr>
          <w:rStyle w:val="1045"/>
          <w:rFonts w:hint="eastAsia" w:ascii="宋体" w:hAnsi="宋体" w:eastAsia="宋体" w:cs="宋体"/>
          <w:b/>
          <w:bCs/>
          <w:color w:val="auto"/>
          <w:sz w:val="24"/>
          <w:highlight w:val="white"/>
          <w:lang w:eastAsia="zh-CN"/>
        </w:rPr>
        <w:t xml:space="preserve">（</w:t>
      </w:r>
      <w:r>
        <w:rPr>
          <w:rStyle w:val="1045"/>
          <w:rFonts w:hint="eastAsia" w:ascii="宋体" w:hAnsi="宋体" w:eastAsia="宋体" w:cs="宋体"/>
          <w:b/>
          <w:bCs/>
          <w:color w:val="auto"/>
          <w:sz w:val="24"/>
          <w:highlight w:val="white"/>
          <w:lang w:val="en-US" w:eastAsia="zh-CN"/>
        </w:rPr>
        <w:t xml:space="preserve">二</w:t>
      </w:r>
      <w:r>
        <w:rPr>
          <w:rStyle w:val="1045"/>
          <w:rFonts w:hint="eastAsia" w:ascii="宋体" w:hAnsi="宋体" w:eastAsia="宋体" w:cs="宋体"/>
          <w:b/>
          <w:bCs/>
          <w:color w:val="auto"/>
          <w:sz w:val="24"/>
          <w:highlight w:val="white"/>
          <w:lang w:eastAsia="zh-CN"/>
        </w:rPr>
        <w:t xml:space="preserve">）</w:t>
      </w:r>
      <w:r>
        <w:rPr>
          <w:rStyle w:val="1045"/>
          <w:rFonts w:hint="eastAsia" w:ascii="宋体" w:hAnsi="宋体" w:eastAsia="宋体" w:cs="宋体"/>
          <w:b/>
          <w:bCs/>
          <w:color w:val="auto"/>
          <w:sz w:val="24"/>
          <w:highlight w:val="white"/>
          <w:lang w:val="en-US" w:eastAsia="zh-CN"/>
        </w:rPr>
        <w:t xml:space="preserve">实施方案</w:t>
      </w:r>
      <w:r>
        <w:rPr>
          <w:rStyle w:val="1045"/>
          <w:rFonts w:hint="eastAsia" w:ascii="宋体" w:hAnsi="宋体" w:eastAsia="宋体" w:cs="宋体"/>
          <w:b/>
          <w:bCs/>
          <w:color w:val="auto"/>
          <w:sz w:val="24"/>
          <w:highlight w:val="white"/>
        </w:rPr>
        <w:t xml:space="preserve">（</w:t>
      </w:r>
      <w:r>
        <w:rPr>
          <w:rStyle w:val="1045"/>
          <w:rFonts w:hint="eastAsia" w:ascii="宋体" w:hAnsi="宋体" w:cs="宋体"/>
          <w:b/>
          <w:bCs/>
          <w:color w:val="auto"/>
          <w:sz w:val="24"/>
          <w:highlight w:val="white"/>
          <w:lang w:val="en-US" w:eastAsia="zh-CN"/>
        </w:rPr>
        <w:t xml:space="preserve">56</w:t>
      </w:r>
      <w:r>
        <w:rPr>
          <w:rStyle w:val="1045"/>
          <w:rFonts w:hint="eastAsia" w:ascii="宋体" w:hAnsi="宋体" w:eastAsia="宋体" w:cs="宋体"/>
          <w:b/>
          <w:bCs/>
          <w:color w:val="auto"/>
          <w:sz w:val="24"/>
          <w:highlight w:val="white"/>
        </w:rPr>
        <w:t xml:space="preserve">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1、绿地养护管理制度，最高得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分（包括组织架构、内部养护检查考核制度、自查自纠制度、奖惩措施、养护档案管理制度等）内容详细、有针对性的，得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分；内容相对充实，基本满足要求的，得</w:t>
      </w:r>
      <w:r>
        <w:rPr>
          <w:rStyle w:val="1045"/>
          <w:rFonts w:hint="eastAsia" w:ascii="宋体" w:hAnsi="宋体" w:cs="宋体"/>
          <w:color w:val="auto"/>
          <w:sz w:val="24"/>
          <w:highlight w:val="white"/>
          <w:lang w:val="en-US" w:eastAsia="zh-CN"/>
        </w:rPr>
        <w:t xml:space="preserve">5</w:t>
      </w:r>
      <w:r>
        <w:rPr>
          <w:rStyle w:val="1045"/>
          <w:rFonts w:hint="eastAsia" w:ascii="宋体" w:hAnsi="宋体" w:eastAsia="宋体" w:cs="宋体"/>
          <w:color w:val="auto"/>
          <w:sz w:val="24"/>
          <w:highlight w:val="white"/>
          <w:lang w:val="en-US" w:eastAsia="zh-CN"/>
        </w:rPr>
        <w:t xml:space="preserve">分；内容一般，针对性较差的，得</w:t>
      </w:r>
      <w:r>
        <w:rPr>
          <w:rStyle w:val="1045"/>
          <w:rFonts w:hint="eastAsia" w:ascii="宋体" w:hAnsi="宋体" w:cs="宋体"/>
          <w:color w:val="auto"/>
          <w:sz w:val="24"/>
          <w:highlight w:val="white"/>
          <w:lang w:val="en-US" w:eastAsia="zh-CN"/>
        </w:rPr>
        <w:t xml:space="preserve">2</w:t>
      </w:r>
      <w:r>
        <w:rPr>
          <w:rStyle w:val="1045"/>
          <w:rFonts w:hint="eastAsia" w:ascii="宋体" w:hAnsi="宋体" w:eastAsia="宋体" w:cs="宋体"/>
          <w:color w:val="auto"/>
          <w:sz w:val="24"/>
          <w:highlight w:val="white"/>
          <w:lang w:val="en-US" w:eastAsia="zh-CN"/>
        </w:rPr>
        <w:t xml:space="preserve">分；其他情况不得分。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2、针对本项目的绿化养护技术方案比较，最高得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分（结合季节变化，考虑各类植物特性，养护计划周密，措施有效，如养护方案及措施、病虫害防治方案等）方案科学合理，重点突出，针对性强的得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分，方案基本合理，重点较为突出，针对性较强的得</w:t>
      </w:r>
      <w:r>
        <w:rPr>
          <w:rStyle w:val="1045"/>
          <w:rFonts w:hint="eastAsia" w:ascii="宋体" w:hAnsi="宋体" w:cs="宋体"/>
          <w:color w:val="auto"/>
          <w:sz w:val="24"/>
          <w:highlight w:val="white"/>
          <w:lang w:val="en-US" w:eastAsia="zh-CN"/>
        </w:rPr>
        <w:t xml:space="preserve">5</w:t>
      </w:r>
      <w:r>
        <w:rPr>
          <w:rStyle w:val="1045"/>
          <w:rFonts w:hint="eastAsia" w:ascii="宋体" w:hAnsi="宋体" w:eastAsia="宋体" w:cs="宋体"/>
          <w:color w:val="auto"/>
          <w:sz w:val="24"/>
          <w:highlight w:val="white"/>
          <w:lang w:val="en-US" w:eastAsia="zh-CN"/>
        </w:rPr>
        <w:t xml:space="preserve">分，方案合理性一般，重点不够突出，针对性一般的得</w:t>
      </w:r>
      <w:r>
        <w:rPr>
          <w:rStyle w:val="1045"/>
          <w:rFonts w:hint="eastAsia" w:ascii="宋体" w:hAnsi="宋体" w:cs="宋体"/>
          <w:color w:val="auto"/>
          <w:sz w:val="24"/>
          <w:highlight w:val="white"/>
          <w:lang w:val="en-US" w:eastAsia="zh-CN"/>
        </w:rPr>
        <w:t xml:space="preserve">2</w:t>
      </w:r>
      <w:r>
        <w:rPr>
          <w:rStyle w:val="1045"/>
          <w:rFonts w:hint="eastAsia" w:ascii="宋体" w:hAnsi="宋体" w:eastAsia="宋体" w:cs="宋体"/>
          <w:color w:val="auto"/>
          <w:sz w:val="24"/>
          <w:highlight w:val="white"/>
          <w:lang w:val="en-US" w:eastAsia="zh-CN"/>
        </w:rPr>
        <w:t xml:space="preserve">分；其他情况不得分。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3、现场安全文明作业措施及环境保护方案比较，最高得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分。现场安全文明作业措施及环境保护方案全面可行的得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分；现场安全文明作业措施及环境保护方案较全面可行的得</w:t>
      </w:r>
      <w:r>
        <w:rPr>
          <w:rStyle w:val="1045"/>
          <w:rFonts w:hint="eastAsia" w:ascii="宋体" w:hAnsi="宋体" w:cs="宋体"/>
          <w:color w:val="auto"/>
          <w:sz w:val="24"/>
          <w:highlight w:val="white"/>
          <w:lang w:val="en-US" w:eastAsia="zh-CN"/>
        </w:rPr>
        <w:t xml:space="preserve">5</w:t>
      </w:r>
      <w:r>
        <w:rPr>
          <w:rStyle w:val="1045"/>
          <w:rFonts w:hint="eastAsia" w:ascii="宋体" w:hAnsi="宋体" w:eastAsia="宋体" w:cs="宋体"/>
          <w:color w:val="auto"/>
          <w:sz w:val="24"/>
          <w:highlight w:val="white"/>
          <w:lang w:val="en-US" w:eastAsia="zh-CN"/>
        </w:rPr>
        <w:t xml:space="preserve">分；现场安全文明作业措施及环境保护方案一般的得</w:t>
      </w:r>
      <w:r>
        <w:rPr>
          <w:rStyle w:val="1045"/>
          <w:rFonts w:hint="eastAsia" w:ascii="宋体" w:hAnsi="宋体" w:cs="宋体"/>
          <w:color w:val="auto"/>
          <w:sz w:val="24"/>
          <w:highlight w:val="white"/>
          <w:lang w:val="en-US" w:eastAsia="zh-CN"/>
        </w:rPr>
        <w:t xml:space="preserve">2</w:t>
      </w:r>
      <w:r>
        <w:rPr>
          <w:rStyle w:val="1045"/>
          <w:rFonts w:hint="eastAsia" w:ascii="宋体" w:hAnsi="宋体" w:eastAsia="宋体" w:cs="宋体"/>
          <w:color w:val="auto"/>
          <w:sz w:val="24"/>
          <w:highlight w:val="white"/>
          <w:lang w:val="en-US" w:eastAsia="zh-CN"/>
        </w:rPr>
        <w:t xml:space="preserve">分；其他情况不得分。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4、设备设施作业管理维护方案比较，最高得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分；方案科学合理、完善的得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分，方案基本合理可行、较为完善的得</w:t>
      </w:r>
      <w:r>
        <w:rPr>
          <w:rStyle w:val="1045"/>
          <w:rFonts w:hint="eastAsia" w:ascii="宋体" w:hAnsi="宋体" w:cs="宋体"/>
          <w:color w:val="auto"/>
          <w:sz w:val="24"/>
          <w:highlight w:val="white"/>
          <w:lang w:val="en-US" w:eastAsia="zh-CN"/>
        </w:rPr>
        <w:t xml:space="preserve">5</w:t>
      </w:r>
      <w:r>
        <w:rPr>
          <w:rStyle w:val="1045"/>
          <w:rFonts w:hint="eastAsia" w:ascii="宋体" w:hAnsi="宋体" w:eastAsia="宋体" w:cs="宋体"/>
          <w:color w:val="auto"/>
          <w:sz w:val="24"/>
          <w:highlight w:val="white"/>
          <w:lang w:val="en-US" w:eastAsia="zh-CN"/>
        </w:rPr>
        <w:t xml:space="preserve">分，方案合理性可行性一般的得</w:t>
      </w:r>
      <w:r>
        <w:rPr>
          <w:rStyle w:val="1045"/>
          <w:rFonts w:hint="eastAsia" w:ascii="宋体" w:hAnsi="宋体" w:cs="宋体"/>
          <w:color w:val="auto"/>
          <w:sz w:val="24"/>
          <w:highlight w:val="white"/>
          <w:lang w:val="en-US" w:eastAsia="zh-CN"/>
        </w:rPr>
        <w:t xml:space="preserve">2</w:t>
      </w:r>
      <w:r>
        <w:rPr>
          <w:rStyle w:val="1045"/>
          <w:rFonts w:hint="eastAsia" w:ascii="宋体" w:hAnsi="宋体" w:eastAsia="宋体" w:cs="宋体"/>
          <w:color w:val="auto"/>
          <w:sz w:val="24"/>
          <w:highlight w:val="white"/>
          <w:lang w:val="en-US" w:eastAsia="zh-CN"/>
        </w:rPr>
        <w:t xml:space="preserve">分；其他情况不得分。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5、针对重大、紧急事项有应急方案和应急抢修预案比较，最高得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针对重大、紧急事项的应急方案和应急抢修预案妥善、内容完整、可行得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分；针对重大、紧急事项的应急方案和应急抢修预案较可行的得</w:t>
      </w:r>
      <w:r>
        <w:rPr>
          <w:rStyle w:val="1045"/>
          <w:rFonts w:hint="eastAsia" w:ascii="宋体" w:hAnsi="宋体" w:cs="宋体"/>
          <w:color w:val="auto"/>
          <w:sz w:val="24"/>
          <w:highlight w:val="white"/>
          <w:lang w:val="en-US" w:eastAsia="zh-CN"/>
        </w:rPr>
        <w:t xml:space="preserve">5</w:t>
      </w:r>
      <w:r>
        <w:rPr>
          <w:rStyle w:val="1045"/>
          <w:rFonts w:hint="eastAsia" w:ascii="宋体" w:hAnsi="宋体" w:eastAsia="宋体" w:cs="宋体"/>
          <w:color w:val="auto"/>
          <w:sz w:val="24"/>
          <w:highlight w:val="white"/>
          <w:lang w:val="en-US" w:eastAsia="zh-CN"/>
        </w:rPr>
        <w:t xml:space="preserve">分；针对重大、紧急事项的应急方案和应急抢修预案一般的得</w:t>
      </w:r>
      <w:r>
        <w:rPr>
          <w:rStyle w:val="1045"/>
          <w:rFonts w:hint="eastAsia" w:ascii="宋体" w:hAnsi="宋体" w:cs="宋体"/>
          <w:color w:val="auto"/>
          <w:sz w:val="24"/>
          <w:highlight w:val="white"/>
          <w:lang w:val="en-US" w:eastAsia="zh-CN"/>
        </w:rPr>
        <w:t xml:space="preserve">2</w:t>
      </w:r>
      <w:r>
        <w:rPr>
          <w:rStyle w:val="1045"/>
          <w:rFonts w:hint="eastAsia" w:ascii="宋体" w:hAnsi="宋体" w:eastAsia="宋体" w:cs="宋体"/>
          <w:color w:val="auto"/>
          <w:sz w:val="24"/>
          <w:highlight w:val="white"/>
          <w:lang w:val="en-US" w:eastAsia="zh-CN"/>
        </w:rPr>
        <w:t xml:space="preserve">分；其他情况不得分。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cs="宋体"/>
          <w:color w:val="auto"/>
          <w:sz w:val="24"/>
          <w:highlight w:val="white"/>
          <w:lang w:val="en-US" w:eastAsia="zh-CN"/>
        </w:rPr>
        <w:t xml:space="preserve">6、</w:t>
      </w:r>
      <w:r>
        <w:rPr>
          <w:rStyle w:val="1045"/>
          <w:rFonts w:hint="eastAsia" w:ascii="宋体" w:hAnsi="宋体" w:eastAsia="宋体" w:cs="宋体"/>
          <w:color w:val="auto"/>
          <w:sz w:val="24"/>
          <w:highlight w:val="white"/>
          <w:lang w:val="en-US" w:eastAsia="zh-CN"/>
        </w:rPr>
        <w:t xml:space="preserve">进退场交接方案比较，最高得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方案合理、内容完整且具有针对性的得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分，方案基本合理可行，内容较完整的得</w:t>
      </w:r>
      <w:r>
        <w:rPr>
          <w:rStyle w:val="1045"/>
          <w:rFonts w:hint="eastAsia" w:ascii="宋体" w:hAnsi="宋体" w:cs="宋体"/>
          <w:color w:val="auto"/>
          <w:sz w:val="24"/>
          <w:highlight w:val="white"/>
          <w:lang w:val="en-US" w:eastAsia="zh-CN"/>
        </w:rPr>
        <w:t xml:space="preserve">5</w:t>
      </w:r>
      <w:r>
        <w:rPr>
          <w:rStyle w:val="1045"/>
          <w:rFonts w:hint="eastAsia" w:ascii="宋体" w:hAnsi="宋体" w:eastAsia="宋体" w:cs="宋体"/>
          <w:color w:val="auto"/>
          <w:sz w:val="24"/>
          <w:highlight w:val="white"/>
          <w:lang w:val="en-US" w:eastAsia="zh-CN"/>
        </w:rPr>
        <w:t xml:space="preserve">分，方案合理性可行性一般的，得</w:t>
      </w:r>
      <w:r>
        <w:rPr>
          <w:rStyle w:val="1045"/>
          <w:rFonts w:hint="eastAsia" w:ascii="宋体" w:hAnsi="宋体" w:cs="宋体"/>
          <w:color w:val="auto"/>
          <w:sz w:val="24"/>
          <w:highlight w:val="white"/>
          <w:lang w:val="en-US" w:eastAsia="zh-CN"/>
        </w:rPr>
        <w:t xml:space="preserve">2</w:t>
      </w:r>
      <w:r>
        <w:rPr>
          <w:rStyle w:val="1045"/>
          <w:rFonts w:hint="eastAsia" w:ascii="宋体" w:hAnsi="宋体" w:eastAsia="宋体" w:cs="宋体"/>
          <w:color w:val="auto"/>
          <w:sz w:val="24"/>
          <w:highlight w:val="white"/>
          <w:lang w:val="en-US" w:eastAsia="zh-CN"/>
        </w:rPr>
        <w:t xml:space="preserve">分；其他情况不得分。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7、人员培训方案比较，最高得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包括对各类人员的培训计划、方案及目标，内容有规范言行；仪容仪表、树立良好公众形象等。方案合理、具有针对性的，得</w:t>
      </w:r>
      <w:r>
        <w:rPr>
          <w:rStyle w:val="1045"/>
          <w:rFonts w:hint="eastAsia" w:ascii="宋体" w:hAnsi="宋体" w:cs="宋体"/>
          <w:color w:val="auto"/>
          <w:sz w:val="24"/>
          <w:highlight w:val="white"/>
          <w:lang w:val="en-US" w:eastAsia="zh-CN"/>
        </w:rPr>
        <w:t xml:space="preserve">8</w:t>
      </w:r>
      <w:r>
        <w:rPr>
          <w:rStyle w:val="1045"/>
          <w:rFonts w:hint="eastAsia" w:ascii="宋体" w:hAnsi="宋体" w:eastAsia="宋体" w:cs="宋体"/>
          <w:color w:val="auto"/>
          <w:sz w:val="24"/>
          <w:highlight w:val="white"/>
          <w:lang w:val="en-US" w:eastAsia="zh-CN"/>
        </w:rPr>
        <w:t xml:space="preserve">分，方案基本合理可行的，得</w:t>
      </w:r>
      <w:r>
        <w:rPr>
          <w:rStyle w:val="1045"/>
          <w:rFonts w:hint="eastAsia" w:ascii="宋体" w:hAnsi="宋体" w:cs="宋体"/>
          <w:color w:val="auto"/>
          <w:sz w:val="24"/>
          <w:highlight w:val="white"/>
          <w:lang w:val="en-US" w:eastAsia="zh-CN"/>
        </w:rPr>
        <w:t xml:space="preserve">5</w:t>
      </w:r>
      <w:r>
        <w:rPr>
          <w:rStyle w:val="1045"/>
          <w:rFonts w:hint="eastAsia" w:ascii="宋体" w:hAnsi="宋体" w:eastAsia="宋体" w:cs="宋体"/>
          <w:color w:val="auto"/>
          <w:sz w:val="24"/>
          <w:highlight w:val="white"/>
          <w:lang w:val="en-US" w:eastAsia="zh-CN"/>
        </w:rPr>
        <w:t xml:space="preserve">分，方案合理性可行性一般的，得</w:t>
      </w:r>
      <w:r>
        <w:rPr>
          <w:rStyle w:val="1045"/>
          <w:rFonts w:hint="eastAsia" w:ascii="宋体" w:hAnsi="宋体" w:cs="宋体"/>
          <w:color w:val="auto"/>
          <w:sz w:val="24"/>
          <w:highlight w:val="white"/>
          <w:lang w:val="en-US" w:eastAsia="zh-CN"/>
        </w:rPr>
        <w:t xml:space="preserve">2</w:t>
      </w:r>
      <w:r>
        <w:rPr>
          <w:rStyle w:val="1045"/>
          <w:rFonts w:hint="eastAsia" w:ascii="宋体" w:hAnsi="宋体" w:eastAsia="宋体" w:cs="宋体"/>
          <w:color w:val="auto"/>
          <w:sz w:val="24"/>
          <w:highlight w:val="white"/>
          <w:lang w:val="en-US" w:eastAsia="zh-CN"/>
        </w:rPr>
        <w:t xml:space="preserve">分；其他情况不得分。</w:t>
      </w:r>
      <w:r>
        <w:rPr>
          <w:highlight w:val="white"/>
        </w:rPr>
      </w:r>
    </w:p>
    <w:p>
      <w:pPr>
        <w:ind w:left="0" w:firstLine="482"/>
        <w:keepLines w:val="0"/>
        <w:keepNext w:val="0"/>
        <w:pageBreakBefore w:val="0"/>
        <w:spacing w:line="360" w:lineRule="auto"/>
        <w:widowControl w:val="off"/>
        <w:rPr>
          <w:rStyle w:val="1045"/>
          <w:rFonts w:hint="eastAsia" w:ascii="宋体" w:hAnsi="宋体" w:eastAsia="宋体" w:cs="宋体"/>
          <w:b/>
          <w:bCs/>
          <w:color w:val="auto"/>
          <w:sz w:val="24"/>
          <w:highlight w:val="white"/>
        </w:rPr>
      </w:pPr>
      <w:r>
        <w:rPr>
          <w:rStyle w:val="1045"/>
          <w:rFonts w:hint="eastAsia" w:ascii="宋体" w:hAnsi="宋体" w:eastAsia="宋体" w:cs="宋体"/>
          <w:b/>
          <w:bCs/>
          <w:color w:val="auto"/>
          <w:sz w:val="24"/>
          <w:highlight w:val="white"/>
          <w:lang w:val="en-US" w:eastAsia="zh-CN"/>
        </w:rPr>
        <w:t xml:space="preserve">（三）拟投入人员设备配备（22分）</w:t>
      </w:r>
      <w:r>
        <w:rPr>
          <w:highlight w:val="white"/>
        </w:rPr>
      </w:r>
    </w:p>
    <w:p>
      <w:pPr>
        <w:ind w:left="0" w:firstLine="482"/>
        <w:keepLines w:val="0"/>
        <w:keepNext w:val="0"/>
        <w:pageBreakBefore w:val="0"/>
        <w:spacing w:line="360" w:lineRule="auto"/>
        <w:widowControl w:val="off"/>
        <w:rPr>
          <w:rStyle w:val="1045"/>
          <w:rFonts w:hint="eastAsia" w:ascii="宋体" w:hAnsi="宋体" w:eastAsia="宋体" w:cs="宋体"/>
          <w:b/>
          <w:bCs/>
          <w:color w:val="auto"/>
          <w:sz w:val="24"/>
          <w:highlight w:val="white"/>
        </w:rPr>
      </w:pPr>
      <w:r>
        <w:rPr>
          <w:rStyle w:val="1045"/>
          <w:rFonts w:hint="eastAsia" w:ascii="宋体" w:hAnsi="宋体" w:eastAsia="宋体" w:cs="宋体"/>
          <w:b/>
          <w:bCs/>
          <w:color w:val="auto"/>
          <w:sz w:val="24"/>
          <w:highlight w:val="white"/>
          <w:lang w:val="en-US" w:eastAsia="zh-CN"/>
        </w:rPr>
        <w:t xml:space="preserve">1、项目负责人（2分）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项目负责人具有园林绿化及相关专业</w:t>
      </w:r>
      <w:r>
        <w:rPr>
          <w:rStyle w:val="1045"/>
          <w:rFonts w:hint="eastAsia" w:ascii="宋体" w:hAnsi="宋体" w:cs="宋体"/>
          <w:color w:val="auto"/>
          <w:sz w:val="24"/>
          <w:highlight w:val="white"/>
          <w:lang w:val="en-US" w:eastAsia="zh-CN"/>
        </w:rPr>
        <w:t xml:space="preserve">助理工程师及以上证书</w:t>
      </w:r>
      <w:r>
        <w:rPr>
          <w:rStyle w:val="1045"/>
          <w:rFonts w:hint="eastAsia" w:ascii="宋体" w:hAnsi="宋体" w:eastAsia="宋体" w:cs="宋体"/>
          <w:color w:val="auto"/>
          <w:sz w:val="24"/>
          <w:highlight w:val="white"/>
          <w:lang w:val="en-US" w:eastAsia="zh-CN"/>
        </w:rPr>
        <w:t xml:space="preserve">的得2分</w:t>
      </w:r>
      <w:r>
        <w:rPr>
          <w:highlight w:val="white"/>
        </w:rPr>
      </w:r>
    </w:p>
    <w:p>
      <w:pPr>
        <w:ind w:left="0" w:firstLine="482"/>
        <w:keepLines w:val="0"/>
        <w:keepNext w:val="0"/>
        <w:pageBreakBefore w:val="0"/>
        <w:spacing w:line="360" w:lineRule="auto"/>
        <w:widowControl w:val="off"/>
        <w:rPr>
          <w:rStyle w:val="1045"/>
          <w:rFonts w:hint="eastAsia" w:ascii="宋体" w:hAnsi="宋体" w:eastAsia="宋体" w:cs="宋体"/>
          <w:b/>
          <w:bCs/>
          <w:color w:val="auto"/>
          <w:sz w:val="24"/>
          <w:highlight w:val="white"/>
        </w:rPr>
      </w:pPr>
      <w:r>
        <w:rPr>
          <w:rStyle w:val="1045"/>
          <w:rFonts w:hint="eastAsia" w:ascii="宋体" w:hAnsi="宋体" w:eastAsia="宋体" w:cs="宋体"/>
          <w:b/>
          <w:bCs/>
          <w:color w:val="auto"/>
          <w:sz w:val="24"/>
          <w:highlight w:val="white"/>
          <w:lang w:val="en-US" w:eastAsia="zh-CN"/>
        </w:rPr>
        <w:t xml:space="preserve">注：</w:t>
      </w:r>
      <w:r>
        <w:rPr>
          <w:rStyle w:val="1045"/>
          <w:rFonts w:hint="eastAsia" w:ascii="宋体" w:hAnsi="宋体" w:cs="宋体"/>
          <w:b/>
          <w:bCs/>
          <w:color w:val="auto"/>
          <w:sz w:val="24"/>
          <w:highlight w:val="white"/>
          <w:lang w:val="en-US" w:eastAsia="zh-CN"/>
        </w:rPr>
        <w:t xml:space="preserve">响应文件</w:t>
      </w:r>
      <w:r>
        <w:rPr>
          <w:rStyle w:val="1045"/>
          <w:rFonts w:hint="eastAsia" w:ascii="宋体" w:hAnsi="宋体" w:eastAsia="宋体" w:cs="宋体"/>
          <w:b/>
          <w:bCs/>
          <w:color w:val="auto"/>
          <w:sz w:val="24"/>
          <w:highlight w:val="white"/>
          <w:lang w:val="en-US" w:eastAsia="zh-CN"/>
        </w:rPr>
        <w:t xml:space="preserve">中提供</w:t>
      </w:r>
      <w:r>
        <w:rPr>
          <w:rStyle w:val="1045"/>
          <w:rFonts w:hint="eastAsia" w:ascii="宋体" w:hAnsi="宋体" w:cs="宋体"/>
          <w:b/>
          <w:bCs/>
          <w:color w:val="auto"/>
          <w:sz w:val="24"/>
          <w:highlight w:val="white"/>
          <w:lang w:val="en-US" w:eastAsia="zh-CN"/>
        </w:rPr>
        <w:t xml:space="preserve">项目负责人</w:t>
      </w:r>
      <w:r>
        <w:rPr>
          <w:rStyle w:val="1045"/>
          <w:rFonts w:hint="eastAsia" w:ascii="宋体" w:hAnsi="宋体" w:eastAsia="宋体" w:cs="宋体"/>
          <w:b/>
          <w:bCs/>
          <w:color w:val="auto"/>
          <w:sz w:val="24"/>
          <w:highlight w:val="white"/>
          <w:lang w:val="en-US" w:eastAsia="zh-CN"/>
        </w:rPr>
        <w:t xml:space="preserve">相关证明</w:t>
      </w:r>
      <w:r>
        <w:rPr>
          <w:rStyle w:val="1045"/>
          <w:rFonts w:hint="eastAsia" w:ascii="宋体" w:hAnsi="宋体" w:cs="宋体"/>
          <w:b/>
          <w:bCs/>
          <w:color w:val="auto"/>
          <w:sz w:val="24"/>
          <w:highlight w:val="white"/>
          <w:lang w:val="en-US" w:eastAsia="zh-CN"/>
        </w:rPr>
        <w:t xml:space="preserve">材料复印件及磋商响应单位为其签订的</w:t>
      </w:r>
      <w:r>
        <w:rPr>
          <w:rStyle w:val="1045"/>
          <w:rFonts w:hint="eastAsia" w:ascii="宋体" w:hAnsi="宋体" w:eastAsia="宋体" w:cs="宋体"/>
          <w:b/>
          <w:bCs/>
          <w:color w:val="auto"/>
          <w:sz w:val="24"/>
          <w:highlight w:val="white"/>
          <w:lang w:val="en-US" w:eastAsia="zh-CN"/>
        </w:rPr>
        <w:t xml:space="preserve">劳动合同</w:t>
      </w:r>
      <w:r>
        <w:rPr>
          <w:rStyle w:val="1045"/>
          <w:rFonts w:hint="eastAsia" w:ascii="宋体" w:hAnsi="宋体" w:cs="宋体"/>
          <w:b/>
          <w:bCs/>
          <w:color w:val="auto"/>
          <w:sz w:val="24"/>
          <w:highlight w:val="white"/>
          <w:lang w:val="en-US" w:eastAsia="zh-CN"/>
        </w:rPr>
        <w:t xml:space="preserve">及</w:t>
      </w:r>
      <w:r>
        <w:rPr>
          <w:rStyle w:val="1045"/>
          <w:rFonts w:hint="eastAsia" w:ascii="宋体" w:hAnsi="宋体" w:eastAsia="宋体" w:cs="宋体"/>
          <w:b/>
          <w:bCs/>
          <w:color w:val="auto"/>
          <w:sz w:val="24"/>
          <w:highlight w:val="white"/>
          <w:lang w:val="en-US" w:eastAsia="zh-CN"/>
        </w:rPr>
        <w:t xml:space="preserve">近1个月社保证明复印件</w:t>
      </w:r>
      <w:r>
        <w:rPr>
          <w:rStyle w:val="1045"/>
          <w:rFonts w:hint="eastAsia" w:ascii="宋体" w:hAnsi="宋体" w:cs="宋体"/>
          <w:b/>
          <w:bCs/>
          <w:color w:val="auto"/>
          <w:sz w:val="24"/>
          <w:highlight w:val="white"/>
          <w:lang w:val="en-US" w:eastAsia="zh-CN"/>
        </w:rPr>
        <w:t xml:space="preserve">。</w:t>
      </w:r>
      <w:r>
        <w:rPr>
          <w:rFonts w:hint="eastAsia" w:ascii="宋体" w:hAnsi="宋体" w:eastAsia="宋体" w:cs="宋体"/>
          <w:b/>
          <w:bCs/>
          <w:color w:val="auto"/>
          <w:sz w:val="24"/>
          <w:szCs w:val="24"/>
          <w:highlight w:val="white"/>
          <w:lang w:val="en-US" w:eastAsia="zh-CN"/>
        </w:rPr>
        <w:t xml:space="preserve">材料未提供或提供不全或提供材料无法认定的，则此项不得分。</w:t>
      </w:r>
      <w:r>
        <w:rPr>
          <w:highlight w:val="white"/>
        </w:rPr>
      </w:r>
    </w:p>
    <w:p>
      <w:pPr>
        <w:ind w:left="0" w:firstLine="482"/>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b/>
          <w:bCs/>
          <w:color w:val="auto"/>
          <w:sz w:val="24"/>
          <w:highlight w:val="white"/>
          <w:lang w:val="en-US" w:eastAsia="zh-CN"/>
        </w:rPr>
        <w:t xml:space="preserve">2、项目组人员</w:t>
      </w:r>
      <w:r>
        <w:rPr>
          <w:rStyle w:val="1045"/>
          <w:rFonts w:hint="eastAsia" w:ascii="宋体" w:hAnsi="宋体" w:cs="宋体"/>
          <w:b/>
          <w:bCs/>
          <w:color w:val="auto"/>
          <w:sz w:val="24"/>
          <w:highlight w:val="white"/>
          <w:lang w:val="en-US" w:eastAsia="zh-CN"/>
        </w:rPr>
        <w:t xml:space="preserve">（项目负责人除外）</w:t>
      </w:r>
      <w:r>
        <w:rPr>
          <w:rStyle w:val="1045"/>
          <w:rFonts w:hint="eastAsia" w:ascii="宋体" w:hAnsi="宋体" w:eastAsia="宋体" w:cs="宋体"/>
          <w:b/>
          <w:bCs/>
          <w:color w:val="auto"/>
          <w:sz w:val="24"/>
          <w:highlight w:val="white"/>
          <w:lang w:val="en-US" w:eastAsia="zh-CN"/>
        </w:rPr>
        <w:t xml:space="preserve">（4分</w:t>
      </w:r>
      <w:r>
        <w:rPr>
          <w:rStyle w:val="1045"/>
          <w:rFonts w:hint="eastAsia" w:ascii="宋体" w:hAnsi="宋体" w:eastAsia="宋体" w:cs="宋体"/>
          <w:color w:val="auto"/>
          <w:sz w:val="24"/>
          <w:highlight w:val="white"/>
          <w:lang w:val="en-US" w:eastAsia="zh-CN"/>
        </w:rPr>
        <w:t xml:space="preserve">）</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项目组</w:t>
      </w:r>
      <w:r>
        <w:rPr>
          <w:rStyle w:val="1045"/>
          <w:rFonts w:hint="eastAsia" w:ascii="宋体" w:hAnsi="宋体" w:cs="宋体"/>
          <w:color w:val="auto"/>
          <w:sz w:val="24"/>
          <w:highlight w:val="white"/>
          <w:lang w:val="en-US" w:eastAsia="zh-CN"/>
        </w:rPr>
        <w:t xml:space="preserve">人员</w:t>
      </w:r>
      <w:r>
        <w:rPr>
          <w:rStyle w:val="1045"/>
          <w:rFonts w:hint="eastAsia" w:ascii="宋体" w:hAnsi="宋体" w:eastAsia="宋体" w:cs="宋体"/>
          <w:color w:val="auto"/>
          <w:sz w:val="24"/>
          <w:highlight w:val="white"/>
          <w:lang w:val="en-US" w:eastAsia="zh-CN"/>
        </w:rPr>
        <w:t xml:space="preserve">具有花卉工或绿化工</w:t>
      </w:r>
      <w:r>
        <w:rPr>
          <w:rStyle w:val="1045"/>
          <w:rFonts w:hint="eastAsia" w:ascii="宋体" w:hAnsi="宋体" w:cs="宋体"/>
          <w:color w:val="auto"/>
          <w:sz w:val="24"/>
          <w:highlight w:val="white"/>
          <w:lang w:val="en-US" w:eastAsia="zh-CN"/>
        </w:rPr>
        <w:t xml:space="preserve">三级及以上职称证书的</w:t>
      </w:r>
      <w:r>
        <w:rPr>
          <w:rStyle w:val="1045"/>
          <w:rFonts w:hint="eastAsia" w:ascii="宋体" w:hAnsi="宋体" w:eastAsia="宋体" w:cs="宋体"/>
          <w:color w:val="auto"/>
          <w:sz w:val="24"/>
          <w:highlight w:val="white"/>
          <w:lang w:val="en-US" w:eastAsia="zh-CN"/>
        </w:rPr>
        <w:t xml:space="preserve">，每配备1名得1分，最高得4分。</w:t>
      </w:r>
      <w:r>
        <w:rPr>
          <w:highlight w:val="white"/>
        </w:rPr>
      </w:r>
    </w:p>
    <w:p>
      <w:pPr>
        <w:ind w:left="0" w:firstLine="482"/>
        <w:keepLines w:val="0"/>
        <w:keepNext w:val="0"/>
        <w:pageBreakBefore w:val="0"/>
        <w:spacing w:line="360" w:lineRule="auto"/>
        <w:widowControl w:val="off"/>
        <w:rPr>
          <w:rStyle w:val="1045"/>
          <w:rFonts w:hint="eastAsia" w:ascii="宋体" w:hAnsi="宋体" w:eastAsia="宋体" w:cs="宋体"/>
          <w:b/>
          <w:bCs/>
          <w:color w:val="auto"/>
          <w:sz w:val="24"/>
          <w:highlight w:val="white"/>
        </w:rPr>
      </w:pPr>
      <w:r>
        <w:rPr>
          <w:rStyle w:val="1045"/>
          <w:rFonts w:hint="eastAsia" w:ascii="宋体" w:hAnsi="宋体" w:eastAsia="宋体" w:cs="宋体"/>
          <w:b/>
          <w:bCs/>
          <w:color w:val="auto"/>
          <w:sz w:val="24"/>
          <w:highlight w:val="white"/>
          <w:lang w:val="en-US" w:eastAsia="zh-CN"/>
        </w:rPr>
        <w:t xml:space="preserve">注：</w:t>
      </w:r>
      <w:r>
        <w:rPr>
          <w:rStyle w:val="1045"/>
          <w:rFonts w:hint="eastAsia" w:ascii="宋体" w:hAnsi="宋体" w:cs="宋体"/>
          <w:b/>
          <w:bCs/>
          <w:color w:val="auto"/>
          <w:sz w:val="24"/>
          <w:highlight w:val="white"/>
          <w:lang w:val="en-US" w:eastAsia="zh-CN"/>
        </w:rPr>
        <w:t xml:space="preserve">同一人不得重复计分</w:t>
      </w:r>
      <w:r>
        <w:rPr>
          <w:rStyle w:val="1045"/>
          <w:rFonts w:hint="eastAsia" w:ascii="宋体" w:hAnsi="宋体" w:cs="宋体"/>
          <w:b/>
          <w:bCs/>
          <w:color w:val="auto"/>
          <w:sz w:val="24"/>
          <w:highlight w:val="white"/>
          <w:lang w:val="en-US" w:eastAsia="zh-CN"/>
        </w:rPr>
        <w:t xml:space="preserve">，响应文件</w:t>
      </w:r>
      <w:r>
        <w:rPr>
          <w:rStyle w:val="1045"/>
          <w:rFonts w:hint="eastAsia" w:ascii="宋体" w:hAnsi="宋体" w:eastAsia="宋体" w:cs="宋体"/>
          <w:b/>
          <w:bCs/>
          <w:color w:val="auto"/>
          <w:sz w:val="24"/>
          <w:highlight w:val="white"/>
          <w:lang w:val="en-US" w:eastAsia="zh-CN"/>
        </w:rPr>
        <w:t xml:space="preserve">中提供项目组人员相关证明</w:t>
      </w:r>
      <w:r>
        <w:rPr>
          <w:rStyle w:val="1045"/>
          <w:rFonts w:hint="eastAsia" w:ascii="宋体" w:hAnsi="宋体" w:cs="宋体"/>
          <w:b/>
          <w:bCs/>
          <w:color w:val="auto"/>
          <w:sz w:val="24"/>
          <w:highlight w:val="white"/>
          <w:lang w:val="en-US" w:eastAsia="zh-CN"/>
        </w:rPr>
        <w:t xml:space="preserve">材料复印件及磋商响应单位为其签订的</w:t>
      </w:r>
      <w:r>
        <w:rPr>
          <w:rStyle w:val="1045"/>
          <w:rFonts w:hint="eastAsia" w:ascii="宋体" w:hAnsi="宋体" w:eastAsia="宋体" w:cs="宋体"/>
          <w:b/>
          <w:bCs/>
          <w:color w:val="auto"/>
          <w:sz w:val="24"/>
          <w:highlight w:val="white"/>
          <w:lang w:val="en-US" w:eastAsia="zh-CN"/>
        </w:rPr>
        <w:t xml:space="preserve">劳动合同</w:t>
      </w:r>
      <w:r>
        <w:rPr>
          <w:rStyle w:val="1045"/>
          <w:rFonts w:hint="eastAsia" w:ascii="宋体" w:hAnsi="宋体" w:cs="宋体"/>
          <w:b/>
          <w:bCs/>
          <w:color w:val="auto"/>
          <w:sz w:val="24"/>
          <w:highlight w:val="white"/>
          <w:lang w:val="en-US" w:eastAsia="zh-CN"/>
        </w:rPr>
        <w:t xml:space="preserve">及</w:t>
      </w:r>
      <w:r>
        <w:rPr>
          <w:rStyle w:val="1045"/>
          <w:rFonts w:hint="eastAsia" w:ascii="宋体" w:hAnsi="宋体" w:eastAsia="宋体" w:cs="宋体"/>
          <w:b/>
          <w:bCs/>
          <w:color w:val="auto"/>
          <w:sz w:val="24"/>
          <w:highlight w:val="white"/>
          <w:lang w:val="en-US" w:eastAsia="zh-CN"/>
        </w:rPr>
        <w:t xml:space="preserve">近1个月社保证明复印件</w:t>
      </w:r>
      <w:r>
        <w:rPr>
          <w:rStyle w:val="1045"/>
          <w:rFonts w:hint="eastAsia" w:ascii="宋体" w:hAnsi="宋体" w:cs="宋体"/>
          <w:b/>
          <w:bCs/>
          <w:color w:val="auto"/>
          <w:sz w:val="24"/>
          <w:highlight w:val="white"/>
          <w:lang w:val="en-US" w:eastAsia="zh-CN"/>
        </w:rPr>
        <w:t xml:space="preserve">。</w:t>
      </w:r>
      <w:r>
        <w:rPr>
          <w:rFonts w:hint="eastAsia" w:ascii="宋体" w:hAnsi="宋体" w:eastAsia="宋体" w:cs="宋体"/>
          <w:b/>
          <w:bCs/>
          <w:color w:val="auto"/>
          <w:sz w:val="24"/>
          <w:szCs w:val="24"/>
          <w:highlight w:val="white"/>
          <w:lang w:val="en-US" w:eastAsia="zh-CN"/>
        </w:rPr>
        <w:t xml:space="preserve">材料未提供或提供不全或提供材料无法认定的，则此项不得分。</w:t>
      </w:r>
      <w:r>
        <w:rPr>
          <w:highlight w:val="white"/>
        </w:rPr>
      </w:r>
    </w:p>
    <w:p>
      <w:pPr>
        <w:ind w:left="0" w:firstLine="482"/>
        <w:keepLines w:val="0"/>
        <w:keepNext w:val="0"/>
        <w:pageBreakBefore w:val="0"/>
        <w:spacing w:line="360" w:lineRule="auto"/>
        <w:widowControl w:val="off"/>
        <w:rPr>
          <w:rStyle w:val="1045"/>
          <w:rFonts w:hint="eastAsia" w:ascii="宋体" w:hAnsi="宋体" w:eastAsia="宋体" w:cs="宋体"/>
          <w:b/>
          <w:bCs/>
          <w:color w:val="auto"/>
          <w:sz w:val="24"/>
          <w:highlight w:val="white"/>
        </w:rPr>
      </w:pPr>
      <w:r>
        <w:rPr>
          <w:rStyle w:val="1045"/>
          <w:rFonts w:hint="eastAsia" w:ascii="宋体" w:hAnsi="宋体" w:eastAsia="宋体" w:cs="宋体"/>
          <w:b/>
          <w:bCs/>
          <w:color w:val="auto"/>
          <w:sz w:val="24"/>
          <w:highlight w:val="white"/>
          <w:lang w:val="en-US" w:eastAsia="zh-CN"/>
        </w:rPr>
        <w:t xml:space="preserve">3、拟投入设备配备（16分）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（1）拟投入本项目的设备中具有巡查车、垃圾清运车、绿化洒水车的，</w:t>
      </w:r>
      <w:r>
        <w:rPr>
          <w:rStyle w:val="1045"/>
          <w:rFonts w:hint="eastAsia" w:ascii="宋体" w:hAnsi="宋体" w:cs="宋体"/>
          <w:color w:val="auto"/>
          <w:sz w:val="24"/>
          <w:highlight w:val="white"/>
          <w:lang w:val="en-US" w:eastAsia="zh-CN"/>
        </w:rPr>
        <w:t xml:space="preserve">响应单位</w:t>
      </w:r>
      <w:r>
        <w:rPr>
          <w:rStyle w:val="1045"/>
          <w:rFonts w:hint="eastAsia" w:ascii="宋体" w:hAnsi="宋体" w:eastAsia="宋体" w:cs="宋体"/>
          <w:color w:val="auto"/>
          <w:sz w:val="24"/>
          <w:highlight w:val="white"/>
          <w:lang w:val="en-US" w:eastAsia="zh-CN"/>
        </w:rPr>
        <w:t xml:space="preserve">每有一项（自有或租赁）得2分，最高得6分。</w:t>
      </w:r>
      <w:r>
        <w:rPr>
          <w:highlight w:val="white"/>
        </w:rPr>
      </w:r>
    </w:p>
    <w:p>
      <w:pPr>
        <w:ind w:left="0" w:firstLine="480"/>
        <w:keepLines w:val="0"/>
        <w:keepNext w:val="0"/>
        <w:pageBreakBefore w:val="0"/>
        <w:spacing w:line="360" w:lineRule="auto"/>
        <w:widowControl w:val="off"/>
        <w:rPr>
          <w:rStyle w:val="1045"/>
          <w:rFonts w:hint="eastAsia" w:ascii="宋体" w:hAnsi="宋体" w:eastAsia="宋体" w:cs="宋体"/>
          <w:color w:val="auto"/>
          <w:sz w:val="24"/>
          <w:highlight w:val="white"/>
        </w:rPr>
      </w:pPr>
      <w:r>
        <w:rPr>
          <w:rStyle w:val="1045"/>
          <w:rFonts w:hint="eastAsia" w:ascii="宋体" w:hAnsi="宋体" w:eastAsia="宋体" w:cs="宋体"/>
          <w:color w:val="auto"/>
          <w:sz w:val="24"/>
          <w:highlight w:val="white"/>
          <w:lang w:val="en-US" w:eastAsia="zh-CN"/>
        </w:rPr>
        <w:t xml:space="preserve">（2）拟投入本项目的设备中具有割灌机、绿篱机、水泵、药水机、草坪修剪机的，</w:t>
      </w:r>
      <w:r>
        <w:rPr>
          <w:rStyle w:val="1045"/>
          <w:rFonts w:hint="eastAsia" w:ascii="宋体" w:hAnsi="宋体" w:cs="宋体"/>
          <w:color w:val="auto"/>
          <w:sz w:val="24"/>
          <w:highlight w:val="white"/>
          <w:lang w:val="en-US" w:eastAsia="zh-CN"/>
        </w:rPr>
        <w:t xml:space="preserve">响应单位</w:t>
      </w:r>
      <w:r>
        <w:rPr>
          <w:rStyle w:val="1045"/>
          <w:rFonts w:hint="eastAsia" w:ascii="宋体" w:hAnsi="宋体" w:eastAsia="宋体" w:cs="宋体"/>
          <w:color w:val="auto"/>
          <w:sz w:val="24"/>
          <w:highlight w:val="white"/>
          <w:lang w:val="en-US" w:eastAsia="zh-CN"/>
        </w:rPr>
        <w:t xml:space="preserve">每有一项（自有或租赁）得2分，最高得10分。</w:t>
      </w:r>
      <w:r>
        <w:rPr>
          <w:highlight w:val="white"/>
        </w:rPr>
      </w:r>
    </w:p>
    <w:p>
      <w:pPr>
        <w:ind w:left="0" w:firstLine="482"/>
        <w:keepLines w:val="0"/>
        <w:keepNext w:val="0"/>
        <w:pageBreakBefore w:val="0"/>
        <w:spacing w:line="360" w:lineRule="auto"/>
        <w:widowControl w:val="off"/>
        <w:rPr>
          <w:rFonts w:ascii="宋体" w:hAnsi="宋体" w:eastAsia="宋体"/>
          <w:b/>
          <w:color w:val="auto"/>
          <w:sz w:val="24"/>
          <w:szCs w:val="24"/>
          <w:highlight w:val="white"/>
        </w:rPr>
      </w:pPr>
      <w:r>
        <w:rPr>
          <w:rFonts w:hint="eastAsia" w:ascii="宋体" w:hAnsi="宋体" w:eastAsia="宋体"/>
          <w:b/>
          <w:color w:val="auto"/>
          <w:sz w:val="24"/>
          <w:szCs w:val="24"/>
          <w:highlight w:val="white"/>
        </w:rPr>
        <w:t xml:space="preserve">注：如</w:t>
      </w:r>
      <w:r>
        <w:rPr>
          <w:rFonts w:hint="eastAsia" w:ascii="宋体" w:hAnsi="宋体"/>
          <w:b/>
          <w:color w:val="auto"/>
          <w:sz w:val="24"/>
          <w:szCs w:val="24"/>
          <w:highlight w:val="white"/>
          <w:lang w:val="en-US" w:eastAsia="zh-CN"/>
        </w:rPr>
        <w:t xml:space="preserve">响应单位</w:t>
      </w:r>
      <w:r>
        <w:rPr>
          <w:rFonts w:hint="eastAsia" w:ascii="宋体" w:hAnsi="宋体" w:eastAsia="宋体"/>
          <w:b/>
          <w:color w:val="auto"/>
          <w:sz w:val="24"/>
          <w:szCs w:val="24"/>
          <w:highlight w:val="white"/>
        </w:rPr>
        <w:t xml:space="preserve">自有</w:t>
      </w:r>
      <w:r>
        <w:rPr>
          <w:rFonts w:hint="eastAsia" w:ascii="宋体" w:hAnsi="宋体"/>
          <w:b/>
          <w:color w:val="auto"/>
          <w:sz w:val="24"/>
          <w:szCs w:val="24"/>
          <w:highlight w:val="white"/>
          <w:lang w:eastAsia="zh-CN"/>
        </w:rPr>
        <w:t xml:space="preserve">，</w:t>
      </w:r>
      <w:r>
        <w:rPr>
          <w:rFonts w:hint="eastAsia" w:ascii="宋体" w:hAnsi="宋体" w:eastAsia="宋体"/>
          <w:b/>
          <w:color w:val="auto"/>
          <w:sz w:val="24"/>
          <w:szCs w:val="24"/>
          <w:highlight w:val="white"/>
        </w:rPr>
        <w:t xml:space="preserve">则</w:t>
      </w:r>
      <w:r>
        <w:rPr>
          <w:rFonts w:hint="eastAsia" w:ascii="宋体" w:hAnsi="宋体"/>
          <w:b/>
          <w:color w:val="auto"/>
          <w:sz w:val="24"/>
          <w:szCs w:val="24"/>
          <w:highlight w:val="white"/>
          <w:lang w:eastAsia="zh-CN"/>
        </w:rPr>
        <w:t xml:space="preserve">响应文件</w:t>
      </w:r>
      <w:r>
        <w:rPr>
          <w:rFonts w:hint="eastAsia" w:ascii="宋体" w:hAnsi="宋体" w:eastAsia="宋体"/>
          <w:b/>
          <w:color w:val="auto"/>
          <w:sz w:val="24"/>
          <w:szCs w:val="24"/>
          <w:highlight w:val="white"/>
        </w:rPr>
        <w:t xml:space="preserve">中提供上述设备购买发票复印件（其中车辆提供产权证明复印件），如租赁则</w:t>
      </w:r>
      <w:r>
        <w:rPr>
          <w:rFonts w:hint="eastAsia" w:ascii="宋体" w:hAnsi="宋体"/>
          <w:b/>
          <w:color w:val="auto"/>
          <w:sz w:val="24"/>
          <w:szCs w:val="24"/>
          <w:highlight w:val="white"/>
          <w:lang w:eastAsia="zh-CN"/>
        </w:rPr>
        <w:t xml:space="preserve">响应文件</w:t>
      </w:r>
      <w:r>
        <w:rPr>
          <w:rFonts w:hint="eastAsia" w:ascii="宋体" w:hAnsi="宋体" w:eastAsia="宋体"/>
          <w:b/>
          <w:color w:val="auto"/>
          <w:sz w:val="24"/>
          <w:szCs w:val="24"/>
          <w:highlight w:val="white"/>
        </w:rPr>
        <w:t xml:space="preserve">中提供上述设备的租赁合同复印件</w:t>
      </w:r>
      <w:r>
        <w:rPr>
          <w:rStyle w:val="1045"/>
          <w:rFonts w:hint="eastAsia" w:ascii="宋体" w:hAnsi="宋体" w:cs="宋体"/>
          <w:b/>
          <w:bCs/>
          <w:color w:val="auto"/>
          <w:sz w:val="24"/>
          <w:highlight w:val="white"/>
          <w:lang w:val="en-US" w:eastAsia="zh-CN"/>
        </w:rPr>
        <w:t xml:space="preserve">。</w:t>
      </w:r>
      <w:r>
        <w:rPr>
          <w:rFonts w:hint="eastAsia" w:ascii="宋体" w:hAnsi="宋体" w:eastAsia="宋体" w:cs="宋体"/>
          <w:b/>
          <w:bCs/>
          <w:color w:val="auto"/>
          <w:sz w:val="24"/>
          <w:szCs w:val="24"/>
          <w:highlight w:val="white"/>
          <w:lang w:val="en-US" w:eastAsia="zh-CN"/>
        </w:rPr>
        <w:t xml:space="preserve">材料未提供或提供不全或提供材料无法认定的，则此项不得分。</w:t>
      </w:r>
      <w:r>
        <w:rPr>
          <w:highlight w:val="white"/>
        </w:rP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lang w:val="en-US" w:eastAsia="zh-CN"/>
        </w:rPr>
        <w:t xml:space="preserve">（四）</w:t>
      </w:r>
      <w:r>
        <w:rPr>
          <w:rFonts w:hint="eastAsia" w:ascii="宋体" w:hAnsi="宋体" w:eastAsia="宋体" w:cs="宋体"/>
          <w:b/>
          <w:bCs/>
          <w:color w:val="auto"/>
          <w:sz w:val="24"/>
          <w:highlight w:val="white"/>
        </w:rPr>
        <w:t xml:space="preserve">综合实力</w:t>
      </w:r>
      <w:r>
        <w:rPr>
          <w:rFonts w:hint="eastAsia" w:ascii="宋体" w:hAnsi="宋体" w:cs="宋体"/>
          <w:b/>
          <w:bCs/>
          <w:color w:val="auto"/>
          <w:sz w:val="24"/>
          <w:highlight w:val="white"/>
          <w:lang w:val="en-US" w:eastAsia="zh-CN"/>
        </w:rPr>
        <w:t xml:space="preserve">比较</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12</w:t>
      </w:r>
      <w:r>
        <w:rPr>
          <w:rFonts w:hint="eastAsia" w:ascii="宋体" w:hAnsi="宋体" w:eastAsia="宋体" w:cs="宋体"/>
          <w:b/>
          <w:bCs/>
          <w:color w:val="auto"/>
          <w:sz w:val="24"/>
          <w:highlight w:val="white"/>
        </w:rPr>
        <w:t xml:space="preserve">分）</w:t>
      </w:r>
      <w:r>
        <w:rPr>
          <w:highlight w:val="white"/>
        </w:rPr>
      </w:r>
    </w:p>
    <w:p>
      <w:pPr>
        <w:ind w:left="0" w:firstLine="48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1、</w:t>
      </w:r>
      <w:r>
        <w:rPr>
          <w:rFonts w:hint="eastAsia" w:ascii="宋体" w:hAnsi="宋体" w:eastAsia="宋体" w:cs="宋体"/>
          <w:color w:val="auto"/>
          <w:sz w:val="24"/>
          <w:highlight w:val="white"/>
          <w:lang w:eastAsia="zh-CN"/>
        </w:rPr>
        <w:t xml:space="preserve">响应单位自20</w:t>
      </w:r>
      <w:r>
        <w:rPr>
          <w:rFonts w:hint="eastAsia" w:ascii="宋体" w:hAnsi="宋体" w:eastAsia="宋体" w:cs="宋体"/>
          <w:color w:val="auto"/>
          <w:sz w:val="24"/>
          <w:highlight w:val="white"/>
          <w:lang w:val="en-US" w:eastAsia="zh-CN"/>
        </w:rPr>
        <w:t xml:space="preserve">22</w:t>
      </w:r>
      <w:r>
        <w:rPr>
          <w:rFonts w:hint="eastAsia" w:ascii="宋体" w:hAnsi="宋体" w:eastAsia="宋体" w:cs="宋体"/>
          <w:color w:val="auto"/>
          <w:sz w:val="24"/>
          <w:highlight w:val="white"/>
          <w:lang w:eastAsia="zh-CN"/>
        </w:rPr>
        <w:t xml:space="preserve">年1月1日以来承担</w:t>
      </w:r>
      <w:r>
        <w:rPr>
          <w:rFonts w:hint="eastAsia" w:ascii="宋体" w:hAnsi="宋体" w:eastAsia="宋体" w:cs="宋体"/>
          <w:color w:val="auto"/>
          <w:sz w:val="24"/>
          <w:highlight w:val="white"/>
          <w:lang w:val="en-US" w:eastAsia="zh-CN"/>
        </w:rPr>
        <w:t xml:space="preserve">过</w:t>
      </w:r>
      <w:r>
        <w:rPr>
          <w:rFonts w:hint="eastAsia" w:ascii="宋体" w:hAnsi="宋体" w:eastAsia="宋体" w:cs="宋体"/>
          <w:color w:val="auto"/>
          <w:sz w:val="24"/>
          <w:highlight w:val="white"/>
          <w:lang w:eastAsia="zh-CN"/>
        </w:rPr>
        <w:t xml:space="preserve">的类似</w:t>
      </w:r>
      <w:r>
        <w:rPr>
          <w:rFonts w:hint="eastAsia" w:ascii="宋体" w:hAnsi="宋体" w:eastAsia="宋体" w:cs="宋体"/>
          <w:color w:val="auto"/>
          <w:sz w:val="24"/>
          <w:highlight w:val="white"/>
          <w:lang w:val="en-US" w:eastAsia="zh-CN"/>
        </w:rPr>
        <w:t xml:space="preserve">业绩</w:t>
      </w:r>
      <w:r>
        <w:rPr>
          <w:rFonts w:hint="eastAsia" w:ascii="宋体" w:hAnsi="宋体" w:eastAsia="宋体" w:cs="宋体"/>
          <w:color w:val="auto"/>
          <w:sz w:val="24"/>
          <w:highlight w:val="white"/>
          <w:lang w:eastAsia="zh-CN"/>
        </w:rPr>
        <w:t xml:space="preserve">，每提供一个得</w:t>
      </w:r>
      <w:r>
        <w:rPr>
          <w:rFonts w:hint="eastAsia" w:ascii="宋体" w:hAnsi="宋体" w:cs="宋体"/>
          <w:color w:val="auto"/>
          <w:sz w:val="24"/>
          <w:highlight w:val="white"/>
          <w:lang w:val="en-US" w:eastAsia="zh-CN"/>
        </w:rPr>
        <w:t xml:space="preserve">3</w:t>
      </w:r>
      <w:r>
        <w:rPr>
          <w:rFonts w:hint="eastAsia" w:ascii="宋体" w:hAnsi="宋体" w:eastAsia="宋体" w:cs="宋体"/>
          <w:color w:val="auto"/>
          <w:sz w:val="24"/>
          <w:highlight w:val="white"/>
          <w:lang w:eastAsia="zh-CN"/>
        </w:rPr>
        <w:t xml:space="preserve">分，最高得</w:t>
      </w:r>
      <w:r>
        <w:rPr>
          <w:rFonts w:hint="eastAsia" w:ascii="宋体" w:hAnsi="宋体" w:cs="宋体"/>
          <w:color w:val="auto"/>
          <w:sz w:val="24"/>
          <w:highlight w:val="white"/>
          <w:lang w:val="en-US" w:eastAsia="zh-CN"/>
        </w:rPr>
        <w:t xml:space="preserve">12</w:t>
      </w:r>
      <w:r>
        <w:rPr>
          <w:rFonts w:hint="eastAsia" w:ascii="宋体" w:hAnsi="宋体" w:eastAsia="宋体" w:cs="宋体"/>
          <w:color w:val="auto"/>
          <w:sz w:val="24"/>
          <w:highlight w:val="white"/>
          <w:lang w:eastAsia="zh-CN"/>
        </w:rPr>
        <w:t xml:space="preserve">分。</w:t>
      </w:r>
      <w:r>
        <w:rPr>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val="en-US" w:eastAsia="zh-CN"/>
        </w:rPr>
        <w:t xml:space="preserve">注：①时间以合同签订日期为准；②响应文件中提供合同复印件及对应合同的任意金额发票</w:t>
      </w:r>
      <w:r>
        <w:rPr>
          <w:rFonts w:hint="eastAsia" w:ascii="宋体" w:hAnsi="宋体" w:cs="宋体"/>
          <w:b/>
          <w:bCs/>
          <w:color w:val="auto"/>
          <w:sz w:val="24"/>
          <w:szCs w:val="24"/>
          <w:highlight w:val="white"/>
          <w:lang w:val="en-US" w:eastAsia="zh-CN"/>
        </w:rPr>
        <w:t xml:space="preserve">复印件</w:t>
      </w:r>
      <w:r>
        <w:rPr>
          <w:rFonts w:hint="eastAsia" w:ascii="宋体" w:hAnsi="宋体" w:eastAsia="宋体" w:cs="宋体"/>
          <w:b/>
          <w:bCs/>
          <w:color w:val="auto"/>
          <w:sz w:val="24"/>
          <w:szCs w:val="24"/>
          <w:highlight w:val="white"/>
          <w:lang w:val="en-US" w:eastAsia="zh-CN"/>
        </w:rPr>
        <w:t xml:space="preserve">。材料未提供或提供不全或提供材料无法认定的，则此项不得分。</w:t>
      </w:r>
      <w:r>
        <w:rPr>
          <w:highlight w:val="white"/>
        </w:rPr>
      </w:r>
    </w:p>
    <w:p>
      <w:pPr>
        <w:ind w:left="0" w:firstLine="482"/>
        <w:keepLines w:val="0"/>
        <w:keepNext w:val="0"/>
        <w:pageBreakBefore w:val="0"/>
        <w:spacing w:line="360" w:lineRule="auto"/>
        <w:widowControl w:val="off"/>
        <w:rPr>
          <w:rStyle w:val="1045"/>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p>
    <w:p>
      <w:pPr>
        <w:ind w:left="0" w:firstLine="482"/>
        <w:keepLines w:val="0"/>
        <w:keepNext w:val="0"/>
        <w:pageBreakBefore w:val="0"/>
        <w:spacing w:line="360" w:lineRule="auto"/>
        <w:widowControl w:val="off"/>
        <w:rPr>
          <w:rStyle w:val="1045"/>
          <w:rFonts w:hint="eastAsia" w:ascii="宋体" w:hAnsi="宋体" w:eastAsia="宋体" w:cs="宋体"/>
          <w:b/>
          <w:bCs/>
          <w:color w:val="auto"/>
          <w:sz w:val="24"/>
          <w:szCs w:val="24"/>
          <w:highlight w:val="white"/>
        </w:rPr>
      </w:pPr>
      <w:r>
        <w:rPr>
          <w:rStyle w:val="1045"/>
          <w:rFonts w:hint="eastAsia" w:ascii="宋体" w:hAnsi="宋体" w:eastAsia="宋体" w:cs="宋体"/>
          <w:b/>
          <w:bCs/>
          <w:color w:val="auto"/>
          <w:sz w:val="24"/>
          <w:szCs w:val="24"/>
          <w:highlight w:val="white"/>
        </w:rPr>
        <w:t xml:space="preserve">注：针对评分标准中评分的每一条，</w:t>
      </w:r>
      <w:r>
        <w:rPr>
          <w:rStyle w:val="1045"/>
          <w:rFonts w:hint="eastAsia" w:ascii="宋体" w:hAnsi="宋体" w:eastAsia="宋体" w:cs="宋体"/>
          <w:b/>
          <w:bCs/>
          <w:color w:val="auto"/>
          <w:sz w:val="24"/>
          <w:szCs w:val="24"/>
          <w:highlight w:val="white"/>
          <w:lang w:val="en-US" w:eastAsia="zh-CN"/>
        </w:rPr>
        <w:t xml:space="preserve">响应</w:t>
      </w:r>
      <w:r>
        <w:rPr>
          <w:rStyle w:val="1045"/>
          <w:rFonts w:hint="eastAsia" w:ascii="宋体" w:hAnsi="宋体" w:eastAsia="宋体" w:cs="宋体"/>
          <w:b/>
          <w:bCs/>
          <w:color w:val="auto"/>
          <w:sz w:val="24"/>
          <w:szCs w:val="24"/>
          <w:highlight w:val="white"/>
        </w:rPr>
        <w:t xml:space="preserve">单位在</w:t>
      </w:r>
      <w:r>
        <w:rPr>
          <w:rStyle w:val="1045"/>
          <w:rFonts w:hint="eastAsia" w:ascii="宋体" w:hAnsi="宋体" w:eastAsia="宋体" w:cs="宋体"/>
          <w:b/>
          <w:bCs/>
          <w:color w:val="auto"/>
          <w:sz w:val="24"/>
          <w:szCs w:val="24"/>
          <w:highlight w:val="white"/>
          <w:lang w:eastAsia="zh-CN"/>
        </w:rPr>
        <w:t xml:space="preserve">响应文件</w:t>
      </w:r>
      <w:r>
        <w:rPr>
          <w:rStyle w:val="1045"/>
          <w:rFonts w:hint="eastAsia" w:ascii="宋体" w:hAnsi="宋体" w:eastAsia="宋体" w:cs="宋体"/>
          <w:b/>
          <w:bCs/>
          <w:color w:val="auto"/>
          <w:sz w:val="24"/>
          <w:szCs w:val="24"/>
          <w:highlight w:val="white"/>
        </w:rPr>
        <w:t xml:space="preserve">中均应提供清晰明了的相关资料并做出相应说明供评委评判，不提供相关资料的视为不具备该项得分的条件。</w:t>
      </w:r>
      <w:r>
        <w:rPr>
          <w:highlight w:val="white"/>
        </w:rPr>
      </w:r>
    </w:p>
    <w:p>
      <w:pPr>
        <w:ind w:left="0" w:firstLine="482"/>
        <w:jc w:val="right"/>
        <w:keepLines w:val="0"/>
        <w:keepNext w:val="0"/>
        <w:pageBreakBefore w:val="0"/>
        <w:spacing w:line="360" w:lineRule="auto"/>
        <w:widowControl w:val="off"/>
        <w:rPr>
          <w:rFonts w:hint="eastAsia" w:ascii="宋体" w:hAnsi="宋体" w:eastAsia="宋体" w:cs="宋体"/>
          <w:color w:val="auto"/>
          <w:sz w:val="24"/>
          <w:szCs w:val="24"/>
          <w:highlight w:val="white"/>
        </w:rPr>
      </w:pPr>
      <w:r>
        <w:rPr>
          <w:rStyle w:val="1045"/>
          <w:rFonts w:hint="eastAsia" w:ascii="宋体" w:hAnsi="宋体" w:eastAsia="宋体" w:cs="宋体"/>
          <w:b/>
          <w:bCs/>
          <w:color w:val="auto"/>
          <w:sz w:val="24"/>
          <w:szCs w:val="24"/>
          <w:highlight w:val="white"/>
        </w:rPr>
        <w:t xml:space="preserve">（全文完）</w:t>
      </w:r>
      <w:r>
        <w:rPr>
          <w:highlight w:val="white"/>
        </w:rPr>
      </w:r>
    </w:p>
    <w:sectPr>
      <w:footerReference w:type="default" r:id="rId18"/>
      <w:footerReference w:type="first" r:id="rId19"/>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mbria">
    <w:panose1 w:val="02040503050406030204"/>
  </w:font>
  <w:font w:name="Courier New">
    <w:panose1 w:val="02070309020205020404"/>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21"/>
      </w:rPr>
      <w:framePr w:wrap="around" w:vAnchor="text" w:hAnchor="margin" w:xAlign="center" w:y="1"/>
    </w:pPr>
    <w:r>
      <w:rPr>
        <w:rStyle w:val="1021"/>
      </w:rPr>
      <w:fldChar w:fldCharType="begin"/>
    </w:r>
    <w:r>
      <w:rPr>
        <w:rStyle w:val="1021"/>
      </w:rPr>
      <w:instrText xml:space="preserve"> PAGE </w:instrText>
    </w:r>
    <w:r>
      <w:rPr>
        <w:rStyle w:val="1021"/>
      </w:rPr>
      <w:fldChar w:fldCharType="end"/>
    </w:r>
    <w:r/>
  </w:p>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0"/>
      <w:jc w:val="center"/>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0"/>
      <w:jc w:val="center"/>
      <w:rPr>
        <w:rFonts w:ascii="Times New Roman" w:hAnsi="Times New Roman"/>
        <w:sz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2384425</wp:posOffset>
              </wp:positionH>
              <wp:positionV relativeFrom="paragraph">
                <wp:posOffset>-126365</wp:posOffset>
              </wp:positionV>
              <wp:extent cx="1494155" cy="21844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494155" cy="218440"/>
                      </a:xfrm>
                      <a:prstGeom prst="rect">
                        <a:avLst/>
                      </a:prstGeom>
                      <a:noFill/>
                      <a:ln w="6350">
                        <a:noFill/>
                      </a:ln>
                    </wps:spPr>
                    <wps:txbx>
                      <w:txbxContent>
                        <w:p>
                          <w:pPr>
                            <w:pStyle w:val="1013"/>
                            <w:ind w:firstLine="0"/>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53</w:t>
                          </w:r>
                          <w:r>
                            <w:rPr>
                              <w:sz w:val="21"/>
                              <w:szCs w:val="21"/>
                            </w:rPr>
                            <w:fldChar w:fldCharType="end"/>
                          </w:r>
                          <w:r>
                            <w:rPr>
                              <w:sz w:val="21"/>
                              <w:szCs w:val="21"/>
                            </w:rPr>
                            <w:t xml:space="preserve"> 页 共 </w:t>
                          </w:r>
                          <w:r>
                            <w:rPr>
                              <w:rFonts w:hint="eastAsia"/>
                              <w:sz w:val="21"/>
                              <w:szCs w:val="21"/>
                              <w:lang w:val="en-US" w:eastAsia="zh-CN"/>
                            </w:rPr>
                            <w:t xml:space="preserve">58</w:t>
                          </w:r>
                          <w:r>
                            <w:rPr>
                              <w:sz w:val="21"/>
                              <w:szCs w:val="21"/>
                            </w:rP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argin-left:187.8pt;mso-position-horizontal:absolute;mso-position-vertical-relative:text;margin-top:-9.9pt;mso-position-vertical:absolute;width:117.6pt;height:17.2pt;mso-wrap-distance-left:9.0pt;mso-wrap-distance-top:0.0pt;mso-wrap-distance-right:9.0pt;mso-wrap-distance-bottom:0.0pt;visibility:visible;" filled="f" stroked="f" strokeweight="0.50pt">
              <v:textbox inset="0,0,0,0">
                <w:txbxContent>
                  <w:p>
                    <w:pPr>
                      <w:pStyle w:val="1013"/>
                      <w:ind w:firstLine="0"/>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53</w:t>
                    </w:r>
                    <w:r>
                      <w:rPr>
                        <w:sz w:val="21"/>
                        <w:szCs w:val="21"/>
                      </w:rPr>
                      <w:fldChar w:fldCharType="end"/>
                    </w:r>
                    <w:r>
                      <w:rPr>
                        <w:sz w:val="21"/>
                        <w:szCs w:val="21"/>
                      </w:rPr>
                      <w:t xml:space="preserve"> 页 共 </w:t>
                    </w:r>
                    <w:r>
                      <w:rPr>
                        <w:rFonts w:hint="eastAsia"/>
                        <w:sz w:val="21"/>
                        <w:szCs w:val="21"/>
                        <w:lang w:val="en-US" w:eastAsia="zh-CN"/>
                      </w:rPr>
                      <w:t xml:space="preserve">58</w:t>
                    </w:r>
                    <w:r>
                      <w:rPr>
                        <w:sz w:val="21"/>
                        <w:szCs w:val="21"/>
                      </w:rP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3"/>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3"/>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lang w:eastAsia="zh-CN"/>
      </w:rPr>
      <w:t xml:space="preserve">JSZC-320507-SHYS-C2025-0017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0"/>
      <w:jc w:val="left"/>
      <w:rPr>
        <w:rFonts w:hint="eastAsia"/>
      </w:rPr>
      <w:pBdr>
        <w:bottom w:val="single" w:color="000000" w:sz="4" w:space="0"/>
      </w:pBd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jc w:val="center"/>
      <w:tabs>
        <w:tab w:val="center" w:pos="4153" w:leader="none"/>
        <w:tab w:val="right" w:pos="8640" w:leader="none"/>
      </w:tabs>
      <w:rPr>
        <w:rFonts w:hint="eastAsia" w:ascii="宋体" w:hAnsi="宋体" w:eastAsia="宋体"/>
        <w:sz w:val="18"/>
        <w:highlight w:val="none"/>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highlight w:val="none"/>
        <w:lang w:val="en-US" w:eastAsia="zh-CN"/>
      </w:rPr>
      <w:t xml:space="preserve">  </w:t>
    </w:r>
    <w:r>
      <w:rPr>
        <w:rFonts w:hint="eastAsia" w:ascii="宋体" w:hAnsi="宋体"/>
        <w:sz w:val="18"/>
        <w:highlight w:val="none"/>
      </w:rPr>
      <w:t xml:space="preserve">项目编号：</w:t>
    </w:r>
    <w:r>
      <w:rPr>
        <w:rFonts w:hint="eastAsia" w:ascii="宋体" w:hAnsi="宋体"/>
        <w:sz w:val="18"/>
        <w:highlight w:val="none"/>
        <w:lang w:eastAsia="zh-CN"/>
      </w:rPr>
      <w:t xml:space="preserve">JSZC-320507-SHYS-C2025-0017</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left="0" w:firstLine="0"/>
      <w:spacing w:before="0"/>
      <w:shd w:val="clear" w:color="auto"/>
      <w:tabs>
        <w:tab w:val="clear" w:pos="7143" w:leader="none"/>
        <w:tab w:val="clear" w:pos="14287" w:leader="none"/>
      </w:tabs>
      <w:rPr>
        <w:rFonts w:hint="eastAsia"/>
        <w:highlight w:val="none"/>
      </w:rPr>
    </w:pPr>
    <w:r>
      <w:rPr>
        <w:rFonts w:hint="eastAsia" w:ascii="宋体" w:hAnsi="宋体"/>
        <w:sz w:val="18"/>
      </w:rPr>
      <w:t xml:space="preserve">苏州合亿盛工程咨询有限公司 </w:t>
    </w:r>
    <w:r>
      <w:rPr>
        <w:rFonts w:ascii="宋体" w:hAnsi="宋体"/>
        <w:sz w:val="18"/>
      </w:rPr>
      <w:t xml:space="preserve">         </w:t>
    </w:r>
    <w:r>
      <w:rPr>
        <w:rFonts w:ascii="宋体" w:hAnsi="宋体"/>
        <w:sz w:val="18"/>
        <w:highlight w:val="none"/>
      </w:rPr>
      <w:t xml:space="preserve"> </w:t>
    </w:r>
    <w:r>
      <w:rPr>
        <w:rFonts w:hint="eastAsia" w:ascii="宋体" w:hAnsi="宋体" w:eastAsia="宋体"/>
        <w:sz w:val="18"/>
        <w:highlight w:val="none"/>
        <w:lang w:val="en-US" w:eastAsia="zh-CN"/>
      </w:rPr>
      <w:t xml:space="preserve">         </w:t>
    </w:r>
    <w:r>
      <w:rPr>
        <w:rFonts w:ascii="宋体" w:hAnsi="宋体"/>
        <w:sz w:val="18"/>
        <w:highlight w:val="none"/>
      </w:rPr>
      <w:t xml:space="preserve">      </w:t>
    </w:r>
    <w:r>
      <w:rPr>
        <w:rFonts w:hint="eastAsia" w:ascii="宋体" w:hAnsi="宋体"/>
        <w:sz w:val="18"/>
        <w:highlight w:val="none"/>
        <w:lang w:val="en-US" w:eastAsia="zh-CN"/>
      </w:rPr>
      <w:t xml:space="preserve">                    </w:t>
    </w:r>
    <w:r>
      <w:rPr>
        <w:rFonts w:hint="eastAsia" w:ascii="宋体" w:hAnsi="宋体"/>
        <w:sz w:val="18"/>
        <w:highlight w:val="none"/>
      </w:rPr>
      <w:t xml:space="preserve">项目编号：</w:t>
    </w:r>
    <w:r>
      <w:rPr>
        <w:rFonts w:hint="eastAsia" w:ascii="宋体" w:hAnsi="宋体"/>
        <w:sz w:val="18"/>
        <w:highlight w:val="none"/>
        <w:lang w:eastAsia="zh-CN"/>
      </w:rPr>
      <w:t xml:space="preserve">JSZC-320507-SHYS-C2025-0017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link w:val="1032"/>
    <w:uiPriority w:val="0"/>
    <w:qFormat/>
    <w:pPr>
      <w:ind w:left="1024"/>
      <w:jc w:val="both"/>
    </w:pPr>
    <w:rPr>
      <w:rFonts w:hint="default" w:ascii="Calibri" w:hAnsi="Calibri" w:eastAsia="宋体" w:cs="Times New Roman"/>
      <w:lang w:val="en-US" w:eastAsia="zh-CN" w:bidi="ar-SA"/>
    </w:rPr>
  </w:style>
  <w:style w:type="paragraph" w:styleId="810">
    <w:name w:val="Heading 1"/>
    <w:basedOn w:val="809"/>
    <w:next w:val="809"/>
    <w:link w:val="853"/>
    <w:uiPriority w:val="9"/>
    <w:qFormat/>
    <w:pPr>
      <w:keepLines/>
      <w:keepNext/>
      <w:spacing w:before="480" w:after="200"/>
      <w:outlineLvl w:val="0"/>
    </w:pPr>
    <w:rPr>
      <w:rFonts w:ascii="Arial" w:hAnsi="Arial" w:eastAsia="Arial" w:cs="Arial"/>
      <w:sz w:val="40"/>
      <w:szCs w:val="40"/>
    </w:rPr>
  </w:style>
  <w:style w:type="paragraph" w:styleId="811">
    <w:name w:val="Heading 2"/>
    <w:basedOn w:val="809"/>
    <w:next w:val="809"/>
    <w:link w:val="854"/>
    <w:uiPriority w:val="9"/>
    <w:unhideWhenUsed/>
    <w:qFormat/>
    <w:pPr>
      <w:keepLines/>
      <w:keepNext/>
      <w:spacing w:before="360" w:after="200"/>
      <w:outlineLvl w:val="1"/>
    </w:pPr>
    <w:rPr>
      <w:rFonts w:ascii="Arial" w:hAnsi="Arial" w:eastAsia="Arial" w:cs="Arial"/>
      <w:sz w:val="34"/>
    </w:rPr>
  </w:style>
  <w:style w:type="paragraph" w:styleId="812">
    <w:name w:val="Heading 3"/>
    <w:basedOn w:val="809"/>
    <w:next w:val="809"/>
    <w:link w:val="855"/>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56"/>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7"/>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58"/>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60"/>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1"/>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toc 7"/>
    <w:basedOn w:val="809"/>
    <w:next w:val="809"/>
    <w:uiPriority w:val="39"/>
    <w:unhideWhenUsed/>
    <w:qFormat/>
    <w:pPr>
      <w:ind w:left="1701" w:right="0" w:firstLine="0"/>
      <w:spacing w:after="57"/>
    </w:pPr>
  </w:style>
  <w:style w:type="paragraph" w:styleId="822">
    <w:name w:val="Normal Indent"/>
    <w:basedOn w:val="809"/>
    <w:next w:val="809"/>
    <w:uiPriority w:val="0"/>
    <w:qFormat/>
    <w:pPr>
      <w:ind w:left="420" w:firstLine="4772"/>
    </w:pPr>
  </w:style>
  <w:style w:type="paragraph" w:styleId="823">
    <w:name w:val="Caption"/>
    <w:basedOn w:val="809"/>
    <w:next w:val="8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4">
    <w:name w:val="Body Text"/>
    <w:basedOn w:val="809"/>
    <w:uiPriority w:val="0"/>
    <w:semiHidden/>
    <w:qFormat/>
    <w:rPr>
      <w:rFonts w:ascii="仿宋" w:hAnsi="仿宋" w:eastAsia="仿宋" w:cs="仿宋"/>
      <w:sz w:val="22"/>
      <w:szCs w:val="22"/>
      <w:lang w:val="en-US" w:eastAsia="en-US" w:bidi="ar-SA"/>
    </w:rPr>
  </w:style>
  <w:style w:type="paragraph" w:styleId="825">
    <w:name w:val="Body Text Indent"/>
    <w:basedOn w:val="809"/>
    <w:next w:val="826"/>
    <w:uiPriority w:val="0"/>
    <w:qFormat/>
    <w:pPr>
      <w:ind w:left="420" w:firstLine="1188"/>
      <w:spacing w:before="0" w:after="0" w:line="360" w:lineRule="exact"/>
    </w:pPr>
  </w:style>
  <w:style w:type="paragraph" w:styleId="826">
    <w:name w:val="envelope return"/>
    <w:basedOn w:val="809"/>
    <w:uiPriority w:val="99"/>
    <w:unhideWhenUsed/>
    <w:qFormat/>
    <w:rPr>
      <w:rFonts w:ascii="Arial" w:hAnsi="Arial"/>
    </w:rPr>
  </w:style>
  <w:style w:type="paragraph" w:styleId="827">
    <w:name w:val="toc 5"/>
    <w:basedOn w:val="809"/>
    <w:next w:val="809"/>
    <w:uiPriority w:val="39"/>
    <w:unhideWhenUsed/>
    <w:qFormat/>
    <w:pPr>
      <w:ind w:left="1134" w:right="0" w:firstLine="0"/>
      <w:spacing w:after="57"/>
    </w:pPr>
  </w:style>
  <w:style w:type="paragraph" w:styleId="828">
    <w:name w:val="toc 3"/>
    <w:basedOn w:val="809"/>
    <w:next w:val="809"/>
    <w:uiPriority w:val="39"/>
    <w:unhideWhenUsed/>
    <w:qFormat/>
    <w:pPr>
      <w:ind w:left="567" w:right="0" w:firstLine="0"/>
      <w:spacing w:after="57"/>
    </w:pPr>
  </w:style>
  <w:style w:type="paragraph" w:styleId="829">
    <w:name w:val="toc 8"/>
    <w:basedOn w:val="809"/>
    <w:next w:val="809"/>
    <w:uiPriority w:val="39"/>
    <w:unhideWhenUsed/>
    <w:qFormat/>
    <w:pPr>
      <w:ind w:left="1984" w:right="0" w:firstLine="0"/>
      <w:spacing w:after="57"/>
    </w:pPr>
  </w:style>
  <w:style w:type="paragraph" w:styleId="830">
    <w:name w:val="Date"/>
    <w:basedOn w:val="810"/>
    <w:next w:val="809"/>
    <w:uiPriority w:val="0"/>
    <w:qFormat/>
    <w:pPr>
      <w:ind w:left="0" w:firstLine="2560"/>
      <w:spacing w:before="0" w:after="0" w:line="240" w:lineRule="auto"/>
    </w:pPr>
  </w:style>
  <w:style w:type="paragraph" w:styleId="831">
    <w:name w:val="endnote text"/>
    <w:basedOn w:val="809"/>
    <w:link w:val="999"/>
    <w:uiPriority w:val="99"/>
    <w:semiHidden/>
    <w:unhideWhenUsed/>
    <w:qFormat/>
    <w:pPr>
      <w:spacing w:after="0" w:line="240" w:lineRule="auto"/>
    </w:pPr>
    <w:rPr>
      <w:sz w:val="20"/>
    </w:rPr>
  </w:style>
  <w:style w:type="paragraph" w:styleId="832">
    <w:name w:val="Footer"/>
    <w:basedOn w:val="810"/>
    <w:next w:val="833"/>
    <w:link w:val="872"/>
    <w:uiPriority w:val="99"/>
    <w:unhideWhenUsed/>
    <w:qFormat/>
    <w:pPr>
      <w:spacing w:after="0" w:line="240" w:lineRule="auto"/>
      <w:tabs>
        <w:tab w:val="center" w:pos="7143" w:leader="none"/>
        <w:tab w:val="right" w:pos="14287" w:leader="none"/>
      </w:tabs>
    </w:pPr>
  </w:style>
  <w:style w:type="paragraph" w:styleId="833" w:customStyle="1">
    <w:name w:val="Char Char Char Char Char Char Char Char Char Char Char Char Char"/>
    <w:basedOn w:val="834"/>
    <w:next w:val="809"/>
    <w:uiPriority w:val="0"/>
    <w:qFormat/>
    <w:pPr>
      <w:ind w:left="0" w:firstLine="3584"/>
      <w:spacing w:before="0" w:after="160" w:line="240" w:lineRule="exact"/>
    </w:pPr>
  </w:style>
  <w:style w:type="paragraph" w:styleId="834" w:customStyle="1">
    <w:name w:val="标题 11"/>
    <w:basedOn w:val="809"/>
    <w:next w:val="809"/>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835">
    <w:name w:val="Header"/>
    <w:basedOn w:val="810"/>
    <w:next w:val="830"/>
    <w:link w:val="870"/>
    <w:uiPriority w:val="99"/>
    <w:unhideWhenUsed/>
    <w:qFormat/>
    <w:pPr>
      <w:spacing w:after="0" w:line="240" w:lineRule="auto"/>
      <w:tabs>
        <w:tab w:val="center" w:pos="7143" w:leader="none"/>
        <w:tab w:val="right" w:pos="14287" w:leader="none"/>
      </w:tabs>
    </w:pPr>
  </w:style>
  <w:style w:type="paragraph" w:styleId="836">
    <w:name w:val="toc 1"/>
    <w:basedOn w:val="809"/>
    <w:next w:val="809"/>
    <w:uiPriority w:val="39"/>
    <w:unhideWhenUsed/>
    <w:qFormat/>
    <w:pPr>
      <w:ind w:left="0" w:right="0" w:firstLine="0"/>
      <w:spacing w:after="57"/>
    </w:pPr>
  </w:style>
  <w:style w:type="paragraph" w:styleId="837">
    <w:name w:val="toc 4"/>
    <w:basedOn w:val="809"/>
    <w:next w:val="809"/>
    <w:uiPriority w:val="39"/>
    <w:unhideWhenUsed/>
    <w:qFormat/>
    <w:pPr>
      <w:ind w:left="850" w:right="0" w:firstLine="0"/>
      <w:spacing w:after="57"/>
    </w:pPr>
  </w:style>
  <w:style w:type="paragraph" w:styleId="838">
    <w:name w:val="Subtitle"/>
    <w:basedOn w:val="809"/>
    <w:next w:val="809"/>
    <w:link w:val="865"/>
    <w:uiPriority w:val="11"/>
    <w:qFormat/>
    <w:pPr>
      <w:spacing w:before="200" w:after="200"/>
    </w:pPr>
    <w:rPr>
      <w:sz w:val="24"/>
      <w:szCs w:val="24"/>
    </w:rPr>
  </w:style>
  <w:style w:type="paragraph" w:styleId="839">
    <w:name w:val="footnote text"/>
    <w:basedOn w:val="809"/>
    <w:link w:val="998"/>
    <w:uiPriority w:val="99"/>
    <w:semiHidden/>
    <w:unhideWhenUsed/>
    <w:qFormat/>
    <w:pPr>
      <w:spacing w:after="40" w:line="240" w:lineRule="auto"/>
    </w:pPr>
    <w:rPr>
      <w:sz w:val="18"/>
    </w:rPr>
  </w:style>
  <w:style w:type="paragraph" w:styleId="840">
    <w:name w:val="toc 6"/>
    <w:basedOn w:val="809"/>
    <w:next w:val="809"/>
    <w:uiPriority w:val="39"/>
    <w:unhideWhenUsed/>
    <w:qFormat/>
    <w:pPr>
      <w:ind w:left="1417" w:right="0" w:firstLine="0"/>
      <w:spacing w:after="57"/>
    </w:pPr>
  </w:style>
  <w:style w:type="paragraph" w:styleId="841">
    <w:name w:val="table of figures"/>
    <w:basedOn w:val="809"/>
    <w:next w:val="809"/>
    <w:uiPriority w:val="99"/>
    <w:unhideWhenUsed/>
    <w:qFormat/>
    <w:pPr>
      <w:spacing w:after="0" w:afterAutospacing="0"/>
    </w:pPr>
  </w:style>
  <w:style w:type="paragraph" w:styleId="842">
    <w:name w:val="toc 2"/>
    <w:basedOn w:val="809"/>
    <w:next w:val="809"/>
    <w:uiPriority w:val="39"/>
    <w:unhideWhenUsed/>
    <w:qFormat/>
    <w:pPr>
      <w:ind w:left="283" w:right="0" w:firstLine="0"/>
      <w:spacing w:after="57"/>
    </w:pPr>
  </w:style>
  <w:style w:type="paragraph" w:styleId="843">
    <w:name w:val="toc 9"/>
    <w:basedOn w:val="809"/>
    <w:next w:val="809"/>
    <w:uiPriority w:val="39"/>
    <w:unhideWhenUsed/>
    <w:qFormat/>
    <w:pPr>
      <w:ind w:left="2268" w:right="0" w:firstLine="0"/>
      <w:spacing w:after="57"/>
    </w:pPr>
  </w:style>
  <w:style w:type="paragraph" w:styleId="844">
    <w:name w:val="Title"/>
    <w:basedOn w:val="809"/>
    <w:next w:val="809"/>
    <w:link w:val="864"/>
    <w:uiPriority w:val="10"/>
    <w:qFormat/>
    <w:pPr>
      <w:contextualSpacing/>
      <w:spacing w:before="300" w:after="200"/>
    </w:pPr>
    <w:rPr>
      <w:sz w:val="48"/>
      <w:szCs w:val="48"/>
    </w:rPr>
  </w:style>
  <w:style w:type="table" w:styleId="8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Strong"/>
    <w:basedOn w:val="819"/>
    <w:uiPriority w:val="22"/>
    <w:qFormat/>
    <w:rPr>
      <w:b/>
    </w:rPr>
  </w:style>
  <w:style w:type="character" w:styleId="847">
    <w:name w:val="endnote reference"/>
    <w:uiPriority w:val="99"/>
    <w:semiHidden/>
    <w:unhideWhenUsed/>
    <w:qFormat/>
    <w:rPr>
      <w:vertAlign w:val="superscript"/>
    </w:rPr>
  </w:style>
  <w:style w:type="character" w:styleId="848">
    <w:name w:val="Hyperlink"/>
    <w:uiPriority w:val="99"/>
    <w:unhideWhenUsed/>
    <w:qFormat/>
    <w:rPr>
      <w:color w:val="0000ff" w:themeColor="hyperlink"/>
      <w:u w:val="single"/>
      <w14:textFill>
        <w14:solidFill>
          <w14:schemeClr w14:val="hlink"/>
        </w14:solidFill>
      </w14:textFill>
    </w:rPr>
  </w:style>
  <w:style w:type="character" w:styleId="849">
    <w:name w:val="footnote reference"/>
    <w:uiPriority w:val="99"/>
    <w:unhideWhenUsed/>
    <w:qFormat/>
    <w:rPr>
      <w:vertAlign w:val="superscript"/>
    </w:rPr>
  </w:style>
  <w:style w:type="paragraph" w:styleId="850" w:customStyle="1">
    <w:name w:val="段"/>
    <w:next w:val="809"/>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851" w:customStyle="1">
    <w:name w:val="标题 31"/>
    <w:basedOn w:val="809"/>
    <w:next w:val="809"/>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852" w:customStyle="1">
    <w:name w:val="正文文本缩进1"/>
    <w:basedOn w:val="809"/>
    <w:next w:val="809"/>
    <w:uiPriority w:val="0"/>
    <w:qFormat/>
    <w:pPr>
      <w:ind w:left="420" w:firstLine="1188"/>
      <w:spacing w:before="0" w:after="0" w:line="360" w:lineRule="exact"/>
    </w:pPr>
  </w:style>
  <w:style w:type="character" w:styleId="853" w:customStyle="1">
    <w:name w:val="Heading 1 Char"/>
    <w:link w:val="810"/>
    <w:uiPriority w:val="9"/>
    <w:qFormat/>
    <w:rPr>
      <w:rFonts w:ascii="Arial" w:hAnsi="Arial" w:eastAsia="Arial" w:cs="Arial"/>
      <w:sz w:val="40"/>
      <w:szCs w:val="40"/>
    </w:rPr>
  </w:style>
  <w:style w:type="character" w:styleId="854" w:customStyle="1">
    <w:name w:val="Heading 2 Char"/>
    <w:link w:val="811"/>
    <w:uiPriority w:val="9"/>
    <w:qFormat/>
    <w:rPr>
      <w:rFonts w:ascii="Arial" w:hAnsi="Arial" w:eastAsia="Arial" w:cs="Arial"/>
      <w:sz w:val="34"/>
    </w:rPr>
  </w:style>
  <w:style w:type="character" w:styleId="855" w:customStyle="1">
    <w:name w:val="Heading 3 Char"/>
    <w:link w:val="812"/>
    <w:uiPriority w:val="9"/>
    <w:qFormat/>
    <w:rPr>
      <w:rFonts w:ascii="Arial" w:hAnsi="Arial" w:eastAsia="Arial" w:cs="Arial"/>
      <w:sz w:val="30"/>
      <w:szCs w:val="30"/>
    </w:rPr>
  </w:style>
  <w:style w:type="character" w:styleId="856" w:customStyle="1">
    <w:name w:val="Heading 4 Char"/>
    <w:link w:val="813"/>
    <w:uiPriority w:val="9"/>
    <w:qFormat/>
    <w:rPr>
      <w:rFonts w:ascii="Arial" w:hAnsi="Arial" w:eastAsia="Arial" w:cs="Arial"/>
      <w:b/>
      <w:bCs/>
      <w:sz w:val="26"/>
      <w:szCs w:val="26"/>
    </w:rPr>
  </w:style>
  <w:style w:type="character" w:styleId="857" w:customStyle="1">
    <w:name w:val="Heading 5 Char"/>
    <w:link w:val="814"/>
    <w:uiPriority w:val="9"/>
    <w:qFormat/>
    <w:rPr>
      <w:rFonts w:ascii="Arial" w:hAnsi="Arial" w:eastAsia="Arial" w:cs="Arial"/>
      <w:b/>
      <w:bCs/>
      <w:sz w:val="24"/>
      <w:szCs w:val="24"/>
    </w:rPr>
  </w:style>
  <w:style w:type="character" w:styleId="858" w:customStyle="1">
    <w:name w:val="Heading 6 Char"/>
    <w:link w:val="815"/>
    <w:uiPriority w:val="9"/>
    <w:qFormat/>
    <w:rPr>
      <w:rFonts w:ascii="Arial" w:hAnsi="Arial" w:eastAsia="Arial" w:cs="Arial"/>
      <w:b/>
      <w:bCs/>
      <w:sz w:val="22"/>
      <w:szCs w:val="22"/>
    </w:rPr>
  </w:style>
  <w:style w:type="character" w:styleId="859" w:customStyle="1">
    <w:name w:val="Heading 7 Char"/>
    <w:link w:val="816"/>
    <w:uiPriority w:val="9"/>
    <w:qFormat/>
    <w:rPr>
      <w:rFonts w:ascii="Arial" w:hAnsi="Arial" w:eastAsia="Arial" w:cs="Arial"/>
      <w:b/>
      <w:bCs/>
      <w:i/>
      <w:iCs/>
      <w:sz w:val="22"/>
      <w:szCs w:val="22"/>
    </w:rPr>
  </w:style>
  <w:style w:type="character" w:styleId="860" w:customStyle="1">
    <w:name w:val="Heading 8 Char"/>
    <w:link w:val="817"/>
    <w:uiPriority w:val="9"/>
    <w:qFormat/>
    <w:rPr>
      <w:rFonts w:ascii="Arial" w:hAnsi="Arial" w:eastAsia="Arial" w:cs="Arial"/>
      <w:i/>
      <w:iCs/>
      <w:sz w:val="22"/>
      <w:szCs w:val="22"/>
    </w:rPr>
  </w:style>
  <w:style w:type="character" w:styleId="861" w:customStyle="1">
    <w:name w:val="Heading 9 Char"/>
    <w:link w:val="818"/>
    <w:uiPriority w:val="9"/>
    <w:qFormat/>
    <w:rPr>
      <w:rFonts w:ascii="Arial" w:hAnsi="Arial" w:eastAsia="Arial" w:cs="Arial"/>
      <w:i/>
      <w:iCs/>
      <w:sz w:val="21"/>
      <w:szCs w:val="21"/>
    </w:rPr>
  </w:style>
  <w:style w:type="paragraph" w:styleId="862">
    <w:name w:val="List Paragraph"/>
    <w:basedOn w:val="809"/>
    <w:uiPriority w:val="34"/>
    <w:qFormat/>
    <w:pPr>
      <w:contextualSpacing/>
      <w:ind w:left="720"/>
    </w:p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link w:val="844"/>
    <w:uiPriority w:val="10"/>
    <w:qFormat/>
    <w:rPr>
      <w:sz w:val="48"/>
      <w:szCs w:val="48"/>
    </w:rPr>
  </w:style>
  <w:style w:type="character" w:styleId="865" w:customStyle="1">
    <w:name w:val="Subtitle Char"/>
    <w:link w:val="838"/>
    <w:uiPriority w:val="11"/>
    <w:qFormat/>
    <w:rPr>
      <w:sz w:val="24"/>
      <w:szCs w:val="24"/>
    </w:rPr>
  </w:style>
  <w:style w:type="paragraph" w:styleId="866">
    <w:name w:val="Quote"/>
    <w:basedOn w:val="809"/>
    <w:next w:val="809"/>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809"/>
    <w:next w:val="809"/>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link w:val="835"/>
    <w:uiPriority w:val="99"/>
    <w:qFormat/>
  </w:style>
  <w:style w:type="character" w:styleId="871" w:customStyle="1">
    <w:name w:val="Footer Char"/>
    <w:link w:val="832"/>
    <w:uiPriority w:val="99"/>
    <w:qFormat/>
  </w:style>
  <w:style w:type="character" w:styleId="872" w:customStyle="1">
    <w:name w:val="Caption Char"/>
    <w:link w:val="832"/>
    <w:uiPriority w:val="99"/>
    <w:qFormat/>
  </w:style>
  <w:style w:type="table" w:styleId="8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link w:val="839"/>
    <w:uiPriority w:val="99"/>
    <w:qFormat/>
    <w:rPr>
      <w:sz w:val="18"/>
    </w:rPr>
  </w:style>
  <w:style w:type="character" w:styleId="999" w:customStyle="1">
    <w:name w:val="Endnote Text Char"/>
    <w:link w:val="831"/>
    <w:uiPriority w:val="99"/>
    <w:qFormat/>
    <w:rPr>
      <w:sz w:val="20"/>
    </w:rPr>
  </w:style>
  <w:style w:type="paragraph" w:styleId="1000" w:customStyle="1">
    <w:name w:val="TOC Heading"/>
    <w:uiPriority w:val="39"/>
    <w:unhideWhenUsed/>
    <w:qFormat/>
    <w:rPr>
      <w:rFonts w:hint="default" w:ascii="Times New Roman" w:hAnsi="Times New Roman" w:eastAsia="宋体" w:cs="Times New Roman"/>
    </w:rPr>
  </w:style>
  <w:style w:type="paragraph" w:styleId="1001" w:customStyle="1">
    <w:name w:val="标题 21"/>
    <w:basedOn w:val="809"/>
    <w:next w:val="809"/>
    <w:uiPriority w:val="0"/>
    <w:qFormat/>
    <w:pPr>
      <w:keepNext/>
      <w:spacing w:before="240" w:after="60"/>
      <w:outlineLvl w:val="1"/>
    </w:pPr>
    <w:rPr>
      <w:rFonts w:ascii="Arial" w:hAnsi="Arial"/>
      <w:b/>
      <w:bCs/>
      <w:i/>
      <w:iCs/>
      <w:sz w:val="28"/>
      <w:szCs w:val="28"/>
    </w:rPr>
  </w:style>
  <w:style w:type="character" w:styleId="1002" w:customStyle="1">
    <w:name w:val="默认段落字体1"/>
    <w:link w:val="809"/>
    <w:uiPriority w:val="0"/>
    <w:semiHidden/>
    <w:qFormat/>
  </w:style>
  <w:style w:type="table" w:styleId="1003" w:customStyle="1">
    <w:name w:val="普通表格1"/>
    <w:uiPriority w:val="0"/>
    <w:semiHidden/>
    <w:qFormat/>
    <w:tblPr/>
  </w:style>
  <w:style w:type="paragraph" w:styleId="1004" w:customStyle="1">
    <w:name w:val="正文缩进1"/>
    <w:basedOn w:val="809"/>
    <w:next w:val="809"/>
    <w:uiPriority w:val="0"/>
    <w:qFormat/>
    <w:pPr>
      <w:ind w:left="420" w:firstLine="4772"/>
    </w:pPr>
  </w:style>
  <w:style w:type="paragraph" w:styleId="1005" w:customStyle="1">
    <w:name w:val="批注文字1"/>
    <w:basedOn w:val="809"/>
    <w:next w:val="809"/>
    <w:uiPriority w:val="0"/>
    <w:qFormat/>
    <w:pPr>
      <w:ind w:left="0" w:firstLine="3584"/>
      <w:spacing w:before="0" w:after="0" w:line="360" w:lineRule="auto"/>
    </w:pPr>
  </w:style>
  <w:style w:type="paragraph" w:styleId="1006" w:customStyle="1">
    <w:name w:val="正文文本1"/>
    <w:basedOn w:val="809"/>
    <w:next w:val="809"/>
    <w:uiPriority w:val="0"/>
    <w:qFormat/>
    <w:pPr>
      <w:ind w:left="0" w:firstLine="2560"/>
    </w:pPr>
  </w:style>
  <w:style w:type="paragraph" w:styleId="1007" w:customStyle="1">
    <w:name w:val="列表编号 31"/>
    <w:basedOn w:val="834"/>
    <w:next w:val="809"/>
    <w:uiPriority w:val="0"/>
    <w:qFormat/>
    <w:pPr>
      <w:numPr>
        <w:ilvl w:val="0"/>
        <w:numId w:val="1"/>
      </w:numPr>
    </w:pPr>
  </w:style>
  <w:style w:type="paragraph" w:styleId="1008" w:customStyle="1">
    <w:name w:val="纯文本11"/>
    <w:basedOn w:val="809"/>
    <w:uiPriority w:val="0"/>
    <w:qFormat/>
    <w:rPr>
      <w:rFonts w:hAnsi="Courier New"/>
      <w:sz w:val="21"/>
    </w:rPr>
  </w:style>
  <w:style w:type="paragraph" w:styleId="1009" w:customStyle="1">
    <w:name w:val="列表项目符号 51"/>
    <w:basedOn w:val="834"/>
    <w:next w:val="1010"/>
    <w:uiPriority w:val="0"/>
    <w:qFormat/>
    <w:pPr>
      <w:numPr>
        <w:ilvl w:val="0"/>
        <w:numId w:val="2"/>
      </w:numPr>
    </w:pPr>
  </w:style>
  <w:style w:type="paragraph" w:styleId="1010" w:customStyle="1">
    <w:name w:val="正文首行缩进1"/>
    <w:next w:val="1007"/>
    <w:uiPriority w:val="0"/>
    <w:qFormat/>
    <w:pPr>
      <w:ind w:left="420" w:firstLine="2724"/>
      <w:spacing w:after="120" w:line="360" w:lineRule="auto"/>
    </w:pPr>
    <w:rPr>
      <w:rFonts w:hint="default" w:ascii="Calibri" w:hAnsi="Calibri" w:eastAsia="宋体" w:cs="Times New Roman"/>
      <w:lang w:val="en-US" w:eastAsia="zh-CN" w:bidi="ar-SA"/>
    </w:rPr>
  </w:style>
  <w:style w:type="paragraph" w:styleId="1011" w:customStyle="1">
    <w:name w:val="日期1"/>
    <w:basedOn w:val="834"/>
    <w:next w:val="809"/>
    <w:uiPriority w:val="0"/>
    <w:qFormat/>
    <w:pPr>
      <w:ind w:left="0" w:firstLine="2560"/>
      <w:spacing w:before="0" w:after="0" w:line="240" w:lineRule="auto"/>
    </w:pPr>
  </w:style>
  <w:style w:type="paragraph" w:styleId="1012" w:customStyle="1">
    <w:name w:val="批注框文本1"/>
    <w:basedOn w:val="809"/>
    <w:uiPriority w:val="0"/>
    <w:unhideWhenUsed/>
    <w:qFormat/>
    <w:rPr>
      <w:sz w:val="18"/>
      <w:szCs w:val="18"/>
    </w:rPr>
  </w:style>
  <w:style w:type="paragraph" w:styleId="1013" w:customStyle="1">
    <w:name w:val="页脚1"/>
    <w:basedOn w:val="834"/>
    <w:next w:val="833"/>
    <w:uiPriority w:val="99"/>
    <w:qFormat/>
    <w:pPr>
      <w:ind w:left="0" w:firstLine="3584"/>
      <w:spacing w:before="0" w:after="0" w:line="240" w:lineRule="auto"/>
    </w:pPr>
  </w:style>
  <w:style w:type="paragraph" w:styleId="1014" w:customStyle="1">
    <w:name w:val="寄信人地址1"/>
    <w:basedOn w:val="809"/>
    <w:uiPriority w:val="99"/>
    <w:unhideWhenUsed/>
    <w:qFormat/>
    <w:rPr>
      <w:rFonts w:ascii="Arial" w:hAnsi="Arial"/>
    </w:rPr>
  </w:style>
  <w:style w:type="paragraph" w:styleId="1015" w:customStyle="1">
    <w:name w:val="页眉1"/>
    <w:basedOn w:val="834"/>
    <w:next w:val="1011"/>
    <w:uiPriority w:val="99"/>
    <w:qFormat/>
    <w:pPr>
      <w:ind w:left="0" w:firstLine="3584"/>
      <w:jc w:val="center"/>
      <w:spacing w:before="0" w:after="0" w:line="240" w:lineRule="auto"/>
      <w:pBdr>
        <w:bottom w:val="none" w:color="000000" w:sz="0" w:space="0"/>
      </w:pBdr>
    </w:pPr>
  </w:style>
  <w:style w:type="paragraph" w:styleId="1016" w:customStyle="1">
    <w:name w:val="目录 11"/>
    <w:basedOn w:val="834"/>
    <w:next w:val="809"/>
    <w:uiPriority w:val="39"/>
    <w:qFormat/>
    <w:pPr>
      <w:ind w:left="0" w:firstLine="4608"/>
      <w:spacing w:before="0" w:after="0" w:line="240" w:lineRule="auto"/>
    </w:pPr>
  </w:style>
  <w:style w:type="paragraph" w:styleId="1017" w:customStyle="1">
    <w:name w:val="目录 21"/>
    <w:basedOn w:val="809"/>
    <w:next w:val="809"/>
    <w:uiPriority w:val="0"/>
    <w:qFormat/>
    <w:pPr>
      <w:ind w:left="420"/>
    </w:pPr>
  </w:style>
  <w:style w:type="paragraph" w:styleId="1018" w:customStyle="1">
    <w:name w:val="普通(网站)1"/>
    <w:basedOn w:val="809"/>
    <w:uiPriority w:val="0"/>
    <w:qFormat/>
    <w:rPr>
      <w:sz w:val="24"/>
    </w:rPr>
  </w:style>
  <w:style w:type="paragraph" w:styleId="1019" w:customStyle="1">
    <w:name w:val="正文首行缩进 21"/>
    <w:basedOn w:val="852"/>
    <w:uiPriority w:val="0"/>
    <w:qFormat/>
    <w:pPr>
      <w:ind w:left="420" w:firstLine="420"/>
      <w:spacing w:after="120" w:line="240" w:lineRule="auto"/>
    </w:pPr>
    <w:rPr>
      <w:rFonts w:ascii="等线" w:cs="Times New Roman"/>
      <w:sz w:val="21"/>
      <w:szCs w:val="24"/>
    </w:rPr>
  </w:style>
  <w:style w:type="table" w:styleId="1020" w:customStyle="1">
    <w:name w:val="网格型1"/>
    <w:basedOn w:val="1003"/>
    <w:uiPriority w:val="59"/>
    <w:qFormat/>
    <w:tblPr/>
  </w:style>
  <w:style w:type="character" w:styleId="1021" w:customStyle="1">
    <w:name w:val="页码1"/>
    <w:link w:val="809"/>
    <w:uiPriority w:val="0"/>
    <w:qFormat/>
    <w:rPr>
      <w:sz w:val="20"/>
    </w:rPr>
  </w:style>
  <w:style w:type="character" w:styleId="1022" w:customStyle="1">
    <w:name w:val="已访问的超链接1"/>
    <w:link w:val="809"/>
    <w:uiPriority w:val="0"/>
    <w:qFormat/>
    <w:rPr>
      <w:color w:val="333333"/>
      <w:u w:val="none"/>
    </w:rPr>
  </w:style>
  <w:style w:type="character" w:styleId="1023" w:customStyle="1">
    <w:name w:val="强调1"/>
    <w:link w:val="809"/>
    <w:uiPriority w:val="0"/>
    <w:qFormat/>
  </w:style>
  <w:style w:type="character" w:styleId="1024" w:customStyle="1">
    <w:name w:val="超链接1"/>
    <w:link w:val="809"/>
    <w:uiPriority w:val="99"/>
    <w:qFormat/>
    <w:rPr>
      <w:color w:val="333333"/>
      <w:sz w:val="20"/>
      <w:u w:val="none"/>
    </w:rPr>
  </w:style>
  <w:style w:type="paragraph" w:styleId="1025" w:customStyle="1">
    <w:name w:val="Default"/>
    <w:next w:val="1009"/>
    <w:uiPriority w:val="0"/>
    <w:qFormat/>
    <w:pPr>
      <w:ind w:firstLine="5120"/>
      <w:widowControl w:val="off"/>
    </w:pPr>
    <w:rPr>
      <w:rFonts w:hint="default" w:ascii="Calibri" w:hAnsi="Calibri" w:eastAsia="宋体" w:cs="Times New Roman"/>
      <w:lang w:val="en-US" w:eastAsia="zh-CN" w:bidi="ar-SA"/>
    </w:rPr>
  </w:style>
  <w:style w:type="paragraph" w:styleId="1026" w:customStyle="1">
    <w:name w:val="首行缩进"/>
    <w:basedOn w:val="809"/>
    <w:uiPriority w:val="0"/>
    <w:qFormat/>
    <w:pPr>
      <w:ind w:firstLine="480"/>
    </w:pPr>
    <w:rPr>
      <w:lang w:val="zh-CN"/>
    </w:rPr>
  </w:style>
  <w:style w:type="paragraph" w:styleId="1027" w:customStyle="1">
    <w:name w:val="_Style 6"/>
    <w:basedOn w:val="834"/>
    <w:next w:val="809"/>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28" w:customStyle="1">
    <w:name w:val="纯文本3"/>
    <w:basedOn w:val="809"/>
    <w:uiPriority w:val="0"/>
    <w:qFormat/>
    <w:rPr>
      <w:rFonts w:ascii="宋体" w:hAnsi="Courier New"/>
    </w:rPr>
  </w:style>
  <w:style w:type="character" w:styleId="1029" w:customStyle="1">
    <w:name w:val="font11"/>
    <w:link w:val="809"/>
    <w:uiPriority w:val="0"/>
    <w:qFormat/>
    <w:rPr>
      <w:rFonts w:ascii="Times New Roman" w:hAnsi="Times New Roman" w:cs="Times New Roman"/>
      <w:color w:val="000000"/>
      <w:sz w:val="21"/>
      <w:szCs w:val="21"/>
      <w:u w:val="none"/>
    </w:rPr>
  </w:style>
  <w:style w:type="character" w:styleId="1030" w:customStyle="1">
    <w:name w:val="font21"/>
    <w:link w:val="809"/>
    <w:uiPriority w:val="0"/>
    <w:qFormat/>
    <w:rPr>
      <w:rFonts w:hint="eastAsia" w:ascii="宋体" w:hAnsi="宋体" w:eastAsia="宋体" w:cs="宋体"/>
      <w:color w:val="000000"/>
      <w:sz w:val="21"/>
      <w:szCs w:val="21"/>
      <w:u w:val="none"/>
    </w:rPr>
  </w:style>
  <w:style w:type="paragraph" w:styleId="1031" w:customStyle="1">
    <w:name w:val="纯文本1"/>
    <w:basedOn w:val="809"/>
    <w:uiPriority w:val="0"/>
    <w:qFormat/>
    <w:rPr>
      <w:rFonts w:hAnsi="Courier New" w:eastAsia="楷体_GB2312"/>
      <w:sz w:val="28"/>
    </w:rPr>
  </w:style>
  <w:style w:type="character" w:styleId="1032" w:customStyle="1">
    <w:name w:val="NormalCharacter1"/>
    <w:link w:val="809"/>
    <w:uiPriority w:val="0"/>
    <w:semiHidden/>
    <w:qFormat/>
  </w:style>
  <w:style w:type="paragraph" w:styleId="1033" w:customStyle="1">
    <w:name w:val="NormalIndent1"/>
    <w:basedOn w:val="809"/>
    <w:uiPriority w:val="0"/>
    <w:qFormat/>
    <w:pPr>
      <w:ind w:firstLine="420"/>
      <w:jc w:val="left"/>
    </w:pPr>
    <w:rPr>
      <w:sz w:val="24"/>
    </w:rPr>
  </w:style>
  <w:style w:type="paragraph" w:styleId="1034" w:customStyle="1">
    <w:name w:val="UserStyle_34"/>
    <w:basedOn w:val="809"/>
    <w:uiPriority w:val="0"/>
    <w:qFormat/>
    <w:pPr>
      <w:ind w:firstLine="200"/>
      <w:spacing w:before="50" w:after="50" w:line="360" w:lineRule="auto"/>
    </w:pPr>
    <w:rPr>
      <w:rFonts w:eastAsia="宋体"/>
      <w:sz w:val="24"/>
      <w:szCs w:val="24"/>
    </w:rPr>
  </w:style>
  <w:style w:type="paragraph" w:styleId="1035" w:customStyle="1">
    <w:name w:val="UserStyle_28"/>
    <w:basedOn w:val="809"/>
    <w:uiPriority w:val="0"/>
    <w:qFormat/>
    <w:pPr>
      <w:ind w:firstLine="480"/>
      <w:spacing w:line="360" w:lineRule="auto"/>
    </w:pPr>
    <w:rPr>
      <w:rFonts w:ascii="Calibri" w:hAnsi="Calibri" w:eastAsia="宋体"/>
      <w:sz w:val="24"/>
    </w:rPr>
  </w:style>
  <w:style w:type="paragraph" w:styleId="1036" w:customStyle="1">
    <w:name w:val="Acetate1"/>
    <w:basedOn w:val="809"/>
    <w:uiPriority w:val="0"/>
    <w:semiHidden/>
    <w:qFormat/>
    <w:rPr>
      <w:sz w:val="18"/>
      <w:szCs w:val="18"/>
    </w:rPr>
  </w:style>
  <w:style w:type="paragraph" w:styleId="1037" w:customStyle="1">
    <w:name w:val="PlainText1"/>
    <w:basedOn w:val="809"/>
    <w:uiPriority w:val="0"/>
    <w:qFormat/>
    <w:rPr>
      <w:rFonts w:ascii="宋体" w:hAnsi="Courier New"/>
    </w:rPr>
  </w:style>
  <w:style w:type="paragraph" w:styleId="1038" w:customStyle="1">
    <w:name w:val="纯文本4"/>
    <w:basedOn w:val="809"/>
    <w:uiPriority w:val="0"/>
    <w:qFormat/>
    <w:pPr>
      <w:widowControl w:val="off"/>
    </w:pPr>
    <w:rPr>
      <w:rFonts w:ascii="宋体" w:hAnsi="Courier New"/>
      <w:szCs w:val="20"/>
      <w:lang w:val="zh-CN" w:eastAsia="zh-CN"/>
    </w:rPr>
  </w:style>
  <w:style w:type="paragraph" w:styleId="1039" w:customStyle="1">
    <w:name w:val="Andy_正文"/>
    <w:basedOn w:val="809"/>
    <w:uiPriority w:val="0"/>
    <w:qFormat/>
    <w:pPr>
      <w:ind w:firstLine="480"/>
      <w:spacing w:line="360" w:lineRule="auto"/>
      <w:widowControl w:val="off"/>
    </w:pPr>
    <w:rPr>
      <w:rFonts w:ascii="Calibri" w:hAnsi="Calibri" w:eastAsia="宋体"/>
      <w:sz w:val="24"/>
    </w:rPr>
  </w:style>
  <w:style w:type="paragraph" w:styleId="1040" w:customStyle="1">
    <w:name w:val="WPSOffice手动目录 1"/>
    <w:uiPriority w:val="0"/>
    <w:qFormat/>
    <w:rPr>
      <w:rFonts w:hint="default" w:ascii="Times New Roman" w:hAnsi="Times New Roman" w:eastAsia="宋体" w:cs="Times New Roman"/>
      <w:lang w:val="en-US" w:eastAsia="zh-CN" w:bidi="ar-SA"/>
    </w:rPr>
  </w:style>
  <w:style w:type="paragraph" w:styleId="1041" w:customStyle="1">
    <w:name w:val="UserStyle_62"/>
    <w:basedOn w:val="809"/>
    <w:uiPriority w:val="0"/>
    <w:qFormat/>
    <w:rPr>
      <w:rFonts w:ascii="宋体" w:hAnsi="Courier New"/>
    </w:rPr>
  </w:style>
  <w:style w:type="paragraph" w:styleId="1042" w:customStyle="1">
    <w:name w:val="Plain Text1"/>
    <w:basedOn w:val="809"/>
    <w:uiPriority w:val="0"/>
    <w:qFormat/>
    <w:pPr>
      <w:widowControl w:val="off"/>
    </w:pPr>
    <w:rPr>
      <w:rFonts w:hint="eastAsia" w:ascii="宋体" w:hAnsi="Courier New"/>
      <w:sz w:val="28"/>
    </w:rPr>
  </w:style>
  <w:style w:type="paragraph" w:styleId="1043" w:customStyle="1">
    <w:name w:val="Table Text"/>
    <w:basedOn w:val="809"/>
    <w:uiPriority w:val="0"/>
    <w:semiHidden/>
    <w:qFormat/>
    <w:rPr>
      <w:rFonts w:ascii="仿宋" w:hAnsi="仿宋" w:eastAsia="仿宋" w:cs="仿宋"/>
      <w:sz w:val="22"/>
      <w:szCs w:val="22"/>
      <w:lang w:val="en-US" w:eastAsia="en-US" w:bidi="ar-SA"/>
    </w:rPr>
  </w:style>
  <w:style w:type="table" w:styleId="1044" w:customStyle="1">
    <w:name w:val="Table Normal"/>
    <w:uiPriority w:val="0"/>
    <w:semiHidden/>
    <w:unhideWhenUsed/>
    <w:qFormat/>
    <w:tblPr>
      <w:tblCellMar>
        <w:left w:w="0" w:type="dxa"/>
        <w:top w:w="0" w:type="dxa"/>
        <w:right w:w="0" w:type="dxa"/>
        <w:bottom w:w="0" w:type="dxa"/>
      </w:tblCellMar>
    </w:tblPr>
  </w:style>
  <w:style w:type="character" w:styleId="1045" w:customStyle="1">
    <w:name w:val="NormalCharacter"/>
    <w:uiPriority w:val="0"/>
    <w:semiHidden/>
    <w:qFormat/>
  </w:style>
  <w:style w:type="paragraph" w:styleId="1046" w:customStyle="1">
    <w:name w:val="NormalIndent"/>
    <w:basedOn w:val="809"/>
    <w:uiPriority w:val="0"/>
    <w:qFormat/>
    <w:pPr>
      <w:ind w:firstLine="420"/>
      <w:jc w:val="left"/>
    </w:pPr>
    <w:rPr>
      <w:sz w:val="24"/>
    </w:rPr>
  </w:style>
  <w:style w:type="paragraph" w:styleId="1047" w:customStyle="1">
    <w:name w:val="无样式"/>
    <w:uiPriority w:val="0"/>
    <w:qFormat/>
    <w:pPr>
      <w:jc w:val="both"/>
      <w:spacing w:before="100" w:beforeAutospacing="1" w:after="100" w:afterAutospacing="1" w:line="360" w:lineRule="auto"/>
    </w:pPr>
    <w:rPr>
      <w:rFonts w:ascii="Arial Unicode MS" w:hAnsi="Arial Unicode MS" w:eastAsia="宋体" w:cs="Times New Roman"/>
      <w:sz w:val="18"/>
      <w:szCs w:val="18"/>
      <w:lang w:val="en-US" w:eastAsia="zh-CN" w:bidi="ar-SA"/>
    </w:rPr>
  </w:style>
  <w:style w:type="character" w:styleId="1048" w:customStyle="1">
    <w:name w:val="font151"/>
    <w:basedOn w:val="819"/>
    <w:uiPriority w:val="0"/>
    <w:qFormat/>
    <w:rPr>
      <w:rFonts w:hint="eastAsia" w:ascii="宋体" w:hAnsi="宋体" w:eastAsia="宋体" w:cs="宋体"/>
      <w:color w:val="000000"/>
      <w:sz w:val="20"/>
      <w:szCs w:val="20"/>
      <w:u w:val="none"/>
    </w:rPr>
  </w:style>
  <w:style w:type="numbering" w:styleId="38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徐晓逸</cp:lastModifiedBy>
  <cp:revision>10</cp:revision>
  <dcterms:created xsi:type="dcterms:W3CDTF">2024-02-19T05:34:00Z</dcterms:created>
  <dcterms:modified xsi:type="dcterms:W3CDTF">2025-03-21T06:49:45Z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1AEAC1F3A9EF4D1A9D31614A429F4014_13</vt:lpwstr>
  </property>
  <property fmtid="{D5CDD505-2E9C-101B-9397-08002B2CF9AE}" pid="4" name="KSOTemplateDocerSaveRecord">
    <vt:lpwstr>eyJoZGlkIjoiMjY2Y2FkZTQ3YmFkMjVhOTY0Zjk0YWVmNzM1NzkzZTMiLCJ1c2VySWQiOiIxNTg5NTEwNDU4In0=</vt:lpwstr>
  </property>
</Properties>
</file>