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774"/>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774"/>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4"/>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86"/>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JSZC-320200-JZCG-G2024-0255</w:t>
      </w:r>
      <w:r>
        <w:rPr>
          <w:rFonts w:ascii="黑体" w:hAnsi="华文中宋" w:eastAsia="黑体"/>
          <w:bCs/>
          <w:color w:val="000000"/>
          <w:sz w:val="32"/>
          <w:szCs w:val="32"/>
        </w:rPr>
      </w:r>
      <w:r/>
    </w:p>
    <w:p>
      <w:pPr>
        <w:pStyle w:val="686"/>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无锡卫生高等职业技术学校数字化校园软硬件运维服务</w:t>
      </w:r>
      <w:r>
        <w:rPr>
          <w:rFonts w:hint="eastAsia" w:ascii="黑体" w:hAnsi="华文中宋" w:eastAsia="黑体"/>
          <w:bCs/>
          <w:color w:val="000000"/>
          <w:sz w:val="32"/>
          <w:szCs w:val="32"/>
        </w:rPr>
      </w:r>
      <w:r/>
    </w:p>
    <w:p>
      <w:pPr>
        <w:pStyle w:val="686"/>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无锡卫生高等职业技术学校</w:t>
      </w:r>
      <w:r>
        <w:rPr>
          <w:rFonts w:hint="eastAsia" w:ascii="黑体" w:hAnsi="华文中宋" w:eastAsia="黑体"/>
          <w:bCs/>
          <w:color w:val="000000"/>
          <w:sz w:val="32"/>
          <w:szCs w:val="32"/>
        </w:rPr>
      </w:r>
      <w:r/>
    </w:p>
    <w:p>
      <w:pPr>
        <w:pStyle w:val="686"/>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4"/>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774"/>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 </w:t>
      </w:r>
      <w:r>
        <w:rPr>
          <w:rFonts w:hint="eastAsia" w:ascii="黑体" w:hAnsi="华文中宋" w:eastAsia="黑体"/>
          <w:bCs/>
          <w:color w:val="000000"/>
          <w:sz w:val="32"/>
          <w:szCs w:val="32"/>
        </w:rPr>
        <w:t xml:space="preserve">十二</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774"/>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686"/>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68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686"/>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686"/>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无锡卫生高等职业技术学校</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无锡卫生高等职业技术学校数字化校园软硬件运维服务</w:t>
      </w:r>
      <w:r>
        <w:rPr>
          <w:rFonts w:hint="eastAsia" w:ascii="宋体" w:hAnsi="宋体"/>
          <w:color w:val="000000"/>
          <w:sz w:val="24"/>
          <w:szCs w:val="24"/>
        </w:rPr>
        <w:t xml:space="preserve">（</w:t>
      </w:r>
      <w:r>
        <w:rPr>
          <w:rFonts w:hint="eastAsia" w:ascii="宋体" w:hAnsi="宋体"/>
          <w:color w:val="000000"/>
          <w:sz w:val="24"/>
          <w:szCs w:val="24"/>
        </w:rPr>
        <w:t xml:space="preserve">JSZC-320200-JZCG-G2024-0255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8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86"/>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无锡卫生高等职业技术学校数字化校园软硬件运维服务</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获取招标文件，并于2025年</w:t>
      </w:r>
      <w:r>
        <w:rPr>
          <w:rFonts w:hint="eastAsia" w:ascii="宋体" w:hAnsi="宋体"/>
          <w:color w:val="000000"/>
          <w:sz w:val="24"/>
          <w:szCs w:val="24"/>
        </w:rPr>
        <w:t xml:space="preserve">1</w:t>
      </w:r>
      <w:r>
        <w:rPr>
          <w:rFonts w:hint="eastAsia" w:ascii="宋体" w:hAnsi="宋体"/>
          <w:color w:val="000000"/>
          <w:sz w:val="24"/>
          <w:szCs w:val="24"/>
        </w:rPr>
        <w:t xml:space="preserve">月3日0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689"/>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JSZC-320200-JZCG-G2024-0255</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无锡卫生高等职业技术学校数字化校园软硬件运维服务</w:t>
      </w:r>
      <w:r>
        <w:rPr>
          <w:rFonts w:ascii="宋体" w:hAnsi="宋体"/>
          <w:color w:val="000000"/>
          <w:sz w:val="24"/>
          <w:szCs w:val="24"/>
        </w:rPr>
      </w:r>
      <w:r/>
    </w:p>
    <w:p>
      <w:pPr>
        <w:pStyle w:val="686"/>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rPr>
        <w:t xml:space="preserve">63</w:t>
      </w:r>
      <w:r>
        <w:rPr>
          <w:rFonts w:hint="eastAsia" w:ascii="宋体" w:hAnsi="宋体"/>
          <w:color w:val="000000"/>
          <w:sz w:val="24"/>
          <w:szCs w:val="24"/>
        </w:rPr>
        <w:t xml:space="preserve">万元</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63</w:t>
      </w:r>
      <w:r>
        <w:rPr>
          <w:rFonts w:hint="eastAsia" w:ascii="宋体" w:hAnsi="宋体"/>
          <w:color w:val="000000"/>
          <w:sz w:val="24"/>
          <w:szCs w:val="24"/>
        </w:rPr>
        <w:t xml:space="preserve">万元</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86"/>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t xml:space="preserve"> </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686"/>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686"/>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686"/>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bookmarkStart w:id="27" w:name="OLE_LINK9"/>
      <w:r/>
      <w:bookmarkStart w:id="28" w:name="OLE_LINK10"/>
      <w:r>
        <w:rPr>
          <w:rFonts w:ascii="宋体" w:hAnsi="宋体"/>
          <w:color w:val="000000"/>
          <w:sz w:val="24"/>
          <w:szCs w:val="24"/>
        </w:rPr>
        <w:t xml:space="preserve">“江苏省政府采购（苏采云）平台”</w:t>
      </w:r>
      <w:bookmarkEnd w:id="27"/>
      <w:r/>
      <w:bookmarkEnd w:id="28"/>
      <w:r>
        <w:rPr>
          <w:rFonts w:hint="eastAsia" w:ascii="宋体" w:hAnsi="宋体"/>
          <w:bCs/>
          <w:color w:val="000000"/>
          <w:sz w:val="24"/>
          <w:szCs w:val="24"/>
        </w:rPr>
      </w:r>
      <w:r/>
    </w:p>
    <w:p>
      <w:pPr>
        <w:pStyle w:val="686"/>
        <w:ind w:firstLine="540"/>
        <w:spacing w:line="500" w:lineRule="exact"/>
        <w:rPr>
          <w:rStyle w:val="763"/>
          <w:color w:val="000000"/>
        </w:rPr>
      </w:pPr>
      <w:r>
        <w:rPr>
          <w:rFonts w:hint="eastAsia" w:ascii="宋体" w:hAnsi="宋体"/>
          <w:bCs/>
          <w:color w:val="000000"/>
          <w:sz w:val="24"/>
          <w:szCs w:val="24"/>
        </w:rPr>
        <w:t xml:space="preserve">3.方式：</w:t>
      </w:r>
      <w:bookmarkStart w:id="29" w:name="OLE_LINK11"/>
      <w:r/>
      <w:bookmarkStart w:id="30" w:name="OLE_LINK12"/>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bookmarkEnd w:id="29"/>
      <w:r/>
      <w:bookmarkEnd w:id="30"/>
      <w:r>
        <w:rPr>
          <w:rStyle w:val="763"/>
          <w:color w:val="000000"/>
        </w:rPr>
      </w:r>
      <w:r/>
    </w:p>
    <w:p>
      <w:pPr>
        <w:pStyle w:val="686"/>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1.时间：2025年</w:t>
      </w:r>
      <w:r>
        <w:rPr>
          <w:rFonts w:hint="eastAsia" w:ascii="宋体" w:hAnsi="宋体"/>
          <w:bCs/>
          <w:color w:val="000000"/>
          <w:sz w:val="24"/>
          <w:szCs w:val="24"/>
        </w:rPr>
        <w:t xml:space="preserve">1</w:t>
      </w:r>
      <w:r>
        <w:rPr>
          <w:rFonts w:hint="eastAsia" w:ascii="宋体" w:hAnsi="宋体"/>
          <w:bCs/>
          <w:color w:val="000000"/>
          <w:sz w:val="24"/>
          <w:szCs w:val="24"/>
        </w:rPr>
        <w:t xml:space="preserve">月3日09点30分（北京时间）</w:t>
      </w:r>
      <w:r/>
    </w:p>
    <w:p>
      <w:pPr>
        <w:pStyle w:val="686"/>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bookmarkStart w:id="31" w:name="OLE_LINK13"/>
      <w:r/>
      <w:bookmarkStart w:id="32" w:name="OLE_LINK14"/>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bookmarkEnd w:id="31"/>
      <w:r/>
      <w:bookmarkEnd w:id="32"/>
      <w:r>
        <w:rPr>
          <w:rFonts w:hint="eastAsia" w:ascii="宋体" w:hAnsi="宋体"/>
          <w:color w:val="000000"/>
          <w:sz w:val="24"/>
          <w:szCs w:val="24"/>
        </w:rPr>
        <w:t xml:space="preserve">。</w:t>
      </w:r>
      <w:r>
        <w:rPr>
          <w:rFonts w:hint="eastAsia" w:ascii="宋体" w:hAnsi="宋体"/>
          <w:bCs/>
          <w:color w:val="000000"/>
          <w:sz w:val="24"/>
          <w:szCs w:val="24"/>
          <w:u w:val="single"/>
        </w:rPr>
      </w:r>
      <w:r/>
    </w:p>
    <w:p>
      <w:pPr>
        <w:pStyle w:val="689"/>
        <w:ind w:firstLine="452"/>
        <w:keepLines w:val="0"/>
        <w:keepNext w:val="0"/>
        <w:spacing w:before="0" w:after="0" w:line="500" w:lineRule="exact"/>
        <w:rPr>
          <w:color w:val="000000"/>
          <w:sz w:val="30"/>
          <w:szCs w:val="30"/>
        </w:rPr>
      </w:pPr>
      <w:r/>
      <w:bookmarkStart w:id="33" w:name="_Toc28359084"/>
      <w:r/>
      <w:bookmarkStart w:id="34" w:name="_Toc28359007"/>
      <w:r/>
      <w:bookmarkStart w:id="35" w:name="_Toc35393625"/>
      <w:r/>
      <w:bookmarkStart w:id="36" w:name="_Toc35393794"/>
      <w:r/>
      <w:bookmarkStart w:id="37" w:name="_Toc38985267"/>
      <w:r>
        <w:rPr>
          <w:rFonts w:hint="eastAsia"/>
          <w:color w:val="000000"/>
          <w:sz w:val="30"/>
          <w:szCs w:val="30"/>
        </w:rPr>
        <w:t xml:space="preserve">五、公告期限</w:t>
      </w:r>
      <w:bookmarkEnd w:id="33"/>
      <w:r/>
      <w:bookmarkEnd w:id="34"/>
      <w:r/>
      <w:bookmarkEnd w:id="35"/>
      <w:r/>
      <w:bookmarkEnd w:id="36"/>
      <w:r/>
      <w:bookmarkEnd w:id="37"/>
      <w:r>
        <w:rPr>
          <w:color w:val="000000"/>
          <w:sz w:val="30"/>
          <w:szCs w:val="30"/>
        </w:rPr>
      </w:r>
      <w:r/>
    </w:p>
    <w:p>
      <w:pPr>
        <w:pStyle w:val="686"/>
        <w:ind w:firstLine="480"/>
        <w:spacing w:line="500" w:lineRule="exact"/>
        <w:rPr>
          <w:rFonts w:ascii="宋体" w:hAnsi="宋体" w:cs="宋体"/>
          <w:color w:val="000000"/>
          <w:sz w:val="24"/>
          <w:szCs w:val="24"/>
        </w:rPr>
      </w:pPr>
      <w:r/>
      <w:bookmarkStart w:id="38" w:name="_Toc35393795"/>
      <w:r/>
      <w:bookmarkStart w:id="39" w:name="_Toc38985268"/>
      <w:r/>
      <w:bookmarkStart w:id="40"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8"/>
      <w:r/>
      <w:bookmarkEnd w:id="39"/>
      <w:r/>
      <w:bookmarkEnd w:id="40"/>
      <w:r>
        <w:rPr>
          <w:color w:val="000000"/>
          <w:sz w:val="30"/>
          <w:szCs w:val="30"/>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bookmarkStart w:id="41" w:name="_Toc28359008"/>
      <w:r/>
      <w:bookmarkStart w:id="42" w:name="_Toc35393627"/>
      <w:r/>
      <w:bookmarkStart w:id="43" w:name="_Toc28359085"/>
      <w:r/>
      <w:bookmarkStart w:id="44" w:name="_Toc35393796"/>
      <w:r/>
      <w:bookmarkStart w:id="45" w:name="_Toc38985269"/>
      <w:r>
        <w:rPr>
          <w:rFonts w:hint="eastAsia"/>
          <w:color w:val="000000"/>
          <w:sz w:val="30"/>
          <w:szCs w:val="30"/>
        </w:rPr>
        <w:t xml:space="preserve">七、本项目联系方式</w:t>
      </w:r>
      <w:bookmarkEnd w:id="41"/>
      <w:r/>
      <w:bookmarkEnd w:id="42"/>
      <w:r/>
      <w:bookmarkEnd w:id="43"/>
      <w:r/>
      <w:bookmarkEnd w:id="44"/>
      <w:r/>
      <w:bookmarkEnd w:id="45"/>
      <w:r>
        <w:rPr>
          <w:color w:val="000000"/>
          <w:sz w:val="30"/>
          <w:szCs w:val="30"/>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无锡卫生高等职业技术学校</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w:t>
      </w:r>
      <w:r>
        <w:rPr>
          <w:rFonts w:hint="eastAsia" w:ascii="宋体" w:hAnsi="宋体" w:cs="宋体"/>
          <w:color w:val="000000"/>
          <w:sz w:val="24"/>
          <w:szCs w:val="24"/>
        </w:rPr>
        <w:t xml:space="preserve">新光路305号</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6" w:name="_Toc28359009"/>
      <w:r/>
      <w:bookmarkStart w:id="47"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6"/>
      <w:r/>
      <w:bookmarkEnd w:id="47"/>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6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杨磊</w:t>
      </w:r>
      <w:r>
        <w:rPr>
          <w:rFonts w:hint="eastAsia" w:ascii="宋体" w:hAnsi="宋体" w:cs="宋体"/>
          <w:color w:val="000000"/>
          <w:sz w:val="24"/>
          <w:szCs w:val="24"/>
        </w:rPr>
        <w:t xml:space="preserve">；电话：0510-</w:t>
      </w:r>
      <w:r>
        <w:rPr>
          <w:rFonts w:ascii="宋体" w:hAnsi="宋体" w:cs="宋体"/>
          <w:color w:val="000000"/>
          <w:sz w:val="24"/>
          <w:szCs w:val="24"/>
        </w:rPr>
        <w:t xml:space="preserve">81199036</w:t>
      </w:r>
      <w:r>
        <w:rPr>
          <w:rFonts w:hint="eastAsia"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bookmarkStart w:id="48" w:name="OLE_LINK4"/>
      <w:r/>
      <w:bookmarkStart w:id="49" w:name="OLE_LINK5"/>
      <w:r>
        <w:rPr>
          <w:rFonts w:hint="eastAsia" w:ascii="宋体" w:hAnsi="宋体" w:cs="宋体"/>
          <w:color w:val="000000"/>
          <w:sz w:val="24"/>
          <w:szCs w:val="24"/>
        </w:rPr>
        <w:t xml:space="preserve">杨磊</w:t>
      </w:r>
      <w:bookmarkEnd w:id="48"/>
      <w:r/>
      <w:bookmarkEnd w:id="49"/>
      <w:r>
        <w:rPr>
          <w:rFonts w:hint="eastAsia" w:ascii="宋体" w:hAnsi="宋体" w:cs="宋体"/>
          <w:color w:val="000000"/>
          <w:sz w:val="24"/>
          <w:szCs w:val="24"/>
        </w:rPr>
        <w:t xml:space="preserve">；电话：0510-</w:t>
      </w:r>
      <w:r>
        <w:rPr>
          <w:rFonts w:ascii="宋体" w:hAnsi="宋体" w:cs="宋体"/>
          <w:color w:val="000000"/>
          <w:sz w:val="24"/>
          <w:szCs w:val="24"/>
        </w:rPr>
        <w:t xml:space="preserve">81199036</w:t>
      </w:r>
      <w:r>
        <w:rPr>
          <w:rFonts w:hint="eastAsia" w:ascii="宋体" w:hAnsi="宋体" w:cs="宋体"/>
          <w:color w:val="000000"/>
          <w:sz w:val="24"/>
          <w:szCs w:val="24"/>
        </w:rPr>
      </w:r>
      <w:r/>
    </w:p>
    <w:p>
      <w:pPr>
        <w:pStyle w:val="686"/>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689"/>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86"/>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68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686"/>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68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686"/>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686"/>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686"/>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50"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50"/>
      <w:r/>
      <w:bookmarkStart w:id="51" w:name="_Toc16938518"/>
      <w:r/>
      <w:bookmarkStart w:id="52" w:name="_Toc20823274"/>
      <w:r/>
      <w:bookmarkStart w:id="53" w:name="_Toc513029202"/>
      <w:r/>
      <w:bookmarkStart w:id="54" w:name="_Toc120614213"/>
      <w:r>
        <w:rPr>
          <w:rFonts w:hint="eastAsia" w:ascii="黑体" w:hAnsi="黑体" w:eastAsia="黑体"/>
          <w:color w:val="000000"/>
          <w:sz w:val="36"/>
          <w:szCs w:val="36"/>
        </w:rPr>
        <w:t xml:space="preserve">投标人须知</w:t>
      </w:r>
      <w:bookmarkEnd w:id="51"/>
      <w:r/>
      <w:bookmarkEnd w:id="52"/>
      <w:r/>
      <w:bookmarkEnd w:id="53"/>
      <w:r/>
      <w:bookmarkEnd w:id="54"/>
      <w:r>
        <w:rPr>
          <w:rFonts w:hint="eastAsia" w:ascii="黑体" w:hAnsi="黑体" w:eastAsia="黑体"/>
          <w:color w:val="000000"/>
          <w:sz w:val="36"/>
          <w:szCs w:val="36"/>
        </w:rPr>
      </w:r>
      <w:r/>
    </w:p>
    <w:p>
      <w:pPr>
        <w:pStyle w:val="689"/>
        <w:ind w:firstLine="452"/>
        <w:keepLines w:val="0"/>
        <w:keepNext w:val="0"/>
        <w:spacing w:before="0" w:after="0" w:line="500" w:lineRule="exact"/>
        <w:rPr>
          <w:rFonts w:hint="eastAsia"/>
          <w:color w:val="000000"/>
          <w:sz w:val="30"/>
          <w:szCs w:val="30"/>
        </w:rPr>
      </w:pPr>
      <w:r/>
      <w:bookmarkStart w:id="55" w:name="_Toc513029203"/>
      <w:r/>
      <w:bookmarkStart w:id="56" w:name="_Toc120614214"/>
      <w:r/>
      <w:bookmarkStart w:id="57" w:name="_Toc20823275"/>
      <w:r/>
      <w:bookmarkStart w:id="58" w:name="_Toc16938519"/>
      <w:r>
        <w:rPr>
          <w:rFonts w:hint="eastAsia"/>
          <w:color w:val="000000"/>
          <w:sz w:val="30"/>
          <w:szCs w:val="30"/>
        </w:rPr>
        <w:t xml:space="preserve">一、总则</w:t>
      </w:r>
      <w:bookmarkEnd w:id="55"/>
      <w:r/>
      <w:bookmarkEnd w:id="56"/>
      <w:r/>
      <w:bookmarkEnd w:id="57"/>
      <w:r/>
      <w:bookmarkEnd w:id="58"/>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59" w:name="_Hlt16619475"/>
      <w:r/>
      <w:bookmarkEnd w:id="59"/>
      <w:r/>
      <w:bookmarkStart w:id="60" w:name="_Toc16938520"/>
      <w:r/>
      <w:bookmarkStart w:id="61" w:name="_Toc513029204"/>
      <w:r/>
      <w:bookmarkStart w:id="62" w:name="_Toc20823276"/>
      <w:r>
        <w:rPr>
          <w:rFonts w:hint="eastAsia" w:ascii="宋体" w:hAnsi="宋体" w:eastAsia="宋体"/>
          <w:bCs w:val="0"/>
          <w:color w:val="000000"/>
        </w:rPr>
        <w:t xml:space="preserve">1.招标方式</w:t>
      </w:r>
      <w:bookmarkEnd w:id="60"/>
      <w:r/>
      <w:bookmarkEnd w:id="61"/>
      <w:r/>
      <w:bookmarkEnd w:id="62"/>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690"/>
        <w:ind w:firstLine="422"/>
        <w:keepLines w:val="0"/>
        <w:keepNext w:val="0"/>
        <w:spacing w:before="0" w:after="0" w:line="500" w:lineRule="exact"/>
        <w:rPr>
          <w:rFonts w:hint="eastAsia" w:ascii="宋体" w:hAnsi="宋体" w:eastAsia="宋体"/>
          <w:bCs w:val="0"/>
          <w:color w:val="000000"/>
        </w:rPr>
      </w:pPr>
      <w:r/>
      <w:bookmarkStart w:id="63" w:name="_Toc16938521"/>
      <w:r/>
      <w:bookmarkStart w:id="64" w:name="_Toc20823277"/>
      <w:r/>
      <w:bookmarkStart w:id="65" w:name="_Toc513029205"/>
      <w:r>
        <w:rPr>
          <w:rFonts w:hint="eastAsia" w:ascii="宋体" w:hAnsi="宋体" w:eastAsia="宋体"/>
          <w:bCs w:val="0"/>
          <w:color w:val="000000"/>
        </w:rPr>
        <w:t xml:space="preserve">2.</w:t>
      </w:r>
      <w:bookmarkEnd w:id="63"/>
      <w:r/>
      <w:bookmarkEnd w:id="64"/>
      <w:r/>
      <w:bookmarkEnd w:id="65"/>
      <w:r>
        <w:rPr>
          <w:rFonts w:hint="eastAsia" w:ascii="宋体" w:hAnsi="宋体" w:eastAsia="宋体"/>
          <w:bCs w:val="0"/>
          <w:color w:val="000000"/>
        </w:rPr>
        <w:t xml:space="preserve">采购人、采购代理机构、投标人、联合体</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0"/>
        <w:ind w:firstLine="422"/>
        <w:keepLines w:val="0"/>
        <w:keepNext w:val="0"/>
        <w:spacing w:before="0" w:after="0" w:line="500" w:lineRule="exact"/>
        <w:rPr>
          <w:rFonts w:hint="eastAsia" w:ascii="宋体" w:hAnsi="宋体" w:eastAsia="宋体"/>
          <w:bCs w:val="0"/>
          <w:color w:val="000000"/>
        </w:rPr>
      </w:pPr>
      <w:r/>
      <w:bookmarkStart w:id="66" w:name="_Toc513029206"/>
      <w:r/>
      <w:bookmarkStart w:id="67" w:name="_Toc16938522"/>
      <w:r/>
      <w:bookmarkStart w:id="68" w:name="_Toc20823278"/>
      <w:r>
        <w:rPr>
          <w:rFonts w:hint="eastAsia" w:ascii="宋体" w:hAnsi="宋体" w:eastAsia="宋体"/>
          <w:bCs w:val="0"/>
          <w:color w:val="000000"/>
        </w:rPr>
        <w:t xml:space="preserve">3.适用法律</w:t>
      </w:r>
      <w:bookmarkEnd w:id="66"/>
      <w:r/>
      <w:bookmarkEnd w:id="67"/>
      <w:r/>
      <w:bookmarkEnd w:id="68"/>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69" w:name="_Toc20823279"/>
      <w:r/>
      <w:bookmarkStart w:id="70" w:name="_Toc513029207"/>
      <w:r/>
      <w:bookmarkStart w:id="71" w:name="_Toc462564067"/>
      <w:r/>
      <w:bookmarkStart w:id="72" w:name="_Toc16938523"/>
      <w:r>
        <w:rPr>
          <w:rFonts w:hint="eastAsia" w:ascii="宋体" w:hAnsi="宋体" w:eastAsia="宋体"/>
          <w:bCs w:val="0"/>
          <w:color w:val="000000"/>
        </w:rPr>
        <w:t xml:space="preserve">4.投标费用</w:t>
      </w:r>
      <w:bookmarkEnd w:id="69"/>
      <w:r/>
      <w:bookmarkEnd w:id="70"/>
      <w:r/>
      <w:bookmarkEnd w:id="71"/>
      <w:r/>
      <w:bookmarkEnd w:id="72"/>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689"/>
        <w:ind w:firstLine="452"/>
        <w:keepLines w:val="0"/>
        <w:keepNext w:val="0"/>
        <w:spacing w:before="0" w:after="0" w:line="500" w:lineRule="exact"/>
        <w:rPr>
          <w:rFonts w:hint="eastAsia"/>
          <w:color w:val="000000"/>
          <w:sz w:val="30"/>
          <w:szCs w:val="30"/>
        </w:rPr>
      </w:pPr>
      <w:r/>
      <w:bookmarkStart w:id="73" w:name="_Toc16938525"/>
      <w:r/>
      <w:bookmarkStart w:id="74" w:name="_Toc513029209"/>
      <w:r/>
      <w:bookmarkStart w:id="75" w:name="_Toc120614215"/>
      <w:r/>
      <w:bookmarkStart w:id="76" w:name="_Toc20823281"/>
      <w:r>
        <w:rPr>
          <w:rFonts w:hint="eastAsia"/>
          <w:color w:val="000000"/>
          <w:sz w:val="30"/>
          <w:szCs w:val="30"/>
        </w:rPr>
        <w:t xml:space="preserve">二、招标文件</w:t>
      </w:r>
      <w:bookmarkEnd w:id="73"/>
      <w:r/>
      <w:bookmarkEnd w:id="74"/>
      <w:r/>
      <w:bookmarkEnd w:id="75"/>
      <w:r/>
      <w:bookmarkEnd w:id="76"/>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77" w:name="_Toc20823282"/>
      <w:r/>
      <w:bookmarkStart w:id="78" w:name="_Toc513029210"/>
      <w:r/>
      <w:bookmarkStart w:id="79" w:name="_Toc16938526"/>
      <w:r>
        <w:rPr>
          <w:rFonts w:hint="eastAsia" w:ascii="宋体" w:hAnsi="宋体" w:eastAsia="宋体"/>
          <w:bCs w:val="0"/>
          <w:color w:val="000000"/>
        </w:rPr>
        <w:t xml:space="preserve">6.招标文件构成</w:t>
      </w:r>
      <w:bookmarkEnd w:id="77"/>
      <w:r/>
      <w:bookmarkEnd w:id="78"/>
      <w:r/>
      <w:bookmarkEnd w:id="79"/>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86"/>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22"/>
        <w:keepLines w:val="0"/>
        <w:keepNext w:val="0"/>
        <w:spacing w:before="0" w:after="0" w:line="500" w:lineRule="exact"/>
        <w:rPr>
          <w:rFonts w:hint="eastAsia" w:ascii="宋体" w:hAnsi="宋体" w:eastAsia="宋体"/>
          <w:bCs w:val="0"/>
          <w:color w:val="000000"/>
        </w:rPr>
      </w:pPr>
      <w:r/>
      <w:bookmarkStart w:id="80" w:name="_Toc16938527"/>
      <w:r/>
      <w:bookmarkStart w:id="81" w:name="_Toc20823283"/>
      <w:r/>
      <w:bookmarkStart w:id="82" w:name="_Toc462564070"/>
      <w:r/>
      <w:bookmarkStart w:id="83" w:name="_Toc513029211"/>
      <w:r>
        <w:rPr>
          <w:rFonts w:hint="eastAsia" w:ascii="宋体" w:hAnsi="宋体" w:eastAsia="宋体"/>
          <w:bCs w:val="0"/>
          <w:color w:val="000000"/>
        </w:rPr>
        <w:t xml:space="preserve">7.招标文件的澄清</w:t>
      </w:r>
      <w:bookmarkEnd w:id="80"/>
      <w:r/>
      <w:bookmarkEnd w:id="81"/>
      <w:r/>
      <w:bookmarkEnd w:id="82"/>
      <w:r/>
      <w:bookmarkEnd w:id="83"/>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84" w:name="_Toc20823284"/>
      <w:r/>
      <w:bookmarkStart w:id="85" w:name="_Toc462564071"/>
      <w:r/>
      <w:bookmarkStart w:id="86" w:name="_Toc16938528"/>
      <w:r/>
      <w:bookmarkStart w:id="87" w:name="_Toc513029212"/>
      <w:r>
        <w:rPr>
          <w:rFonts w:hint="eastAsia" w:ascii="宋体" w:hAnsi="宋体" w:eastAsia="宋体"/>
          <w:bCs w:val="0"/>
          <w:color w:val="000000"/>
        </w:rPr>
        <w:t xml:space="preserve">8.招标文件的修改</w:t>
      </w:r>
      <w:bookmarkEnd w:id="84"/>
      <w:r/>
      <w:bookmarkEnd w:id="85"/>
      <w:r/>
      <w:bookmarkEnd w:id="86"/>
      <w:r/>
      <w:bookmarkEnd w:id="87"/>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689"/>
        <w:ind w:firstLine="452"/>
        <w:keepLines w:val="0"/>
        <w:keepNext w:val="0"/>
        <w:spacing w:before="0" w:after="0" w:line="500" w:lineRule="exact"/>
        <w:rPr>
          <w:rFonts w:hint="eastAsia"/>
          <w:color w:val="000000"/>
          <w:sz w:val="30"/>
          <w:szCs w:val="30"/>
        </w:rPr>
      </w:pPr>
      <w:r/>
      <w:bookmarkStart w:id="88" w:name="_Toc120614216"/>
      <w:r/>
      <w:bookmarkStart w:id="89" w:name="_Toc462564072"/>
      <w:r/>
      <w:bookmarkStart w:id="90" w:name="_Toc20823285"/>
      <w:r/>
      <w:bookmarkStart w:id="91" w:name="_Toc16938529"/>
      <w:r/>
      <w:bookmarkStart w:id="92" w:name="_Toc513029213"/>
      <w:r>
        <w:rPr>
          <w:rFonts w:hint="eastAsia"/>
          <w:color w:val="000000"/>
          <w:sz w:val="30"/>
          <w:szCs w:val="30"/>
        </w:rPr>
        <w:t xml:space="preserve">三、投标文件的编制</w:t>
      </w:r>
      <w:bookmarkEnd w:id="88"/>
      <w:r/>
      <w:bookmarkEnd w:id="89"/>
      <w:r/>
      <w:bookmarkEnd w:id="90"/>
      <w:r/>
      <w:bookmarkEnd w:id="91"/>
      <w:r/>
      <w:bookmarkEnd w:id="92"/>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93" w:name="_Toc462564073"/>
      <w:r/>
      <w:bookmarkStart w:id="94" w:name="_Toc513029214"/>
      <w:r/>
      <w:bookmarkStart w:id="95" w:name="_Toc20823286"/>
      <w:r/>
      <w:bookmarkStart w:id="96" w:name="_Toc16938530"/>
      <w:r>
        <w:rPr>
          <w:rFonts w:hint="eastAsia" w:ascii="宋体" w:hAnsi="宋体" w:eastAsia="宋体"/>
          <w:bCs w:val="0"/>
          <w:color w:val="000000"/>
        </w:rPr>
        <w:t xml:space="preserve">9.投标文件的语言及度量衡单位</w:t>
      </w:r>
      <w:bookmarkEnd w:id="93"/>
      <w:r/>
      <w:bookmarkEnd w:id="94"/>
      <w:r/>
      <w:bookmarkEnd w:id="95"/>
      <w:r/>
      <w:bookmarkEnd w:id="96"/>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690"/>
        <w:ind w:firstLine="422"/>
        <w:keepLines w:val="0"/>
        <w:keepNext w:val="0"/>
        <w:spacing w:before="0" w:after="0" w:line="500" w:lineRule="exact"/>
        <w:rPr>
          <w:rFonts w:hint="eastAsia" w:ascii="宋体" w:hAnsi="宋体" w:eastAsia="宋体"/>
          <w:bCs w:val="0"/>
          <w:color w:val="000000"/>
        </w:rPr>
      </w:pPr>
      <w:r/>
      <w:bookmarkStart w:id="97" w:name="_Toc462564074"/>
      <w:r/>
      <w:bookmarkStart w:id="98" w:name="_Toc16938531"/>
      <w:r/>
      <w:bookmarkStart w:id="99" w:name="_Toc20823287"/>
      <w:r/>
      <w:bookmarkStart w:id="100" w:name="_Toc513029215"/>
      <w:r>
        <w:rPr>
          <w:rFonts w:hint="eastAsia" w:ascii="宋体" w:hAnsi="宋体" w:eastAsia="宋体"/>
          <w:bCs w:val="0"/>
          <w:color w:val="000000"/>
        </w:rPr>
        <w:t xml:space="preserve">10.投标文件构成</w:t>
      </w:r>
      <w:bookmarkEnd w:id="97"/>
      <w:r/>
      <w:bookmarkEnd w:id="98"/>
      <w:r/>
      <w:bookmarkEnd w:id="99"/>
      <w:r/>
      <w:bookmarkEnd w:id="100"/>
      <w:r>
        <w:rPr>
          <w:rFonts w:hint="eastAsia" w:ascii="宋体" w:hAnsi="宋体" w:eastAsia="宋体"/>
          <w:bCs w:val="0"/>
          <w:color w:val="000000"/>
        </w:rPr>
      </w:r>
      <w:r/>
    </w:p>
    <w:p>
      <w:pPr>
        <w:pStyle w:val="686"/>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690"/>
        <w:ind w:firstLine="422"/>
        <w:keepLines w:val="0"/>
        <w:keepNext w:val="0"/>
        <w:spacing w:before="0" w:after="0" w:line="500" w:lineRule="exact"/>
        <w:rPr>
          <w:rFonts w:hint="eastAsia" w:ascii="宋体" w:hAnsi="宋体" w:eastAsia="宋体"/>
          <w:bCs w:val="0"/>
          <w:color w:val="000000"/>
        </w:rPr>
      </w:pPr>
      <w:r/>
      <w:bookmarkStart w:id="101" w:name="_Hlt26670360"/>
      <w:r/>
      <w:bookmarkEnd w:id="101"/>
      <w:r/>
      <w:bookmarkStart w:id="102" w:name="_Hlt26668975"/>
      <w:r/>
      <w:bookmarkEnd w:id="102"/>
      <w:r/>
      <w:bookmarkStart w:id="103" w:name="_Hlt26954838"/>
      <w:r/>
      <w:bookmarkEnd w:id="103"/>
      <w:r/>
      <w:bookmarkStart w:id="104" w:name="_Toc49090509"/>
      <w:r/>
      <w:bookmarkStart w:id="105" w:name="_Toc513029219"/>
      <w:r/>
      <w:bookmarkStart w:id="106" w:name="_Toc14577357"/>
      <w:r/>
      <w:bookmarkStart w:id="107" w:name="_Toc513029216"/>
      <w:r/>
      <w:bookmarkStart w:id="108" w:name="_Toc49090507"/>
      <w:r/>
      <w:bookmarkStart w:id="109" w:name="_Toc14577354"/>
      <w:r>
        <w:rPr>
          <w:rFonts w:hint="eastAsia" w:ascii="宋体" w:hAnsi="宋体" w:eastAsia="宋体"/>
          <w:bCs w:val="0"/>
          <w:color w:val="000000"/>
        </w:rPr>
        <w:t xml:space="preserve">11.证明投标人及投标标的符合招标文件规定的文件</w:t>
      </w:r>
      <w:bookmarkEnd w:id="104"/>
      <w:r/>
      <w:bookmarkEnd w:id="105"/>
      <w:r/>
      <w:bookmarkEnd w:id="106"/>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bookmarkEnd w:id="107"/>
      <w:r/>
      <w:bookmarkEnd w:id="108"/>
      <w:r/>
      <w:bookmarkEnd w:id="109"/>
      <w:r/>
      <w:bookmarkStart w:id="110" w:name="_Toc14577355"/>
      <w:r/>
      <w:bookmarkStart w:id="111"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90"/>
        <w:ind w:firstLine="422"/>
        <w:keepLines w:val="0"/>
        <w:keepNext w:val="0"/>
        <w:spacing w:before="0" w:after="0" w:line="500" w:lineRule="exact"/>
        <w:rPr>
          <w:rFonts w:hint="eastAsia" w:ascii="宋体" w:hAnsi="宋体" w:eastAsia="宋体"/>
          <w:bCs w:val="0"/>
          <w:color w:val="000000"/>
        </w:rPr>
      </w:pPr>
      <w:r/>
      <w:bookmarkStart w:id="112" w:name="_Toc14577359"/>
      <w:r/>
      <w:bookmarkStart w:id="113" w:name="_Toc49090510"/>
      <w:r>
        <w:rPr>
          <w:rFonts w:hint="eastAsia" w:ascii="宋体" w:hAnsi="宋体" w:eastAsia="宋体"/>
          <w:bCs w:val="0"/>
          <w:color w:val="000000"/>
        </w:rPr>
        <w:t xml:space="preserve">12.投标函、承诺书和开标一览表</w:t>
      </w:r>
      <w:r/>
    </w:p>
    <w:p>
      <w:pPr>
        <w:pStyle w:val="686"/>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w:t>
      </w:r>
      <w:r>
        <w:rPr>
          <w:rFonts w:hint="eastAsia" w:ascii="宋体" w:hAnsi="宋体"/>
          <w:color w:val="000000"/>
          <w:sz w:val="24"/>
        </w:rPr>
        <w:t xml:space="preserve">，</w:t>
      </w:r>
      <w:r>
        <w:rPr>
          <w:rFonts w:hint="eastAsia" w:ascii="宋体" w:hAnsi="宋体"/>
          <w:color w:val="000000"/>
          <w:sz w:val="24"/>
        </w:rPr>
        <w:t xml:space="preserve">完整、正确填写投标函、承诺书</w:t>
      </w:r>
      <w:r>
        <w:rPr>
          <w:rFonts w:hint="eastAsia" w:ascii="宋体" w:hAnsi="宋体"/>
          <w:color w:val="000000"/>
          <w:sz w:val="24"/>
        </w:rPr>
        <w:t xml:space="preserve">；投标人应按照“苏采云”系统中的</w:t>
      </w:r>
      <w:r>
        <w:rPr>
          <w:rFonts w:hint="eastAsia" w:ascii="宋体" w:hAnsi="宋体"/>
          <w:color w:val="000000"/>
          <w:sz w:val="24"/>
        </w:rPr>
        <w:t xml:space="preserve">给定格式</w:t>
      </w:r>
      <w:r>
        <w:rPr>
          <w:rFonts w:hint="eastAsia" w:ascii="宋体" w:hAnsi="宋体"/>
          <w:color w:val="000000"/>
          <w:sz w:val="24"/>
        </w:rPr>
        <w:t xml:space="preserve">模块为准，完整、正确填写开标一览表</w:t>
      </w:r>
      <w:r>
        <w:rPr>
          <w:rFonts w:hint="eastAsia" w:ascii="宋体" w:hAnsi="宋体"/>
          <w:color w:val="000000"/>
          <w:sz w:val="24"/>
        </w:rPr>
        <w:t xml:space="preserve">。</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End w:id="112"/>
      <w:r/>
      <w:bookmarkEnd w:id="113"/>
      <w:r>
        <w:rPr>
          <w:rFonts w:hint="eastAsia" w:ascii="宋体" w:hAnsi="宋体" w:eastAsia="宋体"/>
          <w:bCs w:val="0"/>
          <w:color w:val="000000"/>
        </w:rPr>
        <w:t xml:space="preserve">13.</w:t>
      </w:r>
      <w:bookmarkEnd w:id="110"/>
      <w:r/>
      <w:bookmarkEnd w:id="111"/>
      <w:r>
        <w:rPr>
          <w:rFonts w:hint="eastAsia" w:ascii="宋体" w:hAnsi="宋体" w:eastAsia="宋体"/>
          <w:bCs w:val="0"/>
          <w:color w:val="000000"/>
        </w:rPr>
        <w:t xml:space="preserve">分项报价表</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14" w:name="_Hlt26954840"/>
      <w:r/>
      <w:bookmarkEnd w:id="114"/>
      <w:r>
        <w:rPr>
          <w:rFonts w:hint="eastAsia" w:ascii="宋体" w:hAnsi="宋体"/>
          <w:color w:val="000000"/>
          <w:sz w:val="24"/>
        </w:rPr>
        <w:t xml:space="preserve">标人应按照招标文件规定格式填报</w:t>
      </w:r>
      <w:bookmarkStart w:id="115" w:name="_Hlt26670399"/>
      <w:r/>
      <w:bookmarkEnd w:id="115"/>
      <w:r>
        <w:rPr>
          <w:rFonts w:hint="eastAsia" w:ascii="宋体" w:hAnsi="宋体"/>
          <w:color w:val="000000"/>
          <w:sz w:val="24"/>
        </w:rPr>
        <w:t xml:space="preserve">分项报价表。</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116" w:name="_Hlt26954848"/>
      <w:r/>
      <w:bookmarkEnd w:id="116"/>
      <w:r/>
      <w:bookmarkStart w:id="117" w:name="_Hlt26670425"/>
      <w:r/>
      <w:bookmarkEnd w:id="117"/>
      <w:r/>
      <w:bookmarkStart w:id="118" w:name="_Hlt26670403"/>
      <w:r/>
      <w:bookmarkEnd w:id="118"/>
      <w:r/>
      <w:bookmarkStart w:id="119" w:name="_Hlt26954846"/>
      <w:r/>
      <w:bookmarkEnd w:id="119"/>
      <w:r/>
      <w:bookmarkStart w:id="120" w:name="_Hlt26668983"/>
      <w:r/>
      <w:bookmarkEnd w:id="120"/>
      <w:r/>
      <w:bookmarkStart w:id="121" w:name="_Hlt26954731"/>
      <w:r/>
      <w:bookmarkEnd w:id="121"/>
      <w:r/>
      <w:bookmarkStart w:id="122" w:name="_Hlt26670486"/>
      <w:r/>
      <w:bookmarkEnd w:id="122"/>
      <w:r/>
      <w:bookmarkStart w:id="123" w:name="_Hlt26954842"/>
      <w:r/>
      <w:bookmarkEnd w:id="123"/>
      <w:r/>
      <w:bookmarkStart w:id="124" w:name="_Hlt26954844"/>
      <w:r/>
      <w:bookmarkEnd w:id="124"/>
      <w:r/>
      <w:bookmarkStart w:id="125" w:name="_Hlt26670482"/>
      <w:r/>
      <w:bookmarkEnd w:id="125"/>
      <w:r>
        <w:rPr>
          <w:rFonts w:hint="eastAsia" w:ascii="宋体" w:hAnsi="宋体" w:eastAsia="宋体"/>
          <w:bCs w:val="0"/>
          <w:color w:val="000000"/>
        </w:rPr>
        <w:t xml:space="preserve">14.投标偏离表</w:t>
      </w:r>
      <w:r/>
    </w:p>
    <w:p>
      <w:pPr>
        <w:pStyle w:val="686"/>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690"/>
        <w:ind w:firstLine="422"/>
        <w:keepLines w:val="0"/>
        <w:keepNext w:val="0"/>
        <w:spacing w:before="0" w:after="0" w:line="500" w:lineRule="exact"/>
        <w:rPr>
          <w:rFonts w:hint="eastAsia" w:ascii="宋体" w:hAnsi="宋体" w:eastAsia="宋体"/>
          <w:bCs w:val="0"/>
          <w:color w:val="000000"/>
        </w:rPr>
      </w:pPr>
      <w:r/>
      <w:bookmarkStart w:id="126" w:name="_Hlt26954734"/>
      <w:r/>
      <w:bookmarkEnd w:id="126"/>
      <w:r/>
      <w:bookmarkStart w:id="127" w:name="_Hlt26670489"/>
      <w:r/>
      <w:bookmarkEnd w:id="127"/>
      <w:r/>
      <w:bookmarkStart w:id="128" w:name="_Hlt26954850"/>
      <w:r/>
      <w:bookmarkEnd w:id="128"/>
      <w:r/>
      <w:bookmarkStart w:id="129" w:name="_Toc49090511"/>
      <w:r/>
      <w:bookmarkStart w:id="130" w:name="_Toc14577360"/>
      <w:r>
        <w:rPr>
          <w:rFonts w:hint="eastAsia" w:ascii="宋体" w:hAnsi="宋体" w:eastAsia="宋体"/>
          <w:bCs w:val="0"/>
          <w:color w:val="000000"/>
        </w:rPr>
        <w:t xml:space="preserve">15.投标有效期</w:t>
      </w:r>
      <w:bookmarkEnd w:id="129"/>
      <w:r/>
      <w:bookmarkEnd w:id="130"/>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689"/>
        <w:ind w:firstLine="452"/>
        <w:keepLines w:val="0"/>
        <w:keepNext w:val="0"/>
        <w:spacing w:before="0" w:after="0" w:line="500" w:lineRule="exact"/>
        <w:rPr>
          <w:rFonts w:hint="eastAsia"/>
          <w:color w:val="000000"/>
          <w:sz w:val="30"/>
          <w:szCs w:val="30"/>
        </w:rPr>
      </w:pPr>
      <w:r/>
      <w:bookmarkStart w:id="131" w:name="_Hlt26954852"/>
      <w:r/>
      <w:bookmarkEnd w:id="131"/>
      <w:r/>
      <w:bookmarkStart w:id="132" w:name="_Hlt26954739"/>
      <w:r/>
      <w:bookmarkEnd w:id="132"/>
      <w:r/>
      <w:bookmarkStart w:id="133" w:name="_Toc16938540"/>
      <w:r/>
      <w:bookmarkStart w:id="134" w:name="_Toc20823296"/>
      <w:r/>
      <w:bookmarkStart w:id="135" w:name="_Toc120614217"/>
      <w:r/>
      <w:bookmarkStart w:id="136" w:name="_Toc513029224"/>
      <w:r>
        <w:rPr>
          <w:rFonts w:hint="eastAsia"/>
          <w:color w:val="000000"/>
          <w:sz w:val="30"/>
          <w:szCs w:val="30"/>
        </w:rPr>
        <w:t xml:space="preserve">四、投标文件的递交</w:t>
      </w:r>
      <w:bookmarkEnd w:id="133"/>
      <w:r/>
      <w:bookmarkEnd w:id="134"/>
      <w:r/>
      <w:bookmarkEnd w:id="135"/>
      <w:r/>
      <w:bookmarkEnd w:id="136"/>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37" w:name="_Toc16938541"/>
      <w:r/>
      <w:bookmarkStart w:id="138" w:name="_Toc462564084"/>
      <w:r/>
      <w:bookmarkStart w:id="139" w:name="_Toc20823297"/>
      <w:r/>
      <w:bookmarkStart w:id="140" w:name="_Toc513029225"/>
      <w:r>
        <w:rPr>
          <w:rFonts w:hint="eastAsia" w:ascii="宋体" w:hAnsi="宋体" w:eastAsia="宋体"/>
          <w:bCs w:val="0"/>
          <w:color w:val="000000"/>
        </w:rPr>
        <w:t xml:space="preserve">17.投标文件</w:t>
      </w:r>
      <w:bookmarkEnd w:id="137"/>
      <w:r/>
      <w:bookmarkEnd w:id="138"/>
      <w:r/>
      <w:bookmarkEnd w:id="139"/>
      <w:r/>
      <w:bookmarkEnd w:id="140"/>
      <w:r>
        <w:rPr>
          <w:rFonts w:hint="eastAsia" w:ascii="宋体" w:hAnsi="宋体" w:eastAsia="宋体"/>
          <w:bCs w:val="0"/>
          <w:color w:val="000000"/>
        </w:rPr>
        <w:t xml:space="preserve">的递交</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799"/>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41" w:name="_Toc513029226"/>
      <w:r/>
      <w:bookmarkStart w:id="142" w:name="_Toc20823298"/>
      <w:r/>
      <w:bookmarkStart w:id="143" w:name="_Toc16938542"/>
      <w:r>
        <w:rPr>
          <w:rFonts w:hint="eastAsia" w:ascii="宋体" w:hAnsi="宋体"/>
          <w:bCs/>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41"/>
      <w:r/>
      <w:bookmarkEnd w:id="142"/>
      <w:r/>
      <w:bookmarkEnd w:id="143"/>
      <w:r>
        <w:rPr>
          <w:rFonts w:hint="eastAsia" w:ascii="宋体" w:hAnsi="宋体" w:eastAsia="宋体"/>
          <w:bCs w:val="0"/>
          <w:color w:val="000000"/>
        </w:rPr>
        <w:t xml:space="preserve">时间</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690"/>
        <w:ind w:firstLine="422"/>
        <w:keepLines w:val="0"/>
        <w:keepNext w:val="0"/>
        <w:spacing w:before="0" w:after="0" w:line="500" w:lineRule="exact"/>
        <w:rPr>
          <w:rFonts w:hint="eastAsia" w:ascii="宋体" w:hAnsi="宋体" w:eastAsia="宋体"/>
          <w:bCs w:val="0"/>
          <w:color w:val="000000"/>
        </w:rPr>
      </w:pPr>
      <w:r/>
      <w:bookmarkStart w:id="144" w:name="_Toc20823299"/>
      <w:r/>
      <w:bookmarkStart w:id="145" w:name="_Toc16938543"/>
      <w:r/>
      <w:bookmarkStart w:id="146" w:name="_Toc513029227"/>
      <w:r>
        <w:rPr>
          <w:rFonts w:hint="eastAsia" w:ascii="宋体" w:hAnsi="宋体" w:eastAsia="宋体"/>
          <w:bCs w:val="0"/>
          <w:color w:val="000000"/>
        </w:rPr>
        <w:t xml:space="preserve">19.投标文件</w:t>
      </w:r>
      <w:bookmarkEnd w:id="144"/>
      <w:r/>
      <w:bookmarkEnd w:id="145"/>
      <w:r/>
      <w:bookmarkEnd w:id="146"/>
      <w:r>
        <w:rPr>
          <w:rFonts w:hint="eastAsia" w:ascii="宋体" w:hAnsi="宋体" w:eastAsia="宋体"/>
          <w:bCs w:val="0"/>
          <w:color w:val="000000"/>
        </w:rPr>
        <w:t xml:space="preserve">的拒收</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690"/>
        <w:ind w:firstLine="422"/>
        <w:keepLines w:val="0"/>
        <w:keepNext w:val="0"/>
        <w:spacing w:before="0" w:after="0" w:line="500" w:lineRule="exact"/>
        <w:rPr>
          <w:rFonts w:hint="eastAsia" w:ascii="宋体" w:hAnsi="宋体" w:eastAsia="宋体"/>
          <w:bCs w:val="0"/>
          <w:color w:val="000000"/>
        </w:rPr>
      </w:pPr>
      <w:r/>
      <w:bookmarkStart w:id="147" w:name="_Toc16938544"/>
      <w:r/>
      <w:bookmarkStart w:id="148" w:name="_Toc513029228"/>
      <w:r/>
      <w:bookmarkStart w:id="149" w:name="_Toc20823300"/>
      <w:r>
        <w:rPr>
          <w:rFonts w:hint="eastAsia" w:ascii="宋体" w:hAnsi="宋体" w:eastAsia="宋体"/>
          <w:bCs w:val="0"/>
          <w:color w:val="000000"/>
        </w:rPr>
        <w:t xml:space="preserve">20.投标文件的撤回和修改</w:t>
      </w:r>
      <w:bookmarkEnd w:id="147"/>
      <w:r/>
      <w:bookmarkEnd w:id="148"/>
      <w:r/>
      <w:bookmarkEnd w:id="149"/>
      <w:r>
        <w:rPr>
          <w:rFonts w:hint="eastAsia" w:ascii="宋体" w:hAnsi="宋体" w:eastAsia="宋体"/>
          <w:bCs w:val="0"/>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689"/>
        <w:ind w:firstLine="452"/>
        <w:keepLines w:val="0"/>
        <w:keepNext w:val="0"/>
        <w:spacing w:before="0" w:after="0" w:line="500" w:lineRule="exact"/>
        <w:rPr>
          <w:rFonts w:hint="eastAsia"/>
          <w:color w:val="000000"/>
          <w:sz w:val="30"/>
          <w:szCs w:val="30"/>
        </w:rPr>
      </w:pPr>
      <w:r/>
      <w:bookmarkStart w:id="150" w:name="_Toc16938545"/>
      <w:r/>
      <w:bookmarkStart w:id="151" w:name="_Toc120614218"/>
      <w:r/>
      <w:bookmarkStart w:id="152" w:name="_Toc20823301"/>
      <w:r/>
      <w:bookmarkStart w:id="153" w:name="_Toc513029229"/>
      <w:r>
        <w:rPr>
          <w:rFonts w:hint="eastAsia"/>
          <w:color w:val="000000"/>
          <w:sz w:val="30"/>
          <w:szCs w:val="30"/>
        </w:rPr>
        <w:t xml:space="preserve">五、开标与评标</w:t>
      </w:r>
      <w:bookmarkEnd w:id="150"/>
      <w:r/>
      <w:bookmarkEnd w:id="151"/>
      <w:r/>
      <w:bookmarkEnd w:id="152"/>
      <w:r/>
      <w:bookmarkEnd w:id="153"/>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54" w:name="_Toc16938546"/>
      <w:r/>
      <w:bookmarkStart w:id="155" w:name="_Toc513029230"/>
      <w:r/>
      <w:bookmarkStart w:id="156" w:name="_Toc20823302"/>
      <w:r>
        <w:rPr>
          <w:rFonts w:hint="eastAsia" w:ascii="宋体" w:hAnsi="宋体" w:eastAsia="宋体"/>
          <w:bCs w:val="0"/>
          <w:color w:val="000000"/>
        </w:rPr>
        <w:t xml:space="preserve">21.开标</w:t>
      </w:r>
      <w:bookmarkEnd w:id="154"/>
      <w:r/>
      <w:bookmarkEnd w:id="155"/>
      <w:r/>
      <w:bookmarkEnd w:id="156"/>
      <w:r>
        <w:rPr>
          <w:rFonts w:hint="eastAsia" w:ascii="宋体" w:hAnsi="宋体" w:eastAsia="宋体"/>
          <w:bCs w:val="0"/>
          <w:color w:val="000000"/>
        </w:rPr>
      </w:r>
      <w:r/>
    </w:p>
    <w:p>
      <w:pPr>
        <w:pStyle w:val="686"/>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686"/>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690"/>
        <w:ind w:firstLine="422"/>
        <w:keepLines w:val="0"/>
        <w:keepNext w:val="0"/>
        <w:spacing w:before="0" w:after="0" w:line="500" w:lineRule="exact"/>
        <w:rPr>
          <w:rFonts w:hint="eastAsia" w:ascii="宋体" w:hAnsi="宋体" w:eastAsia="宋体"/>
          <w:bCs w:val="0"/>
          <w:color w:val="000000"/>
        </w:rPr>
      </w:pPr>
      <w:r/>
      <w:bookmarkStart w:id="157" w:name="_Toc20823303"/>
      <w:r/>
      <w:bookmarkStart w:id="158" w:name="_Toc513029231"/>
      <w:r/>
      <w:bookmarkStart w:id="159" w:name="_Toc16938547"/>
      <w:r>
        <w:rPr>
          <w:rFonts w:hint="eastAsia" w:ascii="宋体" w:hAnsi="宋体" w:eastAsia="宋体"/>
          <w:bCs w:val="0"/>
          <w:color w:val="000000"/>
        </w:rPr>
        <w:t xml:space="preserve">22.评标委员会</w:t>
      </w:r>
      <w:r/>
    </w:p>
    <w:p>
      <w:pPr>
        <w:pStyle w:val="686"/>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686"/>
        <w:ind w:firstLine="480"/>
        <w:spacing w:line="500" w:lineRule="exact"/>
        <w:rPr>
          <w:rFonts w:hint="eastAsia" w:ascii="宋体" w:hAnsi="宋体"/>
          <w:bCs/>
          <w:color w:val="000000"/>
          <w:sz w:val="24"/>
        </w:rPr>
      </w:pPr>
      <w:r/>
      <w:bookmarkEnd w:id="157"/>
      <w:r/>
      <w:bookmarkEnd w:id="158"/>
      <w:r/>
      <w:bookmarkEnd w:id="159"/>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686"/>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690"/>
        <w:ind w:firstLine="422"/>
        <w:keepLines w:val="0"/>
        <w:keepNext w:val="0"/>
        <w:spacing w:before="0" w:after="0" w:line="500" w:lineRule="exact"/>
        <w:rPr>
          <w:rFonts w:hint="eastAsia" w:ascii="宋体" w:hAnsi="宋体" w:eastAsia="宋体"/>
          <w:bCs w:val="0"/>
          <w:color w:val="000000"/>
        </w:rPr>
      </w:pPr>
      <w:r/>
      <w:bookmarkStart w:id="160" w:name="_Toc513029232"/>
      <w:r/>
      <w:bookmarkStart w:id="161" w:name="_Toc16938548"/>
      <w:r/>
      <w:bookmarkStart w:id="162" w:name="_Toc20823304"/>
      <w:r>
        <w:rPr>
          <w:rFonts w:hint="eastAsia" w:ascii="宋体" w:hAnsi="宋体" w:eastAsia="宋体"/>
          <w:bCs w:val="0"/>
          <w:color w:val="000000"/>
        </w:rPr>
        <w:t xml:space="preserve">24.投标文件的澄清</w:t>
      </w:r>
      <w:bookmarkEnd w:id="160"/>
      <w:r/>
      <w:bookmarkEnd w:id="161"/>
      <w:r/>
      <w:bookmarkEnd w:id="162"/>
      <w:r>
        <w:rPr>
          <w:rFonts w:hint="eastAsia" w:ascii="宋体" w:hAnsi="宋体" w:eastAsia="宋体"/>
          <w:bCs w:val="0"/>
          <w:color w:val="000000"/>
        </w:rPr>
      </w:r>
      <w:r/>
    </w:p>
    <w:p>
      <w:pPr>
        <w:pStyle w:val="686"/>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690"/>
        <w:ind w:firstLine="422"/>
        <w:keepLines w:val="0"/>
        <w:keepNext w:val="0"/>
        <w:spacing w:before="0" w:after="0" w:line="500" w:lineRule="exact"/>
        <w:rPr>
          <w:rFonts w:hint="eastAsia" w:ascii="宋体" w:hAnsi="宋体" w:eastAsia="宋体"/>
          <w:bCs w:val="0"/>
          <w:color w:val="000000"/>
        </w:rPr>
      </w:pPr>
      <w:r/>
      <w:bookmarkStart w:id="163" w:name="_Toc513029233"/>
      <w:r/>
      <w:bookmarkStart w:id="164" w:name="_Toc20823305"/>
      <w:r/>
      <w:bookmarkStart w:id="165" w:name="_Toc16938549"/>
      <w:r>
        <w:rPr>
          <w:rFonts w:hint="eastAsia" w:ascii="宋体" w:hAnsi="宋体" w:eastAsia="宋体"/>
          <w:bCs w:val="0"/>
          <w:color w:val="000000"/>
        </w:rPr>
        <w:t xml:space="preserve">25.对投标文件的初审</w:t>
      </w:r>
      <w:bookmarkEnd w:id="163"/>
      <w:r/>
      <w:bookmarkEnd w:id="164"/>
      <w:r/>
      <w:bookmarkEnd w:id="165"/>
      <w:r>
        <w:rPr>
          <w:rFonts w:hint="eastAsia" w:ascii="宋体" w:hAnsi="宋体" w:eastAsia="宋体"/>
          <w:bCs w:val="0"/>
          <w:color w:val="000000"/>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686"/>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w:t>
      </w:r>
      <w:r>
        <w:rPr>
          <w:rFonts w:hint="eastAsia" w:ascii="宋体" w:hAnsi="宋体"/>
          <w:bCs/>
          <w:color w:val="000000"/>
          <w:sz w:val="24"/>
        </w:rPr>
        <w:t xml:space="preserve">记录。</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6"/>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686"/>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86"/>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686"/>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686"/>
        <w:ind w:firstLine="420"/>
        <w:spacing w:line="500" w:lineRule="exact"/>
        <w:rPr>
          <w:rFonts w:hint="eastAsia" w:ascii="宋体" w:hAnsi="宋体"/>
          <w:color w:val="000000"/>
          <w:sz w:val="24"/>
        </w:rPr>
      </w:pPr>
      <w:r/>
      <w:bookmarkStart w:id="166" w:name="_Toc16938550"/>
      <w:r/>
      <w:bookmarkStart w:id="167" w:name="_Toc513029234"/>
      <w:r/>
      <w:bookmarkStart w:id="168"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66"/>
      <w:r/>
      <w:bookmarkEnd w:id="167"/>
      <w:r/>
      <w:bookmarkEnd w:id="168"/>
      <w:r>
        <w:rPr>
          <w:rFonts w:hint="eastAsia" w:ascii="宋体" w:hAnsi="宋体" w:eastAsia="宋体"/>
          <w:bCs w:val="0"/>
          <w:color w:val="000000"/>
        </w:rPr>
        <w:t xml:space="preserve">.无效投标条款和废标条款</w:t>
      </w:r>
      <w:r/>
    </w:p>
    <w:p>
      <w:pPr>
        <w:pStyle w:val="686"/>
        <w:ind w:left="479"/>
        <w:spacing w:line="500" w:lineRule="exact"/>
        <w:rPr>
          <w:rFonts w:hint="eastAsia" w:ascii="宋体" w:hAnsi="宋体"/>
          <w:bCs/>
          <w:color w:val="000000"/>
          <w:sz w:val="24"/>
        </w:rPr>
      </w:pPr>
      <w:r/>
      <w:bookmarkStart w:id="169" w:name="_Toc20823307"/>
      <w:r/>
      <w:bookmarkStart w:id="170" w:name="_Toc513029235"/>
      <w:r/>
      <w:bookmarkStart w:id="171" w:name="_Toc16938551"/>
      <w:r>
        <w:rPr>
          <w:rFonts w:hint="eastAsia" w:ascii="宋体" w:hAnsi="宋体"/>
          <w:bCs/>
          <w:color w:val="000000"/>
          <w:sz w:val="24"/>
        </w:rPr>
        <w:t xml:space="preserve">26.1无效投标条款</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686"/>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686"/>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686"/>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686"/>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686"/>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686"/>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689"/>
        <w:ind w:firstLine="452"/>
        <w:keepLines w:val="0"/>
        <w:keepNext w:val="0"/>
        <w:spacing w:before="0" w:after="0" w:line="500" w:lineRule="exact"/>
        <w:rPr>
          <w:rFonts w:hint="eastAsia"/>
          <w:color w:val="000000"/>
          <w:sz w:val="30"/>
          <w:szCs w:val="30"/>
        </w:rPr>
      </w:pPr>
      <w:r/>
      <w:bookmarkStart w:id="172" w:name="_Toc120614219"/>
      <w:r>
        <w:rPr>
          <w:rFonts w:hint="eastAsia"/>
          <w:color w:val="000000"/>
          <w:sz w:val="30"/>
          <w:szCs w:val="30"/>
        </w:rPr>
        <w:t xml:space="preserve">六、</w:t>
      </w:r>
      <w:bookmarkEnd w:id="169"/>
      <w:r/>
      <w:bookmarkEnd w:id="170"/>
      <w:r/>
      <w:bookmarkEnd w:id="171"/>
      <w:r>
        <w:rPr>
          <w:rFonts w:hint="eastAsia"/>
          <w:color w:val="000000"/>
          <w:sz w:val="30"/>
          <w:szCs w:val="30"/>
        </w:rPr>
        <w:t xml:space="preserve">定标</w:t>
      </w:r>
      <w:bookmarkEnd w:id="172"/>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Start w:id="173" w:name="_Toc513029238"/>
      <w:r/>
      <w:bookmarkStart w:id="174" w:name="_Toc20823310"/>
      <w:r/>
      <w:bookmarkStart w:id="175" w:name="_Toc16938554"/>
      <w:r>
        <w:rPr>
          <w:rFonts w:hint="eastAsia" w:ascii="宋体" w:hAnsi="宋体" w:eastAsia="宋体"/>
          <w:bCs w:val="0"/>
          <w:color w:val="000000"/>
        </w:rPr>
        <w:t xml:space="preserve">27</w:t>
      </w:r>
      <w:bookmarkEnd w:id="173"/>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74"/>
      <w:r/>
      <w:bookmarkEnd w:id="175"/>
      <w:r>
        <w:rPr>
          <w:rFonts w:hint="eastAsia" w:ascii="宋体" w:hAnsi="宋体" w:eastAsia="宋体"/>
          <w:bCs w:val="0"/>
          <w:color w:val="000000"/>
        </w:rPr>
        <w:t xml:space="preserve">中标单位</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686"/>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86"/>
        <w:ind w:firstLine="480"/>
        <w:spacing w:line="500" w:lineRule="exact"/>
        <w:rPr>
          <w:rFonts w:hint="eastAsia" w:ascii="宋体" w:hAnsi="宋体"/>
          <w:color w:val="000000"/>
          <w:sz w:val="24"/>
          <w:szCs w:val="24"/>
        </w:rPr>
      </w:pPr>
      <w:r/>
      <w:bookmarkStart w:id="176"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86"/>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76"/>
      <w:r>
        <w:rPr>
          <w:rFonts w:hint="eastAsia" w:ascii="宋体" w:hAnsi="宋体" w:eastAsia="宋体"/>
          <w:bCs w:val="0"/>
          <w:color w:val="000000"/>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w:t>
      </w:r>
      <w:r>
        <w:rPr>
          <w:rFonts w:hint="eastAsia" w:ascii="宋体" w:hAnsi="宋体"/>
          <w:color w:val="000000"/>
          <w:sz w:val="24"/>
          <w:szCs w:val="24"/>
        </w:rPr>
        <w:t xml:space="preserve">针对采购文件</w:t>
      </w:r>
      <w:r>
        <w:rPr>
          <w:rFonts w:hint="eastAsia" w:ascii="宋体" w:hAnsi="宋体"/>
          <w:color w:val="000000"/>
          <w:sz w:val="24"/>
          <w:szCs w:val="24"/>
        </w:rPr>
        <w:t xml:space="preserve">提出书面质疑的，须同时</w:t>
      </w:r>
      <w:r>
        <w:rPr>
          <w:rFonts w:hint="eastAsia" w:ascii="宋体" w:hAnsi="宋体"/>
          <w:color w:val="000000"/>
          <w:sz w:val="24"/>
          <w:szCs w:val="24"/>
        </w:rPr>
        <w:t xml:space="preserve">提供</w:t>
      </w:r>
      <w:r>
        <w:rPr>
          <w:rFonts w:hint="eastAsia" w:ascii="宋体" w:hAnsi="宋体"/>
          <w:color w:val="000000"/>
          <w:sz w:val="24"/>
          <w:szCs w:val="24"/>
        </w:rPr>
        <w:t xml:space="preserve">对可质疑的采购文件已进行依法获取的证明，</w:t>
      </w:r>
      <w:r>
        <w:rPr>
          <w:rFonts w:hint="eastAsia" w:ascii="宋体" w:hAnsi="宋体"/>
          <w:color w:val="000000"/>
          <w:sz w:val="24"/>
          <w:szCs w:val="24"/>
        </w:rPr>
        <w:t xml:space="preserve">且</w:t>
      </w:r>
      <w:r>
        <w:rPr>
          <w:rFonts w:hint="eastAsia" w:ascii="宋体" w:hAnsi="宋体"/>
          <w:color w:val="000000"/>
          <w:sz w:val="24"/>
          <w:szCs w:val="24"/>
        </w:rPr>
        <w:t xml:space="preserve">采购人或交易中心有权向“苏采云”系统平台方进行核实。供应商对可质疑的采购文件已进行依法获取的证明是指：本项目的</w:t>
      </w:r>
      <w:r>
        <w:rPr>
          <w:rFonts w:hint="eastAsia" w:ascii="宋体" w:hAnsi="宋体"/>
          <w:color w:val="000000"/>
          <w:sz w:val="24"/>
          <w:szCs w:val="24"/>
        </w:rPr>
        <w:t xml:space="preserve">《投标供应商确认函》</w:t>
      </w:r>
      <w:r>
        <w:rPr>
          <w:rFonts w:hint="eastAsia" w:ascii="宋体" w:hAnsi="宋体"/>
          <w:color w:val="000000"/>
          <w:sz w:val="24"/>
          <w:szCs w:val="24"/>
        </w:rPr>
        <w:t xml:space="preserve">和已在“苏采云”系统中对本项目采购文件进行有效获取的</w:t>
      </w:r>
      <w:r>
        <w:rPr>
          <w:rFonts w:hint="eastAsia" w:ascii="宋体" w:hAnsi="宋体"/>
          <w:color w:val="000000"/>
          <w:sz w:val="24"/>
          <w:szCs w:val="24"/>
        </w:rPr>
        <w:t xml:space="preserve">界面</w:t>
      </w:r>
      <w:r>
        <w:rPr>
          <w:rFonts w:hint="eastAsia" w:ascii="宋体" w:hAnsi="宋体"/>
          <w:color w:val="000000"/>
          <w:sz w:val="24"/>
          <w:szCs w:val="24"/>
        </w:rPr>
        <w:t xml:space="preserve">截图（</w:t>
      </w:r>
      <w:r>
        <w:rPr>
          <w:rFonts w:hint="eastAsia" w:ascii="宋体" w:hAnsi="宋体"/>
          <w:color w:val="000000"/>
          <w:sz w:val="24"/>
          <w:szCs w:val="24"/>
        </w:rPr>
        <w:t xml:space="preserve">截图上显示供应商名称以及</w:t>
      </w:r>
      <w:r>
        <w:rPr>
          <w:rFonts w:hint="eastAsia" w:ascii="宋体" w:hAnsi="宋体"/>
          <w:color w:val="000000"/>
          <w:sz w:val="24"/>
          <w:szCs w:val="24"/>
        </w:rPr>
        <w:t xml:space="preserve">在供应商的</w:t>
      </w:r>
      <w:r>
        <w:rPr>
          <w:rFonts w:hint="eastAsia" w:ascii="宋体" w:hAnsi="宋体"/>
          <w:color w:val="000000"/>
          <w:sz w:val="24"/>
          <w:szCs w:val="24"/>
        </w:rPr>
        <w:t xml:space="preserve">界面操作</w:t>
      </w:r>
      <w:r>
        <w:rPr>
          <w:rFonts w:hint="eastAsia" w:ascii="宋体" w:hAnsi="宋体"/>
          <w:color w:val="000000"/>
          <w:sz w:val="24"/>
          <w:szCs w:val="24"/>
        </w:rPr>
        <w:t xml:space="preserve">一栏处</w:t>
      </w:r>
      <w:r>
        <w:rPr>
          <w:rFonts w:hint="eastAsia" w:ascii="宋体" w:hAnsi="宋体"/>
          <w:color w:val="000000"/>
          <w:sz w:val="24"/>
          <w:szCs w:val="24"/>
        </w:rPr>
        <w:t xml:space="preserve">能够显示“上传文件”按钮的，代表该供应商在</w:t>
      </w:r>
      <w:r>
        <w:rPr>
          <w:rFonts w:hint="eastAsia" w:ascii="宋体" w:hAnsi="宋体"/>
          <w:color w:val="000000"/>
          <w:sz w:val="24"/>
          <w:szCs w:val="24"/>
        </w:rPr>
        <w:t xml:space="preserve">本文件</w:t>
      </w:r>
      <w:r>
        <w:rPr>
          <w:rFonts w:hint="eastAsia" w:ascii="宋体" w:hAnsi="宋体"/>
          <w:color w:val="000000"/>
          <w:sz w:val="24"/>
          <w:szCs w:val="24"/>
        </w:rPr>
        <w:t xml:space="preserve">有效获取期限内已从“苏采云”系统</w:t>
      </w:r>
      <w:r>
        <w:rPr>
          <w:rFonts w:hint="eastAsia" w:ascii="宋体" w:hAnsi="宋体"/>
          <w:color w:val="000000"/>
          <w:sz w:val="24"/>
          <w:szCs w:val="24"/>
        </w:rPr>
        <w:t xml:space="preserve">中</w:t>
      </w:r>
      <w:r>
        <w:rPr>
          <w:rFonts w:hint="eastAsia" w:ascii="宋体" w:hAnsi="宋体"/>
          <w:color w:val="000000"/>
          <w:sz w:val="24"/>
          <w:szCs w:val="24"/>
        </w:rPr>
        <w:t xml:space="preserve">进行了获取）</w:t>
      </w:r>
      <w:r>
        <w:rPr>
          <w:rFonts w:hint="eastAsia" w:ascii="宋体" w:hAnsi="宋体"/>
          <w:color w:val="000000"/>
          <w:sz w:val="24"/>
          <w:szCs w:val="24"/>
        </w:rPr>
        <w:t xml:space="preserve">。</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686"/>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686"/>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9"/>
        <w:ind w:firstLine="452"/>
        <w:keepLines w:val="0"/>
        <w:keepNext w:val="0"/>
        <w:spacing w:before="0" w:after="0" w:line="500" w:lineRule="exact"/>
        <w:rPr>
          <w:rFonts w:hint="eastAsia"/>
          <w:color w:val="000000"/>
          <w:sz w:val="30"/>
          <w:szCs w:val="30"/>
        </w:rPr>
      </w:pPr>
      <w:r/>
      <w:bookmarkStart w:id="177" w:name="_Toc120614220"/>
      <w:r/>
      <w:bookmarkStart w:id="178" w:name="_Toc20823308"/>
      <w:r/>
      <w:bookmarkStart w:id="179" w:name="_Toc16938552"/>
      <w:r/>
      <w:bookmarkStart w:id="180" w:name="_Toc513029236"/>
      <w:r>
        <w:rPr>
          <w:rFonts w:hint="eastAsia"/>
          <w:color w:val="000000"/>
          <w:sz w:val="30"/>
          <w:szCs w:val="30"/>
        </w:rPr>
        <w:t xml:space="preserve">七、授予合同</w:t>
      </w:r>
      <w:bookmarkEnd w:id="177"/>
      <w:r>
        <w:rPr>
          <w:rFonts w:hint="eastAsia"/>
          <w:color w:val="000000"/>
          <w:sz w:val="30"/>
          <w:szCs w:val="30"/>
        </w:rPr>
      </w:r>
      <w:r/>
    </w:p>
    <w:p>
      <w:pPr>
        <w:pStyle w:val="690"/>
        <w:ind w:firstLine="422"/>
        <w:keepLines w:val="0"/>
        <w:keepNext w:val="0"/>
        <w:spacing w:before="0" w:after="0" w:line="500" w:lineRule="exact"/>
        <w:rPr>
          <w:rFonts w:hint="eastAsia" w:ascii="宋体" w:hAnsi="宋体" w:eastAsia="宋体"/>
          <w:bCs w:val="0"/>
          <w:color w:val="000000"/>
        </w:rPr>
      </w:pPr>
      <w:r/>
      <w:bookmarkEnd w:id="178"/>
      <w:r/>
      <w:bookmarkEnd w:id="179"/>
      <w:r/>
      <w:bookmarkEnd w:id="180"/>
      <w:r/>
      <w:bookmarkStart w:id="181" w:name="_Toc16938553"/>
      <w:r/>
      <w:bookmarkStart w:id="182" w:name="_Toc513029237"/>
      <w:r/>
      <w:bookmarkStart w:id="183" w:name="_Toc20823309"/>
      <w:r>
        <w:rPr>
          <w:rFonts w:hint="eastAsia" w:ascii="宋体" w:hAnsi="宋体" w:eastAsia="宋体"/>
          <w:bCs w:val="0"/>
          <w:color w:val="000000"/>
        </w:rPr>
        <w:t xml:space="preserve">30.签订合同</w:t>
      </w:r>
      <w:r/>
    </w:p>
    <w:p>
      <w:pPr>
        <w:pStyle w:val="686"/>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686"/>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0"/>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1"/>
        <w:jc w:val="center"/>
        <w:spacing w:line="500" w:lineRule="exact"/>
        <w:rPr>
          <w:rFonts w:hint="eastAsia" w:ascii="黑体" w:eastAsia="黑体"/>
          <w:bCs/>
          <w:color w:val="000000"/>
          <w:sz w:val="36"/>
          <w:szCs w:val="36"/>
        </w:rPr>
      </w:pPr>
      <w:r/>
      <w:bookmarkEnd w:id="181"/>
      <w:r/>
      <w:bookmarkEnd w:id="182"/>
      <w:r/>
      <w:bookmarkEnd w:id="183"/>
      <w:r/>
      <w:bookmarkStart w:id="184" w:name="_Toc479757207"/>
      <w:r/>
      <w:bookmarkStart w:id="185" w:name="_Toc20823314"/>
      <w:r/>
      <w:bookmarkStart w:id="186" w:name="_Toc120614221"/>
      <w:r/>
      <w:bookmarkStart w:id="187" w:name="_Toc16938558"/>
      <w:r/>
      <w:bookmarkStart w:id="188"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84"/>
      <w:r/>
      <w:bookmarkEnd w:id="185"/>
      <w:r/>
      <w:bookmarkEnd w:id="186"/>
      <w:r/>
      <w:bookmarkEnd w:id="187"/>
      <w:r/>
      <w:bookmarkEnd w:id="188"/>
      <w:r>
        <w:rPr>
          <w:rFonts w:hint="eastAsia" w:ascii="黑体" w:eastAsia="黑体"/>
          <w:bCs/>
          <w:color w:val="000000"/>
          <w:sz w:val="36"/>
          <w:szCs w:val="36"/>
        </w:rPr>
        <w:t xml:space="preserve">文本</w:t>
      </w:r>
      <w:r/>
    </w:p>
    <w:p>
      <w:pPr>
        <w:pStyle w:val="686"/>
        <w:ind w:firstLine="480"/>
        <w:spacing w:line="400" w:lineRule="exact"/>
        <w:rPr>
          <w:rFonts w:hint="eastAsia" w:ascii="宋体" w:hAnsi="宋体"/>
          <w:bCs/>
          <w:color w:val="000000"/>
          <w:sz w:val="24"/>
        </w:rPr>
      </w:pPr>
      <w:r/>
      <w:bookmarkStart w:id="189" w:name="_Toc20823315"/>
      <w:r/>
      <w:bookmarkStart w:id="190" w:name="_Toc16938559"/>
      <w:r/>
      <w:bookmarkStart w:id="191"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686"/>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25"/>
        <w:spacing w:line="400" w:lineRule="exact"/>
        <w:rPr>
          <w:rFonts w:hAnsi="宋体"/>
          <w:color w:val="000000"/>
          <w:sz w:val="24"/>
          <w:szCs w:val="24"/>
        </w:rPr>
      </w:pPr>
      <w:r>
        <w:rPr>
          <w:rFonts w:hAnsi="宋体"/>
          <w:color w:val="000000"/>
          <w:sz w:val="24"/>
          <w:szCs w:val="24"/>
        </w:rPr>
        <w:t xml:space="preserve">项目名称：                                       项目编号：</w:t>
      </w:r>
      <w:r/>
    </w:p>
    <w:p>
      <w:pPr>
        <w:pStyle w:val="725"/>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25"/>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25"/>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25"/>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25"/>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25"/>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25"/>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25"/>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25"/>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25"/>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5"/>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25"/>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25"/>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25"/>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25"/>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25"/>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25"/>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25"/>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68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68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686"/>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25"/>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25"/>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w:t>
      </w:r>
      <w:r>
        <w:rPr>
          <w:rFonts w:hint="eastAsia" w:hAnsi="宋体"/>
          <w:color w:val="000000"/>
          <w:sz w:val="24"/>
          <w:szCs w:val="24"/>
          <w:lang w:eastAsia="zh-CN"/>
        </w:rPr>
        <w:t xml:space="preserve">10个工作日</w:t>
      </w:r>
      <w:r>
        <w:rPr>
          <w:rFonts w:hint="eastAsia" w:hAnsi="宋体"/>
          <w:color w:val="000000"/>
          <w:sz w:val="24"/>
          <w:szCs w:val="24"/>
        </w:rPr>
        <w:t xml:space="preserve">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25"/>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686"/>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86"/>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25"/>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25"/>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725"/>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25"/>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25"/>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25"/>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25"/>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686"/>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686"/>
        <w:ind w:firstLine="480"/>
        <w:jc w:val="center"/>
        <w:spacing w:line="400" w:lineRule="exact"/>
        <w:rPr>
          <w:rFonts w:ascii="黑体" w:eastAsia="黑体"/>
          <w:bCs/>
          <w:color w:val="000000"/>
          <w:sz w:val="36"/>
          <w:szCs w:val="36"/>
        </w:rPr>
      </w:pPr>
      <w:r>
        <w:rPr>
          <w:color w:val="000000"/>
          <w:sz w:val="24"/>
          <w:szCs w:val="24"/>
        </w:rPr>
        <w:br w:type="page" w:clear="all"/>
      </w:r>
      <w:bookmarkEnd w:id="189"/>
      <w:r/>
      <w:bookmarkEnd w:id="190"/>
      <w:r/>
      <w:bookmarkEnd w:id="191"/>
      <w:r/>
      <w:bookmarkStart w:id="192" w:name="_Hlt16619369"/>
      <w:r/>
      <w:bookmarkEnd w:id="192"/>
      <w:r/>
      <w:bookmarkStart w:id="193" w:name="_Hlt16619350"/>
      <w:r/>
      <w:bookmarkStart w:id="194" w:name="_Toc20823346"/>
      <w:r/>
      <w:bookmarkStart w:id="195" w:name="_Toc16938590"/>
      <w:r/>
      <w:bookmarkStart w:id="196" w:name="_Toc120614244"/>
      <w:r/>
      <w:bookmarkStart w:id="197" w:name="_Toc479757211"/>
      <w:r/>
      <w:bookmarkStart w:id="198" w:name="_Toc462564139"/>
      <w:r>
        <w:rPr>
          <w:rFonts w:ascii="黑体" w:eastAsia="黑体"/>
          <w:bCs/>
          <w:color w:val="000000"/>
          <w:sz w:val="36"/>
          <w:szCs w:val="36"/>
        </w:rPr>
      </w:r>
      <w:r/>
    </w:p>
    <w:p>
      <w:pPr>
        <w:pStyle w:val="686"/>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93"/>
      <w:r>
        <w:rPr>
          <w:rFonts w:hint="eastAsia" w:ascii="黑体" w:eastAsia="黑体"/>
          <w:bCs/>
          <w:color w:val="000000"/>
          <w:sz w:val="36"/>
          <w:szCs w:val="36"/>
        </w:rPr>
        <w:t xml:space="preserve">四章 采购需求</w:t>
      </w:r>
      <w:bookmarkEnd w:id="194"/>
      <w:r/>
      <w:bookmarkEnd w:id="195"/>
      <w:r/>
      <w:bookmarkEnd w:id="196"/>
      <w:r>
        <w:rPr>
          <w:rFonts w:hint="eastAsia" w:hAnsi="宋体"/>
          <w:color w:val="000000"/>
          <w:sz w:val="36"/>
          <w:szCs w:val="36"/>
        </w:rPr>
      </w:r>
      <w:r/>
    </w:p>
    <w:p>
      <w:pPr>
        <w:pStyle w:val="686"/>
        <w:ind w:firstLine="600"/>
        <w:jc w:val="left"/>
        <w:spacing w:line="360" w:lineRule="auto"/>
        <w:rPr>
          <w:rFonts w:hint="eastAsia" w:ascii="黑体" w:hAnsi="黑体" w:eastAsia="黑体"/>
          <w:color w:val="000000"/>
          <w:sz w:val="30"/>
          <w:szCs w:val="30"/>
        </w:rPr>
      </w:pPr>
      <w:r/>
      <w:bookmarkStart w:id="199" w:name="_Toc49090575"/>
      <w:r/>
      <w:bookmarkStart w:id="200" w:name="_Toc26554093"/>
      <w:r>
        <w:rPr>
          <w:rFonts w:hint="eastAsia" w:ascii="黑体" w:hAnsi="黑体" w:eastAsia="黑体"/>
          <w:color w:val="000000"/>
          <w:sz w:val="30"/>
          <w:szCs w:val="30"/>
        </w:rPr>
        <w:t xml:space="preserve">本项目属性：服务类项目</w:t>
      </w:r>
      <w:r/>
    </w:p>
    <w:p>
      <w:pPr>
        <w:pStyle w:val="68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686"/>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本项目标的物所属行业：软件和信息技术服务业</w:t>
      </w:r>
      <w:r>
        <w:rPr>
          <w:rFonts w:ascii="宋体" w:hAnsi="宋体"/>
          <w:color w:val="000000"/>
          <w:sz w:val="24"/>
          <w:szCs w:val="24"/>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1、项目整体概况</w:t>
      </w:r>
      <w:r>
        <w:rPr>
          <w:color w:val="000000"/>
        </w:rPr>
      </w:r>
      <w:r/>
    </w:p>
    <w:p>
      <w:pPr>
        <w:pStyle w:val="686"/>
        <w:ind w:firstLine="480"/>
        <w:spacing w:line="85" w:lineRule="atLeast"/>
        <w:tabs>
          <w:tab w:val="left" w:pos="945" w:leader="none"/>
          <w:tab w:val="left" w:pos="1155"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学校智慧校园软硬件平台从2017年着手建设，投入500余万元。</w:t>
      </w:r>
      <w:r>
        <w:rPr>
          <w:color w:val="000000"/>
        </w:rPr>
      </w:r>
      <w:r/>
    </w:p>
    <w:p>
      <w:pPr>
        <w:pStyle w:val="686"/>
        <w:ind w:firstLine="480"/>
        <w:spacing w:line="85" w:lineRule="atLeast"/>
        <w:tabs>
          <w:tab w:val="left" w:pos="945" w:leader="none"/>
          <w:tab w:val="left" w:pos="1155"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学校学生一站式网上办事大厅从2020年着手建设，投入200余万，于2023年12月17日过保。</w:t>
      </w:r>
      <w:r>
        <w:rPr>
          <w:color w:val="000000"/>
        </w:rPr>
      </w:r>
      <w:r/>
    </w:p>
    <w:p>
      <w:pPr>
        <w:pStyle w:val="686"/>
        <w:ind w:firstLine="480"/>
        <w:spacing w:line="85" w:lineRule="atLeast"/>
        <w:tabs>
          <w:tab w:val="left" w:pos="945" w:leader="none"/>
          <w:tab w:val="left" w:pos="1155"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学校医学教育实习管理软件从2020年着手建设，投入17万元，于2023年12月16日过保。</w:t>
      </w:r>
      <w:r>
        <w:rPr>
          <w:color w:val="000000"/>
        </w:rPr>
      </w:r>
      <w:r/>
    </w:p>
    <w:p>
      <w:pPr>
        <w:pStyle w:val="686"/>
        <w:ind w:firstLine="48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本次项目拟将学校软硬件项目整体外包，统一管理，交给专业团队运维。</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2、项目维保范围</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2.1学生一站式网上办事大厅系统平台</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1)业务系统服务范围</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2902"/>
        <w:gridCol w:w="5046"/>
      </w:tblGrid>
      <w:tr>
        <w:trPr>
          <w:trHeight w:val="5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274"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名称</w:t>
            </w:r>
            <w:r>
              <w:rPr>
                <w:color w:val="000000"/>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046"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维护部门</w:t>
            </w:r>
            <w:r>
              <w:rPr>
                <w:color w:val="000000"/>
              </w:rPr>
            </w:r>
            <w:r/>
          </w:p>
        </w:tc>
      </w:tr>
      <w:tr>
        <w:trPr>
          <w:trHeight w:val="5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274"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网上办事大厅</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046" w:type="dxa"/>
            <w:vAlign w:val="top"/>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图文信息中心</w:t>
            </w:r>
            <w:r>
              <w:rPr>
                <w:color w:val="000000"/>
              </w:rPr>
            </w:r>
            <w:r/>
          </w:p>
        </w:tc>
      </w:tr>
      <w:tr>
        <w:trPr>
          <w:trHeight w:val="5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35"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274"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自助打印服务终端</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046" w:type="dxa"/>
            <w:vAlign w:val="top"/>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图文信息中心</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2）硬件维保清单</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2336"/>
        <w:gridCol w:w="1777"/>
        <w:gridCol w:w="2198"/>
        <w:gridCol w:w="722"/>
        <w:gridCol w:w="1296"/>
      </w:tblGrid>
      <w:tr>
        <w:trPr>
          <w:trHeight w:val="49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设备名称</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厂家</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型号</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数量</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rPr>
                <w:color w:val="000000"/>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虚拟化服务器</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DELLEMC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Poweredge R740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高性能数据存储</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DELLEMC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SC5020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SAN交换机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DELLEMC </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Connectrix DS-6505B</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3）虚拟化运维服务</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833"/>
        <w:gridCol w:w="5196"/>
        <w:gridCol w:w="956"/>
      </w:tblGrid>
      <w:tr>
        <w:trPr>
          <w:trHeight w:val="6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98" w:type="dxa"/>
            <w:vAlign w:val="center"/>
            <w:textDirection w:val="lrTb"/>
            <w:noWrap/>
          </w:tcPr>
          <w:p>
            <w:pPr>
              <w:pStyle w:val="686"/>
              <w:spacing w:before="240" w:after="240"/>
              <w:rPr>
                <w:color w:val="00000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833" w:type="dxa"/>
            <w:vAlign w:val="center"/>
            <w:textDirection w:val="lrTb"/>
            <w:noWrap/>
          </w:tcPr>
          <w:p>
            <w:pPr>
              <w:pStyle w:val="686"/>
              <w:spacing w:before="240" w:after="240"/>
              <w:rPr>
                <w:color w:val="00000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名称</w:t>
            </w:r>
            <w:r>
              <w:rPr>
                <w:color w:val="000000"/>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196" w:type="dxa"/>
            <w:vAlign w:val="center"/>
            <w:textDirection w:val="lrTb"/>
            <w:noWrap/>
          </w:tcPr>
          <w:p>
            <w:pPr>
              <w:pStyle w:val="686"/>
              <w:spacing w:before="240" w:after="240"/>
              <w:rPr>
                <w:color w:val="00000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服务范围</w:t>
            </w:r>
            <w:r>
              <w:rPr>
                <w:color w:val="000000"/>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27" w:type="dxa"/>
            <w:vAlign w:val="center"/>
            <w:textDirection w:val="lrTb"/>
            <w:noWrap w:val="false"/>
          </w:tcPr>
          <w:p>
            <w:pPr>
              <w:pStyle w:val="686"/>
              <w:jc w:val="center"/>
              <w:spacing w:before="240" w:after="240"/>
              <w:rPr>
                <w:color w:val="00000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数量</w:t>
            </w:r>
            <w:r>
              <w:rPr>
                <w:color w:val="000000"/>
              </w:rPr>
            </w:r>
            <w:r/>
          </w:p>
        </w:tc>
      </w:tr>
      <w:tr>
        <w:trPr>
          <w:trHeight w:val="3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8" w:type="dxa"/>
            <w:vAlign w:val="center"/>
            <w:textDirection w:val="lrTb"/>
            <w:noWrap/>
          </w:tcPr>
          <w:p>
            <w:pPr>
              <w:pStyle w:val="686"/>
              <w:spacing w:before="240" w:after="240"/>
              <w:rPr>
                <w:color w:val="000000"/>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33" w:type="dxa"/>
            <w:vAlign w:val="center"/>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虚拟化运维服务</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96"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对4台DELLEMC Poweredge R740虚拟化服务器上所运行的虚拟化软件提供运维服务。</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r>
    </w:tbl>
    <w:p>
      <w:pPr>
        <w:pStyle w:val="686"/>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2.2数据中心软硬件</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1)业务系统服务范围</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2830"/>
        <w:gridCol w:w="4253"/>
      </w:tblGrid>
      <w:tr>
        <w:trPr>
          <w:trHeight w:val="5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名称</w:t>
            </w:r>
            <w:r>
              <w:rPr>
                <w:color w:val="000000"/>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维护部门</w:t>
            </w:r>
            <w:r>
              <w:rPr>
                <w:color w:val="000000"/>
              </w:rPr>
            </w:r>
            <w:r/>
          </w:p>
        </w:tc>
      </w:tr>
      <w:tr>
        <w:trPr>
          <w:trHeight w:val="5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公共数据平台</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图文信息中心</w:t>
            </w:r>
            <w:r>
              <w:rPr>
                <w:color w:val="000000"/>
              </w:rPr>
            </w:r>
            <w:r/>
          </w:p>
        </w:tc>
      </w:tr>
      <w:tr>
        <w:trPr>
          <w:trHeight w:val="51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身份管理平台</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图文信息中心</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信息门户平台</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图文信息中心</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学生综合管理</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学工处</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教学综合管理</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教务处</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人事综合管理</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办公室</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办公自动化管理</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办公室</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科研综合管理</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教研处</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数字化学习中心</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教务处</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图书馆管理系统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图文信息中心</w:t>
            </w:r>
            <w:r>
              <w:rPr>
                <w:color w:val="000000"/>
              </w:rPr>
            </w:r>
            <w:r/>
          </w:p>
        </w:tc>
      </w:tr>
      <w:tr>
        <w:trPr>
          <w:trHeight w:val="55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97" w:type="dxa"/>
            <w:vAlign w:val="center"/>
            <w:textDirection w:val="lrTb"/>
            <w:noWrap/>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11</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830" w:type="dxa"/>
            <w:vAlign w:val="center"/>
            <w:textDirection w:val="lrTb"/>
            <w:noWrap w:val="false"/>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应用集成</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53" w:type="dxa"/>
            <w:vAlign w:val="center"/>
            <w:textDirection w:val="lrTb"/>
            <w:noWrap/>
          </w:tcPr>
          <w:p>
            <w:pPr>
              <w:pStyle w:val="686"/>
              <w:ind w:firstLine="480"/>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图文信息中心</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2）硬件维保清单</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93"/>
        <w:gridCol w:w="960"/>
        <w:gridCol w:w="1480"/>
        <w:gridCol w:w="764"/>
        <w:gridCol w:w="1781"/>
      </w:tblGrid>
      <w:tr>
        <w:trPr>
          <w:trHeight w:val="499"/>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设备名称</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厂家</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型号</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数量</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rPr>
                <w:color w:val="000000"/>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存储设备</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IBM</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V7000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小型机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IBM</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P730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服务器1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IBM</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X3550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服务器2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DELL</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R720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上网行为管理设备</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深信服</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AC-E690-L</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SSL VPN接入设备</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深信服</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VPN-E390-L</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WEB防火墙</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绿盟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NX3-P1000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pStyle w:val="686"/>
              <w:jc w:val="center"/>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color w:val="000000"/>
              </w:rPr>
            </w:r>
            <w:r/>
          </w:p>
        </w:tc>
      </w:tr>
    </w:tbl>
    <w:p>
      <w:pPr>
        <w:pStyle w:val="686"/>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2.3医学教育实习管理系统</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1)业务系统服务范围</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7"/>
        <w:gridCol w:w="2279"/>
        <w:gridCol w:w="4753"/>
      </w:tblGrid>
      <w:tr>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51"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366"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系统名称</w:t>
            </w:r>
            <w:r>
              <w:rPr>
                <w:color w:val="000000"/>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493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使用情况</w:t>
            </w:r>
            <w:r>
              <w:rPr>
                <w:color w:val="000000"/>
              </w:rPr>
            </w:r>
            <w:r/>
          </w:p>
        </w:tc>
      </w:tr>
      <w:tr>
        <w:trPr>
          <w:trHeight w:val="58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51"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366"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医学教育实习管理软件</w:t>
            </w:r>
            <w:r>
              <w:rPr>
                <w:color w:val="000000"/>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938" w:type="dxa"/>
            <w:vAlign w:val="center"/>
            <w:textDirection w:val="lrTb"/>
            <w:noWrap w:val="false"/>
          </w:tcPr>
          <w:p>
            <w:pPr>
              <w:pStyle w:val="686"/>
              <w:spacing w:before="240" w:after="24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自20年建设实施以来，通过在云服务器等高性能硬件设备上，部署数据库软件、操作系统等基础环境软件后，由德慷业务厂商实施部署了医学教育实习管理软件，极大的提高了学校实习管理信息化管理能力与日常学习办公效率，截至目前有4000余师生参与了使用。</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2.4网络安全服务</w:t>
      </w:r>
      <w:r>
        <w:rPr>
          <w:color w:val="000000"/>
        </w:rPr>
      </w:r>
      <w:r/>
    </w:p>
    <w:p>
      <w:pPr>
        <w:pStyle w:val="686"/>
        <w:ind w:firstLine="480"/>
        <w:spacing w:after="5"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项目旨在通过对我校互联网及内部系统进行周期性网络安全服务，能够应对当前复杂的网络安全形势，提升系统互联网安全防护能力与服务质量，建立长效的安全保障机制，保证互联网信息系统的正常运行，建立、健全网络安全事件预防和应急处置工作机制，从而能够有效保障各项业务服务的正常开展。</w:t>
      </w:r>
      <w:r>
        <w:rPr>
          <w:color w:val="000000"/>
        </w:rPr>
      </w:r>
      <w:r/>
    </w:p>
    <w:p>
      <w:pPr>
        <w:pStyle w:val="686"/>
        <w:ind w:firstLine="42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我校目前拥有的信息系统清单如下：</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3953"/>
        <w:gridCol w:w="2958"/>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系统名称</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所属网络</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公共数据平台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身份管理平台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互联网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信息门户平台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学生综合管理</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5</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教学综合管理</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6</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人事综合管理</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7</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办公自动化管理</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互联网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8</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科研综合管理</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9</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图书馆管理系统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数字化学习中心</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统一支付平台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离校管理系统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资产管理系统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实训管理系统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15</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约创云管理平台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16</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无锡卫校学生一站式办事大厅</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互联网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17</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无锡卫校自主缴费平台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18</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无锡卫校经费报销管理、薪资管理平台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19</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无锡卫校医学实习管理系统</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互联网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教育综合安防管理平台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专网</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官网</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互联网</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3、项目服务内容</w:t>
      </w:r>
      <w:r>
        <w:rPr>
          <w:color w:val="000000"/>
        </w:rPr>
      </w:r>
      <w:r/>
    </w:p>
    <w:p>
      <w:pPr>
        <w:pStyle w:val="686"/>
        <w:ind w:firstLine="42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3.1学生一站式网上办事大厅</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（1）业务系统服务要求</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1、按照季度对系统进行巡检，7*24小时远程响应，响应时间要求如下：</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2052"/>
        <w:gridCol w:w="2446"/>
        <w:gridCol w:w="3347"/>
      </w:tblGrid>
      <w:tr>
        <w:trPr>
          <w:trHeight w:val="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故障级别</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远程响应</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pStyle w:val="686"/>
              <w:ind w:left="-9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现场响应</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pStyle w:val="686"/>
              <w:ind w:left="-19"/>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故障解决时间</w:t>
            </w:r>
            <w:r>
              <w:rPr>
                <w:color w:val="000000"/>
              </w:rPr>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普通故障</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8小时内响应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pStyle w:val="686"/>
              <w:ind w:left="-9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48小时内到现场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pStyle w:val="686"/>
              <w:ind w:left="-19"/>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到达现场后24小时内</w:t>
            </w:r>
            <w:r>
              <w:rPr>
                <w:color w:val="000000"/>
              </w:r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重大故障</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2小时内响应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pStyle w:val="686"/>
              <w:ind w:left="-9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pStyle w:val="686"/>
              <w:ind w:left="-19"/>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到达现场后24小时内</w:t>
            </w:r>
            <w:r>
              <w:rPr>
                <w:color w:val="000000"/>
              </w:rPr>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特大故障</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30分钟内响应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pStyle w:val="686"/>
              <w:ind w:left="-9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pStyle w:val="686"/>
              <w:ind w:left="-19"/>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到达现场后12小时内</w:t>
            </w:r>
            <w:r>
              <w:rPr>
                <w:color w:val="000000"/>
              </w:rPr>
            </w:r>
            <w:r/>
          </w:p>
        </w:tc>
      </w:tr>
    </w:tbl>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2、提供主/备至少两位服务工程师。</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3、建立知识库，对问题进行初判并试图解决问题。</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4、能够对问题进行跟踪、并能及时通知相关人员尽快解决问题，直到问题的关闭。所有问题要都能闭环管理，有相关记录，并作为工作量支撑。</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5、对未按时解决的问题，能够将事件升级并上报有关方和上级主管。</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6、能够统计每周、每月、每年的问题次数、故障次数。</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7、维护人员可以通过管理系统进行事件/故障的查询、人工录入、工单指派、处理、跟踪等操作。</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8、对每次故障须明确问题原因，并按照要求在5个工作日内提供故障报告。</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（2）硬件设备维保服务要求</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7194"/>
      </w:tblGrid>
      <w:tr>
        <w:trPr>
          <w:trHeight w:val="2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服务名称</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ind w:firstLine="336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标准服务要求</w:t>
            </w:r>
            <w:r>
              <w:rPr>
                <w:color w:val="000000"/>
              </w:rPr>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日常巡检</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季度的健康巡检：对设备进行巡检，及时发现故障和排除故障，并做好日常巡检及故障隐患处置记录。巡检内容至少包括：（1）服务器存储等设备是否正常可用，是否有指示硬件故障报警；（2）服务器存储设备之间访问和运行状况是否正常；（3）对服务器存储负载均衡等配置文件等进行备份；（4）巡检中发现问题时，及时上报处理； </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故障响应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要求及时故障响应：维保期间提供全天候7*24小时的技术支持，设备发生故障接到用户报修通知后1小时内响应, 如需现场调试，则须在2小时内技术人员到达现场判断故障问题。</w:t>
            </w:r>
            <w:r>
              <w:rPr>
                <w:color w:val="000000"/>
              </w:rPr>
            </w:r>
            <w:r/>
          </w:p>
        </w:tc>
      </w:tr>
      <w:tr>
        <w:trPr>
          <w:cantSplit/>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vMerge w:val="restart"/>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故障处理</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要求快速故障处理：针对故障的处理，要求如下：</w:t>
            </w:r>
            <w:r>
              <w:rPr>
                <w:color w:val="000000"/>
              </w:rPr>
            </w:r>
            <w:r/>
          </w:p>
        </w:tc>
      </w:tr>
      <w:tr>
        <w:trPr>
          <w:cantSplit/>
          <w:trHeight w:val="240"/>
        </w:trPr>
        <w:tc>
          <w:tcPr>
            <w:tcW w:w="1975"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（1）若能通过修改配置解决，要求快速解决； </w:t>
            </w:r>
            <w:r>
              <w:rPr>
                <w:color w:val="000000"/>
              </w:rPr>
            </w:r>
            <w:r/>
          </w:p>
        </w:tc>
      </w:tr>
      <w:tr>
        <w:trPr>
          <w:cantSplit/>
          <w:trHeight w:val="960"/>
        </w:trPr>
        <w:tc>
          <w:tcPr>
            <w:tcW w:w="1975"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（2）若判断为不能通过修改配置解决的硬件故障时，及时进行设备更换，全程跟踪解决过程，确保问题快速解决； </w:t>
            </w:r>
            <w:r>
              <w:rPr>
                <w:color w:val="000000"/>
              </w:rPr>
            </w:r>
            <w:r/>
          </w:p>
        </w:tc>
      </w:tr>
      <w:tr>
        <w:trPr>
          <w:cantSplit/>
          <w:trHeight w:val="480"/>
        </w:trPr>
        <w:tc>
          <w:tcPr>
            <w:tcW w:w="1975"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（3）故障处置完成后，提供《故障处理及问题分析报告》，分析故障产生的原因，并提出预防性改善建议。</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技术咨询</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要求技术咨询服务：对学校在日常使用、运维中出现的问题，及时进行问题的解答与指导。</w:t>
            </w:r>
            <w:r>
              <w:rPr>
                <w:color w:val="000000"/>
              </w:rPr>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服务时间</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提供一年的基础硬件维保服务，自服务合同签订生效之日起开始一年为限。</w:t>
            </w:r>
            <w:r>
              <w:rPr>
                <w:color w:val="000000"/>
              </w:rPr>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服务范围</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4"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硬件维保清单中的相关设备</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（3）虚拟化运维服务要求</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9"/>
        <w:gridCol w:w="4467"/>
        <w:gridCol w:w="1217"/>
        <w:gridCol w:w="1210"/>
      </w:tblGrid>
      <w:tr>
        <w:trPr>
          <w:trHeight w:val="560"/>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71" w:type="dxa"/>
            <w:vAlign w:val="bottom"/>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服务项</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663" w:type="dxa"/>
            <w:vAlign w:val="bottom"/>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服务要求</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61" w:type="dxa"/>
            <w:vAlign w:val="center"/>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交付物</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54" w:type="dxa"/>
            <w:vAlign w:val="center"/>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标准服务</w:t>
            </w:r>
            <w:r>
              <w:rPr>
                <w:color w:val="000000"/>
              </w:rPr>
            </w:r>
            <w:r/>
          </w:p>
        </w:tc>
      </w:tr>
      <w:tr>
        <w:trPr>
          <w:cantSplit/>
          <w:trHeight w:val="5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71" w:type="dxa"/>
            <w:vAlign w:val="center"/>
            <w:vMerge w:val="restart"/>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资产梳理</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1.梳理虚拟化平台整体资源情况，包括CPU、内存、磁盘的消耗及剩余情况，对每个集群实际的cpu配比、内存需求、东西向流量进行分析，对后续扩容提供指导性数据；</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1" w:type="dxa"/>
            <w:vAlign w:val="center"/>
            <w:vMerge w:val="restart"/>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资产数量清单表</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54" w:type="dxa"/>
            <w:vAlign w:val="center"/>
            <w:vMerge w:val="restart"/>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5*8技术响应、远程或现场</w:t>
            </w:r>
            <w:r>
              <w:rPr>
                <w:color w:val="000000"/>
              </w:rPr>
            </w:r>
            <w:r/>
          </w:p>
        </w:tc>
      </w:tr>
      <w:tr>
        <w:trPr>
          <w:cantSplit/>
          <w:trHeight w:val="560"/>
        </w:trPr>
        <w:tc>
          <w:tcPr>
            <w:tcW w:w="2089"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2.根据厂家的最佳实践及应用系统的需求，评估虚拟化平台存在问题隐患，列出隐患清单。</w:t>
            </w:r>
            <w:r>
              <w:rPr>
                <w:color w:val="000000"/>
              </w:rPr>
            </w:r>
            <w:r/>
          </w:p>
        </w:tc>
        <w:tc>
          <w:tcPr>
            <w:tcW w:w="1217" w:type="auto"/>
            <w:vAlign w:val="top"/>
            <w:vMerge w:val="continue"/>
            <w:textDirection w:val="lrTb"/>
            <w:noWrap w:val="false"/>
          </w:tcPr>
          <w:p>
            <w:pPr>
              <w:pStyle w:val="686"/>
              <w:rPr>
                <w:color w:val="000000"/>
              </w:rPr>
            </w:pPr>
            <w:r>
              <w:rPr>
                <w:color w:val="000000"/>
              </w:rPr>
            </w:r>
            <w:r/>
          </w:p>
        </w:tc>
        <w:tc>
          <w:tcPr>
            <w:tcW w:w="1210" w:type="auto"/>
            <w:vAlign w:val="top"/>
            <w:vMerge w:val="continue"/>
            <w:textDirection w:val="lrTb"/>
            <w:noWrap w:val="false"/>
          </w:tcPr>
          <w:p>
            <w:pPr>
              <w:pStyle w:val="686"/>
              <w:rPr>
                <w:color w:val="000000"/>
              </w:rPr>
            </w:pPr>
            <w:r>
              <w:rPr>
                <w:color w:val="000000"/>
              </w:rPr>
            </w:r>
            <w:r/>
          </w:p>
        </w:tc>
      </w:tr>
      <w:tr>
        <w:trPr>
          <w:trHeight w:val="5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71" w:type="dxa"/>
            <w:vAlign w:val="center"/>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优化整改服务</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虚拟化结构优化：规划虚拟化集群与业务分类管理，测算未来几年内存储空间、性能要求，规范划分每个集群独立的存储空间，互不干扰；</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1"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《优化整改建议报告》</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54"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5*8技术响应、远程</w:t>
            </w:r>
            <w:r>
              <w:rPr>
                <w:color w:val="000000"/>
              </w:rPr>
            </w:r>
            <w:r/>
          </w:p>
        </w:tc>
      </w:tr>
      <w:tr>
        <w:trPr>
          <w:trHeight w:val="5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71" w:type="dxa"/>
            <w:vAlign w:val="center"/>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巡检服务</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每季度登录虚拟化平台管理界面，查看是否有异常（虚拟主机、虚拟机、集群、存储的状态异常，平台各类告警等），输出《虚拟化巡检报告》。</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1"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《虚拟化巡检报告》</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54"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季度、远程</w:t>
            </w:r>
            <w:r>
              <w:rPr>
                <w:color w:val="000000"/>
              </w:rPr>
            </w:r>
            <w:r/>
          </w:p>
        </w:tc>
      </w:tr>
      <w:tr>
        <w:trPr>
          <w:cantSplit/>
          <w:trHeight w:val="5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71" w:type="dxa"/>
            <w:vAlign w:val="center"/>
            <w:vMerge w:val="restart"/>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资源分配与回收服务</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1.针对新上线系统需要提供虚拟机资源时，对其资源数量、性能进行评估，确定部署的集群、部署的物理服务器、存储卷，通过校方提供的云管平台分配虚拟机；</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1" w:type="dxa"/>
            <w:vAlign w:val="center"/>
            <w:vMerge w:val="restart"/>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小助手工单</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54" w:type="dxa"/>
            <w:vAlign w:val="center"/>
            <w:vMerge w:val="restart"/>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7*24技术响应、远程</w:t>
            </w:r>
            <w:r>
              <w:rPr>
                <w:color w:val="000000"/>
              </w:rPr>
            </w:r>
            <w:r/>
          </w:p>
        </w:tc>
      </w:tr>
      <w:tr>
        <w:trPr>
          <w:cantSplit/>
          <w:trHeight w:val="560"/>
        </w:trPr>
        <w:tc>
          <w:tcPr>
            <w:tcW w:w="2089"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2.每季度对虚拟机的使用情况给出评估报告，给出资源回收建议，并在校方同意的情况下通过校方提供的云管平台回收虚拟机。</w:t>
            </w:r>
            <w:r>
              <w:rPr>
                <w:color w:val="000000"/>
              </w:rPr>
            </w:r>
            <w:r/>
          </w:p>
        </w:tc>
        <w:tc>
          <w:tcPr>
            <w:tcW w:w="1217" w:type="auto"/>
            <w:vAlign w:val="top"/>
            <w:vMerge w:val="continue"/>
            <w:textDirection w:val="lrTb"/>
            <w:noWrap w:val="false"/>
          </w:tcPr>
          <w:p>
            <w:pPr>
              <w:pStyle w:val="686"/>
              <w:rPr>
                <w:color w:val="000000"/>
              </w:rPr>
            </w:pPr>
            <w:r>
              <w:rPr>
                <w:color w:val="000000"/>
              </w:rPr>
            </w:r>
            <w:r/>
          </w:p>
        </w:tc>
        <w:tc>
          <w:tcPr>
            <w:tcW w:w="1210" w:type="auto"/>
            <w:vAlign w:val="top"/>
            <w:vMerge w:val="continue"/>
            <w:textDirection w:val="lrTb"/>
            <w:noWrap w:val="false"/>
          </w:tcPr>
          <w:p>
            <w:pPr>
              <w:pStyle w:val="686"/>
              <w:rPr>
                <w:color w:val="000000"/>
              </w:rPr>
            </w:pPr>
            <w:r>
              <w:rPr>
                <w:color w:val="000000"/>
              </w:rPr>
            </w:r>
            <w:r/>
          </w:p>
        </w:tc>
      </w:tr>
      <w:tr>
        <w:trPr>
          <w:trHeight w:val="5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71" w:type="dxa"/>
            <w:vAlign w:val="center"/>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模板维护服务</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对虚拟机的操作系统模板进行维护，针对模板打好最新安全补丁。</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1"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小助手工单</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54"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5*8技术响应、远程或现场</w:t>
            </w:r>
            <w:r>
              <w:rPr>
                <w:color w:val="000000"/>
              </w:rPr>
            </w:r>
            <w:r/>
          </w:p>
        </w:tc>
      </w:tr>
      <w:tr>
        <w:trPr>
          <w:cantSplit/>
          <w:trHeight w:val="5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71" w:type="dxa"/>
            <w:vAlign w:val="center"/>
            <w:vMerge w:val="restart"/>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请求响应服务</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 在操作系统处理文件只读等问题时，协助在虚拟化控制台完成操作系统关机、重启操作；</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61" w:type="dxa"/>
            <w:vAlign w:val="center"/>
            <w:vMerge w:val="restart"/>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小助手工单</w:t>
            </w: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54" w:type="dxa"/>
            <w:vAlign w:val="center"/>
            <w:vMerge w:val="restart"/>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7*24技术响应、远程或现场</w:t>
            </w:r>
            <w:r>
              <w:rPr>
                <w:color w:val="000000"/>
              </w:rPr>
            </w:r>
            <w:r/>
          </w:p>
        </w:tc>
      </w:tr>
      <w:tr>
        <w:trPr>
          <w:cantSplit/>
          <w:trHeight w:val="560"/>
        </w:trPr>
        <w:tc>
          <w:tcPr>
            <w:tcW w:w="2089"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2.在迎新、选课、人事考核期间，在业务开展前进行检查，开展中提供远程保障，查看虚拟化运行状态，出现状况及时进行处理，结束后针对存在的情况进行复盘；</w:t>
            </w:r>
            <w:r>
              <w:rPr>
                <w:color w:val="000000"/>
              </w:rPr>
            </w:r>
            <w:r/>
          </w:p>
        </w:tc>
        <w:tc>
          <w:tcPr>
            <w:tcW w:w="1217" w:type="auto"/>
            <w:vAlign w:val="top"/>
            <w:vMerge w:val="continue"/>
            <w:textDirection w:val="lrTb"/>
            <w:noWrap w:val="false"/>
          </w:tcPr>
          <w:p>
            <w:pPr>
              <w:pStyle w:val="686"/>
              <w:rPr>
                <w:color w:val="000000"/>
              </w:rPr>
            </w:pPr>
            <w:r>
              <w:rPr>
                <w:color w:val="000000"/>
              </w:rPr>
            </w:r>
            <w:r/>
          </w:p>
        </w:tc>
        <w:tc>
          <w:tcPr>
            <w:tcW w:w="1210" w:type="auto"/>
            <w:vAlign w:val="top"/>
            <w:vMerge w:val="continue"/>
            <w:textDirection w:val="lrTb"/>
            <w:noWrap w:val="false"/>
          </w:tcPr>
          <w:p>
            <w:pPr>
              <w:pStyle w:val="686"/>
              <w:rPr>
                <w:color w:val="000000"/>
              </w:rPr>
            </w:pPr>
            <w:r>
              <w:rPr>
                <w:color w:val="000000"/>
              </w:rPr>
            </w:r>
            <w:r/>
          </w:p>
        </w:tc>
      </w:tr>
      <w:tr>
        <w:trPr>
          <w:cantSplit/>
          <w:trHeight w:val="560"/>
        </w:trPr>
        <w:tc>
          <w:tcPr>
            <w:tcW w:w="2089"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3.在做虚拟机备份数据恢复测试期间，配合提供虚拟机资源完成备份数据的恢复。</w:t>
            </w:r>
            <w:r>
              <w:rPr>
                <w:color w:val="000000"/>
              </w:rPr>
            </w:r>
            <w:r/>
          </w:p>
        </w:tc>
        <w:tc>
          <w:tcPr>
            <w:tcW w:w="1217" w:type="auto"/>
            <w:vAlign w:val="top"/>
            <w:vMerge w:val="continue"/>
            <w:textDirection w:val="lrTb"/>
            <w:noWrap w:val="false"/>
          </w:tcPr>
          <w:p>
            <w:pPr>
              <w:pStyle w:val="686"/>
              <w:rPr>
                <w:color w:val="000000"/>
              </w:rPr>
            </w:pPr>
            <w:r>
              <w:rPr>
                <w:color w:val="000000"/>
              </w:rPr>
            </w:r>
            <w:r/>
          </w:p>
        </w:tc>
        <w:tc>
          <w:tcPr>
            <w:tcW w:w="1210" w:type="auto"/>
            <w:vAlign w:val="top"/>
            <w:vMerge w:val="continue"/>
            <w:textDirection w:val="lrTb"/>
            <w:noWrap w:val="false"/>
          </w:tcPr>
          <w:p>
            <w:pPr>
              <w:pStyle w:val="686"/>
              <w:rPr>
                <w:color w:val="000000"/>
              </w:rPr>
            </w:pPr>
            <w:r>
              <w:rPr>
                <w:color w:val="000000"/>
              </w:rPr>
            </w:r>
            <w:r/>
          </w:p>
        </w:tc>
      </w:tr>
      <w:tr>
        <w:trPr>
          <w:cantSplit/>
          <w:trHeight w:val="560"/>
        </w:trPr>
        <w:tc>
          <w:tcPr>
            <w:tcW w:w="2089"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663"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4.针对虚拟化平台故障、异常告警进行处理，登录到虚拟化管理系统，调整虚拟化配置参数，让虚拟化恢复正常；</w:t>
            </w:r>
            <w:r>
              <w:rPr>
                <w:color w:val="000000"/>
              </w:rPr>
            </w:r>
            <w:r/>
          </w:p>
        </w:tc>
        <w:tc>
          <w:tcPr>
            <w:tcW w:w="1217" w:type="auto"/>
            <w:vAlign w:val="top"/>
            <w:vMerge w:val="continue"/>
            <w:textDirection w:val="lrTb"/>
            <w:noWrap w:val="false"/>
          </w:tcPr>
          <w:p>
            <w:pPr>
              <w:pStyle w:val="686"/>
              <w:rPr>
                <w:color w:val="000000"/>
              </w:rPr>
            </w:pPr>
            <w:r>
              <w:rPr>
                <w:color w:val="000000"/>
              </w:rPr>
            </w:r>
            <w:r/>
          </w:p>
        </w:tc>
        <w:tc>
          <w:tcPr>
            <w:tcW w:w="1210" w:type="auto"/>
            <w:vAlign w:val="top"/>
            <w:vMerge w:val="continue"/>
            <w:textDirection w:val="lrTb"/>
            <w:noWrap w:val="false"/>
          </w:tcPr>
          <w:p>
            <w:pPr>
              <w:pStyle w:val="686"/>
              <w:rPr>
                <w:color w:val="000000"/>
              </w:rPr>
            </w:pPr>
            <w:r>
              <w:rPr>
                <w:color w:val="000000"/>
              </w:rPr>
            </w:r>
            <w:r/>
          </w:p>
        </w:tc>
      </w:tr>
      <w:tr>
        <w:trPr>
          <w:trHeight w:val="5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71" w:type="dxa"/>
            <w:vAlign w:val="center"/>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服务范围</w:t>
            </w:r>
            <w:r>
              <w:rPr>
                <w:color w:val="000000"/>
              </w:rPr>
            </w:r>
            <w:r/>
          </w:p>
        </w:tc>
        <w:tc>
          <w:tcPr>
            <w:gridSpan w:val="3"/>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178" w:type="dxa"/>
            <w:vAlign w:val="center"/>
            <w:textDirection w:val="lrTb"/>
            <w:noWrap/>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运行在4台DELL EMC Poweredge R740虚拟化服务器上的虚拟化软件</w:t>
            </w:r>
            <w:r>
              <w:rPr>
                <w:color w:val="000000"/>
              </w:rPr>
            </w:r>
            <w:r/>
          </w:p>
        </w:tc>
      </w:tr>
    </w:tbl>
    <w:p>
      <w:pPr>
        <w:pStyle w:val="686"/>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p>
      <w:pPr>
        <w:pStyle w:val="686"/>
        <w:ind w:firstLine="42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3.2数据中心硬件</w:t>
      </w:r>
      <w:r>
        <w:rPr>
          <w:color w:val="000000"/>
        </w:rPr>
      </w:r>
      <w:r/>
    </w:p>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（1）三大平台及业务服务要求</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1"/>
        <w:gridCol w:w="7548"/>
      </w:tblGrid>
      <w:tr>
        <w:trPr>
          <w:trHeight w:val="285"/>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服务内容</w:t>
            </w:r>
            <w:r>
              <w:rPr>
                <w:color w:val="000000"/>
              </w:rPr>
            </w:r>
            <w:r/>
          </w:p>
        </w:tc>
        <w:tc>
          <w:tcPr>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3" w:type="dxa"/>
            <w:vAlign w:val="center"/>
            <w:textDirection w:val="lrTb"/>
            <w:noWrap w:val="false"/>
          </w:tcPr>
          <w:p>
            <w:pPr>
              <w:pStyle w:val="686"/>
              <w:ind w:firstLine="3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服务描述</w:t>
            </w:r>
            <w:r>
              <w:rPr>
                <w:color w:val="000000"/>
              </w:rPr>
            </w:r>
            <w:r/>
          </w:p>
        </w:tc>
      </w:tr>
      <w:tr>
        <w:trPr>
          <w:trHeight w:val="7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电话服务</w:t>
            </w:r>
            <w:r>
              <w:rPr>
                <w:color w:val="000000"/>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3"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提供7*24全国统一服务热线，服务包括请求受理及处理进展咨询、业务操作指导、解决方案咨询。</w:t>
            </w:r>
            <w:r>
              <w:rPr>
                <w:color w:val="000000"/>
              </w:rPr>
            </w:r>
            <w:r/>
          </w:p>
        </w:tc>
      </w:tr>
      <w:tr>
        <w:trPr>
          <w:trHeight w:val="7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远程服务</w:t>
            </w:r>
            <w:r>
              <w:rPr>
                <w:color w:val="000000"/>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3"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提供7*24小时远程支持指</w:t>
            </w:r>
            <w:r>
              <w:rPr>
                <w:rFonts w:hint="eastAsia" w:ascii="宋体" w:hAnsi="宋体" w:cs="宋体"/>
                <w:color w:val="000000"/>
                <w:sz w:val="24"/>
              </w:rPr>
              <w:t xml:space="preserve">导</w:t>
            </w:r>
            <w:r>
              <w:rPr>
                <w:rFonts w:ascii="宋体" w:hAnsi="宋体" w:cs="宋体"/>
                <w:color w:val="000000"/>
                <w:sz w:val="24"/>
              </w:rPr>
              <w:t xml:space="preserve">服务，经客户授权同意，服务工程师通过远程方式(QQ、VPN、VNC、远程桌面)连接客户的软件应用现场，进行查看、定位、诊断，提供解决方案及应用操作指导。</w:t>
            </w:r>
            <w:r>
              <w:rPr>
                <w:color w:val="000000"/>
              </w:rPr>
            </w:r>
            <w:r/>
          </w:p>
        </w:tc>
      </w:tr>
      <w:tr>
        <w:trPr>
          <w:trHeight w:val="7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Email服务</w:t>
            </w:r>
            <w:r>
              <w:rPr>
                <w:color w:val="000000"/>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3"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通过统一客服邮箱接收客户请求，包括问题解决方案、补丁更新、产品参考资料等相关服务。</w:t>
            </w:r>
            <w:r>
              <w:rPr>
                <w:color w:val="000000"/>
              </w:rPr>
            </w:r>
            <w:r/>
          </w:p>
        </w:tc>
      </w:tr>
      <w:tr>
        <w:trPr>
          <w:trHeight w:val="7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问题诊断与问题处理服务</w:t>
            </w:r>
            <w:r>
              <w:rPr>
                <w:color w:val="000000"/>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3"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提供电话、远程、Email服务方式确保在应用使用过程中出现与应用环境、应用系统本身相关的故障、异常及时分析与处理，最终深入分析问题原因，对于业务影响较大的问题输出《问题处理报告》。如应用系统无法访问、功能使用异常、应用系统页面数据显示有误、数据同步接口异常。</w:t>
            </w:r>
            <w:r>
              <w:rPr>
                <w:color w:val="000000"/>
              </w:rPr>
            </w:r>
            <w:r/>
          </w:p>
        </w:tc>
      </w:tr>
      <w:tr>
        <w:trPr>
          <w:trHeight w:val="7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需求变更响应服务</w:t>
            </w:r>
            <w:r>
              <w:rPr>
                <w:color w:val="000000"/>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3"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根据用户提出的业务需求，协调后端产品部门进行需求分析、工作量确认，并全程跟踪开发、测试、发布、实施、验收各环节。需求变更所产生工作量不包括在本服务合同内。</w:t>
            </w:r>
            <w:r>
              <w:rPr>
                <w:color w:val="000000"/>
              </w:rPr>
            </w:r>
            <w:r/>
          </w:p>
        </w:tc>
      </w:tr>
      <w:tr>
        <w:trPr>
          <w:trHeight w:val="7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BUG修复服务</w:t>
            </w:r>
            <w:r>
              <w:rPr>
                <w:color w:val="000000"/>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3"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对应用程序存在的BUG及安全隐患进行修复，并将最新补丁包更新至现场生产环境，以确保应用更安全、可靠运行。</w:t>
            </w:r>
            <w:r>
              <w:rPr>
                <w:color w:val="000000"/>
              </w:rPr>
            </w:r>
            <w:r/>
          </w:p>
        </w:tc>
      </w:tr>
      <w:tr>
        <w:trPr>
          <w:trHeight w:val="7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环境健康检查服务</w:t>
            </w:r>
            <w:r>
              <w:rPr>
                <w:color w:val="000000"/>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3"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以季度为频率、远程操作方式，对应用系统进行健康检查，检查内容包括：操作系统相关配置有无改动、cpu/内存/硬盘使用情况、应用系统运行日志分析、数据集成工具同步记录分析。检查完毕，在两到三个工作日之内出具健康检查报告，及跟踪处理巡检过程中所发现的问题。</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（2）操作系统服务要求</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1"/>
        <w:gridCol w:w="6687"/>
      </w:tblGrid>
      <w:tr>
        <w:trPr>
          <w:cantSplit/>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center"/>
            <w:vMerge w:val="restart"/>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常规服务</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要求提供在线技术支持：对学校操作系统日常使用、运维中出现的问题，实现7*24小时技术支持，及时进行问题的解答与故障的指导；在服务期间，不限次数提供远程在线支持服务。</w:t>
            </w:r>
            <w:r>
              <w:rPr>
                <w:color w:val="000000"/>
              </w:rPr>
            </w:r>
            <w:r/>
          </w:p>
        </w:tc>
      </w:tr>
      <w:tr>
        <w:trPr>
          <w:cantSplit/>
          <w:trHeight w:val="720"/>
        </w:trPr>
        <w:tc>
          <w:tcPr>
            <w:tcW w:w="1371"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要求提供重大故障支持：对于出现的重大系统事故，由成交供应商的技术经理负责协调资深技术人员远程或现场进行配合诊断和排除故障；实现7*24小时支持；服务期间，不限次数提供重大系统故障处理服务。</w:t>
            </w:r>
            <w:r>
              <w:rPr>
                <w:color w:val="000000"/>
              </w:rPr>
            </w:r>
            <w:r/>
          </w:p>
        </w:tc>
      </w:tr>
      <w:tr>
        <w:trPr>
          <w:cantSplit/>
          <w:trHeight w:val="720"/>
        </w:trPr>
        <w:tc>
          <w:tcPr>
            <w:tcW w:w="1371"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要求进行服务跟踪：对每次的故障进行登记，专人远程及时跟踪事情进展直至事情解决，及时提交《故障处理报告》；服务期间，不限次数提供故障跟踪处理服务。</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健康检查</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要求提供季度汇报：提供巡检服务，巡检内容包含问题故障、分析建议、调整方案，形成《巡检报告》；服务期间，至少季度汇报一次。</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漏洞修复</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要求提供漏洞修复服务，针对漏洞扫描设备扫描出来的操作系统及中间件的漏洞，提供修复服务，如果漏洞修复会影响应用正常运行，则不提供漏洞修复，协同校方讨论应对方案。</w:t>
            </w:r>
            <w:r>
              <w:rPr>
                <w:color w:val="000000"/>
              </w:rPr>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服务时间</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提供一年操作系统环境维保服务，自服务合同签订生效之日起开始一年为限。</w:t>
            </w:r>
            <w:r>
              <w:rPr>
                <w:color w:val="000000"/>
              </w:rPr>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服务范围</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本次学校涉及业务系统的操作系统服务。</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（3）数据库和中间件服务</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6599"/>
      </w:tblGrid>
      <w:tr>
        <w:trPr>
          <w:trHeight w:val="2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服务名称</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9" w:type="dxa"/>
            <w:vAlign w:val="center"/>
            <w:textDirection w:val="lrTb"/>
            <w:noWrap w:val="false"/>
          </w:tcPr>
          <w:p>
            <w:pPr>
              <w:pStyle w:val="686"/>
              <w:ind w:firstLine="3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服务要求</w:t>
            </w:r>
            <w:r>
              <w:rPr>
                <w:color w:val="000000"/>
              </w:rPr>
            </w:r>
            <w:r/>
          </w:p>
        </w:tc>
      </w:tr>
      <w:tr>
        <w:trPr>
          <w:cantSplit/>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vMerge w:val="restart"/>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常规服务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9"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要求提供在线技术支持：对学校在数据库和中间件日常使用、运维中出现的问题，实现7*24小时技术支持，及时进行问题的解答与故障的指导；在服务期间，不限次数提供远程在线支持服务。</w:t>
            </w:r>
            <w:r>
              <w:rPr>
                <w:color w:val="000000"/>
              </w:rPr>
            </w:r>
            <w:r/>
          </w:p>
        </w:tc>
      </w:tr>
      <w:tr>
        <w:trPr>
          <w:cantSplit/>
          <w:trHeight w:val="720"/>
        </w:trPr>
        <w:tc>
          <w:tcPr>
            <w:tcW w:w="1317"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9"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重大故障支持：对于出现的重大系统事故，由成交供应商的技术经理负责协调数据库资深技术人员远程或现场进行配合诊断和排除故障；实现7*24小时支持；服务期间，不限次数提供重大系统故障处理服务。</w:t>
            </w:r>
            <w:r>
              <w:rPr>
                <w:color w:val="000000"/>
              </w:rPr>
            </w:r>
            <w:r/>
          </w:p>
        </w:tc>
      </w:tr>
      <w:tr>
        <w:trPr>
          <w:cantSplit/>
          <w:trHeight w:val="720"/>
        </w:trPr>
        <w:tc>
          <w:tcPr>
            <w:tcW w:w="1317"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9"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要求进行服务跟踪：对每次的故障进行登记，专人远程及时跟踪事情进展直至事情解决，及时提交《故障处理报告》；服务期间，不限次数提供故障跟踪处理服务。</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健康检查</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9"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要求提供巡检汇报：巡检内容包含问题故障、分析建议、调整方案，形成《巡检报告》；服务期间，至少每季度汇报一次。须提供巡检报告模版</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数据备份</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9"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要求提供对数据库数据文件备份策略进行合理的规划，实施备份与评估相应的备份策略，服务期间，在备份测试环境中完成1次备份数据有效性的检查。</w:t>
            </w:r>
            <w:r>
              <w:rPr>
                <w:color w:val="000000"/>
              </w:rPr>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服务时间</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9"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提供一年的数据库和中间件维保服务，自服务合同签订生效之日起开始一年为限。</w:t>
            </w:r>
            <w:r>
              <w:rPr>
                <w:color w:val="000000"/>
              </w:rPr>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服务范围</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9"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本次学校涉及业务系统的数据库和中间件系统</w:t>
            </w:r>
            <w:r>
              <w:rPr>
                <w:color w:val="000000"/>
              </w:rPr>
            </w:r>
            <w:r/>
          </w:p>
        </w:tc>
      </w:tr>
    </w:tbl>
    <w:p>
      <w:pPr>
        <w:pStyle w:val="686"/>
        <w:ind w:firstLine="48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（4）硬件设备维保</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6595"/>
      </w:tblGrid>
      <w:tr>
        <w:trPr>
          <w:trHeight w:val="24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服务名称</w:t>
            </w:r>
            <w:r>
              <w:rPr>
                <w:color w:val="000000"/>
              </w:rPr>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ind w:firstLine="3360"/>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标准服务要求</w:t>
            </w:r>
            <w:r>
              <w:rPr>
                <w:color w:val="000000"/>
              </w:rPr>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日常巡检</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提供季度的健康巡检：对设备进行巡检，及时发现故障和排除故障，并做好日常巡检及故障隐患处置记录。巡检内容至少包括：（1）服务器存储等设备是否正常可用，是否有指示硬件故障报警；（2）服务器存储设备之间访问和运行状况是否正常；（3）对服务器存储负载均衡等配置文件等进行备份；（4）巡检中发现问题时，及时上报处理； </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故障响应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要求及时故障响应：维保期间提供全天候7*24小时的技术支持，设备发生故障接到用户报修通知后1小时内响应, 如需现场调试，则须在2小时内技术人员到达现场判断故障问题。</w:t>
            </w:r>
            <w:r>
              <w:rPr>
                <w:color w:val="000000"/>
              </w:rPr>
            </w:r>
            <w:r/>
          </w:p>
        </w:tc>
      </w:tr>
      <w:tr>
        <w:trPr>
          <w:cantSplit/>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vMerge w:val="restart"/>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故障处理</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要求快速故障处理：针对故障的处理，要求如下：</w:t>
            </w:r>
            <w:r>
              <w:rPr>
                <w:color w:val="000000"/>
              </w:rPr>
            </w:r>
            <w:r/>
          </w:p>
        </w:tc>
      </w:tr>
      <w:tr>
        <w:trPr>
          <w:cantSplit/>
          <w:trHeight w:val="240"/>
        </w:trPr>
        <w:tc>
          <w:tcPr>
            <w:tcW w:w="1320"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（1）若能通过修改配置解决，要求快速解决； </w:t>
            </w:r>
            <w:r>
              <w:rPr>
                <w:color w:val="000000"/>
              </w:rPr>
            </w:r>
            <w:r/>
          </w:p>
        </w:tc>
      </w:tr>
      <w:tr>
        <w:trPr>
          <w:cantSplit/>
          <w:trHeight w:val="960"/>
        </w:trPr>
        <w:tc>
          <w:tcPr>
            <w:tcW w:w="1320"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（2）若判断为不能通过修改配置解决的硬件故障时，及时进行设备更换，全程跟踪解决过程，确保问题快速解决； </w:t>
            </w:r>
            <w:r>
              <w:rPr>
                <w:color w:val="000000"/>
              </w:rPr>
            </w:r>
            <w:r/>
          </w:p>
        </w:tc>
      </w:tr>
      <w:tr>
        <w:trPr>
          <w:cantSplit/>
          <w:trHeight w:val="480"/>
        </w:trPr>
        <w:tc>
          <w:tcPr>
            <w:tcW w:w="1320" w:type="auto"/>
            <w:vAlign w:val="top"/>
            <w:vMerge w:val="continue"/>
            <w:textDirection w:val="lrTb"/>
            <w:noWrap w:val="false"/>
          </w:tcPr>
          <w:p>
            <w:pPr>
              <w:pStyle w:val="686"/>
              <w:rPr>
                <w:color w:val="000000"/>
              </w:rPr>
            </w:pP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（3）故障处置完成后，提供《故障处理及问题分析报告》，分析故障产生的原因，并提出预防性改善建议。</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技术咨询</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要求技术咨询服务：对学校在日常使用、运维中出现的问题，及时进行问题的解答与指导。</w:t>
            </w:r>
            <w:r>
              <w:rPr>
                <w:color w:val="000000"/>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软件升级</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安全设备提供一年软件规则库升级和VPN接入设备软件版本升级。</w:t>
            </w:r>
            <w:r>
              <w:rPr>
                <w:color w:val="000000"/>
              </w:rPr>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服务时间</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提供一年的基础硬件维保服务，自服务合同签订生效之日起开始一年为限。</w:t>
            </w:r>
            <w:r>
              <w:rPr>
                <w:color w:val="000000"/>
              </w:rPr>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服务范围</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5" w:type="dxa"/>
            <w:vAlign w:val="center"/>
            <w:textDirection w:val="lrTb"/>
            <w:noWrap w:val="false"/>
          </w:tcPr>
          <w:p>
            <w:pPr>
              <w:pStyle w:val="686"/>
              <w:spacing w:after="5" w:line="400"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硬件维保清单中的相关设备</w:t>
            </w:r>
            <w:r>
              <w:rPr>
                <w:color w:val="000000"/>
              </w:rPr>
            </w:r>
            <w:r/>
          </w:p>
        </w:tc>
      </w:tr>
    </w:tbl>
    <w:p>
      <w:pPr>
        <w:pStyle w:val="686"/>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p>
      <w:pPr>
        <w:pStyle w:val="686"/>
        <w:ind w:firstLine="42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3.3医学教育实习管理系统</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1、按照季度对系统进行巡检，7*24小时远程响应，响应时间要求如下：</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2052"/>
        <w:gridCol w:w="2446"/>
        <w:gridCol w:w="3347"/>
      </w:tblGrid>
      <w:tr>
        <w:trPr>
          <w:trHeight w:val="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故障级别</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远程响应</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pStyle w:val="686"/>
              <w:ind w:left="-9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现场响应</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pStyle w:val="686"/>
              <w:ind w:left="-19"/>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故障解决时间</w:t>
            </w:r>
            <w:r>
              <w:rPr>
                <w:color w:val="000000"/>
              </w:rPr>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普通故障</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8小时内响应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pStyle w:val="686"/>
              <w:ind w:left="-9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48小时内到现场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pStyle w:val="686"/>
              <w:ind w:left="-19"/>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到达现场后24小时内</w:t>
            </w:r>
            <w:r>
              <w:rPr>
                <w:color w:val="000000"/>
              </w:r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重大故障</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2小时内响应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pStyle w:val="686"/>
              <w:ind w:left="-9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24小时内到现场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pStyle w:val="686"/>
              <w:ind w:left="-19"/>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到达现场后24小时内</w:t>
            </w:r>
            <w:r>
              <w:rPr>
                <w:color w:val="000000"/>
              </w:rPr>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7"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特大故障</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3" w:type="dxa"/>
            <w:vAlign w:val="center"/>
            <w:textDirection w:val="lrTb"/>
            <w:noWrap w:val="false"/>
          </w:tcPr>
          <w:p>
            <w:pPr>
              <w:pStyle w:val="686"/>
              <w:ind w:left="-12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30分钟内响应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pStyle w:val="686"/>
              <w:ind w:left="-94"/>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7" w:type="dxa"/>
            <w:vAlign w:val="center"/>
            <w:textDirection w:val="lrTb"/>
            <w:noWrap w:val="false"/>
          </w:tcPr>
          <w:p>
            <w:pPr>
              <w:pStyle w:val="686"/>
              <w:ind w:left="-19"/>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到达现场后12小时内</w:t>
            </w:r>
            <w:r>
              <w:rPr>
                <w:color w:val="000000"/>
              </w:rPr>
            </w:r>
            <w:r/>
          </w:p>
        </w:tc>
      </w:tr>
    </w:tbl>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2、提供主/备至少两位服务工程师。</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3、建立知识库，对问题进行初判并试图解决问题。</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4、能够对问题进行跟踪、并能及时通知相关人员尽快解决问题，直到问题的关闭。所有问题要都能闭环管理，有相关记录，并作为工作量支撑。</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5、对未按时解决的问题，能够将事件升级并上报有关方和上级主管。</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6、能够统计每周、每月、每年的问题次数、故障次数。</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7、维护人员可以通过管理系统进行事件/故障的查询、人工录入、工单指派、处理、跟踪等操作。</w:t>
      </w:r>
      <w:r>
        <w:rPr>
          <w:color w:val="000000"/>
        </w:rPr>
      </w:r>
      <w:r/>
    </w:p>
    <w:p>
      <w:pPr>
        <w:pStyle w:val="686"/>
        <w:tabs>
          <w:tab w:val="left" w:pos="4420" w:leader="none"/>
        </w:tabs>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8、对每次故障须明确问题原因，并按照要求在5个工作日内提供故障报告。</w:t>
      </w:r>
      <w:r>
        <w:rPr>
          <w:color w:val="000000"/>
        </w:rPr>
      </w:r>
      <w:r/>
    </w:p>
    <w:p>
      <w:pPr>
        <w:pStyle w:val="686"/>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p>
      <w:pPr>
        <w:pStyle w:val="686"/>
        <w:ind w:firstLine="42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3.4网络安全服务内容</w:t>
      </w:r>
      <w:r>
        <w:rPr>
          <w:color w:val="000000"/>
        </w:rPr>
      </w:r>
      <w:r/>
    </w:p>
    <w:p>
      <w:pPr>
        <w:pStyle w:val="686"/>
        <w:ind w:firstLine="480"/>
        <w:spacing w:after="5"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围绕我校中心机房及所有的信息系统，</w:t>
      </w:r>
      <w:r>
        <w:rPr>
          <w:rFonts w:ascii="宋体" w:hAnsi="宋体" w:cs="宋体"/>
          <w:color w:val="000000"/>
          <w:sz w:val="24"/>
        </w:rPr>
        <w:t xml:space="preserve">通过资产梳理服务、安全评估服务、安全检测服务、安全日志收集与</w:t>
      </w:r>
      <w:r>
        <w:rPr>
          <w:rFonts w:ascii="宋体" w:hAnsi="宋体" w:cs="宋体"/>
          <w:color w:val="000000"/>
          <w:sz w:val="24"/>
        </w:rPr>
        <w:t xml:space="preserve">分析、安全通告、安全咨询服务及培训服务为学校提供安全保障，</w:t>
      </w:r>
      <w:r>
        <w:rPr>
          <w:rFonts w:hint="eastAsia" w:ascii="宋体" w:hAnsi="宋体" w:cs="宋体"/>
          <w:color w:val="000000"/>
          <w:sz w:val="24"/>
        </w:rPr>
        <w:t xml:space="preserve">并</w:t>
      </w:r>
      <w:r>
        <w:rPr>
          <w:rFonts w:ascii="宋体" w:hAnsi="宋体" w:cs="宋体"/>
          <w:color w:val="000000"/>
          <w:sz w:val="24"/>
        </w:rPr>
        <w:t xml:space="preserve">针对我校互联网资产，围绕有无入侵痕迹、有无弱口令问题、有无高危漏洞、有无重要数据泄露等提前预防网络风险。</w:t>
      </w:r>
      <w:r>
        <w:rPr>
          <w:color w:val="000000"/>
        </w:rPr>
      </w:r>
      <w:r/>
    </w:p>
    <w:p>
      <w:pPr>
        <w:pStyle w:val="686"/>
        <w:ind w:firstLine="42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（1）、安全事件响应时间要求</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1994"/>
        <w:gridCol w:w="2546"/>
        <w:gridCol w:w="3122"/>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故障级别</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远程响应</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现场响应</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安全事件解决时间</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普通事件</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8</w:t>
            </w:r>
            <w:r>
              <w:rPr>
                <w:rFonts w:ascii="宋体" w:hAnsi="宋体" w:cs="宋体"/>
                <w:color w:val="000000"/>
                <w:sz w:val="24"/>
              </w:rPr>
              <w:t xml:space="preserve">小时内响应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48</w:t>
            </w:r>
            <w:r>
              <w:rPr>
                <w:rFonts w:ascii="宋体" w:hAnsi="宋体" w:cs="宋体"/>
                <w:color w:val="000000"/>
                <w:sz w:val="24"/>
              </w:rPr>
              <w:t xml:space="preserve">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w:t>
            </w:r>
            <w:r>
              <w:rPr>
                <w:rFonts w:eastAsia="Times New Roman"/>
                <w:color w:val="000000"/>
                <w:sz w:val="24"/>
              </w:rPr>
              <w:t xml:space="preserve">48</w:t>
            </w:r>
            <w:r>
              <w:rPr>
                <w:rFonts w:ascii="宋体" w:hAnsi="宋体" w:cs="宋体"/>
                <w:color w:val="000000"/>
                <w:sz w:val="24"/>
              </w:rPr>
              <w:t xml:space="preserve">小时内</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重大事件</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w:t>
            </w:r>
            <w:r>
              <w:rPr>
                <w:rFonts w:ascii="宋体" w:hAnsi="宋体" w:cs="宋体"/>
                <w:color w:val="000000"/>
                <w:sz w:val="24"/>
              </w:rPr>
              <w:t xml:space="preserve">小时内响应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24</w:t>
            </w:r>
            <w:r>
              <w:rPr>
                <w:rFonts w:ascii="宋体" w:hAnsi="宋体" w:cs="宋体"/>
                <w:color w:val="000000"/>
                <w:sz w:val="24"/>
              </w:rPr>
              <w:t xml:space="preserve">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w:t>
            </w:r>
            <w:r>
              <w:rPr>
                <w:rFonts w:eastAsia="Times New Roman"/>
                <w:color w:val="000000"/>
                <w:sz w:val="24"/>
              </w:rPr>
              <w:t xml:space="preserve">24</w:t>
            </w:r>
            <w:r>
              <w:rPr>
                <w:rFonts w:ascii="宋体" w:hAnsi="宋体" w:cs="宋体"/>
                <w:color w:val="000000"/>
                <w:sz w:val="24"/>
              </w:rPr>
              <w:t xml:space="preserve">小时内</w:t>
            </w:r>
            <w:r>
              <w:rPr>
                <w:color w:val="000000"/>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特大事件</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立即响应</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4</w:t>
            </w:r>
            <w:r>
              <w:rPr>
                <w:rFonts w:ascii="宋体" w:hAnsi="宋体" w:cs="宋体"/>
                <w:color w:val="000000"/>
                <w:sz w:val="24"/>
              </w:rPr>
              <w:t xml:space="preserve">小时内到现场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9"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到达现场后</w:t>
            </w:r>
            <w:r>
              <w:rPr>
                <w:rFonts w:eastAsia="Times New Roman"/>
                <w:color w:val="000000"/>
                <w:sz w:val="24"/>
              </w:rPr>
              <w:t xml:space="preserve">12</w:t>
            </w:r>
            <w:r>
              <w:rPr>
                <w:rFonts w:ascii="宋体" w:hAnsi="宋体" w:cs="宋体"/>
                <w:color w:val="000000"/>
                <w:sz w:val="24"/>
              </w:rPr>
              <w:t xml:space="preserve">小时内</w:t>
            </w:r>
            <w:r>
              <w:rPr>
                <w:color w:val="000000"/>
              </w:rPr>
            </w:r>
            <w:r/>
          </w:p>
        </w:tc>
      </w:tr>
    </w:tbl>
    <w:p>
      <w:pPr>
        <w:pStyle w:val="686"/>
        <w:ind w:firstLine="480"/>
        <w:spacing w:after="5"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eastAsia="Times New Roman"/>
          <w:color w:val="000000"/>
          <w:sz w:val="24"/>
        </w:rPr>
        <w:t xml:space="preserve">2</w:t>
      </w:r>
      <w:r>
        <w:rPr>
          <w:rFonts w:ascii="宋体" w:hAnsi="宋体" w:cs="宋体"/>
          <w:color w:val="000000"/>
          <w:sz w:val="24"/>
        </w:rPr>
        <w:t xml:space="preserve">）安全运维服务要求</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265"/>
        <w:gridCol w:w="5839"/>
        <w:gridCol w:w="14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序号</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服务项目</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服务简述</w:t>
            </w:r>
            <w:r>
              <w:rPr>
                <w:color w:val="000000"/>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服务频率</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网络安全运维服务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每季度对学校现有的网络安全设备进行巡检、检查网络安全设备的状态，包含网络隔离、身份鉴别、访问控制、口令安全、有无被渗透情况等；对服务器进行病毒查杀；审查网络安全设备的安全策略，包括防火墙规则、入侵检测系统的配置，确保安全策略符合学校安全的需求，并及时调整以适应新的威胁；做好网络安全巡检记录，并建立相关的业务档案，定期与学校信息管理人员沟通交流。</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资产梳理服务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调查并纪录服务范围内各设备和系统的种类、型号、功能、物理位置、端口对应情况、部署情况等资产详细信息；</w:t>
            </w:r>
            <w:r>
              <w:rPr>
                <w:color w:val="000000"/>
              </w:rPr>
            </w:r>
            <w:r/>
          </w:p>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利用资产调查的数据进行物理设备建档，绘制网络拓扑，统计信息点分布以及各硬件设备和软件系统的数量、拓扑位置、用途等信息；</w:t>
            </w:r>
            <w:r>
              <w:rPr>
                <w:color w:val="000000"/>
              </w:rPr>
            </w:r>
            <w:r/>
          </w:p>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利用资产调查的数据进行软件配置建档，记录软件系统的版本、用途、组件、配置、更新情况等信息，实现配置管理，建立软件安装媒介档案，建立服务器软件和升级包配置档案；</w:t>
            </w:r>
            <w:r>
              <w:rPr>
                <w:color w:val="000000"/>
              </w:rPr>
            </w:r>
            <w:r/>
          </w:p>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协助学校对外包公司进行管理，加强人员管理，建立外包活动台账资料等。</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3</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安全评估服务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在资产调查实施完成后进行，利用调查所得数据配合现场情况对服务范围内的整体网络系统进行全面、统一的系统性安全威胁评估。</w:t>
            </w:r>
            <w:r>
              <w:rPr>
                <w:color w:val="000000"/>
              </w:rPr>
            </w:r>
            <w:r/>
          </w:p>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对系统存在的脆弱性进行评估。</w:t>
            </w:r>
            <w:r>
              <w:rPr>
                <w:color w:val="000000"/>
              </w:rPr>
            </w:r>
            <w:r/>
          </w:p>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对安全事件对系统造成的影响进行评估；</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4</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安全加固服务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针对渗透测试、漏洞扫描、资产梳理得出的报告，实施具体的安全加固。检查主机和应用系统上存在的漏洞详细信息，包含漏洞编号、漏洞详情、影响级别、发布时间、漏洞类型、应用名称、影响应用版本、修复建议、官方修补链接等，配合学校主机、系统运维人员进行加固。</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5</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安全检测服务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包含渗透测试和漏洞扫描服务；漏洞扫描服务根据服务范围内的整体网络系统进行；渗透测试服务根据学校互联网资产进行。</w:t>
            </w:r>
            <w:r>
              <w:rPr>
                <w:color w:val="000000"/>
              </w:rPr>
            </w:r>
            <w:r/>
          </w:p>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通过渗透测试评估系统安全风险状况，发现系统安全漏洞，并针对安全风险提出修复建议，提升系统安全性。根据以上漏洞扫描结果，针对发现问题的系统，通过模拟攻击检测已有安全产品及安全策略是否能够实时防御安全攻击。针对发现的安全防御体系中存在安全风险，提出安全解决方案，完整现有防御体系，优化安全策略。</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漏扫2次、渗透1次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6</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安全日志收集与分析</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每月收集无锡市卫生高等职业技术学校的网络、安全设备、服务器、操作系统、应用的日志并分析。</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12次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7</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安全通告</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定期将最新发现的安全通告发布给无锡市卫生高等职业技术学校，包括系统安全漏洞情况和解决方案。</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8</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w:t>
            </w:r>
            <w:r>
              <w:rPr>
                <w:color w:val="000000"/>
              </w:rPr>
            </w:r>
            <w:r/>
          </w:p>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咨询服务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为无锡市卫生高等职业技术学校的网络软硬件平台建设提供系统集成咨询、架构安全咨询等相关安全咨询服务。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9</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培训服务</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协助用户网络安全工作正常开展，针对无锡市卫生高等职业技术学校实际情况进行网络安全基础知识和人员管理等方面的培训。</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2次</w:t>
            </w:r>
            <w:r>
              <w:rPr>
                <w:color w:val="000000"/>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10</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7" w:type="dxa"/>
            <w:vAlign w:val="center"/>
            <w:textDirection w:val="lrTb"/>
            <w:noWrap w:val="false"/>
          </w:tcPr>
          <w:p>
            <w:pPr>
              <w:pStyle w:val="686"/>
              <w:jc w:val="center"/>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安全应急演练</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pStyle w:val="686"/>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制定、修订安全应急演练预案，辅助建立专项工作组织架构，编写演练脚本，进行安全应急演练，演练完成后总结成果、梳理过程经验，编写工作总结报告。</w:t>
            </w:r>
            <w:r>
              <w:rPr>
                <w:color w:val="00000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pStyle w:val="686"/>
              <w:jc w:val="center"/>
              <w:spacing w:after="120"/>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1次</w:t>
            </w:r>
            <w:r>
              <w:rPr>
                <w:color w:val="000000"/>
              </w:rPr>
            </w:r>
            <w:r/>
          </w:p>
        </w:tc>
      </w:tr>
    </w:tbl>
    <w:p>
      <w:pPr>
        <w:pStyle w:val="686"/>
        <w:ind w:firstLine="420"/>
        <w:spacing w:after="5"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eastAsia="Times New Roman"/>
          <w:color w:val="000000"/>
          <w:sz w:val="24"/>
        </w:rPr>
        <w:t xml:space="preserve">3</w:t>
      </w:r>
      <w:r>
        <w:rPr>
          <w:rFonts w:ascii="宋体" w:hAnsi="宋体" w:cs="宋体"/>
          <w:color w:val="000000"/>
          <w:sz w:val="24"/>
        </w:rPr>
        <w:t xml:space="preserve">）网络安全设备维护</w:t>
      </w:r>
      <w:r>
        <w:rPr>
          <w:color w:val="000000"/>
        </w:rPr>
      </w:r>
      <w:r/>
    </w:p>
    <w:p>
      <w:pPr>
        <w:pStyle w:val="686"/>
        <w:ind w:firstLine="480"/>
        <w:spacing w:after="5"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w:t>
      </w:r>
      <w:r>
        <w:rPr>
          <w:rFonts w:ascii="宋体" w:hAnsi="宋体" w:cs="宋体"/>
          <w:color w:val="000000"/>
          <w:sz w:val="24"/>
        </w:rPr>
        <w:t xml:space="preserve">）定期检查网络安全设备的运行状态，包括硬件状态、系统日志、网络连接等。确保设备正常工作，没有异常情况。</w:t>
      </w:r>
      <w:r>
        <w:rPr>
          <w:color w:val="000000"/>
        </w:rPr>
      </w:r>
      <w:r/>
    </w:p>
    <w:p>
      <w:pPr>
        <w:pStyle w:val="686"/>
        <w:ind w:firstLine="480"/>
        <w:spacing w:after="5"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w:t>
      </w:r>
      <w:r>
        <w:rPr>
          <w:rFonts w:ascii="宋体" w:hAnsi="宋体" w:cs="宋体"/>
          <w:color w:val="000000"/>
          <w:sz w:val="24"/>
        </w:rPr>
        <w:t xml:space="preserve">）及时更新安全设备的补丁和特征库，确保设备自身系统和安全软件都是最新版本，以修复已知漏洞和提高系统的安全性。</w:t>
      </w:r>
      <w:r>
        <w:rPr>
          <w:color w:val="000000"/>
        </w:rPr>
      </w:r>
      <w:r/>
    </w:p>
    <w:p>
      <w:pPr>
        <w:pStyle w:val="686"/>
        <w:ind w:firstLine="480"/>
        <w:spacing w:after="5"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3</w:t>
      </w:r>
      <w:r>
        <w:rPr>
          <w:rFonts w:ascii="宋体" w:hAnsi="宋体" w:cs="宋体"/>
          <w:color w:val="000000"/>
          <w:sz w:val="24"/>
        </w:rPr>
        <w:t xml:space="preserve">）对网络安全设备进行性能评估和优化，确保其在高负载和高流量情况下的正常运行。优化设备配置，提高设备的吞吐能力和响应速度。</w:t>
      </w:r>
      <w:r>
        <w:rPr>
          <w:color w:val="000000"/>
        </w:rPr>
      </w:r>
      <w:r/>
    </w:p>
    <w:p>
      <w:pPr>
        <w:pStyle w:val="686"/>
        <w:ind w:firstLine="480"/>
        <w:spacing w:after="5"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4</w:t>
      </w:r>
      <w:r>
        <w:rPr>
          <w:rFonts w:ascii="宋体" w:hAnsi="宋体" w:cs="宋体"/>
          <w:color w:val="000000"/>
          <w:sz w:val="24"/>
        </w:rPr>
        <w:t xml:space="preserve">）定期对网络安全设备的配置进行备份。</w:t>
      </w:r>
      <w:r>
        <w:rPr>
          <w:color w:val="000000"/>
        </w:rPr>
      </w:r>
      <w:r/>
    </w:p>
    <w:p>
      <w:pPr>
        <w:pStyle w:val="686"/>
        <w:ind w:firstLine="420"/>
        <w:spacing w:after="5"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rPr>
          <w:rFonts w:eastAsia="Times New Roman"/>
          <w:color w:val="000000"/>
          <w:sz w:val="24"/>
        </w:rPr>
        <w:t xml:space="preserve">4</w:t>
      </w:r>
      <w:r>
        <w:rPr>
          <w:rFonts w:ascii="宋体" w:hAnsi="宋体" w:cs="宋体"/>
          <w:color w:val="000000"/>
          <w:sz w:val="24"/>
        </w:rPr>
        <w:t xml:space="preserve">）网络安全巡检</w:t>
      </w:r>
      <w:r>
        <w:rPr>
          <w:color w:val="000000"/>
        </w:rPr>
      </w:r>
      <w:r/>
    </w:p>
    <w:p>
      <w:pPr>
        <w:pStyle w:val="686"/>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1</w:t>
      </w:r>
      <w:r>
        <w:rPr>
          <w:rFonts w:ascii="宋体" w:hAnsi="宋体" w:cs="宋体"/>
          <w:color w:val="000000"/>
          <w:sz w:val="24"/>
        </w:rPr>
        <w:t xml:space="preserve">）定期对所有网络安全设备、服务器、操作系统、应用进行巡检，检查内容包含网络隔离、身份鉴别、访问控制、口令安全、有无被渗透情况等。</w:t>
      </w:r>
      <w:r>
        <w:rPr>
          <w:color w:val="000000"/>
        </w:rPr>
      </w:r>
      <w:r/>
    </w:p>
    <w:p>
      <w:pPr>
        <w:pStyle w:val="686"/>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2</w:t>
      </w:r>
      <w:r>
        <w:rPr>
          <w:rFonts w:ascii="宋体" w:hAnsi="宋体" w:cs="宋体"/>
          <w:color w:val="000000"/>
          <w:sz w:val="24"/>
        </w:rPr>
        <w:t xml:space="preserve">）定期对全网终端、服务器、进行病毒查杀，病毒查杀前需要确认重要数据备份情况，对病毒采取清除或隔离的手段进行控制。</w:t>
      </w:r>
      <w:r>
        <w:rPr>
          <w:color w:val="000000"/>
        </w:rPr>
      </w:r>
      <w:r/>
    </w:p>
    <w:p>
      <w:pPr>
        <w:pStyle w:val="686"/>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3</w:t>
      </w:r>
      <w:r>
        <w:rPr>
          <w:rFonts w:ascii="宋体" w:hAnsi="宋体" w:cs="宋体"/>
          <w:color w:val="000000"/>
          <w:sz w:val="24"/>
        </w:rPr>
        <w:t xml:space="preserve">）审查网络安全设备的安全策略，包括防火墙规则、入侵检测系统的配置。确保安全策略符合学校安全的需求，并及时调整以适应新的威胁。</w:t>
      </w:r>
      <w:r>
        <w:rPr>
          <w:color w:val="000000"/>
        </w:rPr>
      </w:r>
      <w:r/>
    </w:p>
    <w:p>
      <w:pPr>
        <w:pStyle w:val="686"/>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4</w:t>
      </w:r>
      <w:r>
        <w:rPr>
          <w:rFonts w:ascii="宋体" w:hAnsi="宋体" w:cs="宋体"/>
          <w:color w:val="000000"/>
          <w:sz w:val="24"/>
        </w:rPr>
        <w:t xml:space="preserve">）分析网络安全设备生成的事件日志，检测异常活动和潜在的安全事件。及时采取措施应对威胁，并进行必要的故障排除。</w:t>
      </w:r>
      <w:r>
        <w:rPr>
          <w:color w:val="000000"/>
        </w:rPr>
      </w:r>
      <w:r/>
    </w:p>
    <w:p>
      <w:pPr>
        <w:pStyle w:val="686"/>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5</w:t>
      </w:r>
      <w:r>
        <w:rPr>
          <w:rFonts w:ascii="宋体" w:hAnsi="宋体" w:cs="宋体"/>
          <w:color w:val="000000"/>
          <w:sz w:val="24"/>
        </w:rPr>
        <w:t xml:space="preserve">）做好网络安全巡检记录，并建立相关的业务档案，定期与学校信息管理人员沟通交流。</w:t>
      </w:r>
      <w:r>
        <w:rPr>
          <w:color w:val="000000"/>
        </w:rPr>
      </w:r>
      <w:r/>
    </w:p>
    <w:p>
      <w:pPr>
        <w:pStyle w:val="686"/>
        <w:ind w:firstLine="42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（5）其他</w:t>
      </w:r>
      <w:r>
        <w:rPr>
          <w:color w:val="000000"/>
        </w:rPr>
      </w:r>
      <w:r/>
    </w:p>
    <w:p>
      <w:pPr>
        <w:pStyle w:val="686"/>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对我校中心机房及所有的信息系统，围绕有无入侵痕迹、有无弱口令问题、有无高危漏洞、有无重要数据泄露等网络安全风险点，通过资产梳理服务、安全评估服务、安全检测服务、安全日志收集与分析、安全通告、安全咨询服务及培训服务为学校提供安全保障。</w:t>
      </w:r>
      <w:r>
        <w:rPr>
          <w:color w:val="000000"/>
        </w:rPr>
      </w:r>
      <w:r/>
    </w:p>
    <w:p>
      <w:pPr>
        <w:pStyle w:val="686"/>
        <w:ind w:firstLine="480"/>
        <w:spacing w:line="85" w:lineRule="atLeast"/>
        <w:rPr>
          <w:color w:val="000000"/>
        </w:rPr>
        <w:pBdr>
          <w:top w:val="none" w:color="000000" w:sz="4" w:space="0"/>
          <w:left w:val="none" w:color="000000" w:sz="4" w:space="0"/>
          <w:bottom w:val="none" w:color="000000" w:sz="4" w:space="0"/>
          <w:right w:val="none" w:color="000000" w:sz="4" w:space="0"/>
        </w:pBdr>
      </w:pPr>
      <w:r>
        <w:rPr>
          <w:rFonts w:eastAsia="Times New Roman"/>
          <w:color w:val="000000"/>
          <w:sz w:val="24"/>
        </w:rPr>
        <w:t xml:space="preserve"> </w:t>
      </w:r>
      <w:r>
        <w:rPr>
          <w:color w:val="000000"/>
        </w:rPr>
      </w:r>
      <w:r/>
    </w:p>
    <w:p>
      <w:pPr>
        <w:pStyle w:val="686"/>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86"/>
        <w:ind w:firstLine="480"/>
        <w:spacing w:line="360" w:lineRule="auto"/>
        <w:rPr>
          <w:rFonts w:ascii="宋体" w:hAnsi="宋体"/>
          <w:bCs/>
          <w:color w:val="000000"/>
          <w:sz w:val="24"/>
          <w:szCs w:val="24"/>
        </w:rPr>
      </w:pPr>
      <w:r>
        <w:rPr>
          <w:rFonts w:ascii="宋体" w:hAnsi="宋体"/>
          <w:bCs/>
          <w:color w:val="000000"/>
          <w:sz w:val="24"/>
          <w:szCs w:val="24"/>
        </w:rPr>
      </w:r>
      <w:r/>
    </w:p>
    <w:p>
      <w:pPr>
        <w:pStyle w:val="686"/>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6"/>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6"/>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6"/>
        <w:ind w:firstLine="480"/>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686"/>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686"/>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86"/>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w:t>
      </w:r>
      <w:r>
        <w:rPr>
          <w:rFonts w:hint="eastAsia" w:ascii="宋体" w:hAnsi="宋体"/>
          <w:bCs/>
          <w:color w:val="000000"/>
          <w:sz w:val="24"/>
          <w:szCs w:val="24"/>
        </w:rPr>
        <w:t xml:space="preserve">合同签订生效之日起一年</w:t>
      </w:r>
      <w:r>
        <w:rPr>
          <w:rFonts w:ascii="宋体"/>
          <w:bCs/>
          <w:color w:val="000000"/>
          <w:sz w:val="24"/>
          <w:szCs w:val="24"/>
        </w:rPr>
      </w:r>
      <w:r/>
    </w:p>
    <w:p>
      <w:pPr>
        <w:pStyle w:val="686"/>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合同签订15日后，甲方向乙方支付服务费用的50%，服务期满后，支付服务费剩余的50%</w:t>
      </w:r>
      <w:r>
        <w:rPr>
          <w:rFonts w:hint="eastAsia" w:ascii="宋体" w:hAnsi="宋体"/>
          <w:bCs/>
          <w:color w:val="000000"/>
          <w:sz w:val="24"/>
          <w:szCs w:val="24"/>
        </w:rPr>
        <w:t xml:space="preserve">.</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w:t>
      </w:r>
      <w:r>
        <w:rPr>
          <w:rFonts w:hint="eastAsia" w:ascii="宋体" w:hAnsi="宋体"/>
          <w:bCs/>
          <w:color w:val="000000"/>
          <w:sz w:val="24"/>
          <w:szCs w:val="24"/>
        </w:rPr>
        <w:t xml:space="preserve"> ，具体地点以合同书约定为准。中标方必须按采购人要求将本项目中货物送到指定地点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686"/>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686"/>
        <w:spacing w:line="360" w:lineRule="auto"/>
        <w:rPr>
          <w:rFonts w:ascii="宋体"/>
          <w:bCs/>
          <w:color w:val="000000"/>
          <w:sz w:val="24"/>
          <w:szCs w:val="24"/>
        </w:rPr>
      </w:pPr>
      <w:r>
        <w:rPr>
          <w:rFonts w:ascii="宋体"/>
          <w:bCs/>
          <w:color w:val="000000"/>
          <w:sz w:val="24"/>
          <w:szCs w:val="24"/>
        </w:rPr>
        <w:t xml:space="preserve"> </w:t>
      </w:r>
      <w:r>
        <w:rPr>
          <w:rFonts w:ascii="宋体"/>
          <w:bCs/>
          <w:color w:val="000000"/>
          <w:sz w:val="24"/>
          <w:szCs w:val="24"/>
        </w:rPr>
      </w:r>
      <w:r/>
    </w:p>
    <w:p>
      <w:pPr>
        <w:pStyle w:val="686"/>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pStyle w:val="686"/>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686"/>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686"/>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686"/>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68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686"/>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201"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774"/>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774"/>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774"/>
        <w:spacing w:before="0" w:after="0" w:line="500" w:lineRule="exact"/>
        <w:rPr>
          <w:rFonts w:hint="eastAsia" w:cs="Arial"/>
          <w:color w:val="000000"/>
        </w:rPr>
      </w:pPr>
      <w:r>
        <w:rPr>
          <w:rFonts w:hint="eastAsia" w:cs="Arial"/>
          <w:color w:val="000000"/>
        </w:rPr>
        <w:t xml:space="preserve">比较与评价采用综合评分法。</w:t>
      </w:r>
      <w:r/>
    </w:p>
    <w:p>
      <w:pPr>
        <w:pStyle w:val="774"/>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774"/>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4"/>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774"/>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686"/>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68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686"/>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686"/>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774"/>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2.1项</w:t>
      </w:r>
      <w:r>
        <w:rPr>
          <w:rFonts w:hint="eastAsia" w:ascii="宋体" w:hAnsi="宋体"/>
          <w:color w:val="000000"/>
          <w:sz w:val="24"/>
        </w:rPr>
        <w:t xml:space="preserve">目负责人</w:t>
      </w:r>
      <w:r>
        <w:rPr>
          <w:rFonts w:hint="eastAsia" w:ascii="宋体" w:hAnsi="宋体"/>
          <w:color w:val="000000"/>
          <w:sz w:val="24"/>
        </w:rPr>
        <w:t xml:space="preserve">（2分）：</w:t>
      </w:r>
      <w:r>
        <w:rPr>
          <w:rFonts w:hint="eastAsia" w:ascii="宋体" w:hAnsi="宋体"/>
          <w:color w:val="000000"/>
          <w:sz w:val="24"/>
        </w:rPr>
        <w:t xml:space="preserve">具有注册信息安全工程师证书、信息安全保障人员认证证书，每提供一类证书得1分，最高得</w:t>
      </w:r>
      <w:r>
        <w:rPr>
          <w:rFonts w:hint="eastAsia" w:ascii="宋体" w:hAnsi="宋体"/>
          <w:color w:val="000000"/>
          <w:sz w:val="24"/>
        </w:rPr>
        <w:t xml:space="preserve">2</w:t>
      </w:r>
      <w:r>
        <w:rPr>
          <w:rFonts w:hint="eastAsia" w:ascii="宋体" w:hAnsi="宋体"/>
          <w:color w:val="000000"/>
          <w:sz w:val="24"/>
        </w:rPr>
        <w:t xml:space="preserve">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2.2</w:t>
      </w:r>
      <w:r>
        <w:rPr>
          <w:rFonts w:hint="eastAsia" w:ascii="宋体" w:hAnsi="宋体"/>
          <w:color w:val="000000"/>
          <w:sz w:val="24"/>
        </w:rPr>
        <w:t xml:space="preserve">项目技术负责人（项目负责人除外）</w:t>
      </w:r>
      <w:r>
        <w:rPr>
          <w:rFonts w:hint="eastAsia" w:ascii="宋体" w:hAnsi="宋体"/>
          <w:color w:val="000000"/>
          <w:sz w:val="24"/>
        </w:rPr>
        <w:t xml:space="preserve">（2分）：具有</w:t>
      </w:r>
      <w:r>
        <w:rPr>
          <w:rFonts w:hint="eastAsia" w:ascii="宋体" w:hAnsi="宋体"/>
          <w:color w:val="000000"/>
          <w:sz w:val="24"/>
        </w:rPr>
        <w:t xml:space="preserve">信息系统项目管理师证书、信息安全保障人员认证证书，每提供一类证书得1分，最高得2分。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2.3</w:t>
      </w:r>
      <w:r>
        <w:rPr>
          <w:rFonts w:hint="eastAsia" w:ascii="宋体" w:hAnsi="宋体"/>
          <w:color w:val="000000"/>
          <w:sz w:val="24"/>
        </w:rPr>
        <w:t xml:space="preserve">项目组成员（</w:t>
      </w:r>
      <w:r>
        <w:rPr>
          <w:rFonts w:hint="eastAsia" w:ascii="宋体" w:hAnsi="宋体"/>
          <w:color w:val="000000"/>
          <w:sz w:val="24"/>
        </w:rPr>
        <w:t xml:space="preserve">1</w:t>
      </w:r>
      <w:r>
        <w:rPr>
          <w:rFonts w:hint="eastAsia" w:ascii="宋体" w:hAnsi="宋体"/>
          <w:color w:val="000000"/>
          <w:sz w:val="24"/>
        </w:rPr>
        <w:t xml:space="preserve">分）：具有信息安全保障人员认证证书的有一个得1</w:t>
      </w:r>
      <w:r>
        <w:rPr>
          <w:rFonts w:hint="eastAsia" w:ascii="宋体" w:hAnsi="宋体"/>
          <w:color w:val="000000"/>
          <w:sz w:val="24"/>
        </w:rPr>
        <w:t xml:space="preserve">分。 </w:t>
      </w:r>
      <w:r>
        <w:rPr>
          <w:rFonts w:hint="eastAsia" w:ascii="宋体" w:hAnsi="宋体"/>
          <w:color w:val="000000"/>
          <w:sz w:val="24"/>
        </w:rPr>
      </w:r>
      <w:r/>
    </w:p>
    <w:p>
      <w:pPr>
        <w:pStyle w:val="686"/>
        <w:ind w:firstLine="480"/>
        <w:spacing w:line="500" w:lineRule="exact"/>
        <w:rPr>
          <w:rFonts w:ascii="宋体" w:hAnsi="宋体"/>
          <w:color w:val="000000"/>
          <w:sz w:val="24"/>
        </w:rPr>
      </w:pPr>
      <w:r>
        <w:rPr>
          <w:rFonts w:hint="eastAsia" w:ascii="宋体" w:hAnsi="宋体"/>
          <w:color w:val="000000"/>
          <w:sz w:val="24"/>
        </w:rPr>
        <w:t xml:space="preserve">2.4本地化服务（</w:t>
      </w:r>
      <w:r>
        <w:rPr>
          <w:rFonts w:hint="eastAsia" w:ascii="宋体" w:hAnsi="宋体"/>
          <w:color w:val="000000"/>
          <w:sz w:val="24"/>
        </w:rPr>
        <w:t xml:space="preserve">1</w:t>
      </w:r>
      <w:r>
        <w:rPr>
          <w:rFonts w:hint="eastAsia" w:ascii="宋体" w:hAnsi="宋体"/>
          <w:color w:val="000000"/>
          <w:sz w:val="24"/>
        </w:rPr>
        <w:t xml:space="preserve">分）：投标人提供本地化服务承诺函，承诺中标后将在本地设立常驻售后服务机构并派驻本地服务人员，承诺中标后提供本地化售后服务得</w:t>
      </w:r>
      <w:r>
        <w:rPr>
          <w:rFonts w:hint="eastAsia" w:ascii="宋体" w:hAnsi="宋体"/>
          <w:color w:val="000000"/>
          <w:sz w:val="24"/>
        </w:rPr>
        <w:t xml:space="preserve">1</w:t>
      </w:r>
      <w:r>
        <w:rPr>
          <w:rFonts w:hint="eastAsia" w:ascii="宋体" w:hAnsi="宋体"/>
          <w:color w:val="000000"/>
          <w:sz w:val="24"/>
        </w:rPr>
        <w:t xml:space="preserve">分。须提供投标人近一年中任意一个月份(不含投标当月)为该服务人员缴纳社保的证明材料</w:t>
      </w:r>
      <w:r>
        <w:rPr>
          <w:rFonts w:hint="eastAsia" w:ascii="宋体" w:hAnsi="宋体"/>
          <w:color w:val="000000"/>
          <w:sz w:val="24"/>
        </w:rPr>
        <w:t xml:space="preserve">分。</w:t>
      </w:r>
      <w:r>
        <w:rPr>
          <w:rFonts w:ascii="宋体" w:hAnsi="宋体"/>
          <w:color w:val="000000"/>
          <w:sz w:val="24"/>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8</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3.1业绩（3分）：投标人具有2020年1月1日以来（以合同签订日期为准），与本项目类似的成功案例，每提供一个有效合同得1分，最高得3分。投标时须提供相应合同</w:t>
      </w:r>
      <w:r>
        <w:rPr>
          <w:rFonts w:hint="eastAsia" w:ascii="宋体" w:hAnsi="宋体"/>
          <w:color w:val="000000"/>
          <w:sz w:val="24"/>
        </w:rPr>
        <w:t xml:space="preserve">扫描件，否则不得分。</w:t>
      </w:r>
      <w:r>
        <w:rPr>
          <w:rFonts w:hint="eastAsia"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3.2认证证书（3分</w:t>
      </w:r>
      <w:r>
        <w:rPr>
          <w:rFonts w:hint="eastAsia" w:ascii="宋体" w:hAnsi="宋体"/>
          <w:color w:val="000000"/>
          <w:sz w:val="24"/>
        </w:rPr>
        <w:t xml:space="preserve">）：投标人具有信息安全管理认证证书、信息技术服务管理认证证书、</w:t>
      </w:r>
      <w:r>
        <w:rPr>
          <w:rFonts w:hint="eastAsia" w:ascii="宋体" w:hAnsi="宋体"/>
          <w:color w:val="000000"/>
          <w:sz w:val="24"/>
        </w:rPr>
        <w:t xml:space="preserve">职业健康安全管理认证证书，每提供一类证书得1分，最高得3分。投标时须提供证书扫描件，同时还须提供该证书在“国家市场监督管理总局-全国认证认可信息公共服务平台”网站查询到的有效认证截图并加盖投标人公章。</w:t>
      </w:r>
      <w:r/>
    </w:p>
    <w:p>
      <w:pPr>
        <w:pStyle w:val="686"/>
        <w:ind w:firstLine="480"/>
        <w:spacing w:line="500" w:lineRule="exact"/>
        <w:rPr>
          <w:rFonts w:ascii="宋体" w:hAnsi="宋体"/>
          <w:color w:val="000000"/>
          <w:sz w:val="24"/>
        </w:rPr>
      </w:pPr>
      <w:r>
        <w:rPr>
          <w:rFonts w:hint="eastAsia" w:ascii="宋体" w:hAnsi="宋体"/>
          <w:color w:val="000000"/>
          <w:sz w:val="24"/>
        </w:rPr>
        <w:t xml:space="preserve">3.3投标供应商具有运维管理软件</w:t>
      </w:r>
      <w:r>
        <w:rPr>
          <w:rFonts w:hint="eastAsia" w:ascii="宋体" w:hAnsi="宋体"/>
          <w:color w:val="000000"/>
          <w:sz w:val="24"/>
        </w:rPr>
        <w:t xml:space="preserve">的</w:t>
      </w:r>
      <w:r>
        <w:rPr>
          <w:rFonts w:hint="eastAsia" w:ascii="宋体" w:hAnsi="宋体"/>
          <w:color w:val="000000"/>
          <w:sz w:val="24"/>
        </w:rPr>
        <w:t xml:space="preserve">得2分，投标时需提供运维管理平台计算机软件著作权登记证书复印件，不提供或提供不符合要求均不得分</w:t>
      </w:r>
      <w:r>
        <w:rPr>
          <w:rFonts w:hint="eastAsia" w:ascii="宋体" w:hAnsi="宋体"/>
          <w:color w:val="000000"/>
          <w:sz w:val="24"/>
        </w:rPr>
        <w:t xml:space="preserve">。</w:t>
      </w:r>
      <w:r>
        <w:rPr>
          <w:rFonts w:ascii="宋体" w:hAnsi="宋体"/>
          <w:color w:val="000000"/>
          <w:sz w:val="24"/>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5</w:t>
      </w:r>
      <w:r>
        <w:rPr>
          <w:rFonts w:hint="eastAsia" w:ascii="宋体" w:hAnsi="宋体"/>
          <w:b/>
          <w:bCs/>
          <w:color w:val="000000"/>
          <w:sz w:val="24"/>
          <w:szCs w:val="24"/>
        </w:rPr>
        <w:t xml:space="preserve">7</w:t>
      </w:r>
      <w:r>
        <w:rPr>
          <w:rFonts w:hint="eastAsia" w:ascii="宋体" w:hAnsi="宋体"/>
          <w:b/>
          <w:bCs/>
          <w:color w:val="000000"/>
          <w:sz w:val="24"/>
          <w:szCs w:val="24"/>
        </w:rPr>
        <w:t xml:space="preserve">分）</w:t>
      </w:r>
      <w:r>
        <w:rPr>
          <w:rFonts w:ascii="宋体" w:hAnsi="宋体"/>
          <w:b/>
          <w:bCs/>
          <w:color w:val="000000"/>
          <w:sz w:val="24"/>
          <w:szCs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4.1项目总体管理方案（</w:t>
      </w:r>
      <w:r>
        <w:rPr>
          <w:rFonts w:hint="eastAsia" w:ascii="宋体" w:hAnsi="宋体"/>
          <w:color w:val="000000"/>
          <w:sz w:val="24"/>
        </w:rPr>
        <w:t xml:space="preserve">10</w:t>
      </w:r>
      <w:r>
        <w:rPr>
          <w:rFonts w:hint="eastAsia" w:ascii="宋体" w:hAnsi="宋体"/>
          <w:color w:val="000000"/>
          <w:sz w:val="24"/>
        </w:rPr>
        <w:t xml:space="preserve">分）：投标人对采购人服务背景及系统现状的理解（了解并熟悉采购人服务背景及系统现状，根据投标人对采购人环境、系统现状及需求的了解、熟悉程度，有无清晰的总体项目维护思路等情况，进行综合评议）；方案清晰、合理、详细、全面、针对性强、可行性强</w:t>
      </w:r>
      <w:r>
        <w:rPr>
          <w:rFonts w:hint="eastAsia" w:ascii="宋体" w:hAnsi="宋体"/>
          <w:color w:val="000000"/>
          <w:sz w:val="24"/>
        </w:rPr>
        <w:t xml:space="preserve">10</w:t>
      </w:r>
      <w:r>
        <w:rPr>
          <w:rFonts w:hint="eastAsia" w:ascii="宋体" w:hAnsi="宋体"/>
          <w:color w:val="000000"/>
          <w:sz w:val="24"/>
        </w:rPr>
        <w:t xml:space="preserve">分，方案清晰、合理、详细、全面</w:t>
      </w:r>
      <w:r>
        <w:rPr>
          <w:rFonts w:hint="eastAsia" w:ascii="宋体" w:hAnsi="宋体"/>
          <w:color w:val="000000"/>
          <w:sz w:val="24"/>
        </w:rPr>
        <w:t xml:space="preserve">8</w:t>
      </w:r>
      <w:r>
        <w:rPr>
          <w:rFonts w:hint="eastAsia" w:ascii="宋体" w:hAnsi="宋体"/>
          <w:color w:val="000000"/>
          <w:sz w:val="24"/>
        </w:rPr>
        <w:t xml:space="preserve">分，方案基本满足招标文件要求</w:t>
      </w:r>
      <w:r>
        <w:rPr>
          <w:rFonts w:hint="eastAsia" w:ascii="宋体" w:hAnsi="宋体"/>
          <w:color w:val="000000"/>
          <w:sz w:val="24"/>
        </w:rPr>
        <w:t xml:space="preserve">6</w:t>
      </w:r>
      <w:r>
        <w:rPr>
          <w:rFonts w:hint="eastAsia" w:ascii="宋体" w:hAnsi="宋体"/>
          <w:color w:val="000000"/>
          <w:sz w:val="24"/>
        </w:rPr>
        <w:t xml:space="preserve">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4.2维保体系（</w:t>
      </w:r>
      <w:r>
        <w:rPr>
          <w:rFonts w:hint="eastAsia" w:ascii="宋体" w:hAnsi="宋体"/>
          <w:color w:val="000000"/>
          <w:sz w:val="24"/>
        </w:rPr>
        <w:t xml:space="preserve">6</w:t>
      </w:r>
      <w:r>
        <w:rPr>
          <w:rFonts w:hint="eastAsia" w:ascii="宋体" w:hAnsi="宋体"/>
          <w:color w:val="000000"/>
          <w:sz w:val="24"/>
        </w:rPr>
        <w:t xml:space="preserve">分）：投标人提供维护管理体系包括维护保养管理制度、日常巡检服务流程图、设备故障报修维修流程、硬件更换操作规范、重大节日、重大活动期间硬件维护保障方案及措施等内容。运维体系方案详细全面、科学合理、运维措施科学合理得6分；运维体系方案完整、符合实际、措施具有可行性得</w:t>
      </w:r>
      <w:r>
        <w:rPr>
          <w:rFonts w:hint="eastAsia" w:ascii="宋体" w:hAnsi="宋体"/>
          <w:color w:val="000000"/>
          <w:sz w:val="24"/>
        </w:rPr>
        <w:t xml:space="preserve">4</w:t>
      </w:r>
      <w:r>
        <w:rPr>
          <w:rFonts w:hint="eastAsia" w:ascii="宋体" w:hAnsi="宋体"/>
          <w:color w:val="000000"/>
          <w:sz w:val="24"/>
        </w:rPr>
        <w:t xml:space="preserve">分；方案基本全面、缺漏2项及以上的得</w:t>
      </w:r>
      <w:r>
        <w:rPr>
          <w:rFonts w:hint="eastAsia" w:ascii="宋体" w:hAnsi="宋体"/>
          <w:color w:val="000000"/>
          <w:sz w:val="24"/>
        </w:rPr>
        <w:t xml:space="preserve">3</w:t>
      </w:r>
      <w:r>
        <w:rPr>
          <w:rFonts w:hint="eastAsia" w:ascii="宋体" w:hAnsi="宋体"/>
          <w:color w:val="000000"/>
          <w:sz w:val="24"/>
        </w:rPr>
        <w:t xml:space="preserve">分</w:t>
      </w:r>
      <w:r>
        <w:rPr>
          <w:rFonts w:hint="eastAsia" w:ascii="宋体" w:hAnsi="宋体"/>
          <w:color w:val="000000"/>
          <w:sz w:val="24"/>
        </w:rPr>
        <w:t xml:space="preserve">。</w:t>
      </w:r>
      <w:r>
        <w:rPr>
          <w:rFonts w:hint="eastAsia" w:ascii="宋体" w:hAnsi="宋体"/>
          <w:color w:val="000000"/>
          <w:sz w:val="24"/>
        </w:rPr>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4.3日常运维服务方案（10分）：能结合采购人的业务特点和实际情况，合理、详细地描述设备运行维护服务内容，包括日常维护、设备故障处理、设备及时更新替换、人员保障及项目管理等各方面制定行之有效的应对措施；服务方案的优劣从全面性、专业性、安全性、稳定性、可操作性、服务质量、用户满意度等方面进行考量；根据投标文件响应情况进行评审，方案清晰、合理、详细、全面、针对性强、可行性强10分，方案清晰、合理、详细、全面8分，方案基本满足招标文件要求6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4.4医学实习管理系统运维方案（6分）：针对医学实习管理系统所涵盖的业务系统。投标方提供详细描述系统所涵盖的各业务软件的主要功能、系统拓扑结构图、系统维护技术方案、软件系统日常维护方案、升级方案。系统运维方案全面且符合实际、体系完善，无漏项，措施科学有效得6分；方案全面、体系较完善、缺漏1项，措施科学合理</w:t>
      </w:r>
      <w:r>
        <w:rPr>
          <w:rFonts w:hint="eastAsia" w:ascii="宋体" w:hAnsi="宋体"/>
          <w:color w:val="000000"/>
          <w:sz w:val="24"/>
        </w:rPr>
        <w:t xml:space="preserve">4</w:t>
      </w:r>
      <w:r>
        <w:rPr>
          <w:rFonts w:hint="eastAsia" w:ascii="宋体" w:hAnsi="宋体"/>
          <w:color w:val="000000"/>
          <w:sz w:val="24"/>
        </w:rPr>
        <w:t xml:space="preserve">分；方案基本全面，缺漏2项及以上的得</w:t>
      </w:r>
      <w:r>
        <w:rPr>
          <w:rFonts w:hint="eastAsia" w:ascii="宋体" w:hAnsi="宋体"/>
          <w:color w:val="000000"/>
          <w:sz w:val="24"/>
        </w:rPr>
        <w:t xml:space="preserve">3</w:t>
      </w:r>
      <w:r>
        <w:rPr>
          <w:rFonts w:hint="eastAsia" w:ascii="宋体" w:hAnsi="宋体"/>
          <w:color w:val="000000"/>
          <w:sz w:val="24"/>
        </w:rPr>
        <w:t xml:space="preserve">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4.5一站式服务大厅系统运维方案（8分）：针对一站式服务大厅系统所涵盖的业务系统。投标方提供详细描述系统所涵盖的各业务软件的主要功能、系统拓扑结构图、系统维护技术方案、软件系统日常维护方案、升级方案。系统运维方案全面且符合实际、体系完善，无漏项，措施科学有效得8分；方案全面、体系较完善、缺漏1项，措施科学合理6分；方案基本全面，缺漏2项及以上的得4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4.6安全运维服务方案（8分）：针对资产梳理服务、安全评估服务、安全检测服务、安全日志收集与分析、安全通告、安全咨询服务，投标方提供安全服务方案。方案全面且符合实际、体系完善，无漏项，措施科学有效得8分；方案全面、体系较完善、缺漏1项，措施科学合理6分；方案基本全面，缺漏2项及以上的得4分;</w:t>
      </w:r>
      <w:r/>
    </w:p>
    <w:p>
      <w:pPr>
        <w:pStyle w:val="686"/>
        <w:ind w:firstLine="480"/>
        <w:spacing w:line="500" w:lineRule="exact"/>
        <w:rPr>
          <w:rFonts w:hint="eastAsia" w:ascii="宋体" w:hAnsi="宋体"/>
          <w:color w:val="000000"/>
          <w:sz w:val="24"/>
        </w:rPr>
      </w:pPr>
      <w:r>
        <w:rPr>
          <w:rFonts w:hint="eastAsia" w:ascii="宋体" w:hAnsi="宋体"/>
          <w:color w:val="000000"/>
          <w:sz w:val="24"/>
        </w:rPr>
        <w:t xml:space="preserve">4.7应急方案（5分）：投标人有应急故障服务方案、系统重大故障的应急预案以及措施安排；根据投标文件响应情况进行评审，方案清晰、合理、详细、全面、针对性强、可行性强5分，方案清晰、合理、详细、全面</w:t>
      </w:r>
      <w:r>
        <w:rPr>
          <w:rFonts w:hint="eastAsia" w:ascii="宋体" w:hAnsi="宋体"/>
          <w:color w:val="000000"/>
          <w:sz w:val="24"/>
        </w:rPr>
        <w:t xml:space="preserve">3</w:t>
      </w:r>
      <w:r>
        <w:rPr>
          <w:rFonts w:hint="eastAsia" w:ascii="宋体" w:hAnsi="宋体"/>
          <w:color w:val="000000"/>
          <w:sz w:val="24"/>
        </w:rPr>
        <w:t xml:space="preserve">分，方案基本满足招标文件要求</w:t>
      </w:r>
      <w:r>
        <w:rPr>
          <w:rFonts w:hint="eastAsia" w:ascii="宋体" w:hAnsi="宋体"/>
          <w:color w:val="000000"/>
          <w:sz w:val="24"/>
        </w:rPr>
        <w:t xml:space="preserve">2</w:t>
      </w:r>
      <w:r>
        <w:rPr>
          <w:rFonts w:hint="eastAsia" w:ascii="宋体" w:hAnsi="宋体"/>
          <w:color w:val="000000"/>
          <w:sz w:val="24"/>
        </w:rPr>
        <w:t xml:space="preserve">分。</w:t>
      </w:r>
      <w:r/>
    </w:p>
    <w:p>
      <w:pPr>
        <w:pStyle w:val="686"/>
        <w:ind w:firstLine="480"/>
        <w:spacing w:line="500" w:lineRule="exact"/>
        <w:rPr>
          <w:rFonts w:ascii="宋体" w:hAnsi="宋体"/>
          <w:color w:val="000000"/>
          <w:sz w:val="24"/>
        </w:rPr>
      </w:pPr>
      <w:r>
        <w:rPr>
          <w:rFonts w:hint="eastAsia" w:ascii="宋体" w:hAnsi="宋体"/>
          <w:color w:val="000000"/>
          <w:sz w:val="24"/>
        </w:rPr>
        <w:t xml:space="preserve">4.8服务响应时间和恢复时间（</w:t>
      </w:r>
      <w:r>
        <w:rPr>
          <w:rFonts w:hint="eastAsia" w:ascii="宋体" w:hAnsi="宋体"/>
          <w:color w:val="000000"/>
          <w:sz w:val="24"/>
        </w:rPr>
        <w:t xml:space="preserve">4</w:t>
      </w:r>
      <w:r>
        <w:rPr>
          <w:rFonts w:hint="eastAsia" w:ascii="宋体" w:hAnsi="宋体"/>
          <w:color w:val="000000"/>
          <w:sz w:val="24"/>
        </w:rPr>
        <w:t xml:space="preserve">分）：根据投标人的服务响应时间和恢复时间方案；根据投标文件响应情况进行评审，方案清晰、合理、详细、全面、针对性强、可行性强</w:t>
      </w:r>
      <w:r>
        <w:rPr>
          <w:rFonts w:hint="eastAsia" w:ascii="宋体" w:hAnsi="宋体"/>
          <w:color w:val="000000"/>
          <w:sz w:val="24"/>
        </w:rPr>
        <w:t xml:space="preserve">4</w:t>
      </w:r>
      <w:r>
        <w:rPr>
          <w:rFonts w:hint="eastAsia" w:ascii="宋体" w:hAnsi="宋体"/>
          <w:color w:val="000000"/>
          <w:sz w:val="24"/>
        </w:rPr>
        <w:t xml:space="preserve">分，方案清晰、合理、详细、全面</w:t>
      </w:r>
      <w:r>
        <w:rPr>
          <w:rFonts w:hint="eastAsia" w:ascii="宋体" w:hAnsi="宋体"/>
          <w:color w:val="000000"/>
          <w:sz w:val="24"/>
        </w:rPr>
        <w:t xml:space="preserve">3</w:t>
      </w:r>
      <w:r>
        <w:rPr>
          <w:rFonts w:hint="eastAsia" w:ascii="宋体" w:hAnsi="宋体"/>
          <w:color w:val="000000"/>
          <w:sz w:val="24"/>
        </w:rPr>
        <w:t xml:space="preserve">分，方案基本满足招标文件要求</w:t>
      </w:r>
      <w:r>
        <w:rPr>
          <w:rFonts w:hint="eastAsia" w:ascii="宋体" w:hAnsi="宋体"/>
          <w:color w:val="000000"/>
          <w:sz w:val="24"/>
        </w:rPr>
        <w:t xml:space="preserve">2</w:t>
      </w:r>
      <w:r>
        <w:rPr>
          <w:rFonts w:hint="eastAsia" w:ascii="宋体" w:hAnsi="宋体"/>
          <w:color w:val="000000"/>
          <w:sz w:val="24"/>
        </w:rPr>
        <w:t xml:space="preserve">分。</w:t>
      </w:r>
      <w:r>
        <w:rPr>
          <w:rFonts w:ascii="宋体" w:hAnsi="宋体"/>
          <w:color w:val="000000"/>
          <w:sz w:val="24"/>
        </w:rPr>
      </w:r>
      <w:r/>
    </w:p>
    <w:p>
      <w:pPr>
        <w:pStyle w:val="686"/>
        <w:numPr>
          <w:ilvl w:val="4"/>
          <w:numId w:val="9"/>
        </w:numPr>
        <w:ind w:left="0" w:firstLine="482"/>
        <w:spacing w:line="500" w:lineRule="exact"/>
        <w:tabs>
          <w:tab w:val="left" w:pos="525" w:leader="none"/>
          <w:tab w:val="left" w:pos="945" w:leader="none"/>
          <w:tab w:val="left" w:pos="1155" w:leader="none"/>
          <w:tab w:val="clear" w:pos="2250" w:leader="none"/>
        </w:tabs>
        <w:rPr>
          <w:rFonts w:ascii="宋体"/>
          <w:b/>
          <w:bCs/>
          <w:color w:val="000000"/>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hint="eastAsia" w:ascii="宋体" w:hAnsi="宋体"/>
          <w:bCs/>
          <w:color w:val="000000"/>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w:t>
      </w:r>
      <w:r>
        <w:rPr>
          <w:rFonts w:hint="eastAsia" w:ascii="宋体" w:hAnsi="宋体"/>
          <w:bCs/>
          <w:color w:val="000000"/>
          <w:sz w:val="24"/>
          <w:szCs w:val="24"/>
        </w:rPr>
        <w:t xml:space="preserve">未按要求进行演示或</w:t>
      </w:r>
      <w:r>
        <w:rPr>
          <w:rFonts w:hint="eastAsia" w:ascii="宋体" w:hAnsi="宋体"/>
          <w:bCs/>
          <w:color w:val="000000"/>
          <w:sz w:val="24"/>
          <w:szCs w:val="24"/>
        </w:rPr>
        <w:t xml:space="preserve">未提供演示视频的不得分。</w:t>
      </w:r>
      <w:r>
        <w:rPr>
          <w:rFonts w:ascii="宋体"/>
          <w:b/>
          <w:bCs/>
          <w:color w:val="000000"/>
          <w:sz w:val="24"/>
          <w:szCs w:val="24"/>
        </w:rPr>
      </w:r>
      <w:r/>
    </w:p>
    <w:p>
      <w:pPr>
        <w:pStyle w:val="774"/>
        <w:spacing w:line="500" w:lineRule="exact"/>
        <w:rPr>
          <w:rFonts w:hint="eastAsia" w:ascii="宋体" w:hAnsi="宋体"/>
          <w:color w:val="000000"/>
          <w:szCs w:val="21"/>
        </w:rPr>
      </w:pPr>
      <w:r>
        <w:rPr>
          <w:rFonts w:hint="eastAsia" w:ascii="宋体" w:hAnsi="宋体"/>
          <w:color w:val="000000"/>
          <w:szCs w:val="21"/>
        </w:rPr>
        <w:t xml:space="preserve">1、具有项目管理功能，支持项目全生命周期内文档的统一管理，方便更好掌握项目信息及项目进度情况。支持合同管理，根据合同签订日期自动监控项目质保状态。（0.5分）</w:t>
      </w:r>
      <w:r/>
    </w:p>
    <w:p>
      <w:pPr>
        <w:pStyle w:val="774"/>
        <w:spacing w:line="500" w:lineRule="exact"/>
        <w:rPr>
          <w:rFonts w:hint="eastAsia" w:ascii="宋体" w:hAnsi="宋体"/>
          <w:color w:val="000000"/>
          <w:szCs w:val="21"/>
        </w:rPr>
      </w:pPr>
      <w:r>
        <w:rPr>
          <w:rFonts w:hint="eastAsia" w:ascii="宋体" w:hAnsi="宋体"/>
          <w:color w:val="000000"/>
          <w:szCs w:val="21"/>
        </w:rPr>
        <w:t xml:space="preserve">2、具有数据综合展示大屏功能，可以按照资产信息、工单信息、告警信息、报修信息等模块展示。（0.5分）</w:t>
      </w:r>
      <w:r/>
    </w:p>
    <w:p>
      <w:pPr>
        <w:pStyle w:val="774"/>
        <w:spacing w:line="500" w:lineRule="exact"/>
        <w:rPr>
          <w:rFonts w:hint="eastAsia" w:ascii="宋体" w:hAnsi="宋体"/>
          <w:color w:val="000000"/>
          <w:szCs w:val="21"/>
        </w:rPr>
      </w:pPr>
      <w:r>
        <w:rPr>
          <w:rFonts w:hint="eastAsia" w:ascii="宋体" w:hAnsi="宋体"/>
          <w:color w:val="000000"/>
          <w:szCs w:val="21"/>
        </w:rPr>
        <w:t xml:space="preserve">3、具有资产管理功能，总资产信息支持环状图展示，分项资产信息支持环状图展示和列表展示。（0.5分）</w:t>
      </w:r>
      <w:r/>
    </w:p>
    <w:p>
      <w:pPr>
        <w:pStyle w:val="774"/>
        <w:spacing w:line="500" w:lineRule="exact"/>
        <w:rPr>
          <w:rFonts w:hint="eastAsia" w:ascii="宋体" w:hAnsi="宋体"/>
          <w:color w:val="000000"/>
          <w:szCs w:val="21"/>
        </w:rPr>
      </w:pPr>
      <w:r>
        <w:rPr>
          <w:rFonts w:hint="eastAsia" w:ascii="宋体" w:hAnsi="宋体"/>
          <w:color w:val="000000"/>
          <w:szCs w:val="21"/>
        </w:rPr>
        <w:t xml:space="preserve">4、具有资产管理功能，对硬件资产、软件资产、虚拟资产分类分项管理。软硬件资产支持品牌管理，虚拟资产支持对虚拟机进行管理。（0.5分）</w:t>
      </w:r>
      <w:r/>
    </w:p>
    <w:p>
      <w:pPr>
        <w:pStyle w:val="774"/>
        <w:spacing w:line="500" w:lineRule="exact"/>
        <w:rPr>
          <w:rFonts w:hint="eastAsia" w:ascii="宋体" w:hAnsi="宋体"/>
          <w:color w:val="000000"/>
          <w:szCs w:val="21"/>
        </w:rPr>
      </w:pPr>
      <w:r>
        <w:rPr>
          <w:rFonts w:hint="eastAsia" w:ascii="宋体" w:hAnsi="宋体"/>
          <w:color w:val="000000"/>
          <w:szCs w:val="21"/>
        </w:rPr>
        <w:t xml:space="preserve">5、具有资产管理功能，对资产维保日期实时监控，维保到期后能够进行提示。（0.5分）</w:t>
      </w:r>
      <w:r/>
    </w:p>
    <w:p>
      <w:pPr>
        <w:pStyle w:val="774"/>
        <w:spacing w:line="500" w:lineRule="exact"/>
        <w:rPr>
          <w:rFonts w:hint="eastAsia" w:ascii="宋体" w:hAnsi="宋体"/>
          <w:color w:val="000000"/>
          <w:szCs w:val="21"/>
        </w:rPr>
      </w:pPr>
      <w:r>
        <w:rPr>
          <w:rFonts w:hint="eastAsia" w:ascii="宋体" w:hAnsi="宋体"/>
          <w:color w:val="000000"/>
          <w:szCs w:val="21"/>
        </w:rPr>
        <w:t xml:space="preserve">6、具有运维服务管理功能，支持工单发起、工单待办、工单完成、工单评价以及服务台管理的全流程服务闭环。（0.5分）</w:t>
      </w:r>
      <w:r/>
    </w:p>
    <w:p>
      <w:pPr>
        <w:pStyle w:val="774"/>
        <w:spacing w:line="500" w:lineRule="exact"/>
        <w:rPr>
          <w:rFonts w:hint="eastAsia" w:ascii="宋体" w:hAnsi="宋体"/>
          <w:color w:val="000000"/>
          <w:szCs w:val="21"/>
        </w:rPr>
      </w:pPr>
      <w:r>
        <w:rPr>
          <w:rFonts w:hint="eastAsia" w:ascii="宋体" w:hAnsi="宋体"/>
          <w:color w:val="000000"/>
          <w:szCs w:val="21"/>
        </w:rPr>
        <w:t xml:space="preserve">7、具有采购管理功能，能够记录采购项目的名称、采购时间、采购金额、采购文件上传。支持采购统计功能，可以统计各个供应商的采购金额。（0.5分）</w:t>
      </w:r>
      <w:r/>
    </w:p>
    <w:p>
      <w:pPr>
        <w:pStyle w:val="774"/>
        <w:spacing w:before="0" w:after="0" w:line="500" w:lineRule="exact"/>
        <w:rPr>
          <w:rFonts w:ascii="黑体" w:eastAsia="黑体"/>
          <w:bCs/>
          <w:color w:val="000000"/>
          <w:sz w:val="36"/>
          <w:szCs w:val="36"/>
        </w:rPr>
      </w:pPr>
      <w:r>
        <w:rPr>
          <w:rFonts w:hint="eastAsia" w:ascii="宋体" w:hAnsi="宋体"/>
          <w:color w:val="000000"/>
          <w:szCs w:val="21"/>
        </w:rPr>
        <w:t xml:space="preserve">8、具有巡检管理功能，能够根据巡检内容，设定巡检计划并分配给负责的工程师，支持生成巡检工单。（0.5分）</w:t>
      </w:r>
      <w:r>
        <w:rPr>
          <w:rFonts w:ascii="宋体" w:hAnsi="宋体"/>
          <w:color w:val="000000"/>
        </w:rPr>
        <w:br w:type="page" w:clear="all"/>
      </w:r>
      <w:r>
        <w:rPr>
          <w:rFonts w:ascii="黑体" w:eastAsia="黑体"/>
          <w:bCs/>
          <w:color w:val="000000"/>
          <w:sz w:val="36"/>
          <w:szCs w:val="36"/>
        </w:rPr>
      </w:r>
      <w:r/>
    </w:p>
    <w:p>
      <w:pPr>
        <w:pStyle w:val="686"/>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9"/>
      <w:r/>
      <w:bookmarkEnd w:id="200"/>
      <w:r/>
      <w:bookmarkEnd w:id="201"/>
      <w:r>
        <w:rPr>
          <w:rFonts w:hint="eastAsia" w:ascii="黑体" w:eastAsia="黑体"/>
          <w:bCs/>
          <w:color w:val="000000"/>
          <w:sz w:val="36"/>
          <w:szCs w:val="36"/>
        </w:rPr>
        <w:t xml:space="preserve">投标文件内容与格式</w:t>
      </w:r>
      <w:r/>
    </w:p>
    <w:p>
      <w:pPr>
        <w:pStyle w:val="774"/>
        <w:ind w:firstLine="602"/>
        <w:spacing w:before="0" w:after="0" w:line="500" w:lineRule="exact"/>
        <w:rPr>
          <w:rFonts w:hint="eastAsia" w:cs="Arial"/>
          <w:b/>
          <w:color w:val="000000"/>
          <w:sz w:val="30"/>
          <w:szCs w:val="30"/>
        </w:rPr>
      </w:pPr>
      <w:r/>
      <w:bookmarkStart w:id="202" w:name="_Hlt26955039"/>
      <w:r/>
      <w:bookmarkEnd w:id="202"/>
      <w:r/>
      <w:bookmarkStart w:id="203" w:name="_Toc49090576"/>
      <w:r/>
      <w:bookmarkStart w:id="204" w:name="_Toc120614282"/>
      <w:r/>
      <w:bookmarkStart w:id="205" w:name="_Toc26554094"/>
      <w:r/>
      <w:bookmarkStart w:id="206" w:name="_Hlt26671244"/>
      <w:r/>
      <w:bookmarkEnd w:id="206"/>
      <w:r>
        <w:rPr>
          <w:rFonts w:hint="eastAsia" w:cs="Arial"/>
          <w:b/>
          <w:color w:val="000000"/>
          <w:sz w:val="30"/>
          <w:szCs w:val="30"/>
        </w:rPr>
        <w:t xml:space="preserve">第一部分  投标文件内容</w:t>
      </w:r>
      <w:r/>
    </w:p>
    <w:p>
      <w:pPr>
        <w:pStyle w:val="774"/>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774"/>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774"/>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3"/>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774"/>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774"/>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774"/>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77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774"/>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774"/>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774"/>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774"/>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86"/>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686"/>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686"/>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686"/>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686"/>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774"/>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w:t>
            </w:r>
            <w:r>
              <w:rPr>
                <w:rFonts w:hint="eastAsia" w:ascii="宋体" w:hAnsi="宋体"/>
                <w:color w:val="000000"/>
              </w:rPr>
              <w:t xml:space="preserve">给定格式</w:t>
            </w:r>
            <w:r>
              <w:rPr>
                <w:rFonts w:hint="eastAsia" w:ascii="宋体" w:hAnsi="宋体"/>
                <w:color w:val="000000"/>
              </w:rPr>
              <w:t xml:space="preserve">）</w:t>
            </w:r>
            <w:r>
              <w:rPr>
                <w:rFonts w:hint="eastAsia" w:ascii="宋体" w:hAnsi="宋体" w:cs="Arial"/>
                <w:color w:val="000000"/>
              </w:rPr>
            </w:r>
            <w:r/>
          </w:p>
        </w:tc>
        <w:tc>
          <w:tcPr>
            <w:tcW w:w="1979" w:type="dxa"/>
            <w:vAlign w:val="center"/>
            <w:vMerge w:val="restart"/>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774"/>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774"/>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774"/>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774"/>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774"/>
              <w:ind w:firstLine="0"/>
              <w:jc w:val="center"/>
              <w:spacing w:before="0" w:after="0" w:line="240" w:lineRule="auto"/>
              <w:rPr>
                <w:rFonts w:hint="eastAsia" w:cs="Arial"/>
                <w:color w:val="000000"/>
              </w:rPr>
            </w:pPr>
            <w:r>
              <w:rPr>
                <w:rFonts w:hint="eastAsia" w:cs="Arial"/>
                <w:color w:val="000000"/>
              </w:rPr>
            </w:r>
            <w:r/>
          </w:p>
        </w:tc>
      </w:tr>
    </w:tbl>
    <w:p>
      <w:pPr>
        <w:pStyle w:val="686"/>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86"/>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686"/>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686"/>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686"/>
        <w:rPr>
          <w:rFonts w:hint="eastAsia"/>
          <w:b/>
          <w:color w:val="000000"/>
          <w:sz w:val="28"/>
          <w:szCs w:val="28"/>
        </w:rPr>
      </w:pPr>
      <w:r>
        <w:rPr>
          <w:rFonts w:hint="eastAsia"/>
          <w:b/>
          <w:color w:val="000000"/>
          <w:sz w:val="28"/>
          <w:szCs w:val="28"/>
        </w:rPr>
      </w:r>
      <w:r/>
    </w:p>
    <w:p>
      <w:pPr>
        <w:pStyle w:val="686"/>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686"/>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686"/>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686"/>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774"/>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JSZC-320200-JZCG-G2024-0255</w:t>
      </w:r>
      <w:r>
        <w:rPr>
          <w:rFonts w:ascii="黑体" w:hAnsi="华文中宋" w:eastAsia="黑体"/>
          <w:bCs/>
          <w:color w:val="000000"/>
          <w:sz w:val="30"/>
          <w:szCs w:val="30"/>
        </w:rPr>
      </w:r>
      <w:r/>
    </w:p>
    <w:p>
      <w:pPr>
        <w:pStyle w:val="68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无锡卫生高等职业技术学校数字化校园软硬件运维服务</w:t>
      </w:r>
      <w:r>
        <w:rPr>
          <w:rFonts w:hint="eastAsia" w:ascii="黑体" w:hAnsi="华文中宋" w:eastAsia="黑体"/>
          <w:bCs/>
          <w:color w:val="000000"/>
          <w:sz w:val="30"/>
          <w:szCs w:val="30"/>
        </w:rPr>
      </w:r>
      <w:r/>
    </w:p>
    <w:p>
      <w:pPr>
        <w:pStyle w:val="68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68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6"/>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86"/>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72"/>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JSZC-320200-JZCG-G2024-0255</w:t>
      </w:r>
      <w:r>
        <w:rPr>
          <w:rFonts w:hint="eastAsia" w:ascii="宋体" w:hAnsi="宋体"/>
          <w:bCs/>
          <w:color w:val="000000"/>
          <w:sz w:val="24"/>
          <w:szCs w:val="24"/>
        </w:rPr>
        <w:t xml:space="preserve">项目，兹授权：</w:t>
      </w:r>
      <w:r>
        <w:rPr>
          <w:rFonts w:hint="eastAsia"/>
          <w:color w:val="000000"/>
          <w:sz w:val="24"/>
          <w:szCs w:val="24"/>
        </w:rPr>
      </w:r>
      <w:r/>
    </w:p>
    <w:p>
      <w:pPr>
        <w:pStyle w:val="772"/>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772"/>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772"/>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772"/>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72"/>
        <w:ind w:firstLine="480"/>
        <w:rPr>
          <w:rFonts w:hint="eastAsia"/>
          <w:color w:val="000000"/>
          <w:sz w:val="24"/>
          <w:szCs w:val="24"/>
        </w:rPr>
      </w:pPr>
      <w:r>
        <w:rPr>
          <w:rFonts w:hint="eastAsia"/>
          <w:color w:val="000000"/>
          <w:sz w:val="24"/>
          <w:szCs w:val="24"/>
        </w:rPr>
        <w:t xml:space="preserve">特此授权委托。</w:t>
      </w:r>
      <w:r/>
    </w:p>
    <w:p>
      <w:pPr>
        <w:pStyle w:val="772"/>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72"/>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772"/>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772"/>
        <w:ind w:firstLine="0"/>
        <w:rPr>
          <w:rFonts w:hint="eastAsia"/>
          <w:color w:val="000000"/>
          <w:sz w:val="24"/>
          <w:szCs w:val="24"/>
        </w:rPr>
      </w:pPr>
      <w:r>
        <w:rPr>
          <w:rFonts w:hint="eastAsia"/>
          <w:color w:val="000000"/>
          <w:sz w:val="24"/>
          <w:szCs w:val="24"/>
        </w:rPr>
        <w:t xml:space="preserve">说明：</w:t>
      </w:r>
      <w:r/>
    </w:p>
    <w:p>
      <w:pPr>
        <w:pStyle w:val="772"/>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772"/>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772"/>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772"/>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72"/>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686"/>
        <w:jc w:val="center"/>
        <w:rPr>
          <w:rFonts w:ascii="黑体" w:eastAsia="黑体"/>
          <w:bCs/>
          <w:color w:val="000000"/>
          <w:sz w:val="28"/>
          <w:szCs w:val="28"/>
        </w:rPr>
        <w:outlineLvl w:val="0"/>
      </w:pPr>
      <w:r/>
      <w:bookmarkStart w:id="207" w:name="报价方关于资格的声明函（格式）"/>
      <w:r/>
      <w:bookmarkEnd w:id="207"/>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6"/>
        <w:jc w:val="center"/>
        <w:spacing w:line="480" w:lineRule="auto"/>
        <w:rPr>
          <w:rFonts w:ascii="宋体"/>
          <w:bCs/>
          <w:color w:val="000000"/>
          <w:sz w:val="24"/>
          <w:szCs w:val="24"/>
        </w:rPr>
      </w:pPr>
      <w:r>
        <w:rPr>
          <w:rFonts w:ascii="宋体"/>
          <w:bCs/>
          <w:color w:val="000000"/>
          <w:sz w:val="24"/>
          <w:szCs w:val="24"/>
        </w:rPr>
      </w:r>
      <w:r/>
    </w:p>
    <w:p>
      <w:pPr>
        <w:pStyle w:val="686"/>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68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JSZC-320200-JZCG-G2024-0255</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68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686"/>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686"/>
        <w:spacing w:line="480" w:lineRule="auto"/>
        <w:rPr>
          <w:rFonts w:ascii="宋体"/>
          <w:bCs/>
          <w:color w:val="000000"/>
          <w:sz w:val="24"/>
          <w:szCs w:val="24"/>
        </w:rPr>
      </w:pPr>
      <w:r>
        <w:rPr>
          <w:rFonts w:ascii="宋体"/>
          <w:bCs/>
          <w:color w:val="000000"/>
          <w:sz w:val="24"/>
          <w:szCs w:val="24"/>
        </w:rPr>
      </w:r>
      <w:r/>
    </w:p>
    <w:p>
      <w:pPr>
        <w:pStyle w:val="68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6"/>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686"/>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686"/>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686"/>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686"/>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6"/>
        <w:ind w:firstLine="420"/>
        <w:spacing w:line="360" w:lineRule="auto"/>
        <w:rPr>
          <w:rFonts w:hint="eastAsia"/>
          <w:color w:val="000000"/>
        </w:rPr>
      </w:pPr>
      <w:r>
        <w:rPr>
          <w:rFonts w:hint="eastAsia"/>
          <w:color w:val="000000"/>
        </w:rPr>
      </w:r>
      <w:r/>
    </w:p>
    <w:p>
      <w:pPr>
        <w:pStyle w:val="686"/>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686"/>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686"/>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686"/>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686"/>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686"/>
        <w:ind w:firstLine="482"/>
        <w:spacing w:line="440" w:lineRule="exact"/>
        <w:rPr>
          <w:rFonts w:ascii="Arial" w:hAnsi="Arial"/>
          <w:b/>
          <w:color w:val="000000"/>
          <w:sz w:val="24"/>
        </w:rPr>
      </w:pPr>
      <w:r>
        <w:rPr>
          <w:rFonts w:ascii="Arial" w:hAnsi="Arial"/>
          <w:b/>
          <w:color w:val="000000"/>
          <w:sz w:val="24"/>
        </w:rPr>
      </w:r>
      <w:r/>
    </w:p>
    <w:p>
      <w:pPr>
        <w:pStyle w:val="68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6"/>
        <w:jc w:val="center"/>
        <w:rPr>
          <w:rFonts w:ascii="黑体" w:eastAsia="黑体"/>
          <w:bCs/>
          <w:color w:val="000000"/>
          <w:sz w:val="28"/>
          <w:szCs w:val="28"/>
        </w:rPr>
      </w:pPr>
      <w:r>
        <w:rPr>
          <w:rFonts w:ascii="黑体" w:eastAsia="黑体"/>
          <w:bCs/>
          <w:color w:val="000000"/>
          <w:sz w:val="28"/>
          <w:szCs w:val="28"/>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6"/>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686"/>
        <w:spacing w:line="360" w:lineRule="auto"/>
        <w:rPr>
          <w:rFonts w:hint="eastAsia"/>
          <w:b/>
          <w:color w:val="000000"/>
          <w:sz w:val="30"/>
          <w:szCs w:val="30"/>
        </w:rPr>
      </w:pPr>
      <w:r>
        <w:rPr>
          <w:rFonts w:hint="eastAsia"/>
          <w:b/>
          <w:color w:val="000000"/>
          <w:sz w:val="30"/>
          <w:szCs w:val="30"/>
        </w:rPr>
      </w:r>
      <w:r/>
    </w:p>
    <w:p>
      <w:pPr>
        <w:pStyle w:val="68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6"/>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686"/>
        <w:ind w:firstLine="480"/>
        <w:spacing w:line="400" w:lineRule="exact"/>
        <w:rPr>
          <w:rFonts w:ascii="宋体"/>
          <w:bCs/>
          <w:color w:val="000000"/>
          <w:sz w:val="24"/>
          <w:szCs w:val="24"/>
        </w:rPr>
      </w:pPr>
      <w:r>
        <w:rPr>
          <w:rFonts w:ascii="宋体"/>
          <w:bCs/>
          <w:color w:val="000000"/>
          <w:sz w:val="24"/>
          <w:szCs w:val="24"/>
        </w:rPr>
      </w:r>
      <w:r/>
    </w:p>
    <w:p>
      <w:pPr>
        <w:pStyle w:val="686"/>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JSZC-320200-JZCG-G2024-0255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6"/>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61"/>
          <w:bCs/>
          <w:color w:val="000000"/>
        </w:rPr>
      </w:pPr>
      <w:r>
        <w:rPr>
          <w:rFonts w:hint="eastAsia" w:ascii="宋体" w:hAnsi="宋体"/>
          <w:bCs/>
          <w:color w:val="000000"/>
          <w:sz w:val="24"/>
          <w:szCs w:val="24"/>
        </w:rPr>
        <w:t xml:space="preserve">我方愿意提供无锡市公共资源交易中心在招标文件中要求的文件、资料。</w:t>
      </w:r>
      <w:r>
        <w:rPr>
          <w:rStyle w:val="761"/>
          <w:bCs/>
          <w:color w:val="000000"/>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686"/>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6"/>
        <w:ind w:firstLine="720"/>
        <w:spacing w:line="400" w:lineRule="exact"/>
        <w:rPr>
          <w:rFonts w:ascii="宋体"/>
          <w:bCs/>
          <w:color w:val="000000"/>
          <w:sz w:val="24"/>
          <w:szCs w:val="24"/>
        </w:rPr>
      </w:pPr>
      <w:r>
        <w:rPr>
          <w:rFonts w:ascii="宋体"/>
          <w:bCs/>
          <w:color w:val="000000"/>
          <w:sz w:val="24"/>
          <w:szCs w:val="24"/>
        </w:rPr>
      </w:r>
      <w:r/>
    </w:p>
    <w:p>
      <w:pPr>
        <w:pStyle w:val="68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68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686"/>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686"/>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686"/>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JSZC-320200-JZCG-G2024-0255</w:t>
      </w:r>
      <w:r>
        <w:rPr>
          <w:rFonts w:hint="eastAsia" w:ascii="宋体" w:hAnsi="宋体"/>
          <w:color w:val="000000"/>
          <w:sz w:val="24"/>
          <w:szCs w:val="24"/>
        </w:rPr>
        <w:t xml:space="preserve">在此承诺：</w:t>
      </w:r>
      <w:r>
        <w:rPr>
          <w:rFonts w:ascii="宋体" w:hAnsi="宋体"/>
          <w:color w:val="000000"/>
          <w:sz w:val="24"/>
          <w:szCs w:val="24"/>
        </w:rPr>
      </w:r>
      <w:r/>
    </w:p>
    <w:p>
      <w:pPr>
        <w:pStyle w:val="686"/>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686"/>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686"/>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686"/>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r>
      <w:r/>
    </w:p>
    <w:p>
      <w:pPr>
        <w:pStyle w:val="686"/>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686"/>
        <w:ind w:firstLine="480"/>
        <w:spacing w:line="480" w:lineRule="auto"/>
        <w:rPr>
          <w:rFonts w:hint="eastAsia" w:ascii="宋体"/>
          <w:bCs/>
          <w:color w:val="000000"/>
          <w:sz w:val="24"/>
          <w:szCs w:val="24"/>
        </w:rPr>
      </w:pPr>
      <w:r>
        <w:rPr>
          <w:rFonts w:hint="eastAsia" w:ascii="宋体"/>
          <w:bCs/>
          <w:color w:val="000000"/>
          <w:sz w:val="24"/>
          <w:szCs w:val="24"/>
        </w:rPr>
      </w:r>
      <w:r/>
    </w:p>
    <w:p>
      <w:pPr>
        <w:pStyle w:val="686"/>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686"/>
        <w:ind w:firstLine="5400"/>
        <w:spacing w:line="480" w:lineRule="auto"/>
        <w:rPr>
          <w:rFonts w:ascii="宋体" w:hAnsi="宋体"/>
          <w:bCs/>
          <w:color w:val="000000"/>
          <w:sz w:val="24"/>
          <w:szCs w:val="24"/>
        </w:rPr>
      </w:pPr>
      <w:r>
        <w:rPr>
          <w:rFonts w:ascii="宋体" w:hAnsi="宋体"/>
          <w:bCs/>
          <w:color w:val="000000"/>
          <w:sz w:val="24"/>
          <w:szCs w:val="24"/>
        </w:rPr>
      </w:r>
      <w:r/>
    </w:p>
    <w:p>
      <w:pPr>
        <w:pStyle w:val="686"/>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686"/>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686"/>
        <w:spacing w:line="360" w:lineRule="auto"/>
        <w:rPr>
          <w:rFonts w:hint="eastAsia"/>
          <w:b/>
          <w:color w:val="000000"/>
          <w:sz w:val="28"/>
          <w:szCs w:val="28"/>
        </w:rPr>
      </w:pPr>
      <w:r>
        <w:rPr>
          <w:rFonts w:hint="eastAsia"/>
          <w:b/>
          <w:color w:val="000000"/>
          <w:sz w:val="28"/>
          <w:szCs w:val="28"/>
        </w:rPr>
        <w:t xml:space="preserve">八、开标一览表：</w:t>
      </w:r>
      <w:r/>
    </w:p>
    <w:p>
      <w:pPr>
        <w:pStyle w:val="686"/>
        <w:ind w:firstLine="482"/>
        <w:spacing w:line="440" w:lineRule="exact"/>
        <w:rPr>
          <w:rFonts w:hint="eastAsia" w:ascii="Arial" w:hAnsi="Arial"/>
          <w:b/>
          <w:color w:val="000000"/>
          <w:sz w:val="24"/>
        </w:rPr>
      </w:pPr>
      <w:r>
        <w:rPr>
          <w:rFonts w:hint="eastAsia" w:ascii="Arial" w:hAnsi="Arial"/>
          <w:b/>
          <w:color w:val="000000"/>
          <w:sz w:val="24"/>
        </w:rPr>
      </w:r>
      <w:r/>
    </w:p>
    <w:p>
      <w:pPr>
        <w:pStyle w:val="686"/>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6"/>
        <w:jc w:val="center"/>
        <w:rPr>
          <w:rFonts w:ascii="黑体" w:eastAsia="黑体"/>
          <w:bCs/>
          <w:color w:val="000000"/>
          <w:sz w:val="28"/>
          <w:szCs w:val="28"/>
        </w:rPr>
        <w:outlineLvl w:val="0"/>
      </w:pPr>
      <w:r>
        <w:rPr>
          <w:rFonts w:ascii="黑体" w:eastAsia="黑体"/>
          <w:bCs/>
          <w:color w:val="000000"/>
          <w:sz w:val="28"/>
          <w:szCs w:val="28"/>
        </w:rPr>
      </w:r>
      <w:r/>
    </w:p>
    <w:p>
      <w:pPr>
        <w:pStyle w:val="686"/>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86"/>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86"/>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JSZC-320200-JZCG-G2024-0255</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00"/>
              <w:jc w:val="center"/>
              <w:spacing w:line="400" w:lineRule="exact"/>
              <w:rPr>
                <w:rFonts w:hAnsi="宋体"/>
                <w:bCs/>
                <w:color w:val="000000"/>
                <w:szCs w:val="24"/>
              </w:rPr>
            </w:pPr>
            <w:r>
              <w:rPr>
                <w:rFonts w:hint="eastAsia" w:hAnsi="宋体"/>
                <w:bCs/>
                <w:color w:val="000000"/>
                <w:szCs w:val="24"/>
              </w:rPr>
              <w:t xml:space="preserve">无锡卫生高等职业技术学校数字化校园软硬件运维服务</w:t>
            </w:r>
            <w:r>
              <w:rPr>
                <w:rFonts w:hAnsi="宋体"/>
                <w:bCs/>
                <w:color w:val="000000"/>
                <w:szCs w:val="24"/>
              </w:rPr>
            </w:r>
            <w:r/>
          </w:p>
        </w:tc>
        <w:tc>
          <w:tcPr>
            <w:tcW w:w="3188" w:type="dxa"/>
            <w:vAlign w:val="center"/>
            <w:textDirection w:val="lrTb"/>
            <w:noWrap w:val="false"/>
          </w:tcPr>
          <w:p>
            <w:pPr>
              <w:pStyle w:val="800"/>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86"/>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6"/>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w:t>
      </w:r>
      <w:r>
        <w:rPr>
          <w:rFonts w:hint="eastAsia" w:ascii="黑体" w:eastAsia="黑体"/>
          <w:bCs/>
          <w:color w:val="000000"/>
          <w:sz w:val="24"/>
          <w:szCs w:val="24"/>
        </w:rPr>
        <w:t xml:space="preserve">因</w:t>
      </w:r>
      <w:r>
        <w:rPr>
          <w:rFonts w:hint="eastAsia" w:ascii="黑体" w:eastAsia="黑体"/>
          <w:bCs/>
          <w:color w:val="000000"/>
          <w:sz w:val="24"/>
          <w:szCs w:val="24"/>
        </w:rPr>
        <w:t xml:space="preserve">“苏采云”系统</w:t>
      </w:r>
      <w:r>
        <w:rPr>
          <w:rFonts w:hint="eastAsia" w:ascii="黑体" w:eastAsia="黑体"/>
          <w:bCs/>
          <w:color w:val="000000"/>
          <w:sz w:val="24"/>
          <w:szCs w:val="24"/>
        </w:rPr>
        <w:t xml:space="preserve">自带</w:t>
      </w:r>
      <w:r>
        <w:rPr>
          <w:rFonts w:hint="eastAsia" w:ascii="黑体" w:eastAsia="黑体"/>
          <w:bCs/>
          <w:color w:val="000000"/>
          <w:sz w:val="24"/>
          <w:szCs w:val="24"/>
        </w:rPr>
        <w:t xml:space="preserve">“开标一览表”模块，</w:t>
      </w:r>
      <w:r>
        <w:rPr>
          <w:rFonts w:hint="eastAsia" w:ascii="黑体" w:eastAsia="黑体"/>
          <w:bCs/>
          <w:color w:val="000000"/>
          <w:sz w:val="24"/>
          <w:szCs w:val="24"/>
        </w:rPr>
        <w:t xml:space="preserve">投标人</w:t>
      </w:r>
      <w:r>
        <w:rPr>
          <w:rFonts w:hint="eastAsia" w:ascii="黑体" w:eastAsia="黑体"/>
          <w:bCs/>
          <w:color w:val="000000"/>
          <w:sz w:val="24"/>
          <w:szCs w:val="24"/>
        </w:rPr>
        <w:t xml:space="preserve">须按“苏采云”系统中给定</w:t>
      </w:r>
      <w:r>
        <w:rPr>
          <w:rFonts w:hint="eastAsia" w:ascii="黑体" w:eastAsia="黑体"/>
          <w:bCs/>
          <w:color w:val="000000"/>
          <w:sz w:val="24"/>
          <w:szCs w:val="24"/>
        </w:rPr>
        <w:t xml:space="preserve">的</w:t>
      </w:r>
      <w:r>
        <w:rPr>
          <w:rFonts w:hint="eastAsia" w:ascii="黑体" w:eastAsia="黑体"/>
          <w:bCs/>
          <w:color w:val="000000"/>
          <w:sz w:val="24"/>
          <w:szCs w:val="24"/>
        </w:rPr>
        <w:t xml:space="preserve">模块</w:t>
      </w:r>
      <w:r>
        <w:rPr>
          <w:rFonts w:hint="eastAsia" w:ascii="黑体" w:eastAsia="黑体"/>
          <w:bCs/>
          <w:color w:val="000000"/>
          <w:sz w:val="24"/>
          <w:szCs w:val="24"/>
        </w:rPr>
        <w:t xml:space="preserve">格式</w:t>
      </w:r>
      <w:r>
        <w:rPr>
          <w:rFonts w:hint="eastAsia" w:ascii="黑体" w:eastAsia="黑体"/>
          <w:bCs/>
          <w:color w:val="000000"/>
          <w:sz w:val="24"/>
          <w:szCs w:val="24"/>
        </w:rPr>
        <w:t xml:space="preserve">，完整、正确地进行填报（具体位置为“基本目录”</w:t>
      </w:r>
      <w:r>
        <w:rPr>
          <w:rFonts w:hint="eastAsia" w:ascii="黑体" w:eastAsia="黑体"/>
          <w:bCs/>
          <w:color w:val="000000"/>
          <w:sz w:val="24"/>
          <w:szCs w:val="24"/>
        </w:rPr>
        <w:t xml:space="preserve">——“开标一览表”</w:t>
      </w:r>
      <w:r>
        <w:rPr>
          <w:rFonts w:hint="eastAsia" w:ascii="黑体" w:eastAsia="黑体"/>
          <w:bCs/>
          <w:color w:val="000000"/>
          <w:sz w:val="24"/>
          <w:szCs w:val="24"/>
        </w:rPr>
        <w:t xml:space="preserve">）</w:t>
      </w:r>
      <w:r>
        <w:rPr>
          <w:rFonts w:hint="eastAsia" w:ascii="黑体" w:eastAsia="黑体"/>
          <w:bCs/>
          <w:color w:val="000000"/>
          <w:sz w:val="24"/>
          <w:szCs w:val="24"/>
        </w:rPr>
        <w:t xml:space="preserve">，此处</w:t>
      </w:r>
      <w:r>
        <w:rPr>
          <w:rFonts w:hint="eastAsia" w:ascii="黑体" w:eastAsia="黑体"/>
          <w:bCs/>
          <w:color w:val="000000"/>
          <w:sz w:val="24"/>
          <w:szCs w:val="24"/>
        </w:rPr>
        <w:t xml:space="preserve">可不用再重复填报</w:t>
      </w:r>
      <w:r>
        <w:rPr>
          <w:rFonts w:hint="eastAsia" w:ascii="黑体" w:eastAsia="黑体"/>
          <w:bCs/>
          <w:color w:val="000000"/>
          <w:sz w:val="24"/>
          <w:szCs w:val="24"/>
        </w:rPr>
        <w:t xml:space="preserve">。投标人的“开标一览表”及</w:t>
      </w:r>
      <w:r>
        <w:rPr>
          <w:rFonts w:hint="eastAsia" w:ascii="黑体" w:eastAsia="黑体"/>
          <w:bCs/>
          <w:color w:val="000000"/>
          <w:sz w:val="24"/>
          <w:szCs w:val="24"/>
        </w:rPr>
        <w:t xml:space="preserve">表</w:t>
      </w:r>
      <w:r>
        <w:rPr>
          <w:rFonts w:hint="eastAsia" w:ascii="黑体" w:eastAsia="黑体"/>
          <w:bCs/>
          <w:color w:val="000000"/>
          <w:sz w:val="24"/>
          <w:szCs w:val="24"/>
        </w:rPr>
        <w:t xml:space="preserve">中所填</w:t>
      </w:r>
      <w:r>
        <w:rPr>
          <w:rFonts w:hint="eastAsia" w:ascii="黑体" w:eastAsia="黑体"/>
          <w:bCs/>
          <w:color w:val="000000"/>
          <w:sz w:val="24"/>
          <w:szCs w:val="24"/>
        </w:rPr>
        <w:t xml:space="preserve">的投标</w:t>
      </w:r>
      <w:r>
        <w:rPr>
          <w:rFonts w:hint="eastAsia" w:ascii="黑体" w:eastAsia="黑体"/>
          <w:bCs/>
          <w:color w:val="000000"/>
          <w:sz w:val="24"/>
          <w:szCs w:val="24"/>
        </w:rPr>
        <w:t xml:space="preserve">报价均将</w:t>
      </w:r>
      <w:r>
        <w:rPr>
          <w:rFonts w:hint="eastAsia" w:ascii="黑体" w:eastAsia="黑体"/>
          <w:bCs/>
          <w:color w:val="000000"/>
          <w:sz w:val="24"/>
          <w:szCs w:val="24"/>
        </w:rPr>
        <w:t xml:space="preserve">以</w:t>
      </w:r>
      <w:r>
        <w:rPr>
          <w:rFonts w:hint="eastAsia" w:ascii="黑体" w:eastAsia="黑体"/>
          <w:bCs/>
          <w:color w:val="000000"/>
          <w:sz w:val="24"/>
          <w:szCs w:val="24"/>
        </w:rPr>
        <w:t xml:space="preserve">投标人在“苏采云”系统</w:t>
      </w:r>
      <w:r>
        <w:rPr>
          <w:rFonts w:hint="eastAsia" w:ascii="黑体" w:eastAsia="黑体"/>
          <w:bCs/>
          <w:color w:val="000000"/>
          <w:sz w:val="24"/>
          <w:szCs w:val="24"/>
        </w:rPr>
        <w:t xml:space="preserve">自带的</w:t>
      </w:r>
      <w:r>
        <w:rPr>
          <w:rFonts w:hint="eastAsia" w:ascii="黑体" w:eastAsia="黑体"/>
          <w:bCs/>
          <w:color w:val="000000"/>
          <w:sz w:val="24"/>
          <w:szCs w:val="24"/>
        </w:rPr>
        <w:t xml:space="preserve">模块格式中填报的为准。</w:t>
      </w:r>
      <w:r>
        <w:rPr>
          <w:rFonts w:hint="eastAsia" w:ascii="黑体" w:eastAsia="黑体"/>
          <w:bCs/>
          <w:color w:val="000000"/>
          <w:sz w:val="24"/>
          <w:szCs w:val="24"/>
        </w:rPr>
      </w:r>
      <w:r/>
    </w:p>
    <w:p>
      <w:pPr>
        <w:pStyle w:val="686"/>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686"/>
        <w:spacing w:line="360" w:lineRule="auto"/>
        <w:rPr>
          <w:rFonts w:hint="eastAsia"/>
          <w:b/>
          <w:color w:val="000000"/>
          <w:sz w:val="30"/>
          <w:szCs w:val="30"/>
        </w:rPr>
      </w:pPr>
      <w:r>
        <w:rPr>
          <w:rFonts w:hint="eastAsia"/>
          <w:b/>
          <w:color w:val="000000"/>
          <w:sz w:val="30"/>
          <w:szCs w:val="30"/>
        </w:rPr>
      </w:r>
      <w:r/>
    </w:p>
    <w:p>
      <w:pPr>
        <w:pStyle w:val="686"/>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68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JSZC-320200-JZCG-G2024-0255</w:t>
      </w:r>
      <w:r>
        <w:rPr>
          <w:rFonts w:ascii="黑体" w:eastAsia="黑体"/>
          <w:bCs/>
          <w:color w:val="000000"/>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686"/>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686"/>
              <w:jc w:val="center"/>
              <w:spacing w:before="5"/>
              <w:rPr>
                <w:color w:val="000000"/>
                <w:sz w:val="18"/>
              </w:rPr>
            </w:pPr>
            <w:r>
              <w:rPr>
                <w:color w:val="000000"/>
                <w:sz w:val="18"/>
              </w:rPr>
              <w:t xml:space="preserve">服务内容</w:t>
            </w:r>
            <w:r/>
          </w:p>
        </w:tc>
        <w:tc>
          <w:tcPr>
            <w:tcW w:w="851" w:type="dxa"/>
            <w:vAlign w:val="center"/>
            <w:textDirection w:val="lrTb"/>
            <w:noWrap w:val="false"/>
          </w:tcPr>
          <w:p>
            <w:pPr>
              <w:pStyle w:val="686"/>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686"/>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686"/>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686"/>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86"/>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86"/>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86"/>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686"/>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686"/>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686"/>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86"/>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86"/>
        <w:spacing w:line="400" w:lineRule="exact"/>
        <w:rPr>
          <w:rFonts w:hint="eastAsia" w:ascii="宋体" w:hAnsi="宋体"/>
          <w:b/>
          <w:color w:val="000000"/>
        </w:rPr>
        <w:outlineLvl w:val="0"/>
      </w:pPr>
      <w:r>
        <w:rPr>
          <w:rFonts w:hint="eastAsia" w:ascii="宋体" w:hAnsi="宋体"/>
          <w:b/>
          <w:color w:val="000000"/>
        </w:rPr>
      </w:r>
      <w:r/>
    </w:p>
    <w:p>
      <w:pPr>
        <w:pStyle w:val="686"/>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686"/>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686"/>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86"/>
        <w:jc w:val="center"/>
        <w:spacing w:line="400" w:lineRule="exact"/>
        <w:rPr>
          <w:b/>
          <w:color w:val="000000"/>
          <w:sz w:val="28"/>
          <w:szCs w:val="28"/>
        </w:rPr>
        <w:outlineLvl w:val="0"/>
      </w:pPr>
      <w:r>
        <w:rPr>
          <w:rFonts w:ascii="宋体" w:hAnsi="宋体"/>
          <w:bCs/>
          <w:color w:val="000000"/>
        </w:rPr>
        <w:br w:type="page" w:clear="all"/>
      </w:r>
      <w:bookmarkEnd w:id="203"/>
      <w:r/>
      <w:bookmarkEnd w:id="204"/>
      <w:r/>
      <w:bookmarkEnd w:id="205"/>
      <w:r/>
      <w:bookmarkStart w:id="208" w:name="_Toc120614284"/>
      <w:r>
        <w:rPr>
          <w:b/>
          <w:color w:val="000000"/>
          <w:sz w:val="28"/>
          <w:szCs w:val="28"/>
        </w:rPr>
      </w:r>
      <w:r/>
    </w:p>
    <w:p>
      <w:pPr>
        <w:pStyle w:val="686"/>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686"/>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6"/>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JSZC-320200-JZCG-G2024-0255</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6"/>
              <w:jc w:val="center"/>
              <w:rPr>
                <w:rFonts w:ascii="宋体"/>
                <w:bCs/>
                <w:color w:val="000000"/>
              </w:rPr>
            </w:pPr>
            <w:r>
              <w:rPr>
                <w:rFonts w:ascii="宋体"/>
                <w:bCs/>
                <w:color w:val="000000"/>
              </w:rPr>
            </w:r>
            <w:r/>
          </w:p>
        </w:tc>
      </w:tr>
    </w:tbl>
    <w:p>
      <w:pPr>
        <w:pStyle w:val="68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6"/>
        <w:rPr>
          <w:rFonts w:ascii="宋体"/>
          <w:bCs/>
          <w:color w:val="000000"/>
          <w:sz w:val="30"/>
        </w:rPr>
      </w:pPr>
      <w:r>
        <w:rPr>
          <w:rFonts w:ascii="宋体"/>
          <w:bCs/>
          <w:color w:val="000000"/>
          <w:sz w:val="30"/>
        </w:rPr>
      </w:r>
      <w:r/>
    </w:p>
    <w:p>
      <w:pPr>
        <w:pStyle w:val="686"/>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8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97"/>
      <w:r/>
      <w:bookmarkEnd w:id="198"/>
      <w:r/>
      <w:bookmarkEnd w:id="208"/>
      <w:r/>
      <w:bookmarkStart w:id="209" w:name="_Hlt26671374"/>
      <w:r/>
      <w:bookmarkEnd w:id="209"/>
      <w:r/>
      <w:bookmarkStart w:id="210" w:name="_格式2__法定代表人授权书"/>
      <w:r/>
      <w:bookmarkEnd w:id="210"/>
      <w:r/>
      <w:bookmarkStart w:id="211" w:name="_Hlt26955066"/>
      <w:r/>
      <w:bookmarkEnd w:id="211"/>
      <w:r/>
      <w:bookmarkStart w:id="212" w:name="_Hlt26609389"/>
      <w:r/>
      <w:bookmarkEnd w:id="212"/>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6"/>
        <w:spacing w:line="360" w:lineRule="auto"/>
        <w:rPr>
          <w:b/>
          <w:color w:val="000000"/>
          <w:sz w:val="28"/>
          <w:szCs w:val="28"/>
        </w:rPr>
      </w:pP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686"/>
        <w:spacing w:line="400" w:lineRule="exact"/>
        <w:rPr>
          <w:rFonts w:ascii="黑体" w:eastAsia="黑体"/>
          <w:bCs/>
          <w:color w:val="000000"/>
          <w:sz w:val="28"/>
          <w:szCs w:val="28"/>
        </w:rPr>
      </w:pPr>
      <w:r>
        <w:rPr>
          <w:rFonts w:ascii="黑体" w:eastAsia="黑体"/>
          <w:bCs/>
          <w:color w:val="000000"/>
          <w:sz w:val="28"/>
          <w:szCs w:val="28"/>
        </w:rPr>
      </w:r>
      <w:r/>
    </w:p>
    <w:p>
      <w:pPr>
        <w:pStyle w:val="686"/>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686"/>
        <w:jc w:val="center"/>
        <w:spacing w:line="400" w:lineRule="exact"/>
        <w:rPr>
          <w:rFonts w:ascii="黑体" w:eastAsia="黑体"/>
          <w:bCs/>
          <w:color w:val="000000"/>
          <w:sz w:val="28"/>
          <w:szCs w:val="28"/>
        </w:rPr>
      </w:pPr>
      <w:r>
        <w:rPr>
          <w:rFonts w:ascii="黑体" w:eastAsia="黑体"/>
          <w:bCs/>
          <w:color w:val="000000"/>
          <w:sz w:val="28"/>
          <w:szCs w:val="28"/>
        </w:rPr>
      </w:r>
      <w:r/>
    </w:p>
    <w:p>
      <w:pPr>
        <w:pStyle w:val="686"/>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JSZC-320200-JZCG-G2024-0255</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86"/>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86"/>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86"/>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86"/>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86"/>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6"/>
              <w:rPr>
                <w:rFonts w:ascii="黑体" w:eastAsia="黑体"/>
                <w:bCs/>
                <w:color w:val="000000"/>
                <w:sz w:val="24"/>
                <w:szCs w:val="24"/>
              </w:rPr>
              <w:outlineLvl w:val="0"/>
            </w:pPr>
            <w:r>
              <w:rPr>
                <w:rFonts w:ascii="黑体" w:eastAsia="黑体"/>
                <w:bCs/>
                <w:color w:val="000000"/>
                <w:sz w:val="24"/>
                <w:szCs w:val="24"/>
              </w:rPr>
            </w:r>
            <w:r/>
          </w:p>
        </w:tc>
      </w:tr>
    </w:tbl>
    <w:p>
      <w:pPr>
        <w:pStyle w:val="686"/>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686"/>
        <w:rPr>
          <w:rFonts w:hint="eastAsia" w:ascii="宋体" w:hAnsi="宋体"/>
          <w:bCs/>
          <w:color w:val="000000"/>
        </w:rPr>
      </w:pPr>
      <w:r>
        <w:rPr>
          <w:rFonts w:hint="eastAsia" w:ascii="宋体" w:hAnsi="宋体"/>
          <w:bCs/>
          <w:color w:val="000000"/>
        </w:rPr>
      </w:r>
      <w:r/>
    </w:p>
    <w:p>
      <w:pPr>
        <w:pStyle w:val="686"/>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86"/>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686"/>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9"/>
        <w:rFonts w:ascii="宋体" w:hAnsi="宋体"/>
      </w:rPr>
      <w:framePr w:wrap="around" w:vAnchor="text" w:hAnchor="margin" w:xAlign="center" w:y="1"/>
    </w:pPr>
    <w:r>
      <w:rPr>
        <w:rFonts w:ascii="宋体" w:hAnsi="宋体"/>
      </w:rPr>
      <w:fldChar w:fldCharType="begin"/>
    </w:r>
    <w:r>
      <w:rPr>
        <w:rStyle w:val="759"/>
        <w:rFonts w:ascii="宋体" w:hAnsi="宋体"/>
      </w:rPr>
      <w:instrText xml:space="preserve">PAGE  </w:instrText>
    </w:r>
    <w:r>
      <w:rPr>
        <w:rFonts w:ascii="宋体" w:hAnsi="宋体"/>
      </w:rPr>
      <w:fldChar w:fldCharType="separate"/>
    </w:r>
    <w:r>
      <w:rPr>
        <w:rStyle w:val="759"/>
        <w:rFonts w:ascii="宋体" w:hAnsi="宋体"/>
      </w:rPr>
      <w:t xml:space="preserve">４７</w:t>
    </w:r>
    <w:r>
      <w:rPr>
        <w:rFonts w:ascii="宋体" w:hAnsi="宋体"/>
      </w:rPr>
      <w:fldChar w:fldCharType="end"/>
    </w:r>
    <w:r>
      <w:rPr>
        <w:rStyle w:val="759"/>
        <w:rFonts w:ascii="宋体" w:hAnsi="宋体"/>
      </w:rPr>
    </w:r>
    <w:r/>
  </w:p>
  <w:p>
    <w:pPr>
      <w:pStyle w:val="734"/>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9"/>
      </w:rPr>
      <w:framePr w:wrap="around" w:vAnchor="text" w:hAnchor="margin" w:xAlign="center" w:y="1"/>
    </w:pPr>
    <w:r>
      <w:fldChar w:fldCharType="begin"/>
    </w:r>
    <w:r>
      <w:rPr>
        <w:rStyle w:val="759"/>
      </w:rPr>
      <w:instrText xml:space="preserve">PAGE  </w:instrText>
    </w:r>
    <w:r>
      <w:fldChar w:fldCharType="separate"/>
    </w:r>
    <w:r>
      <w:rPr>
        <w:rStyle w:val="759"/>
      </w:rPr>
      <w:t xml:space="preserve">1</w:t>
    </w:r>
    <w:r>
      <w:fldChar w:fldCharType="end"/>
    </w:r>
    <w:r>
      <w:rPr>
        <w:rStyle w:val="759"/>
      </w:rPr>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66"/>
      <w:isLgl w:val="false"/>
      <w:suff w:val="tab"/>
      <w:lvlText w:val="附录%1."/>
      <w:lvlJc w:val="left"/>
      <w:pPr>
        <w:pStyle w:val="6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686"/>
        <w:ind w:left="1505" w:hanging="945"/>
        <w:tabs>
          <w:tab w:val="num" w:pos="1505" w:leader="none"/>
        </w:tabs>
      </w:pPr>
      <w:rPr>
        <w:rFonts w:hint="eastAsia"/>
      </w:rPr>
    </w:lvl>
    <w:lvl w:ilvl="1">
      <w:start w:val="1"/>
      <w:numFmt w:val="decimal"/>
      <w:isLgl w:val="false"/>
      <w:suff w:val="tab"/>
      <w:lvlText w:val="%2、"/>
      <w:lvlJc w:val="left"/>
      <w:pPr>
        <w:pStyle w:val="686"/>
        <w:ind w:left="1340" w:hanging="360"/>
        <w:tabs>
          <w:tab w:val="num" w:pos="1340" w:leader="none"/>
        </w:tabs>
      </w:pPr>
      <w:rPr>
        <w:rFonts w:hint="eastAsia"/>
      </w:rPr>
    </w:lvl>
    <w:lvl w:ilvl="2">
      <w:start w:val="1"/>
      <w:numFmt w:val="japaneseCounting"/>
      <w:isLgl w:val="false"/>
      <w:suff w:val="tab"/>
      <w:lvlText w:val="%3、"/>
      <w:lvlJc w:val="left"/>
      <w:pPr>
        <w:pStyle w:val="686"/>
        <w:ind w:left="1820" w:hanging="420"/>
        <w:tabs>
          <w:tab w:val="num" w:pos="1820" w:leader="none"/>
        </w:tabs>
      </w:pPr>
      <w:rPr>
        <w:rFonts w:hint="eastAsia"/>
      </w:rPr>
    </w:lvl>
    <w:lvl w:ilvl="3">
      <w:start w:val="1"/>
      <w:numFmt w:val="decimal"/>
      <w:isLgl w:val="false"/>
      <w:suff w:val="tab"/>
      <w:lvlText w:val="%4."/>
      <w:lvlJc w:val="left"/>
      <w:pPr>
        <w:pStyle w:val="686"/>
        <w:ind w:left="2240" w:hanging="420"/>
        <w:tabs>
          <w:tab w:val="num" w:pos="2240" w:leader="none"/>
        </w:tabs>
      </w:pPr>
    </w:lvl>
    <w:lvl w:ilvl="4">
      <w:start w:val="1"/>
      <w:numFmt w:val="lowerLetter"/>
      <w:isLgl w:val="false"/>
      <w:suff w:val="tab"/>
      <w:lvlText w:val="%5)"/>
      <w:lvlJc w:val="left"/>
      <w:pPr>
        <w:pStyle w:val="686"/>
        <w:ind w:left="2660" w:hanging="420"/>
        <w:tabs>
          <w:tab w:val="num" w:pos="2660" w:leader="none"/>
        </w:tabs>
      </w:pPr>
    </w:lvl>
    <w:lvl w:ilvl="5">
      <w:start w:val="1"/>
      <w:numFmt w:val="lowerRoman"/>
      <w:isLgl w:val="false"/>
      <w:suff w:val="tab"/>
      <w:lvlText w:val="%6."/>
      <w:lvlJc w:val="right"/>
      <w:pPr>
        <w:pStyle w:val="686"/>
        <w:ind w:left="3080" w:hanging="420"/>
        <w:tabs>
          <w:tab w:val="num" w:pos="3080" w:leader="none"/>
        </w:tabs>
      </w:pPr>
    </w:lvl>
    <w:lvl w:ilvl="6">
      <w:start w:val="1"/>
      <w:numFmt w:val="decimal"/>
      <w:isLgl w:val="false"/>
      <w:suff w:val="tab"/>
      <w:lvlText w:val="%7."/>
      <w:lvlJc w:val="left"/>
      <w:pPr>
        <w:pStyle w:val="686"/>
        <w:ind w:left="3500" w:hanging="420"/>
        <w:tabs>
          <w:tab w:val="num" w:pos="3500" w:leader="none"/>
        </w:tabs>
      </w:pPr>
    </w:lvl>
    <w:lvl w:ilvl="7">
      <w:start w:val="1"/>
      <w:numFmt w:val="lowerLetter"/>
      <w:isLgl w:val="false"/>
      <w:suff w:val="tab"/>
      <w:lvlText w:val="%8)"/>
      <w:lvlJc w:val="left"/>
      <w:pPr>
        <w:pStyle w:val="686"/>
        <w:ind w:left="3920" w:hanging="420"/>
        <w:tabs>
          <w:tab w:val="num" w:pos="3920" w:leader="none"/>
        </w:tabs>
      </w:pPr>
    </w:lvl>
    <w:lvl w:ilvl="8">
      <w:start w:val="1"/>
      <w:numFmt w:val="lowerRoman"/>
      <w:isLgl w:val="false"/>
      <w:suff w:val="tab"/>
      <w:lvlText w:val="%9."/>
      <w:lvlJc w:val="right"/>
      <w:pPr>
        <w:pStyle w:val="686"/>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686"/>
        <w:ind w:left="1239" w:hanging="720"/>
      </w:pPr>
      <w:rPr>
        <w:rFonts w:hAnsi="宋体"/>
      </w:rPr>
    </w:lvl>
    <w:lvl w:ilvl="1">
      <w:start w:val="1"/>
      <w:numFmt w:val="lowerLetter"/>
      <w:isLgl w:val="false"/>
      <w:suff w:val="tab"/>
      <w:lvlText w:val="%2)"/>
      <w:lvlJc w:val="left"/>
      <w:pPr>
        <w:pStyle w:val="686"/>
        <w:ind w:left="1359" w:hanging="420"/>
      </w:pPr>
    </w:lvl>
    <w:lvl w:ilvl="2">
      <w:start w:val="1"/>
      <w:numFmt w:val="lowerRoman"/>
      <w:isLgl w:val="false"/>
      <w:suff w:val="tab"/>
      <w:lvlText w:val="%3."/>
      <w:lvlJc w:val="right"/>
      <w:pPr>
        <w:pStyle w:val="686"/>
        <w:ind w:left="1779" w:hanging="420"/>
      </w:pPr>
    </w:lvl>
    <w:lvl w:ilvl="3">
      <w:start w:val="1"/>
      <w:numFmt w:val="decimal"/>
      <w:isLgl w:val="false"/>
      <w:suff w:val="tab"/>
      <w:lvlText w:val="%4."/>
      <w:lvlJc w:val="left"/>
      <w:pPr>
        <w:pStyle w:val="686"/>
        <w:ind w:left="2199" w:hanging="420"/>
      </w:pPr>
    </w:lvl>
    <w:lvl w:ilvl="4">
      <w:start w:val="1"/>
      <w:numFmt w:val="lowerLetter"/>
      <w:isLgl w:val="false"/>
      <w:suff w:val="tab"/>
      <w:lvlText w:val="%5)"/>
      <w:lvlJc w:val="left"/>
      <w:pPr>
        <w:pStyle w:val="686"/>
        <w:ind w:left="2619" w:hanging="420"/>
      </w:pPr>
    </w:lvl>
    <w:lvl w:ilvl="5">
      <w:start w:val="1"/>
      <w:numFmt w:val="lowerRoman"/>
      <w:isLgl w:val="false"/>
      <w:suff w:val="tab"/>
      <w:lvlText w:val="%6."/>
      <w:lvlJc w:val="right"/>
      <w:pPr>
        <w:pStyle w:val="686"/>
        <w:ind w:left="3039" w:hanging="420"/>
      </w:pPr>
    </w:lvl>
    <w:lvl w:ilvl="6">
      <w:start w:val="1"/>
      <w:numFmt w:val="decimal"/>
      <w:isLgl w:val="false"/>
      <w:suff w:val="tab"/>
      <w:lvlText w:val="%7."/>
      <w:lvlJc w:val="left"/>
      <w:pPr>
        <w:pStyle w:val="686"/>
        <w:ind w:left="3459" w:hanging="420"/>
      </w:pPr>
    </w:lvl>
    <w:lvl w:ilvl="7">
      <w:start w:val="1"/>
      <w:numFmt w:val="lowerLetter"/>
      <w:isLgl w:val="false"/>
      <w:suff w:val="tab"/>
      <w:lvlText w:val="%8)"/>
      <w:lvlJc w:val="left"/>
      <w:pPr>
        <w:pStyle w:val="686"/>
        <w:ind w:left="3879" w:hanging="420"/>
      </w:pPr>
    </w:lvl>
    <w:lvl w:ilvl="8">
      <w:start w:val="1"/>
      <w:numFmt w:val="lowerRoman"/>
      <w:isLgl w:val="false"/>
      <w:suff w:val="tab"/>
      <w:lvlText w:val="%9."/>
      <w:lvlJc w:val="right"/>
      <w:pPr>
        <w:pStyle w:val="686"/>
        <w:ind w:left="4299" w:hanging="420"/>
      </w:pPr>
    </w:lvl>
  </w:abstractNum>
  <w:abstractNum w:abstractNumId="10">
    <w:multiLevelType w:val="hybridMultilevel"/>
    <w:lvl w:ilvl="0">
      <w:start w:val="1"/>
      <w:numFmt w:val="decimal"/>
      <w:pStyle w:val="783"/>
      <w:isLgl w:val="false"/>
      <w:suff w:val="tab"/>
      <w:lvlText w:val="%1."/>
      <w:lvlJc w:val="left"/>
      <w:pPr>
        <w:pStyle w:val="686"/>
        <w:ind w:left="709" w:hanging="709"/>
        <w:tabs>
          <w:tab w:val="num" w:pos="709" w:leader="none"/>
        </w:tabs>
      </w:pPr>
      <w:rPr>
        <w:rFonts w:hint="eastAsia"/>
      </w:rPr>
    </w:lvl>
    <w:lvl w:ilvl="1">
      <w:start w:val="1"/>
      <w:numFmt w:val="decimal"/>
      <w:isLgl w:val="false"/>
      <w:suff w:val="tab"/>
      <w:lvlText w:val="%1.%2"/>
      <w:lvlJc w:val="left"/>
      <w:pPr>
        <w:pStyle w:val="686"/>
        <w:ind w:left="709" w:hanging="709"/>
        <w:tabs>
          <w:tab w:val="num" w:pos="709" w:leader="none"/>
        </w:tabs>
      </w:pPr>
      <w:rPr>
        <w:rFonts w:hint="eastAsia"/>
      </w:rPr>
    </w:lvl>
    <w:lvl w:ilvl="2">
      <w:start w:val="1"/>
      <w:numFmt w:val="decimal"/>
      <w:isLgl w:val="false"/>
      <w:suff w:val="tab"/>
      <w:lvlText w:val="%1.%2.%3."/>
      <w:lvlJc w:val="left"/>
      <w:pPr>
        <w:pStyle w:val="686"/>
        <w:ind w:left="425" w:hanging="425"/>
        <w:tabs>
          <w:tab w:val="num" w:pos="425" w:leader="none"/>
        </w:tabs>
      </w:pPr>
      <w:rPr>
        <w:rFonts w:hint="eastAsia"/>
      </w:rPr>
    </w:lvl>
    <w:lvl w:ilvl="3">
      <w:start w:val="1"/>
      <w:numFmt w:val="decimal"/>
      <w:isLgl w:val="false"/>
      <w:suff w:val="tab"/>
      <w:lvlText w:val="%1.%2.%3.%4."/>
      <w:lvlJc w:val="left"/>
      <w:pPr>
        <w:pStyle w:val="686"/>
        <w:ind w:left="851" w:hanging="851"/>
        <w:tabs>
          <w:tab w:val="num" w:pos="851" w:leader="none"/>
        </w:tabs>
      </w:pPr>
      <w:rPr>
        <w:rFonts w:hint="eastAsia"/>
      </w:rPr>
    </w:lvl>
    <w:lvl w:ilvl="4">
      <w:start w:val="1"/>
      <w:numFmt w:val="decimal"/>
      <w:isLgl w:val="false"/>
      <w:suff w:val="tab"/>
      <w:lvlText w:val="%1.%2.%3.%4.%5."/>
      <w:lvlJc w:val="left"/>
      <w:pPr>
        <w:pStyle w:val="686"/>
        <w:ind w:left="992" w:hanging="992"/>
        <w:tabs>
          <w:tab w:val="num" w:pos="992" w:leader="none"/>
        </w:tabs>
      </w:pPr>
      <w:rPr>
        <w:rFonts w:hint="eastAsia"/>
      </w:rPr>
    </w:lvl>
    <w:lvl w:ilvl="5">
      <w:start w:val="1"/>
      <w:numFmt w:val="decimal"/>
      <w:isLgl w:val="false"/>
      <w:suff w:val="tab"/>
      <w:lvlText w:val="%1.%2.%3.%4.%5.%6."/>
      <w:lvlJc w:val="left"/>
      <w:pPr>
        <w:pStyle w:val="686"/>
        <w:ind w:left="1134" w:hanging="1134"/>
        <w:tabs>
          <w:tab w:val="num" w:pos="1134" w:leader="none"/>
        </w:tabs>
      </w:pPr>
      <w:rPr>
        <w:rFonts w:hint="eastAsia"/>
      </w:rPr>
    </w:lvl>
    <w:lvl w:ilvl="6">
      <w:start w:val="1"/>
      <w:numFmt w:val="decimal"/>
      <w:isLgl w:val="false"/>
      <w:suff w:val="tab"/>
      <w:lvlText w:val="%1.%2.%3.%4.%5.%6.%7."/>
      <w:lvlJc w:val="left"/>
      <w:pPr>
        <w:pStyle w:val="686"/>
        <w:ind w:left="1276" w:hanging="1276"/>
        <w:tabs>
          <w:tab w:val="num" w:pos="1276" w:leader="none"/>
        </w:tabs>
      </w:pPr>
      <w:rPr>
        <w:rFonts w:hint="eastAsia"/>
      </w:rPr>
    </w:lvl>
    <w:lvl w:ilvl="7">
      <w:start w:val="1"/>
      <w:numFmt w:val="decimal"/>
      <w:isLgl w:val="false"/>
      <w:suff w:val="tab"/>
      <w:lvlText w:val="%1.%2.%3.%4.%5.%6.%7.%8."/>
      <w:lvlJc w:val="left"/>
      <w:pPr>
        <w:pStyle w:val="686"/>
        <w:ind w:left="1418" w:hanging="1418"/>
        <w:tabs>
          <w:tab w:val="num" w:pos="1418" w:leader="none"/>
        </w:tabs>
      </w:pPr>
      <w:rPr>
        <w:rFonts w:hint="eastAsia"/>
      </w:rPr>
    </w:lvl>
    <w:lvl w:ilvl="8">
      <w:start w:val="1"/>
      <w:numFmt w:val="decimal"/>
      <w:isLgl w:val="false"/>
      <w:suff w:val="tab"/>
      <w:lvlText w:val="%1.%2.%3.%4.%5.%6.%7.%8.%9."/>
      <w:lvlJc w:val="left"/>
      <w:pPr>
        <w:pStyle w:val="686"/>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686"/>
        <w:ind w:left="1080" w:hanging="1080"/>
        <w:tabs>
          <w:tab w:val="num" w:pos="1080" w:leader="none"/>
        </w:tabs>
      </w:pPr>
      <w:rPr>
        <w:rFonts w:hint="eastAsia" w:cs="Times New Roman"/>
      </w:rPr>
    </w:lvl>
    <w:lvl w:ilvl="1">
      <w:start w:val="1"/>
      <w:numFmt w:val="decimal"/>
      <w:isLgl w:val="false"/>
      <w:suff w:val="tab"/>
      <w:lvlText w:val="%2."/>
      <w:lvlJc w:val="left"/>
      <w:pPr>
        <w:pStyle w:val="68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6"/>
        <w:ind w:left="1260" w:hanging="420"/>
        <w:tabs>
          <w:tab w:val="num" w:pos="126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686"/>
        <w:ind w:left="0" w:firstLine="0"/>
      </w:pPr>
      <w:rPr>
        <w:rFonts w:hint="eastAsia"/>
      </w:rPr>
    </w:lvl>
    <w:lvl w:ilvl="1">
      <w:start w:val="1"/>
      <w:numFmt w:val="decimal"/>
      <w:isLgl w:val="false"/>
      <w:suff w:val="nothing"/>
      <w:lvlText w:val="%2、"/>
      <w:lvlJc w:val="left"/>
      <w:pPr>
        <w:pStyle w:val="686"/>
        <w:ind w:left="0" w:firstLine="0"/>
      </w:pPr>
      <w:rPr>
        <w:rFonts w:hint="eastAsia"/>
      </w:rPr>
    </w:lvl>
    <w:lvl w:ilvl="2">
      <w:start w:val="1"/>
      <w:numFmt w:val="decimal"/>
      <w:isLgl w:val="false"/>
      <w:suff w:val="nothing"/>
      <w:lvlText w:val="%2.%3 "/>
      <w:lvlJc w:val="left"/>
      <w:pPr>
        <w:pStyle w:val="686"/>
        <w:ind w:left="0" w:firstLine="0"/>
      </w:pPr>
      <w:rPr>
        <w:rFonts w:hint="eastAsia"/>
      </w:rPr>
    </w:lvl>
    <w:lvl w:ilvl="3">
      <w:start w:val="1"/>
      <w:numFmt w:val="decimal"/>
      <w:isLgl w:val="false"/>
      <w:suff w:val="nothing"/>
      <w:lvlText w:val="%2.%3.%4 "/>
      <w:lvlJc w:val="left"/>
      <w:pPr>
        <w:pStyle w:val="686"/>
        <w:ind w:left="0" w:firstLine="0"/>
      </w:pPr>
      <w:rPr>
        <w:rFonts w:hint="eastAsia"/>
      </w:rPr>
    </w:lvl>
    <w:lvl w:ilvl="4">
      <w:start w:val="1"/>
      <w:numFmt w:val="decimal"/>
      <w:isLgl w:val="false"/>
      <w:suff w:val="nothing"/>
      <w:lvlText w:val="%2.%3.%4.%5 "/>
      <w:lvlJc w:val="left"/>
      <w:pPr>
        <w:pStyle w:val="686"/>
        <w:ind w:left="0" w:firstLine="0"/>
      </w:pPr>
      <w:rPr>
        <w:rFonts w:hint="eastAsia"/>
      </w:rPr>
    </w:lvl>
    <w:lvl w:ilvl="5">
      <w:start w:val="1"/>
      <w:numFmt w:val="decimal"/>
      <w:pStyle w:val="692"/>
      <w:isLgl w:val="false"/>
      <w:suff w:val="nothing"/>
      <w:lvlText w:val=""/>
      <w:lvlJc w:val="left"/>
      <w:pPr>
        <w:pStyle w:val="686"/>
        <w:ind w:left="0" w:firstLine="0"/>
      </w:pPr>
      <w:rPr>
        <w:rFonts w:hint="eastAsia"/>
      </w:rPr>
    </w:lvl>
    <w:lvl w:ilvl="6">
      <w:start w:val="1"/>
      <w:numFmt w:val="decimal"/>
      <w:pStyle w:val="693"/>
      <w:isLgl w:val="false"/>
      <w:suff w:val="nothing"/>
      <w:lvlText w:val=""/>
      <w:lvlJc w:val="left"/>
      <w:pPr>
        <w:pStyle w:val="686"/>
        <w:ind w:left="0" w:firstLine="0"/>
      </w:pPr>
      <w:rPr>
        <w:rFonts w:hint="eastAsia"/>
      </w:rPr>
    </w:lvl>
    <w:lvl w:ilvl="7">
      <w:start w:val="1"/>
      <w:numFmt w:val="decimal"/>
      <w:pStyle w:val="694"/>
      <w:isLgl w:val="false"/>
      <w:suff w:val="nothing"/>
      <w:lvlText w:val=""/>
      <w:lvlJc w:val="left"/>
      <w:pPr>
        <w:pStyle w:val="686"/>
        <w:ind w:left="0" w:firstLine="0"/>
      </w:pPr>
      <w:rPr>
        <w:rFonts w:hint="eastAsia"/>
      </w:rPr>
    </w:lvl>
    <w:lvl w:ilvl="8">
      <w:start w:val="1"/>
      <w:numFmt w:val="decimal"/>
      <w:pStyle w:val="695"/>
      <w:isLgl w:val="false"/>
      <w:suff w:val="nothing"/>
      <w:lvlText w:val=""/>
      <w:lvlJc w:val="left"/>
      <w:pPr>
        <w:pStyle w:val="686"/>
        <w:ind w:left="0" w:firstLine="0"/>
      </w:pPr>
      <w:rPr>
        <w:rFonts w:hint="eastAsia"/>
      </w:rPr>
    </w:lvl>
  </w:abstractNum>
  <w:abstractNum w:abstractNumId="14">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68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6"/>
        <w:ind w:left="840" w:hanging="420"/>
        <w:tabs>
          <w:tab w:val="num" w:pos="840" w:leader="none"/>
        </w:tabs>
      </w:pPr>
      <w:rPr>
        <w:rFonts w:cs="Times New Roman"/>
      </w:rPr>
    </w:lvl>
    <w:lvl w:ilvl="2">
      <w:start w:val="10"/>
      <w:numFmt w:val="decimal"/>
      <w:isLgl w:val="false"/>
      <w:suff w:val="tab"/>
      <w:lvlText w:val="%3."/>
      <w:lvlJc w:val="left"/>
      <w:pPr>
        <w:pStyle w:val="686"/>
        <w:ind w:left="1200" w:hanging="360"/>
        <w:tabs>
          <w:tab w:val="num" w:pos="1200" w:leader="none"/>
        </w:tabs>
      </w:pPr>
      <w:rPr>
        <w:rFonts w:cs="Times New Roman"/>
      </w:rPr>
    </w:lvl>
    <w:lvl w:ilvl="3">
      <w:start w:val="1"/>
      <w:numFmt w:val="decimal"/>
      <w:isLgl w:val="false"/>
      <w:suff w:val="tab"/>
      <w:lvlText w:val="%4."/>
      <w:lvlJc w:val="left"/>
      <w:pPr>
        <w:pStyle w:val="686"/>
        <w:ind w:left="1680" w:hanging="420"/>
        <w:tabs>
          <w:tab w:val="num" w:pos="1680" w:leader="none"/>
        </w:tabs>
      </w:pPr>
      <w:rPr>
        <w:rFonts w:cs="Times New Roman"/>
      </w:rPr>
    </w:lvl>
    <w:lvl w:ilvl="4">
      <w:start w:val="1"/>
      <w:numFmt w:val="lowerLetter"/>
      <w:isLgl w:val="false"/>
      <w:suff w:val="tab"/>
      <w:lvlText w:val="%5)"/>
      <w:lvlJc w:val="left"/>
      <w:pPr>
        <w:pStyle w:val="686"/>
        <w:ind w:left="2100" w:hanging="420"/>
        <w:tabs>
          <w:tab w:val="num" w:pos="2100" w:leader="none"/>
        </w:tabs>
      </w:pPr>
      <w:rPr>
        <w:rFonts w:cs="Times New Roman"/>
      </w:rPr>
    </w:lvl>
    <w:lvl w:ilvl="5">
      <w:start w:val="1"/>
      <w:numFmt w:val="lowerRoman"/>
      <w:isLgl w:val="false"/>
      <w:suff w:val="tab"/>
      <w:lvlText w:val="%6."/>
      <w:lvlJc w:val="right"/>
      <w:pPr>
        <w:pStyle w:val="686"/>
        <w:ind w:left="2520" w:hanging="420"/>
        <w:tabs>
          <w:tab w:val="num" w:pos="2520" w:leader="none"/>
        </w:tabs>
      </w:pPr>
      <w:rPr>
        <w:rFonts w:cs="Times New Roman"/>
      </w:rPr>
    </w:lvl>
    <w:lvl w:ilvl="6">
      <w:start w:val="1"/>
      <w:numFmt w:val="decimal"/>
      <w:isLgl w:val="false"/>
      <w:suff w:val="tab"/>
      <w:lvlText w:val="%7."/>
      <w:lvlJc w:val="left"/>
      <w:pPr>
        <w:pStyle w:val="686"/>
        <w:ind w:left="2940" w:hanging="420"/>
        <w:tabs>
          <w:tab w:val="num" w:pos="2940" w:leader="none"/>
        </w:tabs>
      </w:pPr>
      <w:rPr>
        <w:rFonts w:cs="Times New Roman"/>
      </w:rPr>
    </w:lvl>
    <w:lvl w:ilvl="7">
      <w:start w:val="1"/>
      <w:numFmt w:val="lowerLetter"/>
      <w:isLgl w:val="false"/>
      <w:suff w:val="tab"/>
      <w:lvlText w:val="%8)"/>
      <w:lvlJc w:val="left"/>
      <w:pPr>
        <w:pStyle w:val="686"/>
        <w:ind w:left="3360" w:hanging="420"/>
        <w:tabs>
          <w:tab w:val="num" w:pos="3360" w:leader="none"/>
        </w:tabs>
      </w:pPr>
      <w:rPr>
        <w:rFonts w:cs="Times New Roman"/>
      </w:rPr>
    </w:lvl>
    <w:lvl w:ilvl="8">
      <w:start w:val="1"/>
      <w:numFmt w:val="lowerRoman"/>
      <w:isLgl w:val="false"/>
      <w:suff w:val="tab"/>
      <w:lvlText w:val="%9."/>
      <w:lvlJc w:val="right"/>
      <w:pPr>
        <w:pStyle w:val="686"/>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686"/>
        <w:ind w:left="720" w:hanging="720"/>
        <w:tabs>
          <w:tab w:val="num" w:pos="720" w:leader="none"/>
        </w:tabs>
      </w:pPr>
      <w:rPr>
        <w:rFonts w:hint="eastAsia" w:cs="Times New Roman"/>
      </w:rPr>
    </w:lvl>
    <w:lvl w:ilvl="1">
      <w:start w:val="2"/>
      <w:numFmt w:val="decimal"/>
      <w:isLgl w:val="false"/>
      <w:suff w:val="tab"/>
      <w:lvlText w:val="%2."/>
      <w:lvlJc w:val="left"/>
      <w:pPr>
        <w:pStyle w:val="686"/>
        <w:ind w:left="1770" w:hanging="360"/>
        <w:tabs>
          <w:tab w:val="num" w:pos="1770" w:leader="none"/>
        </w:tabs>
      </w:pPr>
      <w:rPr>
        <w:rFonts w:cs="Times New Roman"/>
      </w:rPr>
    </w:lvl>
    <w:lvl w:ilvl="2">
      <w:start w:val="1"/>
      <w:numFmt w:val="lowerRoman"/>
      <w:isLgl w:val="false"/>
      <w:suff w:val="tab"/>
      <w:lvlText w:val="%3."/>
      <w:lvlJc w:val="right"/>
      <w:pPr>
        <w:pStyle w:val="686"/>
        <w:ind w:left="2250" w:hanging="420"/>
        <w:tabs>
          <w:tab w:val="num" w:pos="2250" w:leader="none"/>
        </w:tabs>
      </w:pPr>
      <w:rPr>
        <w:rFonts w:cs="Times New Roman"/>
      </w:rPr>
    </w:lvl>
    <w:lvl w:ilvl="3">
      <w:start w:val="1"/>
      <w:numFmt w:val="decimal"/>
      <w:isLgl w:val="false"/>
      <w:suff w:val="tab"/>
      <w:lvlText w:val="%4."/>
      <w:lvlJc w:val="left"/>
      <w:pPr>
        <w:pStyle w:val="686"/>
        <w:ind w:left="2670" w:hanging="420"/>
        <w:tabs>
          <w:tab w:val="num" w:pos="2670" w:leader="none"/>
        </w:tabs>
      </w:pPr>
      <w:rPr>
        <w:rFonts w:cs="Times New Roman"/>
      </w:rPr>
    </w:lvl>
    <w:lvl w:ilvl="4">
      <w:start w:val="1"/>
      <w:numFmt w:val="lowerLetter"/>
      <w:isLgl w:val="false"/>
      <w:suff w:val="tab"/>
      <w:lvlText w:val="%5)"/>
      <w:lvlJc w:val="left"/>
      <w:pPr>
        <w:pStyle w:val="686"/>
        <w:ind w:left="3090" w:hanging="420"/>
        <w:tabs>
          <w:tab w:val="num" w:pos="3090" w:leader="none"/>
        </w:tabs>
      </w:pPr>
      <w:rPr>
        <w:rFonts w:cs="Times New Roman"/>
      </w:rPr>
    </w:lvl>
    <w:lvl w:ilvl="5">
      <w:start w:val="1"/>
      <w:numFmt w:val="lowerRoman"/>
      <w:isLgl w:val="false"/>
      <w:suff w:val="tab"/>
      <w:lvlText w:val="%6."/>
      <w:lvlJc w:val="right"/>
      <w:pPr>
        <w:pStyle w:val="686"/>
        <w:ind w:left="3510" w:hanging="420"/>
        <w:tabs>
          <w:tab w:val="num" w:pos="3510" w:leader="none"/>
        </w:tabs>
      </w:pPr>
      <w:rPr>
        <w:rFonts w:cs="Times New Roman"/>
      </w:rPr>
    </w:lvl>
    <w:lvl w:ilvl="6">
      <w:start w:val="1"/>
      <w:numFmt w:val="decimal"/>
      <w:isLgl w:val="false"/>
      <w:suff w:val="tab"/>
      <w:lvlText w:val="%7."/>
      <w:lvlJc w:val="left"/>
      <w:pPr>
        <w:pStyle w:val="686"/>
        <w:ind w:left="3930" w:hanging="420"/>
        <w:tabs>
          <w:tab w:val="num" w:pos="3930" w:leader="none"/>
        </w:tabs>
      </w:pPr>
      <w:rPr>
        <w:rFonts w:cs="Times New Roman"/>
      </w:rPr>
    </w:lvl>
    <w:lvl w:ilvl="7">
      <w:start w:val="1"/>
      <w:numFmt w:val="lowerLetter"/>
      <w:isLgl w:val="false"/>
      <w:suff w:val="tab"/>
      <w:lvlText w:val="%8)"/>
      <w:lvlJc w:val="left"/>
      <w:pPr>
        <w:pStyle w:val="686"/>
        <w:ind w:left="4350" w:hanging="420"/>
        <w:tabs>
          <w:tab w:val="num" w:pos="4350" w:leader="none"/>
        </w:tabs>
      </w:pPr>
      <w:rPr>
        <w:rFonts w:cs="Times New Roman"/>
      </w:rPr>
    </w:lvl>
    <w:lvl w:ilvl="8">
      <w:start w:val="1"/>
      <w:numFmt w:val="lowerRoman"/>
      <w:isLgl w:val="false"/>
      <w:suff w:val="tab"/>
      <w:lvlText w:val="%9."/>
      <w:lvlJc w:val="right"/>
      <w:pPr>
        <w:pStyle w:val="686"/>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686"/>
        <w:ind w:left="510" w:hanging="360"/>
        <w:tabs>
          <w:tab w:val="num" w:pos="510" w:leader="none"/>
        </w:tabs>
      </w:pPr>
      <w:rPr>
        <w:rFonts w:hint="eastAsia" w:cs="Times New Roman"/>
      </w:rPr>
    </w:lvl>
    <w:lvl w:ilvl="1">
      <w:start w:val="1"/>
      <w:numFmt w:val="decimal"/>
      <w:isLgl w:val="false"/>
      <w:suff w:val="tab"/>
      <w:lvlText w:val="%2．"/>
      <w:lvlJc w:val="left"/>
      <w:pPr>
        <w:pStyle w:val="686"/>
        <w:ind w:left="1290" w:hanging="720"/>
        <w:tabs>
          <w:tab w:val="num" w:pos="1290" w:leader="none"/>
        </w:tabs>
      </w:pPr>
      <w:rPr>
        <w:rFonts w:hint="eastAsia" w:cs="Times New Roman"/>
      </w:rPr>
    </w:lvl>
    <w:lvl w:ilvl="2">
      <w:start w:val="3"/>
      <w:numFmt w:val="decimal"/>
      <w:isLgl w:val="false"/>
      <w:suff w:val="tab"/>
      <w:lvlText w:val="（%3）"/>
      <w:lvlJc w:val="left"/>
      <w:pPr>
        <w:pStyle w:val="686"/>
        <w:ind w:left="1140" w:hanging="720"/>
        <w:tabs>
          <w:tab w:val="num" w:pos="1140" w:leader="none"/>
        </w:tabs>
      </w:pPr>
      <w:rPr>
        <w:rFonts w:hint="eastAsia" w:cs="Times New Roman"/>
      </w:rPr>
    </w:lvl>
    <w:lvl w:ilvl="3">
      <w:start w:val="1"/>
      <w:numFmt w:val="decimal"/>
      <w:isLgl w:val="false"/>
      <w:suff w:val="tab"/>
      <w:lvlText w:val="（%4）"/>
      <w:lvlJc w:val="left"/>
      <w:pPr>
        <w:pStyle w:val="68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6"/>
        <w:ind w:left="2250" w:hanging="420"/>
        <w:tabs>
          <w:tab w:val="num" w:pos="2250" w:leader="none"/>
        </w:tabs>
      </w:pPr>
      <w:rPr>
        <w:rFonts w:hint="eastAsia"/>
        <w:b/>
        <w:lang w:val="en-US"/>
      </w:rPr>
    </w:lvl>
    <w:lvl w:ilvl="5">
      <w:start w:val="10"/>
      <w:numFmt w:val="japaneseCounting"/>
      <w:isLgl w:val="false"/>
      <w:suff w:val="tab"/>
      <w:lvlText w:val="（%6）"/>
      <w:lvlJc w:val="left"/>
      <w:pPr>
        <w:pStyle w:val="686"/>
        <w:ind w:left="2970" w:hanging="720"/>
      </w:pPr>
      <w:rPr>
        <w:rFonts w:cs="Times New Roman"/>
      </w:rPr>
    </w:lvl>
    <w:lvl w:ilvl="6">
      <w:start w:val="1"/>
      <w:numFmt w:val="decimal"/>
      <w:isLgl w:val="false"/>
      <w:suff w:val="tab"/>
      <w:lvlText w:val="（%7）"/>
      <w:lvlJc w:val="left"/>
      <w:pPr>
        <w:pStyle w:val="68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6"/>
        <w:ind w:left="3510" w:hanging="420"/>
        <w:tabs>
          <w:tab w:val="num" w:pos="3510" w:leader="none"/>
        </w:tabs>
      </w:pPr>
      <w:rPr>
        <w:rFonts w:cs="Times New Roman"/>
      </w:rPr>
    </w:lvl>
    <w:lvl w:ilvl="8">
      <w:start w:val="1"/>
      <w:numFmt w:val="lowerRoman"/>
      <w:isLgl w:val="false"/>
      <w:suff w:val="tab"/>
      <w:lvlText w:val="%9."/>
      <w:lvlJc w:val="right"/>
      <w:pPr>
        <w:pStyle w:val="686"/>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68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6"/>
    <w:link w:val="686"/>
    <w:qFormat/>
    <w:pPr>
      <w:jc w:val="both"/>
      <w:widowControl w:val="off"/>
    </w:pPr>
    <w:rPr>
      <w:rFonts w:ascii="Times New Roman" w:hAnsi="Times New Roman"/>
      <w:sz w:val="21"/>
      <w:szCs w:val="21"/>
      <w:lang w:val="en-US" w:eastAsia="zh-CN" w:bidi="ar-SA"/>
    </w:rPr>
  </w:style>
  <w:style w:type="paragraph" w:styleId="687">
    <w:name w:val="标题 1"/>
    <w:basedOn w:val="686"/>
    <w:next w:val="686"/>
    <w:link w:val="699"/>
    <w:qFormat/>
    <w:pPr>
      <w:jc w:val="center"/>
      <w:keepNext/>
      <w:outlineLvl w:val="0"/>
    </w:pPr>
    <w:rPr>
      <w:rFonts w:ascii="楷体_GB2312" w:eastAsia="楷体_GB2312"/>
      <w:sz w:val="28"/>
      <w:szCs w:val="28"/>
      <w:lang w:val="en-US" w:eastAsia="en-US"/>
    </w:rPr>
  </w:style>
  <w:style w:type="paragraph" w:styleId="688">
    <w:name w:val="标题 2"/>
    <w:basedOn w:val="686"/>
    <w:next w:val="701"/>
    <w:link w:val="70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89">
    <w:name w:val="标题 3"/>
    <w:basedOn w:val="686"/>
    <w:next w:val="701"/>
    <w:link w:val="703"/>
    <w:qFormat/>
    <w:pPr>
      <w:keepLines/>
      <w:keepNext/>
      <w:spacing w:before="260" w:after="260" w:line="416" w:lineRule="auto"/>
      <w:outlineLvl w:val="2"/>
    </w:pPr>
    <w:rPr>
      <w:b/>
      <w:bCs/>
      <w:sz w:val="32"/>
      <w:szCs w:val="32"/>
      <w:lang w:val="en-US" w:eastAsia="en-US"/>
    </w:rPr>
  </w:style>
  <w:style w:type="paragraph" w:styleId="690">
    <w:name w:val="标题 4"/>
    <w:basedOn w:val="686"/>
    <w:next w:val="701"/>
    <w:link w:val="704"/>
    <w:qFormat/>
    <w:pPr>
      <w:keepLines/>
      <w:keepNext/>
      <w:spacing w:before="280" w:after="290" w:line="376" w:lineRule="auto"/>
      <w:outlineLvl w:val="3"/>
    </w:pPr>
    <w:rPr>
      <w:rFonts w:ascii="Arial" w:hAnsi="Arial" w:eastAsia="黑体"/>
      <w:b/>
      <w:bCs/>
      <w:sz w:val="28"/>
      <w:szCs w:val="28"/>
      <w:lang w:val="en-US" w:eastAsia="en-US"/>
    </w:rPr>
  </w:style>
  <w:style w:type="paragraph" w:styleId="691">
    <w:name w:val="标题 5"/>
    <w:basedOn w:val="686"/>
    <w:next w:val="701"/>
    <w:link w:val="705"/>
    <w:qFormat/>
    <w:pPr>
      <w:keepNext/>
      <w:outlineLvl w:val="4"/>
    </w:pPr>
    <w:rPr>
      <w:rFonts w:ascii="宋体"/>
      <w:color w:val="000000"/>
      <w:sz w:val="28"/>
      <w:szCs w:val="28"/>
      <w:lang w:val="en-US" w:eastAsia="en-US"/>
    </w:rPr>
  </w:style>
  <w:style w:type="paragraph" w:styleId="692">
    <w:name w:val="标题 6"/>
    <w:basedOn w:val="686"/>
    <w:next w:val="686"/>
    <w:link w:val="706"/>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93">
    <w:name w:val="标题 7"/>
    <w:basedOn w:val="686"/>
    <w:next w:val="686"/>
    <w:link w:val="707"/>
    <w:qFormat/>
    <w:pPr>
      <w:numPr>
        <w:ilvl w:val="6"/>
        <w:numId w:val="1"/>
      </w:numPr>
      <w:keepLines/>
      <w:keepNext/>
      <w:spacing w:before="240" w:after="64" w:line="320" w:lineRule="auto"/>
      <w:outlineLvl w:val="6"/>
    </w:pPr>
    <w:rPr>
      <w:b/>
      <w:bCs/>
      <w:sz w:val="24"/>
      <w:szCs w:val="24"/>
      <w:lang w:val="en-US" w:eastAsia="en-US"/>
    </w:rPr>
  </w:style>
  <w:style w:type="paragraph" w:styleId="694">
    <w:name w:val="标题 8"/>
    <w:basedOn w:val="686"/>
    <w:next w:val="686"/>
    <w:link w:val="708"/>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95">
    <w:name w:val="标题 9"/>
    <w:basedOn w:val="686"/>
    <w:next w:val="686"/>
    <w:link w:val="70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696">
    <w:name w:val="默认段落字体"/>
    <w:next w:val="696"/>
    <w:link w:val="686"/>
    <w:uiPriority w:val="1"/>
    <w:unhideWhenUsed/>
  </w:style>
  <w:style w:type="table" w:styleId="697">
    <w:name w:val="普通表格"/>
    <w:next w:val="697"/>
    <w:link w:val="686"/>
    <w:uiPriority w:val="99"/>
    <w:unhideWhenUsed/>
    <w:tblPr/>
  </w:style>
  <w:style w:type="numbering" w:styleId="698">
    <w:name w:val="无列表"/>
    <w:next w:val="698"/>
    <w:link w:val="686"/>
    <w:uiPriority w:val="99"/>
    <w:semiHidden/>
    <w:unhideWhenUsed/>
  </w:style>
  <w:style w:type="character" w:styleId="699">
    <w:name w:val="标题 1 Char"/>
    <w:next w:val="699"/>
    <w:link w:val="687"/>
    <w:rPr>
      <w:rFonts w:ascii="楷体_GB2312" w:hAnsi="Times New Roman" w:eastAsia="楷体_GB2312" w:cs="Times New Roman"/>
      <w:sz w:val="28"/>
      <w:szCs w:val="28"/>
    </w:rPr>
  </w:style>
  <w:style w:type="character" w:styleId="700">
    <w:name w:val="标题 2 Char"/>
    <w:next w:val="700"/>
    <w:link w:val="688"/>
    <w:rPr>
      <w:rFonts w:ascii="Arial" w:hAnsi="Arial" w:eastAsia="幼圆" w:cs="Arial"/>
      <w:b/>
      <w:bCs/>
      <w:sz w:val="44"/>
      <w:szCs w:val="44"/>
    </w:rPr>
  </w:style>
  <w:style w:type="paragraph" w:styleId="701">
    <w:name w:val="正文缩进"/>
    <w:basedOn w:val="686"/>
    <w:next w:val="701"/>
    <w:link w:val="702"/>
    <w:pPr>
      <w:ind w:firstLine="420"/>
    </w:pPr>
    <w:rPr>
      <w:sz w:val="20"/>
      <w:lang w:val="en-US" w:eastAsia="en-US"/>
    </w:rPr>
  </w:style>
  <w:style w:type="character" w:styleId="702">
    <w:name w:val="正文缩进 Char"/>
    <w:next w:val="702"/>
    <w:link w:val="701"/>
    <w:rPr>
      <w:rFonts w:ascii="Times New Roman" w:hAnsi="Times New Roman" w:eastAsia="宋体" w:cs="Times New Roman"/>
      <w:szCs w:val="21"/>
    </w:rPr>
  </w:style>
  <w:style w:type="character" w:styleId="703">
    <w:name w:val="标题 3 Char"/>
    <w:next w:val="703"/>
    <w:link w:val="689"/>
    <w:rPr>
      <w:rFonts w:ascii="Times New Roman" w:hAnsi="Times New Roman" w:eastAsia="宋体" w:cs="Times New Roman"/>
      <w:b/>
      <w:bCs/>
      <w:sz w:val="32"/>
      <w:szCs w:val="32"/>
    </w:rPr>
  </w:style>
  <w:style w:type="character" w:styleId="704">
    <w:name w:val="标题 4 Char"/>
    <w:next w:val="704"/>
    <w:link w:val="690"/>
    <w:rPr>
      <w:rFonts w:ascii="Arial" w:hAnsi="Arial" w:eastAsia="黑体" w:cs="Arial"/>
      <w:b/>
      <w:bCs/>
      <w:sz w:val="28"/>
      <w:szCs w:val="28"/>
    </w:rPr>
  </w:style>
  <w:style w:type="character" w:styleId="705">
    <w:name w:val="标题 5 Char"/>
    <w:next w:val="705"/>
    <w:link w:val="691"/>
    <w:rPr>
      <w:rFonts w:ascii="宋体" w:hAnsi="Times New Roman" w:eastAsia="宋体" w:cs="Times New Roman"/>
      <w:color w:val="000000"/>
      <w:sz w:val="28"/>
      <w:szCs w:val="28"/>
    </w:rPr>
  </w:style>
  <w:style w:type="character" w:styleId="706">
    <w:name w:val="标题 6 Char"/>
    <w:next w:val="706"/>
    <w:link w:val="692"/>
    <w:rPr>
      <w:rFonts w:ascii="Arial" w:hAnsi="Arial" w:eastAsia="黑体" w:cs="Times New Roman"/>
      <w:b/>
      <w:bCs/>
      <w:sz w:val="24"/>
      <w:szCs w:val="24"/>
    </w:rPr>
  </w:style>
  <w:style w:type="character" w:styleId="707">
    <w:name w:val="标题 7 Char"/>
    <w:next w:val="707"/>
    <w:link w:val="693"/>
    <w:rPr>
      <w:rFonts w:ascii="Times New Roman" w:hAnsi="Times New Roman" w:eastAsia="宋体" w:cs="Times New Roman"/>
      <w:b/>
      <w:bCs/>
      <w:sz w:val="24"/>
      <w:szCs w:val="24"/>
    </w:rPr>
  </w:style>
  <w:style w:type="character" w:styleId="708">
    <w:name w:val="标题 8 Char"/>
    <w:next w:val="708"/>
    <w:link w:val="694"/>
    <w:rPr>
      <w:rFonts w:ascii="Arial" w:hAnsi="Arial" w:eastAsia="黑体" w:cs="Times New Roman"/>
      <w:sz w:val="24"/>
      <w:szCs w:val="24"/>
    </w:rPr>
  </w:style>
  <w:style w:type="character" w:styleId="709">
    <w:name w:val="标题 9 Char"/>
    <w:next w:val="709"/>
    <w:link w:val="695"/>
    <w:rPr>
      <w:rFonts w:ascii="Arial" w:hAnsi="Arial" w:eastAsia="黑体" w:cs="Times New Roman"/>
      <w:szCs w:val="21"/>
    </w:rPr>
  </w:style>
  <w:style w:type="paragraph" w:styleId="710">
    <w:name w:val="列表 3"/>
    <w:basedOn w:val="686"/>
    <w:next w:val="710"/>
    <w:link w:val="686"/>
    <w:pPr>
      <w:ind w:left="100" w:hanging="200"/>
    </w:pPr>
  </w:style>
  <w:style w:type="paragraph" w:styleId="711">
    <w:name w:val="目录 7"/>
    <w:basedOn w:val="686"/>
    <w:next w:val="686"/>
    <w:link w:val="686"/>
    <w:semiHidden/>
    <w:pPr>
      <w:ind w:left="1260"/>
      <w:jc w:val="left"/>
    </w:pPr>
  </w:style>
  <w:style w:type="paragraph" w:styleId="712">
    <w:name w:val="文档结构图"/>
    <w:basedOn w:val="686"/>
    <w:next w:val="712"/>
    <w:link w:val="713"/>
    <w:semiHidden/>
    <w:pPr>
      <w:shd w:val="clear" w:color="auto" w:fill="000080"/>
    </w:pPr>
    <w:rPr>
      <w:sz w:val="20"/>
      <w:lang w:val="en-US" w:eastAsia="en-US"/>
    </w:rPr>
  </w:style>
  <w:style w:type="character" w:styleId="713">
    <w:name w:val="文档结构图 Char"/>
    <w:next w:val="713"/>
    <w:link w:val="712"/>
    <w:semiHidden/>
    <w:rPr>
      <w:rFonts w:ascii="Times New Roman" w:hAnsi="Times New Roman" w:eastAsia="宋体" w:cs="Times New Roman"/>
      <w:szCs w:val="21"/>
      <w:shd w:val="clear" w:color="auto" w:fill="000080"/>
    </w:rPr>
  </w:style>
  <w:style w:type="paragraph" w:styleId="714">
    <w:name w:val="批注文字"/>
    <w:basedOn w:val="686"/>
    <w:next w:val="714"/>
    <w:link w:val="715"/>
    <w:semiHidden/>
    <w:pPr>
      <w:jc w:val="left"/>
    </w:pPr>
    <w:rPr>
      <w:sz w:val="20"/>
      <w:lang w:val="en-US" w:eastAsia="en-US"/>
    </w:rPr>
  </w:style>
  <w:style w:type="character" w:styleId="715">
    <w:name w:val="批注文字 Char"/>
    <w:next w:val="715"/>
    <w:link w:val="714"/>
    <w:semiHidden/>
    <w:rPr>
      <w:rFonts w:ascii="Times New Roman" w:hAnsi="Times New Roman" w:eastAsia="宋体" w:cs="Times New Roman"/>
      <w:szCs w:val="21"/>
    </w:rPr>
  </w:style>
  <w:style w:type="paragraph" w:styleId="716">
    <w:name w:val="正文文本 3"/>
    <w:basedOn w:val="686"/>
    <w:next w:val="716"/>
    <w:link w:val="717"/>
    <w:rPr>
      <w:rFonts w:ascii="仿宋_GB2312" w:hAnsi="Arial" w:eastAsia="仿宋_GB2312"/>
      <w:sz w:val="32"/>
      <w:szCs w:val="32"/>
      <w:lang w:val="en-US" w:eastAsia="en-US"/>
    </w:rPr>
  </w:style>
  <w:style w:type="character" w:styleId="717">
    <w:name w:val="正文文本 3 Char"/>
    <w:next w:val="717"/>
    <w:link w:val="716"/>
    <w:rPr>
      <w:rFonts w:ascii="仿宋_GB2312" w:hAnsi="Arial" w:eastAsia="仿宋_GB2312" w:cs="Times New Roman"/>
      <w:sz w:val="32"/>
      <w:szCs w:val="32"/>
    </w:rPr>
  </w:style>
  <w:style w:type="paragraph" w:styleId="718">
    <w:name w:val="正文文本"/>
    <w:basedOn w:val="686"/>
    <w:next w:val="718"/>
    <w:link w:val="719"/>
    <w:rPr>
      <w:rFonts w:ascii="楷体_GB2312" w:hAnsi="Arial" w:eastAsia="楷体_GB2312"/>
      <w:sz w:val="28"/>
      <w:szCs w:val="28"/>
      <w:lang w:val="en-US" w:eastAsia="en-US"/>
    </w:rPr>
  </w:style>
  <w:style w:type="character" w:styleId="719">
    <w:name w:val="正文文本 Char"/>
    <w:next w:val="719"/>
    <w:link w:val="718"/>
    <w:rPr>
      <w:rFonts w:ascii="楷体_GB2312" w:hAnsi="Arial" w:eastAsia="楷体_GB2312" w:cs="Times New Roman"/>
      <w:sz w:val="28"/>
      <w:szCs w:val="28"/>
    </w:rPr>
  </w:style>
  <w:style w:type="paragraph" w:styleId="720">
    <w:name w:val="正文文本缩进"/>
    <w:basedOn w:val="686"/>
    <w:next w:val="720"/>
    <w:link w:val="721"/>
    <w:pPr>
      <w:ind w:firstLine="645"/>
    </w:pPr>
    <w:rPr>
      <w:rFonts w:ascii="楷体_GB2312" w:eastAsia="楷体_GB2312"/>
      <w:sz w:val="32"/>
      <w:szCs w:val="32"/>
      <w:lang w:val="en-US" w:eastAsia="en-US"/>
    </w:rPr>
  </w:style>
  <w:style w:type="character" w:styleId="721">
    <w:name w:val="正文文本缩进 Char"/>
    <w:next w:val="721"/>
    <w:link w:val="720"/>
    <w:rPr>
      <w:rFonts w:ascii="楷体_GB2312" w:hAnsi="Times New Roman" w:eastAsia="楷体_GB2312" w:cs="Times New Roman"/>
      <w:sz w:val="32"/>
      <w:szCs w:val="32"/>
    </w:rPr>
  </w:style>
  <w:style w:type="paragraph" w:styleId="722">
    <w:name w:val="列表 2"/>
    <w:basedOn w:val="686"/>
    <w:next w:val="722"/>
    <w:link w:val="686"/>
    <w:pPr>
      <w:ind w:left="100" w:hanging="200"/>
    </w:pPr>
  </w:style>
  <w:style w:type="paragraph" w:styleId="723">
    <w:name w:val="目录 5"/>
    <w:basedOn w:val="686"/>
    <w:next w:val="686"/>
    <w:link w:val="686"/>
    <w:semiHidden/>
    <w:pPr>
      <w:ind w:left="840"/>
      <w:jc w:val="left"/>
    </w:pPr>
  </w:style>
  <w:style w:type="paragraph" w:styleId="724">
    <w:name w:val="目录 3"/>
    <w:basedOn w:val="686"/>
    <w:next w:val="686"/>
    <w:link w:val="686"/>
    <w:semiHidden/>
    <w:pPr>
      <w:ind w:left="420"/>
      <w:jc w:val="left"/>
    </w:pPr>
    <w:rPr>
      <w:i/>
      <w:iCs/>
      <w:szCs w:val="24"/>
    </w:rPr>
  </w:style>
  <w:style w:type="paragraph" w:styleId="725">
    <w:name w:val="纯文本"/>
    <w:basedOn w:val="686"/>
    <w:next w:val="725"/>
    <w:link w:val="726"/>
    <w:rPr>
      <w:rFonts w:ascii="宋体" w:hAnsi="Courier New"/>
      <w:sz w:val="20"/>
      <w:lang w:val="en-US" w:eastAsia="en-US"/>
    </w:rPr>
  </w:style>
  <w:style w:type="character" w:styleId="726">
    <w:name w:val="纯文本 Char"/>
    <w:next w:val="726"/>
    <w:link w:val="725"/>
    <w:rPr>
      <w:rFonts w:ascii="宋体" w:hAnsi="Courier New" w:eastAsia="宋体" w:cs="Courier New"/>
      <w:szCs w:val="21"/>
    </w:rPr>
  </w:style>
  <w:style w:type="paragraph" w:styleId="727">
    <w:name w:val="目录 8"/>
    <w:basedOn w:val="686"/>
    <w:next w:val="686"/>
    <w:link w:val="686"/>
    <w:semiHidden/>
    <w:pPr>
      <w:ind w:left="1470"/>
      <w:jc w:val="left"/>
    </w:pPr>
  </w:style>
  <w:style w:type="paragraph" w:styleId="728">
    <w:name w:val="日期"/>
    <w:basedOn w:val="686"/>
    <w:next w:val="686"/>
    <w:link w:val="729"/>
    <w:rPr>
      <w:sz w:val="24"/>
      <w:szCs w:val="24"/>
      <w:lang w:val="en-US" w:eastAsia="en-US"/>
    </w:rPr>
  </w:style>
  <w:style w:type="character" w:styleId="729">
    <w:name w:val="日期 Char"/>
    <w:next w:val="729"/>
    <w:link w:val="728"/>
    <w:rPr>
      <w:rFonts w:ascii="Times New Roman" w:hAnsi="Times New Roman" w:eastAsia="宋体" w:cs="Times New Roman"/>
      <w:sz w:val="24"/>
      <w:szCs w:val="24"/>
    </w:rPr>
  </w:style>
  <w:style w:type="paragraph" w:styleId="730">
    <w:name w:val="正文文本缩进 2"/>
    <w:basedOn w:val="686"/>
    <w:next w:val="730"/>
    <w:link w:val="731"/>
    <w:pPr>
      <w:ind w:left="630" w:firstLine="645"/>
    </w:pPr>
    <w:rPr>
      <w:rFonts w:ascii="Arial" w:hAnsi="Arial" w:eastAsia="仿宋_GB2312"/>
      <w:sz w:val="32"/>
      <w:szCs w:val="32"/>
      <w:lang w:val="en-US" w:eastAsia="en-US"/>
    </w:rPr>
  </w:style>
  <w:style w:type="character" w:styleId="731">
    <w:name w:val="正文文本缩进 2 Char"/>
    <w:next w:val="731"/>
    <w:link w:val="730"/>
    <w:rPr>
      <w:rFonts w:ascii="Arial" w:hAnsi="Arial" w:eastAsia="仿宋_GB2312" w:cs="Arial"/>
      <w:sz w:val="32"/>
      <w:szCs w:val="32"/>
    </w:rPr>
  </w:style>
  <w:style w:type="paragraph" w:styleId="732">
    <w:name w:val="批注框文本"/>
    <w:basedOn w:val="686"/>
    <w:next w:val="732"/>
    <w:link w:val="733"/>
    <w:semiHidden/>
    <w:rPr>
      <w:sz w:val="18"/>
      <w:szCs w:val="18"/>
      <w:lang w:val="en-US" w:eastAsia="en-US"/>
    </w:rPr>
  </w:style>
  <w:style w:type="character" w:styleId="733">
    <w:name w:val="批注框文本 Char"/>
    <w:next w:val="733"/>
    <w:link w:val="732"/>
    <w:semiHidden/>
    <w:rPr>
      <w:rFonts w:ascii="Times New Roman" w:hAnsi="Times New Roman" w:eastAsia="宋体" w:cs="Times New Roman"/>
      <w:sz w:val="18"/>
      <w:szCs w:val="18"/>
    </w:rPr>
  </w:style>
  <w:style w:type="paragraph" w:styleId="734">
    <w:name w:val="页脚"/>
    <w:basedOn w:val="686"/>
    <w:next w:val="734"/>
    <w:link w:val="735"/>
    <w:pPr>
      <w:jc w:val="left"/>
      <w:tabs>
        <w:tab w:val="center" w:pos="4153" w:leader="none"/>
        <w:tab w:val="right" w:pos="8306" w:leader="none"/>
      </w:tabs>
    </w:pPr>
    <w:rPr>
      <w:sz w:val="18"/>
      <w:szCs w:val="18"/>
      <w:lang w:val="en-US" w:eastAsia="en-US"/>
    </w:rPr>
  </w:style>
  <w:style w:type="character" w:styleId="735">
    <w:name w:val="页脚 Char"/>
    <w:next w:val="735"/>
    <w:link w:val="734"/>
    <w:rPr>
      <w:rFonts w:ascii="Times New Roman" w:hAnsi="Times New Roman" w:eastAsia="宋体" w:cs="Times New Roman"/>
      <w:sz w:val="18"/>
      <w:szCs w:val="18"/>
    </w:rPr>
  </w:style>
  <w:style w:type="paragraph" w:styleId="736">
    <w:name w:val="页眉"/>
    <w:basedOn w:val="686"/>
    <w:next w:val="736"/>
    <w:link w:val="73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737">
    <w:name w:val="页眉 Char"/>
    <w:next w:val="737"/>
    <w:link w:val="736"/>
    <w:uiPriority w:val="99"/>
    <w:qFormat/>
    <w:rPr>
      <w:rFonts w:ascii="Times New Roman" w:hAnsi="Times New Roman" w:eastAsia="宋体" w:cs="Times New Roman"/>
      <w:sz w:val="18"/>
      <w:szCs w:val="18"/>
    </w:rPr>
  </w:style>
  <w:style w:type="paragraph" w:styleId="738">
    <w:name w:val="目录 1"/>
    <w:basedOn w:val="686"/>
    <w:next w:val="686"/>
    <w:link w:val="686"/>
    <w:semiHidden/>
    <w:pPr>
      <w:jc w:val="left"/>
      <w:spacing w:before="120" w:after="120" w:line="400" w:lineRule="exact"/>
      <w:tabs>
        <w:tab w:val="right" w:pos="8720" w:leader="dot"/>
      </w:tabs>
    </w:pPr>
    <w:rPr>
      <w:rFonts w:ascii="宋体" w:hAnsi="宋体"/>
      <w:caps/>
      <w:sz w:val="24"/>
      <w:szCs w:val="24"/>
    </w:rPr>
  </w:style>
  <w:style w:type="paragraph" w:styleId="739">
    <w:name w:val="目录 4"/>
    <w:basedOn w:val="686"/>
    <w:next w:val="686"/>
    <w:link w:val="686"/>
    <w:semiHidden/>
    <w:pPr>
      <w:ind w:left="630"/>
      <w:jc w:val="left"/>
    </w:pPr>
  </w:style>
  <w:style w:type="paragraph" w:styleId="740">
    <w:name w:val="列表"/>
    <w:basedOn w:val="686"/>
    <w:next w:val="740"/>
    <w:link w:val="686"/>
    <w:pPr>
      <w:ind w:left="200" w:hanging="200"/>
    </w:pPr>
  </w:style>
  <w:style w:type="paragraph" w:styleId="741">
    <w:name w:val="目录 6"/>
    <w:basedOn w:val="686"/>
    <w:next w:val="686"/>
    <w:link w:val="686"/>
    <w:semiHidden/>
    <w:pPr>
      <w:ind w:left="1050"/>
      <w:jc w:val="left"/>
    </w:pPr>
  </w:style>
  <w:style w:type="paragraph" w:styleId="742">
    <w:name w:val="正文文本缩进 3"/>
    <w:basedOn w:val="686"/>
    <w:next w:val="742"/>
    <w:link w:val="743"/>
    <w:pPr>
      <w:ind w:left="645" w:firstLine="645"/>
    </w:pPr>
    <w:rPr>
      <w:rFonts w:ascii="Arial" w:hAnsi="Arial" w:eastAsia="仿宋_GB2312"/>
      <w:color w:val="ffff00"/>
      <w:sz w:val="32"/>
      <w:szCs w:val="32"/>
      <w:lang w:val="en-US" w:eastAsia="en-US"/>
    </w:rPr>
  </w:style>
  <w:style w:type="character" w:styleId="743">
    <w:name w:val="正文文本缩进 3 Char"/>
    <w:next w:val="743"/>
    <w:link w:val="742"/>
    <w:rPr>
      <w:rFonts w:ascii="Arial" w:hAnsi="Arial" w:eastAsia="仿宋_GB2312" w:cs="Arial"/>
      <w:color w:val="ffff00"/>
      <w:sz w:val="32"/>
      <w:szCs w:val="32"/>
    </w:rPr>
  </w:style>
  <w:style w:type="paragraph" w:styleId="744">
    <w:name w:val="图表目录"/>
    <w:basedOn w:val="686"/>
    <w:next w:val="686"/>
    <w:link w:val="686"/>
    <w:semiHidden/>
    <w:pPr>
      <w:ind w:left="840" w:hanging="420"/>
    </w:pPr>
  </w:style>
  <w:style w:type="paragraph" w:styleId="745">
    <w:name w:val="目录 2"/>
    <w:basedOn w:val="686"/>
    <w:next w:val="686"/>
    <w:link w:val="686"/>
    <w:semiHidden/>
    <w:pPr>
      <w:ind w:left="210"/>
      <w:jc w:val="left"/>
    </w:pPr>
    <w:rPr>
      <w:smallCaps/>
      <w:szCs w:val="24"/>
    </w:rPr>
  </w:style>
  <w:style w:type="paragraph" w:styleId="746">
    <w:name w:val="目录 9"/>
    <w:basedOn w:val="686"/>
    <w:next w:val="686"/>
    <w:link w:val="686"/>
    <w:semiHidden/>
    <w:pPr>
      <w:ind w:left="1680"/>
      <w:jc w:val="left"/>
    </w:pPr>
  </w:style>
  <w:style w:type="paragraph" w:styleId="747">
    <w:name w:val="正文文本 2"/>
    <w:basedOn w:val="686"/>
    <w:next w:val="747"/>
    <w:link w:val="748"/>
    <w:pPr>
      <w:jc w:val="center"/>
      <w:widowControl/>
    </w:pPr>
    <w:rPr>
      <w:rFonts w:ascii="楷体_GB2312" w:eastAsia="楷体_GB2312"/>
      <w:sz w:val="28"/>
      <w:szCs w:val="28"/>
      <w:lang w:val="en-US" w:eastAsia="en-US"/>
    </w:rPr>
  </w:style>
  <w:style w:type="character" w:styleId="748">
    <w:name w:val="正文文本 2 Char"/>
    <w:next w:val="748"/>
    <w:link w:val="747"/>
    <w:rPr>
      <w:rFonts w:ascii="楷体_GB2312" w:hAnsi="Times New Roman" w:eastAsia="楷体_GB2312" w:cs="Times New Roman"/>
      <w:sz w:val="28"/>
      <w:szCs w:val="28"/>
    </w:rPr>
  </w:style>
  <w:style w:type="paragraph" w:styleId="749">
    <w:name w:val="普通(网站)"/>
    <w:basedOn w:val="686"/>
    <w:next w:val="749"/>
    <w:link w:val="686"/>
    <w:uiPriority w:val="99"/>
    <w:pPr>
      <w:jc w:val="left"/>
      <w:spacing w:before="100" w:beforeAutospacing="1" w:after="100" w:afterAutospacing="1"/>
      <w:widowControl/>
    </w:pPr>
    <w:rPr>
      <w:rFonts w:ascii="宋体" w:hAnsi="宋体" w:cs="宋体"/>
      <w:sz w:val="24"/>
      <w:szCs w:val="24"/>
    </w:rPr>
  </w:style>
  <w:style w:type="paragraph" w:styleId="750">
    <w:name w:val="索引 1"/>
    <w:basedOn w:val="686"/>
    <w:next w:val="686"/>
    <w:link w:val="686"/>
    <w:semiHidden/>
    <w:pPr>
      <w:spacing w:line="240" w:lineRule="atLeast"/>
    </w:pPr>
    <w:rPr>
      <w:b/>
      <w:bCs/>
    </w:rPr>
  </w:style>
  <w:style w:type="paragraph" w:styleId="751">
    <w:name w:val="批注主题"/>
    <w:basedOn w:val="714"/>
    <w:next w:val="714"/>
    <w:link w:val="752"/>
    <w:semiHidden/>
    <w:rPr>
      <w:b/>
      <w:bCs/>
    </w:rPr>
  </w:style>
  <w:style w:type="character" w:styleId="752">
    <w:name w:val="批注主题 Char"/>
    <w:next w:val="752"/>
    <w:link w:val="751"/>
    <w:semiHidden/>
    <w:rPr>
      <w:rFonts w:ascii="Times New Roman" w:hAnsi="Times New Roman" w:eastAsia="宋体" w:cs="Times New Roman"/>
      <w:b/>
      <w:bCs/>
      <w:szCs w:val="21"/>
    </w:rPr>
  </w:style>
  <w:style w:type="paragraph" w:styleId="753">
    <w:name w:val="正文首行缩进"/>
    <w:basedOn w:val="686"/>
    <w:next w:val="753"/>
    <w:link w:val="754"/>
    <w:pPr>
      <w:ind w:firstLine="200"/>
      <w:spacing w:line="360" w:lineRule="auto"/>
    </w:pPr>
    <w:rPr>
      <w:rFonts w:ascii="仿宋_GB2312" w:eastAsia="仿宋_GB2312"/>
      <w:sz w:val="30"/>
      <w:szCs w:val="30"/>
      <w:lang w:val="en-US" w:eastAsia="en-US"/>
    </w:rPr>
  </w:style>
  <w:style w:type="character" w:styleId="754">
    <w:name w:val="正文首行缩进 Char"/>
    <w:next w:val="754"/>
    <w:link w:val="753"/>
    <w:rPr>
      <w:rFonts w:ascii="仿宋_GB2312" w:hAnsi="Times New Roman" w:eastAsia="仿宋_GB2312" w:cs="Times New Roman"/>
      <w:sz w:val="30"/>
      <w:szCs w:val="30"/>
    </w:rPr>
  </w:style>
  <w:style w:type="paragraph" w:styleId="755">
    <w:name w:val="正文首行缩进 2"/>
    <w:basedOn w:val="720"/>
    <w:next w:val="755"/>
    <w:link w:val="756"/>
    <w:pPr>
      <w:ind w:firstLine="420"/>
      <w:spacing w:line="360" w:lineRule="auto"/>
    </w:pPr>
    <w:rPr>
      <w:rFonts w:ascii="宋体" w:hAnsi="宋体" w:eastAsia="宋体"/>
      <w:szCs w:val="20"/>
    </w:rPr>
  </w:style>
  <w:style w:type="character" w:styleId="756">
    <w:name w:val="正文首行缩进 2 Char"/>
    <w:next w:val="756"/>
    <w:link w:val="755"/>
    <w:rPr>
      <w:rFonts w:ascii="宋体" w:hAnsi="宋体" w:eastAsia="宋体" w:cs="Times New Roman"/>
      <w:sz w:val="32"/>
      <w:szCs w:val="20"/>
    </w:rPr>
  </w:style>
  <w:style w:type="table" w:styleId="757">
    <w:name w:val="网格型"/>
    <w:basedOn w:val="697"/>
    <w:next w:val="757"/>
    <w:link w:val="686"/>
    <w:pPr>
      <w:jc w:val="both"/>
      <w:widowControl w:val="off"/>
    </w:pPr>
    <w:rPr>
      <w:rFonts w:ascii="Times New Roman" w:hAnsi="Times New Roman" w:eastAsia="宋体" w:cs="Times New Roman"/>
      <w:sz w:val="20"/>
      <w:szCs w:val="20"/>
    </w:rPr>
    <w:tblPr/>
  </w:style>
  <w:style w:type="character" w:styleId="758">
    <w:name w:val="要点"/>
    <w:next w:val="758"/>
    <w:link w:val="686"/>
    <w:qFormat/>
    <w:rPr>
      <w:b/>
      <w:bCs/>
    </w:rPr>
  </w:style>
  <w:style w:type="character" w:styleId="759">
    <w:name w:val="页码"/>
    <w:next w:val="759"/>
    <w:link w:val="686"/>
  </w:style>
  <w:style w:type="character" w:styleId="760">
    <w:name w:val="已访问的超链接"/>
    <w:next w:val="760"/>
    <w:link w:val="686"/>
    <w:rPr>
      <w:color w:val="800080"/>
      <w:u w:val="single"/>
    </w:rPr>
  </w:style>
  <w:style w:type="character" w:styleId="761">
    <w:name w:val="HTML 打字机"/>
    <w:next w:val="761"/>
    <w:link w:val="686"/>
    <w:uiPriority w:val="99"/>
    <w:rPr>
      <w:rFonts w:ascii="宋体" w:hAnsi="宋体" w:eastAsia="宋体" w:cs="宋体"/>
      <w:sz w:val="24"/>
      <w:szCs w:val="24"/>
    </w:rPr>
  </w:style>
  <w:style w:type="character" w:styleId="762">
    <w:name w:val="超链接"/>
    <w:next w:val="762"/>
    <w:link w:val="686"/>
    <w:rPr>
      <w:color w:val="0000ff"/>
      <w:u w:val="single"/>
    </w:rPr>
  </w:style>
  <w:style w:type="character" w:styleId="763">
    <w:name w:val="批注引用"/>
    <w:next w:val="763"/>
    <w:link w:val="686"/>
    <w:semiHidden/>
    <w:rPr>
      <w:sz w:val="21"/>
      <w:szCs w:val="21"/>
    </w:rPr>
  </w:style>
  <w:style w:type="character" w:styleId="764">
    <w:name w:val="font5 Char"/>
    <w:next w:val="764"/>
    <w:link w:val="686"/>
    <w:rPr>
      <w:rFonts w:ascii="宋体" w:hAnsi="宋体" w:eastAsia="宋体"/>
      <w:sz w:val="28"/>
      <w:szCs w:val="28"/>
      <w:lang w:val="en-US" w:eastAsia="zh-CN" w:bidi="ar-SA"/>
    </w:rPr>
  </w:style>
  <w:style w:type="character" w:styleId="765">
    <w:name w:val="二级目录 Char"/>
    <w:next w:val="765"/>
    <w:link w:val="766"/>
    <w:rPr>
      <w:b/>
      <w:sz w:val="30"/>
      <w:szCs w:val="28"/>
      <w:lang w:val="en-US" w:eastAsia="zh-CN" w:bidi="ar-SA"/>
    </w:rPr>
  </w:style>
  <w:style w:type="paragraph" w:styleId="766">
    <w:name w:val="二级目录"/>
    <w:next w:val="686"/>
    <w:link w:val="765"/>
    <w:pPr>
      <w:numPr>
        <w:ilvl w:val="0"/>
        <w:numId w:val="2"/>
      </w:numPr>
      <w:tabs>
        <w:tab w:val="left" w:pos="907" w:leader="none"/>
        <w:tab w:val="left" w:pos="1145" w:leader="none"/>
      </w:tabs>
      <w:outlineLvl w:val="1"/>
    </w:pPr>
    <w:rPr>
      <w:b/>
      <w:sz w:val="30"/>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6"/>
    <w:next w:val="768"/>
    <w:link w:val="767"/>
    <w:qFormat/>
    <w:pPr>
      <w:contextualSpacing/>
      <w:ind w:left="720"/>
      <w:jc w:val="left"/>
      <w:widowControl/>
    </w:pPr>
    <w:rPr>
      <w:rFonts w:ascii="Calibri" w:hAnsi="Calibri"/>
      <w:sz w:val="24"/>
      <w:szCs w:val="24"/>
      <w:lang w:val="en-US" w:eastAsia="en-US" w:bidi="en-US"/>
    </w:rPr>
  </w:style>
  <w:style w:type="paragraph" w:styleId="769">
    <w:name w:val="Body Text(ch)"/>
    <w:basedOn w:val="686"/>
    <w:next w:val="718"/>
    <w:link w:val="686"/>
    <w:pPr>
      <w:spacing w:after="120"/>
    </w:pPr>
    <w:rPr>
      <w:rFonts w:ascii="宋体" w:hAnsi="Arial"/>
      <w:bCs/>
      <w:iCs/>
      <w:szCs w:val="24"/>
    </w:rPr>
  </w:style>
  <w:style w:type="paragraph" w:styleId="770">
    <w:name w:val="xl27"/>
    <w:basedOn w:val="686"/>
    <w:next w:val="770"/>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1">
    <w:name w:val="xl26"/>
    <w:basedOn w:val="686"/>
    <w:next w:val="771"/>
    <w:link w:val="6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2">
    <w:name w:val="Char"/>
    <w:basedOn w:val="686"/>
    <w:next w:val="772"/>
    <w:link w:val="686"/>
    <w:pPr>
      <w:ind w:firstLine="200"/>
      <w:tabs>
        <w:tab w:val="left" w:pos="360" w:leader="none"/>
      </w:tabs>
    </w:pPr>
    <w:rPr>
      <w:sz w:val="28"/>
      <w:szCs w:val="30"/>
    </w:rPr>
  </w:style>
  <w:style w:type="paragraph" w:styleId="773">
    <w:name w:val=" Char"/>
    <w:basedOn w:val="712"/>
    <w:next w:val="773"/>
    <w:link w:val="686"/>
    <w:rPr>
      <w:rFonts w:ascii="Tahoma" w:hAnsi="Tahoma"/>
      <w:sz w:val="24"/>
      <w:szCs w:val="24"/>
    </w:rPr>
  </w:style>
  <w:style w:type="paragraph" w:styleId="774">
    <w:name w:val="普通正文"/>
    <w:basedOn w:val="686"/>
    <w:next w:val="774"/>
    <w:link w:val="686"/>
    <w:pPr>
      <w:ind w:firstLine="480"/>
      <w:jc w:val="left"/>
      <w:spacing w:before="120" w:after="120" w:line="360" w:lineRule="auto"/>
    </w:pPr>
    <w:rPr>
      <w:rFonts w:ascii="Arial" w:hAnsi="Arial"/>
      <w:sz w:val="24"/>
      <w:szCs w:val="24"/>
    </w:rPr>
  </w:style>
  <w:style w:type="paragraph" w:styleId="775">
    <w:name w:val="table_lines"/>
    <w:basedOn w:val="686"/>
    <w:next w:val="775"/>
    <w:link w:val="686"/>
    <w:pPr>
      <w:jc w:val="left"/>
      <w:widowControl/>
    </w:pPr>
    <w:rPr>
      <w:sz w:val="20"/>
      <w:szCs w:val="20"/>
      <w:lang w:val="de-DE" w:eastAsia="de-DE"/>
    </w:rPr>
  </w:style>
  <w:style w:type="paragraph" w:styleId="776">
    <w:name w:val="附录1"/>
    <w:next w:val="776"/>
    <w:link w:val="68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7">
    <w:name w:val="font7"/>
    <w:basedOn w:val="686"/>
    <w:next w:val="777"/>
    <w:link w:val="686"/>
    <w:pPr>
      <w:jc w:val="left"/>
      <w:spacing w:before="100" w:beforeAutospacing="1" w:after="100" w:afterAutospacing="1"/>
      <w:widowControl/>
    </w:pPr>
    <w:rPr>
      <w:rFonts w:hint="eastAsia" w:ascii="宋体" w:hAnsi="宋体"/>
      <w:sz w:val="18"/>
      <w:szCs w:val="18"/>
    </w:rPr>
  </w:style>
  <w:style w:type="paragraph" w:styleId="778">
    <w:name w:val=" Char Char Char Char"/>
    <w:basedOn w:val="712"/>
    <w:next w:val="778"/>
    <w:link w:val="686"/>
    <w:pPr>
      <w:spacing w:line="360" w:lineRule="auto"/>
    </w:pPr>
    <w:rPr>
      <w:rFonts w:ascii="Tahoma" w:hAnsi="Tahoma"/>
      <w:sz w:val="24"/>
      <w:szCs w:val="24"/>
    </w:rPr>
  </w:style>
  <w:style w:type="paragraph" w:styleId="779">
    <w:name w:val="列出段落"/>
    <w:basedOn w:val="686"/>
    <w:next w:val="779"/>
    <w:link w:val="686"/>
    <w:uiPriority w:val="99"/>
    <w:qFormat/>
    <w:pPr>
      <w:contextualSpacing/>
      <w:ind w:left="720"/>
      <w:jc w:val="left"/>
      <w:widowControl/>
    </w:pPr>
    <w:rPr>
      <w:rFonts w:ascii="Calibri" w:hAnsi="Calibri"/>
      <w:sz w:val="24"/>
      <w:szCs w:val="24"/>
      <w:lang w:eastAsia="en-US" w:bidi="en-US"/>
    </w:rPr>
  </w:style>
  <w:style w:type="paragraph" w:styleId="780">
    <w:name w:val="4"/>
    <w:basedOn w:val="686"/>
    <w:next w:val="742"/>
    <w:link w:val="686"/>
    <w:pPr>
      <w:ind w:firstLine="420"/>
      <w:spacing w:line="360" w:lineRule="auto"/>
    </w:pPr>
    <w:rPr>
      <w:color w:val="ff0000"/>
      <w:sz w:val="24"/>
      <w:szCs w:val="24"/>
    </w:rPr>
  </w:style>
  <w:style w:type="paragraph" w:styleId="781">
    <w:name w:val="普通 (Web)"/>
    <w:basedOn w:val="686"/>
    <w:next w:val="781"/>
    <w:link w:val="686"/>
    <w:pPr>
      <w:jc w:val="left"/>
      <w:spacing w:before="100" w:beforeAutospacing="1" w:after="100" w:afterAutospacing="1"/>
      <w:widowControl/>
    </w:pPr>
    <w:rPr>
      <w:rFonts w:ascii="宋体" w:hAnsi="宋体"/>
      <w:sz w:val="24"/>
      <w:szCs w:val="24"/>
    </w:rPr>
  </w:style>
  <w:style w:type="paragraph" w:styleId="782">
    <w:name w:val=" Char Char Char Char Char Char Char Char Char Char"/>
    <w:basedOn w:val="686"/>
    <w:next w:val="782"/>
    <w:link w:val="686"/>
    <w:pPr>
      <w:spacing w:line="360" w:lineRule="auto"/>
    </w:pPr>
    <w:rPr>
      <w:sz w:val="24"/>
      <w:szCs w:val="20"/>
    </w:rPr>
  </w:style>
  <w:style w:type="paragraph" w:styleId="783">
    <w:name w:val="样式1"/>
    <w:basedOn w:val="686"/>
    <w:next w:val="783"/>
    <w:link w:val="686"/>
    <w:pPr>
      <w:numPr>
        <w:ilvl w:val="0"/>
        <w:numId w:val="3"/>
      </w:numPr>
      <w:tabs>
        <w:tab w:val="left" w:pos="709" w:leader="none"/>
      </w:tabs>
    </w:pPr>
    <w:rPr>
      <w:rFonts w:ascii="宋体" w:hAnsi="宋体"/>
    </w:rPr>
  </w:style>
  <w:style w:type="paragraph" w:styleId="784">
    <w:name w:val="font6"/>
    <w:basedOn w:val="686"/>
    <w:next w:val="784"/>
    <w:link w:val="686"/>
    <w:pPr>
      <w:jc w:val="left"/>
      <w:spacing w:before="100" w:beforeAutospacing="1" w:after="100" w:afterAutospacing="1"/>
      <w:widowControl/>
    </w:pPr>
    <w:rPr>
      <w:rFonts w:hint="eastAsia" w:ascii="宋体" w:hAnsi="宋体"/>
      <w:sz w:val="28"/>
      <w:szCs w:val="28"/>
      <w:u w:val="single"/>
    </w:rPr>
  </w:style>
  <w:style w:type="paragraph" w:styleId="785">
    <w:name w:val="xl25"/>
    <w:basedOn w:val="686"/>
    <w:next w:val="785"/>
    <w:link w:val="6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6">
    <w:name w:val="图标"/>
    <w:basedOn w:val="686"/>
    <w:next w:val="686"/>
    <w:link w:val="68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7">
    <w:name w:val="标题3"/>
    <w:basedOn w:val="686"/>
    <w:next w:val="686"/>
    <w:link w:val="686"/>
    <w:pPr>
      <w:ind w:firstLine="624"/>
      <w:spacing w:line="590" w:lineRule="atLeast"/>
    </w:pPr>
    <w:rPr>
      <w:rFonts w:ascii="方正黑体_GBK" w:eastAsia="方正黑体_GBK"/>
      <w:sz w:val="32"/>
      <w:szCs w:val="32"/>
    </w:rPr>
  </w:style>
  <w:style w:type="paragraph" w:styleId="788">
    <w:name w:val="xl24"/>
    <w:basedOn w:val="686"/>
    <w:next w:val="788"/>
    <w:link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9">
    <w:name w:val="xl29"/>
    <w:basedOn w:val="686"/>
    <w:next w:val="789"/>
    <w:link w:val="68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0">
    <w:name w:val="Char Char Char Char Char Char Char Char"/>
    <w:basedOn w:val="686"/>
    <w:next w:val="790"/>
    <w:link w:val="686"/>
    <w:pPr>
      <w:jc w:val="left"/>
      <w:spacing w:after="160" w:line="240" w:lineRule="exact"/>
      <w:widowControl/>
    </w:pPr>
    <w:rPr>
      <w:rFonts w:ascii="Verdana" w:hAnsi="Verdana"/>
      <w:sz w:val="20"/>
      <w:szCs w:val="20"/>
      <w:lang w:eastAsia="en-US"/>
    </w:rPr>
  </w:style>
  <w:style w:type="paragraph" w:styleId="791">
    <w:name w:val="xl28"/>
    <w:basedOn w:val="686"/>
    <w:next w:val="791"/>
    <w:link w:val="6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2">
    <w:name w:val=" Char Char Char Char Char Char Char Char"/>
    <w:basedOn w:val="686"/>
    <w:next w:val="792"/>
    <w:link w:val="686"/>
    <w:pPr>
      <w:jc w:val="left"/>
      <w:spacing w:after="160" w:line="240" w:lineRule="exact"/>
      <w:widowControl/>
    </w:pPr>
    <w:rPr>
      <w:rFonts w:ascii="Verdana" w:hAnsi="Verdana"/>
      <w:sz w:val="20"/>
      <w:szCs w:val="20"/>
      <w:lang w:eastAsia="en-US"/>
    </w:rPr>
  </w:style>
  <w:style w:type="paragraph" w:styleId="793">
    <w:name w:val="xl30"/>
    <w:basedOn w:val="686"/>
    <w:next w:val="793"/>
    <w:link w:val="686"/>
    <w:pPr>
      <w:jc w:val="center"/>
      <w:spacing w:before="100" w:beforeAutospacing="1" w:after="100" w:afterAutospacing="1"/>
      <w:widowControl/>
    </w:pPr>
    <w:rPr>
      <w:rFonts w:ascii="宋体" w:hAnsi="宋体"/>
      <w:b/>
      <w:bCs/>
      <w:sz w:val="36"/>
      <w:szCs w:val="36"/>
    </w:rPr>
  </w:style>
  <w:style w:type="paragraph" w:styleId="794">
    <w:name w:val="Char Char Char Char"/>
    <w:basedOn w:val="712"/>
    <w:next w:val="794"/>
    <w:link w:val="686"/>
    <w:pPr>
      <w:spacing w:line="360" w:lineRule="auto"/>
    </w:pPr>
    <w:rPr>
      <w:rFonts w:ascii="Tahoma" w:hAnsi="Tahoma"/>
      <w:sz w:val="24"/>
      <w:szCs w:val="24"/>
    </w:rPr>
  </w:style>
  <w:style w:type="paragraph" w:styleId="795">
    <w:name w:val="table_1stline"/>
    <w:basedOn w:val="686"/>
    <w:next w:val="795"/>
    <w:link w:val="686"/>
    <w:pPr>
      <w:jc w:val="left"/>
      <w:spacing w:before="120"/>
      <w:widowControl/>
    </w:pPr>
    <w:rPr>
      <w:bCs/>
      <w:sz w:val="20"/>
      <w:szCs w:val="20"/>
      <w:lang w:val="de-DE" w:eastAsia="de-DE"/>
    </w:rPr>
  </w:style>
  <w:style w:type="paragraph" w:styleId="796">
    <w:name w:val="font5"/>
    <w:basedOn w:val="686"/>
    <w:next w:val="796"/>
    <w:link w:val="686"/>
    <w:pPr>
      <w:jc w:val="left"/>
      <w:spacing w:before="100" w:beforeAutospacing="1" w:after="100" w:afterAutospacing="1"/>
      <w:widowControl/>
    </w:pPr>
    <w:rPr>
      <w:rFonts w:hint="eastAsia" w:ascii="宋体" w:hAnsi="宋体"/>
      <w:sz w:val="28"/>
      <w:szCs w:val="28"/>
    </w:rPr>
  </w:style>
  <w:style w:type="paragraph" w:styleId="797">
    <w:name w:val="标题1"/>
    <w:basedOn w:val="686"/>
    <w:next w:val="686"/>
    <w:link w:val="686"/>
    <w:pPr>
      <w:jc w:val="center"/>
      <w:spacing w:line="700" w:lineRule="atLeast"/>
      <w:tabs>
        <w:tab w:val="left" w:pos="9193" w:leader="none"/>
        <w:tab w:val="left" w:pos="9827" w:leader="none"/>
      </w:tabs>
    </w:pPr>
    <w:rPr>
      <w:rFonts w:ascii="方正小标宋_GBK" w:eastAsia="方正小标宋_GBK"/>
      <w:sz w:val="44"/>
      <w:szCs w:val="20"/>
    </w:rPr>
  </w:style>
  <w:style w:type="paragraph" w:styleId="798">
    <w:name w:val="修订"/>
    <w:next w:val="798"/>
    <w:link w:val="686"/>
    <w:uiPriority w:val="99"/>
    <w:semiHidden/>
    <w:rPr>
      <w:rFonts w:ascii="Times New Roman" w:hAnsi="Times New Roman"/>
      <w:sz w:val="21"/>
      <w:szCs w:val="21"/>
      <w:lang w:val="en-US" w:eastAsia="zh-CN" w:bidi="ar-SA"/>
    </w:rPr>
  </w:style>
  <w:style w:type="paragraph" w:styleId="799">
    <w:name w:val="无间隔"/>
    <w:next w:val="799"/>
    <w:link w:val="686"/>
    <w:uiPriority w:val="99"/>
    <w:qFormat/>
    <w:pPr>
      <w:jc w:val="both"/>
      <w:widowControl w:val="off"/>
    </w:pPr>
    <w:rPr>
      <w:rFonts w:ascii="Times New Roman" w:hAnsi="Times New Roman"/>
      <w:sz w:val="21"/>
      <w:szCs w:val="21"/>
      <w:lang w:val="en-US" w:eastAsia="zh-CN" w:bidi="ar-SA"/>
    </w:rPr>
  </w:style>
  <w:style w:type="paragraph" w:styleId="800">
    <w:name w:val="普通文字"/>
    <w:basedOn w:val="686"/>
    <w:next w:val="686"/>
    <w:link w:val="686"/>
    <w:uiPriority w:val="99"/>
    <w:rPr>
      <w:rFonts w:ascii="宋体" w:hAnsi="Times New Roman" w:eastAsia="宋体" w:cs="Times New Roman"/>
      <w:sz w:val="24"/>
      <w:szCs w:val="20"/>
      <w:u w:val="none"/>
    </w:rPr>
  </w:style>
  <w:style w:type="paragraph" w:styleId="801">
    <w:name w:val="目录 111"/>
    <w:basedOn w:val="686"/>
    <w:next w:val="686"/>
    <w:link w:val="686"/>
    <w:uiPriority w:val="39"/>
    <w:unhideWhenUsed/>
    <w:qFormat/>
    <w:pPr>
      <w:jc w:val="left"/>
      <w:spacing w:after="100" w:line="259" w:lineRule="auto"/>
      <w:widowControl/>
    </w:pPr>
    <w:rPr>
      <w:rFonts w:ascii="Calibri" w:hAnsi="Calibri" w:eastAsia="宋体"/>
      <w:sz w:val="22"/>
      <w:szCs w:val="22"/>
    </w:rPr>
  </w:style>
  <w:style w:type="character" w:styleId="11820" w:default="1">
    <w:name w:val="Default Paragraph Font"/>
    <w:uiPriority w:val="1"/>
    <w:semiHidden/>
    <w:unhideWhenUsed/>
  </w:style>
  <w:style w:type="numbering" w:styleId="11821" w:default="1">
    <w:name w:val="No List"/>
    <w:uiPriority w:val="99"/>
    <w:semiHidden/>
    <w:unhideWhenUsed/>
  </w:style>
  <w:style w:type="table" w:styleId="118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616</cp:revision>
  <dcterms:created xsi:type="dcterms:W3CDTF">2023-03-16T02:16:00Z</dcterms:created>
  <dcterms:modified xsi:type="dcterms:W3CDTF">2024-12-09T06:49:00Z</dcterms:modified>
  <cp:version>917504</cp:version>
</cp:coreProperties>
</file>