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pStyle w:val="875"/>
        <w:ind w:firstLine="0"/>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pStyle w:val="875"/>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jc w:val="center"/>
        <w:rPr>
          <w:rFonts w:hint="eastAsia" w:ascii="仿宋" w:hAnsi="仿宋" w:eastAsia="仿宋" w:cs="仿宋"/>
          <w:b/>
          <w:color w:val="auto"/>
          <w:spacing w:val="76"/>
          <w:sz w:val="156"/>
          <w:highlight w:val="none"/>
        </w:rPr>
      </w:pPr>
      <w:r>
        <w:rPr>
          <w:rFonts w:hint="eastAsia" w:ascii="仿宋" w:hAnsi="仿宋" w:eastAsia="仿宋" w:cs="仿宋"/>
          <w:b/>
          <w:color w:val="auto"/>
          <w:spacing w:val="76"/>
          <w:sz w:val="156"/>
          <w:highlight w:val="none"/>
        </w:rPr>
        <w:t xml:space="preserve">招标文件</w:t>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75"/>
        <w:ind w:left="0" w:firstLine="0"/>
        <w:jc w:val="center"/>
        <w:rPr>
          <w:rFonts w:hint="eastAsia" w:ascii="仿宋" w:hAnsi="仿宋" w:eastAsia="仿宋" w:cs="仿宋"/>
          <w:color w:val="auto"/>
          <w:sz w:val="32"/>
          <w:highlight w:val="none"/>
        </w:rPr>
      </w:pPr>
      <w:r>
        <w:rPr>
          <w:rFonts w:ascii="宋体" w:hAnsi="宋体"/>
          <w:b/>
          <w:color w:val="auto"/>
          <w:sz w:val="72"/>
          <w:szCs w:val="72"/>
          <w:highlight w:val="none"/>
        </w:rPr>
        <mc:AlternateContent>
          <mc:Choice Requires="wpg">
            <w:drawing>
              <wp:inline xmlns:wp="http://schemas.openxmlformats.org/drawingml/2006/wordprocessingDrawing" distT="0" distB="0" distL="0" distR="0">
                <wp:extent cx="2028825" cy="11620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028825"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91.5pt;mso-wrap-distance-left:0.0pt;mso-wrap-distance-top:0.0pt;mso-wrap-distance-right:0.0pt;mso-wrap-distance-bottom:0.0pt;" stroked="f">
                <v:path textboxrect="0,0,0,0"/>
                <v:imagedata r:id="rId13" o:title=""/>
              </v:shape>
            </w:pict>
          </mc:Fallback>
        </mc:AlternateContent>
      </w:r>
      <w:r/>
    </w:p>
    <w:p>
      <w:pPr>
        <w:pStyle w:val="875"/>
        <w:ind w:left="0" w:firstLine="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920"/>
        <w:keepLines w:val="0"/>
        <w:keepNext w:val="0"/>
        <w:pageBreakBefore w:val="0"/>
        <w:spacing w:line="400" w:lineRule="exact"/>
        <w:widowControl w:val="off"/>
        <w:rPr>
          <w:rFonts w:hint="eastAsia" w:ascii="仿宋" w:hAnsi="仿宋" w:eastAsia="仿宋" w:cs="仿宋"/>
          <w:color w:val="auto"/>
          <w:sz w:val="32"/>
          <w:highlight w:val="none"/>
          <w:lang w:eastAsia="zh-CN"/>
        </w:rPr>
        <w:outlineLvl w:val="9"/>
      </w:pPr>
      <w:r>
        <w:rPr>
          <w:rFonts w:hint="eastAsia" w:ascii="仿宋" w:hAnsi="仿宋" w:eastAsia="仿宋" w:cs="仿宋"/>
          <w:color w:val="auto"/>
          <w:sz w:val="32"/>
          <w:highlight w:val="none"/>
          <w:lang w:eastAsia="zh-CN"/>
        </w:rPr>
        <w:t xml:space="preserve">项目编号：JSZC-320312-JSXR-G2024-0005</w:t>
      </w:r>
      <w:r/>
    </w:p>
    <w:p>
      <w:pPr>
        <w:ind w:firstLine="958"/>
        <w:keepLines w:val="0"/>
        <w:keepNext w:val="0"/>
        <w:pageBreakBefore w:val="0"/>
        <w:spacing w:line="400" w:lineRule="exact"/>
        <w:widowControl w:val="off"/>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ind w:firstLine="1920"/>
        <w:jc w:val="center"/>
        <w:keepLines w:val="0"/>
        <w:keepNext w:val="0"/>
        <w:pageBreakBefore w:val="0"/>
        <w:spacing w:line="400" w:lineRule="exact"/>
        <w:widowControl w:val="off"/>
        <w:rPr>
          <w:rFonts w:hint="eastAsia" w:ascii="仿宋" w:hAnsi="仿宋" w:eastAsia="仿宋" w:cs="仿宋"/>
          <w:color w:val="auto"/>
          <w:sz w:val="32"/>
          <w:szCs w:val="32"/>
          <w:highlight w:val="none"/>
          <w:lang w:eastAsia="zh-CN"/>
        </w:rPr>
        <w:outlineLvl w:val="9"/>
      </w:pPr>
      <w:r>
        <w:rPr>
          <w:rFonts w:hint="eastAsia" w:ascii="仿宋" w:hAnsi="仿宋" w:eastAsia="仿宋" w:cs="仿宋"/>
          <w:color w:val="auto"/>
          <w:sz w:val="32"/>
          <w:highlight w:val="none"/>
        </w:rPr>
        <w:t xml:space="preserve">项目名称：</w:t>
      </w:r>
      <w:r>
        <w:rPr>
          <w:rFonts w:hint="eastAsia" w:ascii="仿宋" w:hAnsi="仿宋" w:eastAsia="仿宋" w:cs="仿宋"/>
          <w:i w:val="0"/>
          <w:iCs w:val="0"/>
          <w:caps w:val="0"/>
          <w:color w:val="auto"/>
          <w:spacing w:val="0"/>
          <w:sz w:val="32"/>
          <w:szCs w:val="32"/>
          <w:shd w:val="clear" w:color="auto" w:fill="ffffff"/>
          <w:lang w:eastAsia="zh-CN"/>
        </w:rPr>
        <w:t xml:space="preserve">铜山区房村镇农村生活垃圾分类运营市场化</w:t>
      </w:r>
      <w:r>
        <w:rPr>
          <w:rFonts w:hint="eastAsia" w:ascii="仿宋" w:hAnsi="仿宋" w:eastAsia="仿宋" w:cs="仿宋"/>
          <w:i w:val="0"/>
          <w:iCs w:val="0"/>
          <w:caps w:val="0"/>
          <w:color w:val="auto"/>
          <w:spacing w:val="0"/>
          <w:sz w:val="32"/>
          <w:szCs w:val="32"/>
          <w:shd w:val="clear" w:color="auto" w:fill="ffffff"/>
          <w:lang w:val="en-US" w:eastAsia="zh-CN"/>
        </w:rPr>
        <w:t xml:space="preserve">        </w:t>
      </w:r>
      <w:r>
        <w:rPr>
          <w:rFonts w:hint="eastAsia" w:ascii="仿宋" w:hAnsi="仿宋" w:eastAsia="仿宋" w:cs="仿宋"/>
          <w:i w:val="0"/>
          <w:iCs w:val="0"/>
          <w:caps w:val="0"/>
          <w:color w:val="auto"/>
          <w:spacing w:val="0"/>
          <w:sz w:val="32"/>
          <w:szCs w:val="32"/>
          <w:shd w:val="clear" w:color="auto" w:fill="ffffff"/>
          <w:lang w:eastAsia="zh-CN"/>
        </w:rPr>
        <w:t xml:space="preserve">服务项目（设备物资采购）</w:t>
      </w:r>
      <w:r/>
    </w:p>
    <w:p>
      <w:pPr>
        <w:ind w:firstLine="958"/>
        <w:keepLines w:val="0"/>
        <w:keepNext w:val="0"/>
        <w:pageBreakBefore w:val="0"/>
        <w:spacing w:line="400" w:lineRule="exact"/>
        <w:widowControl w:val="off"/>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ind w:firstLine="2028"/>
        <w:keepLines w:val="0"/>
        <w:keepNext w:val="0"/>
        <w:pageBreakBefore w:val="0"/>
        <w:spacing w:line="400" w:lineRule="exact"/>
        <w:widowControl w:val="off"/>
        <w:rPr>
          <w:rFonts w:hint="eastAsia" w:ascii="仿宋" w:hAnsi="仿宋" w:eastAsia="仿宋" w:cs="仿宋"/>
          <w:color w:val="auto"/>
          <w:sz w:val="32"/>
          <w:highlight w:val="none"/>
          <w:lang w:eastAsia="zh-CN"/>
        </w:rPr>
        <w:outlineLvl w:val="9"/>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徐州市铜山区房村镇人民政府</w:t>
      </w:r>
      <w:r/>
    </w:p>
    <w:p>
      <w:pPr>
        <w:ind w:right="-159" w:firstLine="2112"/>
        <w:spacing w:line="300" w:lineRule="auto"/>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8"/>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right="-159"/>
        <w:spacing w:line="300" w:lineRule="auto"/>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jc w:val="both"/>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江苏翔瑞招投标代理有限公司</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w:t>
      </w:r>
      <w:r>
        <w:rPr>
          <w:rFonts w:hint="eastAsia" w:ascii="仿宋" w:hAnsi="仿宋" w:eastAsia="仿宋" w:cs="仿宋"/>
          <w:bCs/>
          <w:color w:val="auto"/>
          <w:sz w:val="30"/>
          <w:highlight w:val="none"/>
          <w:lang w:eastAsia="zh-CN"/>
        </w:rPr>
        <w:t xml:space="preserve">四</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eastAsia="zh-CN"/>
        </w:rPr>
        <w:t xml:space="preserve">七</w:t>
      </w:r>
      <w:r>
        <w:rPr>
          <w:rFonts w:hint="eastAsia" w:ascii="仿宋" w:hAnsi="仿宋" w:eastAsia="仿宋" w:cs="仿宋"/>
          <w:bCs/>
          <w:color w:val="auto"/>
          <w:sz w:val="30"/>
          <w:highlight w:val="none"/>
        </w:rPr>
        <w:t xml:space="preserve">月</w:t>
      </w:r>
      <w:r/>
    </w:p>
    <w:p>
      <w:pPr>
        <w:jc w:val="both"/>
        <w:rPr>
          <w:rFonts w:hint="eastAsia"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auto"/>
          <w:sz w:val="44"/>
          <w:highlight w:val="none"/>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auto"/>
          <w:highlight w:val="none"/>
        </w:rPr>
        <w:fldChar w:fldCharType="separate"/>
      </w:r>
      <w:r>
        <w:rPr>
          <w:rStyle w:val="908"/>
          <w:rFonts w:hint="eastAsia" w:ascii="仿宋" w:hAnsi="仿宋" w:eastAsia="仿宋" w:cs="仿宋"/>
          <w:color w:val="auto"/>
          <w:sz w:val="30"/>
          <w:highlight w:val="none"/>
          <w:u w:val="none"/>
        </w:rPr>
        <w:t xml:space="preserve">第一章  投标邀请</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auto"/>
          <w:highlight w:val="none"/>
        </w:rPr>
        <w:fldChar w:fldCharType="separate"/>
      </w:r>
      <w:r>
        <w:rPr>
          <w:rStyle w:val="908"/>
          <w:rFonts w:hint="eastAsia" w:ascii="仿宋" w:hAnsi="仿宋" w:eastAsia="仿宋" w:cs="仿宋"/>
          <w:color w:val="auto"/>
          <w:sz w:val="30"/>
          <w:highlight w:val="none"/>
          <w:u w:val="none"/>
        </w:rPr>
        <w:t xml:space="preserve">第二章  投标人须知</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auto"/>
          <w:highlight w:val="none"/>
        </w:rPr>
        <w:fldChar w:fldCharType="separate"/>
      </w:r>
      <w:r>
        <w:rPr>
          <w:rStyle w:val="908"/>
          <w:rFonts w:hint="eastAsia" w:ascii="仿宋" w:hAnsi="仿宋" w:eastAsia="仿宋" w:cs="仿宋"/>
          <w:color w:val="auto"/>
          <w:sz w:val="30"/>
          <w:highlight w:val="none"/>
          <w:u w:val="none"/>
        </w:rPr>
        <w:t xml:space="preserve">第三章  投标资料表</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auto"/>
          <w:highlight w:val="none"/>
        </w:rPr>
        <w:fldChar w:fldCharType="separate"/>
      </w:r>
      <w:r>
        <w:rPr>
          <w:rStyle w:val="908"/>
          <w:rFonts w:hint="eastAsia" w:ascii="仿宋" w:hAnsi="仿宋" w:eastAsia="仿宋" w:cs="仿宋"/>
          <w:color w:val="auto"/>
          <w:sz w:val="30"/>
          <w:highlight w:val="none"/>
          <w:u w:val="none"/>
        </w:rPr>
        <w:t xml:space="preserve">第四章  评标标准</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auto"/>
          <w:highlight w:val="none"/>
        </w:rPr>
        <w:fldChar w:fldCharType="separate"/>
      </w:r>
      <w:r>
        <w:rPr>
          <w:rStyle w:val="908"/>
          <w:rFonts w:hint="eastAsia" w:ascii="仿宋" w:hAnsi="仿宋" w:eastAsia="仿宋" w:cs="仿宋"/>
          <w:color w:val="auto"/>
          <w:sz w:val="30"/>
          <w:highlight w:val="none"/>
          <w:u w:val="none"/>
        </w:rPr>
        <w:t xml:space="preserve">第五章  拟签订的合同文本</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auto"/>
          <w:highlight w:val="none"/>
        </w:rPr>
        <w:fldChar w:fldCharType="separate"/>
      </w:r>
      <w:r>
        <w:rPr>
          <w:rStyle w:val="908"/>
          <w:rFonts w:hint="eastAsia" w:ascii="仿宋" w:hAnsi="仿宋" w:eastAsia="仿宋" w:cs="仿宋"/>
          <w:color w:val="auto"/>
          <w:sz w:val="30"/>
          <w:highlight w:val="none"/>
          <w:u w:val="none"/>
        </w:rPr>
        <w:t xml:space="preserve">第六章  </w:t>
      </w:r>
      <w:r>
        <w:rPr>
          <w:rFonts w:hint="eastAsia" w:ascii="仿宋" w:hAnsi="仿宋" w:eastAsia="仿宋" w:cs="仿宋"/>
          <w:color w:val="auto"/>
          <w:sz w:val="30"/>
          <w:szCs w:val="30"/>
          <w:lang w:eastAsia="zh-CN"/>
        </w:rPr>
        <w:t xml:space="preserve">采</w:t>
      </w:r>
      <w:r>
        <w:rPr>
          <w:rFonts w:hint="eastAsia" w:ascii="仿宋" w:hAnsi="仿宋" w:eastAsia="仿宋" w:cs="仿宋"/>
          <w:color w:val="auto"/>
          <w:sz w:val="30"/>
          <w:highlight w:val="none"/>
          <w:u w:val="none"/>
        </w:rPr>
        <w:fldChar w:fldCharType="end"/>
      </w:r>
      <w:r>
        <w:rPr>
          <w:rStyle w:val="908"/>
          <w:rFonts w:hint="eastAsia" w:ascii="仿宋" w:hAnsi="仿宋" w:eastAsia="仿宋" w:cs="仿宋"/>
          <w:color w:val="auto"/>
          <w:sz w:val="30"/>
          <w:highlight w:val="none"/>
          <w:u w:val="none"/>
          <w:lang w:eastAsia="zh-CN"/>
        </w:rPr>
        <w:t xml:space="preserve">购需求</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auto"/>
          <w:highlight w:val="none"/>
        </w:rPr>
        <w:fldChar w:fldCharType="separate"/>
      </w:r>
      <w:r>
        <w:rPr>
          <w:rStyle w:val="908"/>
          <w:rFonts w:hint="eastAsia" w:ascii="仿宋" w:hAnsi="仿宋" w:eastAsia="仿宋" w:cs="仿宋"/>
          <w:color w:val="auto"/>
          <w:sz w:val="30"/>
          <w:highlight w:val="none"/>
          <w:u w:val="none"/>
        </w:rPr>
        <w:t xml:space="preserve">第七章  投标文件相关格式</w:t>
      </w:r>
      <w:r>
        <w:rPr>
          <w:rFonts w:hint="eastAsia" w:ascii="仿宋" w:hAnsi="仿宋" w:eastAsia="仿宋" w:cs="仿宋"/>
          <w:color w:val="auto"/>
          <w:sz w:val="30"/>
          <w:highlight w:val="none"/>
          <w:u w:val="none"/>
        </w:rPr>
        <w:fldChar w:fldCharType="end"/>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bookmarkStart w:id="4" w:name="_GoBack"/>
      <w:r/>
      <w:bookmarkEnd w:id="4"/>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第一章  投标邀请</w:t>
      </w:r>
      <w:r/>
    </w:p>
    <w:p>
      <w:pPr>
        <w:ind w:firstLine="48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lang w:eastAsia="zh-CN"/>
        </w:rPr>
        <w:t xml:space="preserve">江苏翔瑞招投标代理有限公司</w:t>
      </w:r>
      <w:r>
        <w:rPr>
          <w:rFonts w:hint="eastAsia" w:ascii="仿宋" w:hAnsi="仿宋" w:eastAsia="仿宋" w:cs="仿宋"/>
          <w:color w:val="auto"/>
          <w:sz w:val="28"/>
          <w:szCs w:val="28"/>
          <w:highlight w:val="none"/>
          <w:u w:val="none"/>
        </w:rPr>
        <w:t xml:space="preserve">对</w:t>
      </w:r>
      <w:r>
        <w:rPr>
          <w:rFonts w:hint="eastAsia" w:ascii="仿宋" w:hAnsi="仿宋" w:eastAsia="仿宋" w:cs="仿宋"/>
          <w:color w:val="auto"/>
          <w:sz w:val="28"/>
          <w:szCs w:val="28"/>
          <w:highlight w:val="none"/>
          <w:u w:val="none"/>
          <w:lang w:eastAsia="zh-CN"/>
        </w:rPr>
        <w:t xml:space="preserve">铜山区房村镇农村生活垃圾分类运营市场化服务项目（设备物资采购）</w:t>
      </w:r>
      <w:r>
        <w:rPr>
          <w:rFonts w:hint="eastAsia" w:ascii="仿宋" w:hAnsi="仿宋" w:eastAsia="仿宋" w:cs="仿宋"/>
          <w:color w:val="auto"/>
          <w:sz w:val="28"/>
          <w:szCs w:val="28"/>
          <w:highlight w:val="none"/>
        </w:rPr>
        <w:t xml:space="preserve">进行公开招标采购，</w:t>
      </w:r>
      <w:r>
        <w:rPr>
          <w:rFonts w:hint="eastAsia" w:ascii="仿宋" w:hAnsi="仿宋" w:eastAsia="仿宋" w:cs="仿宋"/>
          <w:color w:val="auto"/>
          <w:sz w:val="28"/>
          <w:szCs w:val="28"/>
        </w:rPr>
        <w:t xml:space="preserve">现欢迎符合相关条件的供应商投标</w:t>
      </w:r>
      <w:r>
        <w:rPr>
          <w:rFonts w:hint="eastAsia" w:ascii="仿宋" w:hAnsi="仿宋" w:eastAsia="仿宋" w:cs="仿宋"/>
          <w:color w:val="auto"/>
          <w:sz w:val="28"/>
          <w:szCs w:val="28"/>
          <w:highlight w:val="none"/>
        </w:rPr>
        <w:t xml:space="preserve">。</w:t>
      </w:r>
      <w:r/>
    </w:p>
    <w:p>
      <w:pPr>
        <w:ind w:firstLine="300"/>
        <w:spacing w:line="519" w:lineRule="atLeast"/>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一、项目名称和项目编号</w:t>
      </w:r>
      <w:r/>
    </w:p>
    <w:p>
      <w:pPr>
        <w:ind w:left="279" w:firstLine="117"/>
        <w:spacing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(一)项目名称：铜山区房村镇农村生活垃圾分类运营市场化服务项目（设备物资采购）</w:t>
      </w:r>
      <w:r/>
    </w:p>
    <w:p>
      <w:pPr>
        <w:ind w:firstLine="300"/>
        <w:spacing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eastAsia="zh-CN"/>
        </w:rPr>
        <w:t xml:space="preserve">项目编号：JSZC-320312-JSXR-G2024-0005</w:t>
      </w:r>
      <w:r/>
    </w:p>
    <w:p>
      <w:pPr>
        <w:ind w:firstLine="300"/>
        <w:spacing w:line="519" w:lineRule="atLeast"/>
        <w:tabs>
          <w:tab w:val="left" w:pos="6418" w:leader="none"/>
        </w:tabs>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二、对投标人的资格要求</w:t>
      </w:r>
      <w:r>
        <w:rPr>
          <w:rFonts w:hint="eastAsia" w:ascii="仿宋" w:hAnsi="仿宋" w:eastAsia="仿宋" w:cs="仿宋"/>
          <w:b/>
          <w:bCs/>
          <w:color w:val="auto"/>
          <w:sz w:val="28"/>
          <w:szCs w:val="28"/>
          <w:highlight w:val="none"/>
          <w:lang w:eastAsia="zh-CN"/>
        </w:rPr>
        <w:tab/>
      </w:r>
      <w:r/>
    </w:p>
    <w:p>
      <w:pPr>
        <w:ind w:firstLine="300"/>
        <w:spacing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详见本项目公开招标公告。</w:t>
      </w:r>
      <w:r/>
    </w:p>
    <w:p>
      <w:pPr>
        <w:ind w:firstLine="301"/>
        <w:spacing w:line="519" w:lineRule="atLeast"/>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三、获取招标文件</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1、潜在投标人访问电子招标投标交易平台的网络地址和方法：</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（3）“CA数字证书”的获取：</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（5）招标代理机构（采购代理机构）将数据电文形式的招标文件加载至“苏采云”系统，供潜在投标人下载或者查阅。</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2、苏采云系统使用谷歌浏览器参与不见面开标。</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3、售价：免费。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四、投标有关信息</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（一）投标截止时间：202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年8</w:t>
      </w:r>
      <w:r>
        <w:rPr>
          <w:rFonts w:hint="eastAsia" w:ascii="仿宋" w:hAnsi="仿宋" w:eastAsia="仿宋" w:cs="仿宋"/>
          <w:color w:val="auto"/>
          <w:sz w:val="28"/>
          <w:szCs w:val="28"/>
        </w:rPr>
        <w:t xml:space="preserve">月15</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00  </w:t>
      </w:r>
      <w:r>
        <w:rPr>
          <w:rFonts w:hint="eastAsia" w:ascii="仿宋" w:hAnsi="仿宋" w:eastAsia="仿宋" w:cs="仿宋"/>
          <w:color w:val="auto"/>
          <w:sz w:val="28"/>
          <w:szCs w:val="28"/>
        </w:rPr>
        <w:t xml:space="preserve">  </w:t>
      </w:r>
      <w:r/>
    </w:p>
    <w:p>
      <w:pPr>
        <w:spacing w:line="360" w:lineRule="auto"/>
        <w:rPr>
          <w:rFonts w:hint="default" w:ascii="仿宋" w:hAnsi="仿宋" w:eastAsia="仿宋" w:cs="仿宋"/>
          <w:color w:val="auto"/>
          <w:sz w:val="28"/>
          <w:szCs w:val="28"/>
          <w:lang w:val="en-US"/>
        </w:rPr>
      </w:pPr>
      <w:r>
        <w:rPr>
          <w:rFonts w:hint="eastAsia" w:ascii="仿宋" w:hAnsi="仿宋" w:eastAsia="仿宋" w:cs="仿宋"/>
          <w:color w:val="auto"/>
          <w:sz w:val="28"/>
          <w:szCs w:val="28"/>
        </w:rPr>
        <w:t xml:space="preserve">（二）开标时间：202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年8</w:t>
      </w:r>
      <w:r>
        <w:rPr>
          <w:rFonts w:hint="eastAsia" w:ascii="仿宋" w:hAnsi="仿宋" w:eastAsia="仿宋" w:cs="仿宋"/>
          <w:color w:val="auto"/>
          <w:sz w:val="28"/>
          <w:szCs w:val="28"/>
        </w:rPr>
        <w:t xml:space="preserve">月15</w:t>
      </w:r>
      <w:r>
        <w:rPr>
          <w:rFonts w:hint="eastAsia" w:ascii="仿宋" w:hAnsi="仿宋" w:eastAsia="仿宋" w:cs="仿宋"/>
          <w:color w:val="auto"/>
          <w:sz w:val="28"/>
          <w:szCs w:val="28"/>
        </w:rPr>
        <w:t xml:space="preserve">日北京时间10</w:t>
      </w:r>
      <w:r>
        <w:rPr>
          <w:rFonts w:hint="eastAsia" w:ascii="仿宋" w:hAnsi="仿宋" w:eastAsia="仿宋" w:cs="仿宋"/>
          <w:color w:val="auto"/>
          <w:sz w:val="28"/>
          <w:szCs w:val="28"/>
        </w:rPr>
        <w:t xml:space="preserve">:00</w:t>
      </w:r>
      <w:r>
        <w:rPr>
          <w:rFonts w:hint="eastAsia" w:ascii="仿宋" w:hAnsi="仿宋" w:eastAsia="仿宋" w:cs="仿宋"/>
          <w:color w:val="auto"/>
          <w:sz w:val="28"/>
          <w:szCs w:val="28"/>
          <w:lang w:val="en-US" w:eastAsia="zh-CN"/>
        </w:rPr>
        <w:t xml:space="preserve">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五、采购人</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（一）名称：</w:t>
      </w:r>
      <w:r>
        <w:rPr>
          <w:rFonts w:hint="eastAsia" w:ascii="仿宋" w:hAnsi="仿宋" w:eastAsia="仿宋" w:cs="仿宋"/>
          <w:color w:val="auto"/>
          <w:sz w:val="28"/>
          <w:szCs w:val="28"/>
          <w:lang w:eastAsia="zh-CN"/>
        </w:rPr>
        <w:t xml:space="preserve">徐州市铜山区房村镇人民政府</w:t>
      </w:r>
      <w:r>
        <w:rPr>
          <w:rFonts w:hint="eastAsia" w:ascii="仿宋" w:hAnsi="仿宋" w:eastAsia="仿宋" w:cs="仿宋"/>
          <w:color w:val="auto"/>
          <w:sz w:val="28"/>
          <w:szCs w:val="28"/>
        </w:rPr>
        <w:t xml:space="preserve"> </w:t>
      </w:r>
      <w:r/>
    </w:p>
    <w:p>
      <w:pPr>
        <w:spacing w:line="360" w:lineRule="auto"/>
        <w:rPr>
          <w:rFonts w:hint="default" w:ascii="仿宋" w:hAnsi="仿宋" w:eastAsia="仿宋" w:cs="仿宋"/>
          <w:color w:val="auto"/>
          <w:sz w:val="28"/>
          <w:szCs w:val="28"/>
          <w:lang w:val="en-US"/>
        </w:rPr>
      </w:pPr>
      <w:r>
        <w:rPr>
          <w:rFonts w:hint="eastAsia" w:ascii="仿宋" w:hAnsi="仿宋" w:eastAsia="仿宋" w:cs="仿宋"/>
          <w:color w:val="auto"/>
          <w:sz w:val="28"/>
          <w:szCs w:val="28"/>
        </w:rPr>
        <w:t xml:space="preserve">（二）地址：</w:t>
      </w:r>
      <w:r>
        <w:rPr>
          <w:rFonts w:hint="eastAsia" w:ascii="仿宋" w:hAnsi="仿宋" w:eastAsia="仿宋" w:cs="仿宋"/>
          <w:color w:val="auto"/>
          <w:sz w:val="28"/>
          <w:szCs w:val="28"/>
          <w:lang w:eastAsia="zh-CN"/>
        </w:rPr>
        <w:t xml:space="preserve">徐州市铜山区房村镇人民政府</w:t>
      </w:r>
      <w:r>
        <w:rPr>
          <w:rFonts w:hint="eastAsia" w:ascii="仿宋" w:hAnsi="仿宋" w:eastAsia="仿宋" w:cs="仿宋"/>
          <w:color w:val="auto"/>
          <w:sz w:val="28"/>
          <w:szCs w:val="28"/>
          <w:lang w:val="en-US" w:eastAsia="zh-CN"/>
        </w:rPr>
        <w:t xml:space="preserve">驻地</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（三）联系方式：</w:t>
      </w:r>
      <w:r>
        <w:rPr>
          <w:rFonts w:hint="eastAsia" w:ascii="仿宋" w:hAnsi="仿宋" w:eastAsia="仿宋" w:cs="仿宋"/>
          <w:color w:val="auto"/>
          <w:sz w:val="28"/>
          <w:szCs w:val="28"/>
          <w:lang w:val="en-US" w:eastAsia="zh-CN"/>
        </w:rPr>
        <w:t xml:space="preserve">潘海飞</w:t>
      </w:r>
      <w:r/>
    </w:p>
    <w:p>
      <w:pPr>
        <w:spacing w:line="360" w:lineRule="auto"/>
        <w:rPr>
          <w:rFonts w:ascii="仿宋" w:hAnsi="仿宋" w:eastAsia="仿宋" w:cs="仿宋"/>
          <w:color w:val="auto"/>
          <w:sz w:val="28"/>
          <w:szCs w:val="28"/>
          <w:lang w:val="en-US" w:eastAsia="zh-CN"/>
        </w:rPr>
      </w:pPr>
      <w:r>
        <w:rPr>
          <w:rFonts w:hint="eastAsia" w:ascii="仿宋" w:hAnsi="仿宋" w:eastAsia="仿宋" w:cs="仿宋"/>
          <w:color w:val="auto"/>
          <w:sz w:val="28"/>
          <w:szCs w:val="28"/>
        </w:rPr>
        <w:t xml:space="preserve">（四）采购项目联系人：</w:t>
      </w:r>
      <w:r>
        <w:rPr>
          <w:rFonts w:hint="eastAsia" w:ascii="仿宋" w:hAnsi="仿宋" w:eastAsia="仿宋" w:cs="仿宋"/>
          <w:color w:val="auto"/>
          <w:sz w:val="28"/>
          <w:szCs w:val="28"/>
          <w:lang w:val="en-US" w:eastAsia="zh-CN"/>
        </w:rPr>
        <w:t xml:space="preserve">潘海飞</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lang w:val="en-US" w:eastAsia="zh-CN"/>
        </w:rPr>
        <w:t xml:space="preserve">15312633635</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六、采购代理机构</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（一）名称：</w:t>
      </w:r>
      <w:r>
        <w:rPr>
          <w:rFonts w:hint="eastAsia" w:ascii="仿宋" w:hAnsi="仿宋" w:eastAsia="仿宋" w:cs="仿宋"/>
          <w:color w:val="auto"/>
          <w:sz w:val="28"/>
          <w:szCs w:val="28"/>
          <w:lang w:eastAsia="zh-CN"/>
        </w:rPr>
        <w:t xml:space="preserve">江苏翔瑞招投标代理有限公司</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（二）地址：江苏徐州</w:t>
      </w:r>
      <w:r>
        <w:rPr>
          <w:rFonts w:hint="eastAsia" w:ascii="仿宋" w:hAnsi="仿宋" w:eastAsia="仿宋" w:cs="仿宋"/>
          <w:color w:val="auto"/>
          <w:sz w:val="28"/>
          <w:szCs w:val="28"/>
          <w:lang w:val="en-US" w:eastAsia="zh-CN"/>
        </w:rPr>
        <w:t xml:space="preserve">市鼓楼区</w:t>
      </w:r>
      <w:r>
        <w:rPr>
          <w:rFonts w:hint="eastAsia" w:ascii="仿宋" w:hAnsi="仿宋" w:eastAsia="仿宋" w:cs="仿宋"/>
          <w:color w:val="auto"/>
          <w:sz w:val="28"/>
          <w:szCs w:val="28"/>
        </w:rPr>
        <w:t xml:space="preserve">下淀路</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号</w:t>
      </w:r>
      <w:r/>
    </w:p>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（三）联系方式：</w:t>
      </w:r>
      <w:r>
        <w:rPr>
          <w:rFonts w:hint="eastAsia" w:ascii="仿宋" w:hAnsi="仿宋" w:eastAsia="仿宋" w:cs="仿宋"/>
          <w:color w:val="auto"/>
          <w:sz w:val="28"/>
          <w:szCs w:val="28"/>
          <w:lang w:val="en-US" w:eastAsia="zh-CN"/>
        </w:rPr>
        <w:t xml:space="preserve">13685109620</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（四）采购项目联系人：</w:t>
      </w:r>
      <w:r>
        <w:rPr>
          <w:rFonts w:hint="eastAsia" w:ascii="仿宋" w:hAnsi="仿宋" w:eastAsia="仿宋" w:cs="仿宋"/>
          <w:color w:val="auto"/>
          <w:sz w:val="28"/>
          <w:szCs w:val="28"/>
          <w:lang w:val="en-US" w:eastAsia="zh-CN"/>
        </w:rPr>
        <w:t xml:space="preserve">程柱</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lang w:val="en-US" w:eastAsia="zh-CN"/>
        </w:rPr>
        <w:t xml:space="preserve">13685109620</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600"/>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720"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auto"/>
          <w:sz w:val="30"/>
          <w:highlight w:val="none"/>
        </w:rPr>
      </w:r>
      <w:r/>
    </w:p>
    <w:p>
      <w:pPr>
        <w:pStyle w:val="871"/>
        <w:spacing w:line="360" w:lineRule="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第二章  投标人须知</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一、总则</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（六）投标人的资格条件：</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2.投标人授权代表系指法定代表人或受法人委托的受托人。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二、招标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（八）招标文件应包括以下内容：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第一章，投标邀请；</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第二章，投标人须知；</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第三章，投标资料表；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第四章，评标标准；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第五章，拟签订的合同文本；</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第六章，项目概况及总体要求；</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第七章，投标文件相关格式。</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（九）招标文件澄清或者修改：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2.现场考察以本文件第三章《投标资料表》中的要求为准。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3.开标前答疑会以本文件第三章《投标资料表》中的要求为准。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三、投标</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（十二）投标文件的构成：</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1.投标文件的构成以本文件第三章《投标资料表》中的要求为准。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（十三）投标函和价格表、商务条件、交货和提供服务的时间：</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2.商务条件以本文件第三章《投标资料表》中的要求为准。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（十四）投标报价要求：</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1.投标人应按照招标文件的要求报出分项价格和总价。</w:t>
      </w:r>
      <w:r/>
    </w:p>
    <w:p>
      <w:pPr>
        <w:pStyle w:val="879"/>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2.投标人应按照招标文件的要求进行报价，如投标人作出偏离，应在《偏离表》中列出。</w:t>
      </w:r>
      <w:r/>
    </w:p>
    <w:p>
      <w:pPr>
        <w:pStyle w:val="879"/>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3.采购人不支付报价以外的任何费用。</w:t>
      </w:r>
      <w:r/>
    </w:p>
    <w:p>
      <w:pPr>
        <w:pStyle w:val="879"/>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 投标人所报的价格在合同执行过程中是固定的，不得以任何理由予以变更。投标人提交滑动价格的投标文件在资格性、符合性检查时按照无效投标处理。</w:t>
      </w:r>
      <w:r/>
    </w:p>
    <w:p>
      <w:pPr>
        <w:pStyle w:val="879"/>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（十五）投标货币。以本文件第三章《投标资料表》中所提要求为准。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（十六）投标有效期：</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（十七）投标文件的编制要求和签署要求：</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电子投标文件要求</w:t>
      </w:r>
      <w:r/>
    </w:p>
    <w:p>
      <w:pPr>
        <w:numPr>
          <w:ilvl w:val="0"/>
          <w:numId w:val="1"/>
        </w:num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投标人应对 CA 证书妥善保管，如被他人盗用投标，因此带来的结果均由投标人自行承担。</w:t>
      </w:r>
      <w:r/>
    </w:p>
    <w:p>
      <w:pPr>
        <w:pStyle w:val="879"/>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（3）投标人在规定时间内使用 CA 证书进行网上解密。</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（十九）凡在招标文件要求提交投标文件的截止时间之后提交的投标文件，均为无效投标文件，“苏采云”系统将自动拒收。</w:t>
      </w:r>
      <w:r/>
    </w:p>
    <w:p>
      <w:pPr>
        <w:ind w:firstLine="480"/>
        <w:jc w:val="both"/>
        <w:spacing w:line="36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（二十一）本项目不允许分包。</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（二十三）有下列情形之一的，其投标无效。</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1.不同投标人的投标文件，由同一单位或者个人编制；</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2.不同投标人委托同一单位或者个人办理投标事宜；</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4.不同投标人的投标文件，异常一致或者投标报价呈规律性差异；</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6.电子投标文件未按规定期限投标的；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7.电子投标文件未按招标文件要求签章的；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8.投标人未在规定时间内解密电子投标文件的；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10.不具备招标文件中规定的资格要求的；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11.报价超过招标文件中规定的预算金额或者最高限价的；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12.投标文件含有采购人不能接受的附加条件的；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13.法律、法规和招标文件规定的其他无效情形。</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四、开标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（二十四）开标：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2.由电子招标投标交易平台主持，邀请投标人参加。</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五、评标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1.评标工作由采购代理机构负责组织，并履行下列职责：</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（2）宣布评标纪律；</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（3）公布投标人名单，告知评审专家应当回避的情形；</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（4）组织评标委员会推选评标组长（采购人代表不得担任组长）；</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（6）根据评标委员会的要求介绍政府采购相关政策法规、招标文件；</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（8）核对评标结果，对有《</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"http://www.caigou2003.com/" \t "_blank"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政府采购</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（10）处理与评标有关的其他事项。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2.评标委员会负责具体评标事务，并独立履行下列职责：</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（2）要求投标人对投标文件有关事项作出澄清或者说明；</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（3）对投标文件进行比较和评价；</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（4）确定中标候选人名单，以及根据采购人委托直接确定中标人；</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（二十六）评标方法分为最低评标价法和综合评分法。</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（二十七）评标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1.评标工作程序：</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（1）投标文件初审。</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①资格性审查。</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②符合性审查。</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（2）澄清有关问题。</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（3）比较与评价。</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（4）推荐中标候选供应商名单。</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（5）编写评审报告（评标报告）。</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3.采用</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"http://lilun.caigou2003.com/recijiedu/2365668.html" \t "_blank"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最低评标价法</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采用</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"http://lilun.caigou2003.com/recijiedu/2365667.html" \t "_blank"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综合评分法</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非单一产品采购项目，多家投标人提供的核心产品品牌相同的，按前两款规定处理。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（二十八）投标文件报价出现前后不一致的，按照下列规定修正：</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1.投标文件中开标一览表（报价表）内容与投标文件中相应内容不一致的，以开标一览表（报价表）为准；</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2.大写金额和小写金额不一致的，以大写金额为准；</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3.单价金额小数点或者百分比有明显错位的，以开标一览表的总价为准，并修改单价；</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4.总价金额与按单价合计金额不一致的，以单价金额计算结果为准。</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890"/>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评标中需要投标人对投标文件澄清或者说明的，应当通过“苏采云”系统交换数据电文。在评标期间，请投标人保持在线。</w:t>
      </w:r>
      <w:r/>
    </w:p>
    <w:p>
      <w:pPr>
        <w:ind w:firstLine="48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（三十一）废标条款：</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出现下列情形之一的，应予废标。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2.出现影响采购公正的违法、违规行为的；</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3.投标人的报价均超过了采购预算，采购人不能支付的；</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4.因重大变故，采购任务取消的。</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六、定标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七、政府采购合同</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（三十五）签订政府采购合同（合同签订方式）：</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（三十七）履约保证金：本项目不收履约保证金。</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（三十八）腐败和欺诈行为：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（1）腐败和欺诈行为的含义：</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（2）如果被推荐的中标人有腐败和欺诈行为，将取消其中标资格。</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八、询问和质疑</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（三十九）询问和质疑</w:t>
      </w:r>
      <w:r/>
    </w:p>
    <w:p>
      <w:pPr>
        <w:ind w:firstLine="480"/>
        <w:spacing w:line="360" w:lineRule="auto"/>
        <w:rPr>
          <w:rFonts w:hint="eastAsia" w:ascii="仿宋" w:hAnsi="仿宋" w:eastAsia="仿宋" w:cs="仿宋"/>
          <w:b/>
          <w:color w:val="auto"/>
          <w:sz w:val="28"/>
          <w:szCs w:val="28"/>
        </w:rP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jc w:val="both"/>
        <w:spacing w:line="72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313"/>
        <w:jc w:val="both"/>
        <w:spacing w:line="72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第三章 投标资料表</w:t>
      </w:r>
      <w:r/>
    </w:p>
    <w:p>
      <w:pPr>
        <w:ind w:firstLine="600"/>
        <w:jc w:val="center"/>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6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本项目采购人：</w:t>
            </w:r>
            <w:r>
              <w:rPr>
                <w:rFonts w:hint="eastAsia" w:ascii="仿宋" w:hAnsi="仿宋" w:eastAsia="仿宋" w:cs="仿宋"/>
                <w:color w:val="auto"/>
                <w:sz w:val="28"/>
                <w:szCs w:val="28"/>
                <w:highlight w:val="none"/>
                <w:lang w:eastAsia="zh-CN"/>
              </w:rPr>
              <w:t xml:space="preserve">徐州市铜山区房村镇人民政府</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本项目采购代理机构：</w:t>
            </w:r>
            <w:r>
              <w:rPr>
                <w:rFonts w:hint="eastAsia" w:ascii="仿宋" w:hAnsi="仿宋" w:eastAsia="仿宋" w:cs="仿宋"/>
                <w:color w:val="auto"/>
                <w:sz w:val="28"/>
                <w:szCs w:val="28"/>
                <w:highlight w:val="none"/>
                <w:lang w:eastAsia="zh-CN"/>
              </w:rPr>
              <w:t xml:space="preserve">江苏翔瑞招投标代理有限公司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符合《中华人民共和国政府采购法》第二十二条的规定；</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同时明确相关事项如下：</w:t>
            </w:r>
            <w:r/>
          </w:p>
          <w:p>
            <w:pPr>
              <w:numPr>
                <w:ilvl w:val="0"/>
                <w:numId w:val="2"/>
              </w:numPr>
              <w:ind w:left="0" w:right="0" w:firstLine="0"/>
              <w:jc w:val="both"/>
              <w:keepLines w:val="0"/>
              <w:keepNext w:val="0"/>
              <w:pageBreakBefore w:val="0"/>
              <w:spacing w:after="0" w:line="360" w:lineRule="auto"/>
              <w:widowControl/>
              <w:rPr>
                <w:rFonts w:hint="eastAsia"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二、本项目不接受联合体参与采购活动。</w:t>
            </w:r>
            <w:r/>
          </w:p>
          <w:p>
            <w:pPr>
              <w:ind w:left="56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三、单位负责人为同一人或者存在直接控股、管理关系的不同供应商，不得参加同一合同项下的政府采购活动。</w:t>
            </w:r>
            <w:r/>
          </w:p>
          <w:p>
            <w:pPr>
              <w:ind w:left="56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五、查询及使用供应商信用记录：</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3.“信用江苏”网（http://credit.jiangsu.gov.cn/）；</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(三)截止时点（查询环节）：</w:t>
            </w:r>
            <w:r>
              <w:rPr>
                <w:rFonts w:hint="eastAsia" w:ascii="仿宋" w:hAnsi="仿宋" w:eastAsia="仿宋" w:cs="仿宋"/>
                <w:b w:val="0"/>
                <w:bCs w:val="0"/>
                <w:color w:val="auto"/>
                <w:sz w:val="28"/>
                <w:szCs w:val="28"/>
              </w:rPr>
              <w:t xml:space="preserve">资格审查</w:t>
            </w:r>
            <w:r>
              <w:rPr>
                <w:rFonts w:hint="eastAsia" w:ascii="仿宋" w:hAnsi="仿宋" w:eastAsia="仿宋" w:cs="仿宋"/>
                <w:color w:val="auto"/>
                <w:sz w:val="28"/>
                <w:szCs w:val="28"/>
              </w:rPr>
              <w:t xml:space="preserve">结束前。</w:t>
            </w:r>
            <w:r/>
          </w:p>
          <w:p>
            <w:pPr>
              <w:ind w:left="90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8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 </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不安排现场考察</w:t>
            </w:r>
            <w:r>
              <w:rPr>
                <w:rFonts w:ascii="宋体" w:hAnsi="宋体"/>
                <w:color w:val="auto"/>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九</w:t>
            </w:r>
            <w:r>
              <w:rPr>
                <w:rFonts w:hint="eastAsia" w:ascii="仿宋" w:hAnsi="仿宋" w:eastAsia="仿宋" w:cs="仿宋"/>
                <w:color w:val="auto"/>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877"/>
              <w:jc w:val="left"/>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bCs/>
                <w:color w:val="auto"/>
                <w:sz w:val="28"/>
                <w:szCs w:val="28"/>
              </w:rPr>
              <w:t xml:space="preserve">特别说明：政府采购客户端工具需要导出加密的投标文件（后缀名为zip）。投标文件不得超过</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w:t>
            </w:r>
            <w:r/>
          </w:p>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tc>
        <w:tc>
          <w:tcPr>
            <w:tcMar>
              <w:left w:w="108" w:type="dxa"/>
              <w:top w:w="0" w:type="dxa"/>
              <w:right w:w="108" w:type="dxa"/>
              <w:bottom w:w="0" w:type="dxa"/>
            </w:tcMar>
            <w:tcW w:w="8313" w:type="dxa"/>
            <w:vAlign w:val="top"/>
            <w:textDirection w:val="lrTb"/>
            <w:noWrap w:val="false"/>
          </w:tcPr>
          <w:p>
            <w:pPr>
              <w:pStyle w:val="89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投标文件应由下列部分构成：（以电子采购文件提供的</w:t>
            </w:r>
            <w:r>
              <w:rPr>
                <w:rFonts w:hint="eastAsia" w:ascii="仿宋" w:hAnsi="仿宋" w:eastAsia="仿宋" w:cs="仿宋"/>
                <w:color w:val="auto"/>
                <w:sz w:val="28"/>
                <w:szCs w:val="28"/>
                <w:lang w:eastAsia="zh-CN"/>
              </w:rPr>
              <w:t xml:space="preserve">顺序</w:t>
            </w:r>
            <w:r>
              <w:rPr>
                <w:rFonts w:hint="eastAsia" w:ascii="仿宋" w:hAnsi="仿宋" w:eastAsia="仿宋" w:cs="仿宋"/>
                <w:color w:val="auto"/>
                <w:sz w:val="28"/>
                <w:szCs w:val="28"/>
              </w:rPr>
              <w:t xml:space="preserve">和要求为准）</w:t>
            </w:r>
            <w:r/>
          </w:p>
          <w:p>
            <w:pPr>
              <w:pStyle w:val="89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一、基本目录</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1.《开标一览表》（加盖电子签章</w:t>
            </w:r>
            <w:r>
              <w:rPr>
                <w:rFonts w:hint="eastAsia" w:ascii="仿宋" w:hAnsi="仿宋" w:eastAsia="仿宋" w:cs="仿宋"/>
                <w:color w:val="auto"/>
                <w:sz w:val="28"/>
                <w:szCs w:val="28"/>
                <w:lang w:val="en-US" w:eastAsia="zh-CN"/>
              </w:rPr>
              <w:t xml:space="preserve">,</w:t>
            </w:r>
            <w:r>
              <w:rPr>
                <w:rFonts w:hint="eastAsia" w:ascii="仿宋" w:hAnsi="仿宋" w:eastAsia="仿宋" w:cs="仿宋"/>
                <w:b w:val="0"/>
                <w:bCs w:val="0"/>
                <w:color w:val="auto"/>
                <w:sz w:val="28"/>
                <w:szCs w:val="28"/>
              </w:rPr>
              <w:t xml:space="preserve">政府采购客户端工具输入报价自动生成</w:t>
            </w:r>
            <w:r>
              <w:rPr>
                <w:rFonts w:hint="eastAsia" w:ascii="仿宋" w:hAnsi="仿宋" w:eastAsia="仿宋" w:cs="仿宋"/>
                <w:color w:val="auto"/>
                <w:sz w:val="28"/>
                <w:szCs w:val="28"/>
              </w:rPr>
              <w:t xml:space="preserve">）；</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2.《法定代表人授权委托书》要求加盖电子签章，格式见本文件第七章《投标文件相关格式》（必须提供，否则在符合性审查时按照投标无效处理）；</w:t>
            </w:r>
            <w:r/>
          </w:p>
          <w:p>
            <w:pPr>
              <w:pStyle w:val="890"/>
              <w:spacing w:line="36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二、资格条件（必须提供证明材料原件扫描件，否则投标</w:t>
            </w:r>
            <w:r>
              <w:rPr>
                <w:rFonts w:hint="eastAsia" w:ascii="仿宋" w:hAnsi="仿宋" w:eastAsia="仿宋" w:cs="仿宋"/>
                <w:b/>
                <w:bCs/>
                <w:color w:val="auto"/>
                <w:sz w:val="28"/>
                <w:szCs w:val="28"/>
                <w:lang w:val="en-US" w:eastAsia="zh-CN"/>
              </w:rPr>
              <w:t xml:space="preserve">无效</w:t>
            </w:r>
            <w:r>
              <w:rPr>
                <w:rFonts w:hint="eastAsia" w:ascii="仿宋" w:hAnsi="仿宋" w:eastAsia="仿宋" w:cs="仿宋"/>
                <w:b/>
                <w:bCs/>
                <w:color w:val="auto"/>
                <w:sz w:val="28"/>
                <w:szCs w:val="28"/>
              </w:rPr>
              <w:t xml:space="preserve">）</w:t>
            </w:r>
            <w:r/>
          </w:p>
          <w:p>
            <w:pPr>
              <w:pStyle w:val="877"/>
              <w:ind w:left="551" w:hanging="55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1、投标人合法有效的营业执照（原件扫描件）；</w:t>
            </w:r>
            <w:r/>
          </w:p>
          <w:p>
            <w:pPr>
              <w:pStyle w:val="877"/>
              <w:ind w:left="551" w:hanging="551"/>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2、财务状况：</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color w:val="auto"/>
                <w:sz w:val="28"/>
                <w:szCs w:val="28"/>
                <w:lang w:val="en-US" w:eastAsia="zh-CN"/>
              </w:rPr>
              <w:t xml:space="preserve">2023年度</w:t>
            </w:r>
            <w:r>
              <w:rPr>
                <w:rFonts w:hint="eastAsia" w:ascii="仿宋" w:hAnsi="仿宋" w:eastAsia="仿宋" w:cs="仿宋"/>
                <w:color w:val="auto"/>
                <w:sz w:val="28"/>
                <w:szCs w:val="28"/>
              </w:rPr>
              <w:t xml:space="preserve">经审计的财务报告扫描件一份；或投标人的本项目开标时间前6个月内银行出具的资信证明扫描件一份）；</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p>
          <w:p>
            <w:pPr>
              <w:pStyle w:val="877"/>
              <w:ind w:left="551" w:hanging="55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、具备履行合同所必需的设备和专业技术能力的证明材料扫描件；格式见本文件第七章《投标文件相关格式》。</w:t>
            </w:r>
            <w:r/>
          </w:p>
          <w:p>
            <w:pPr>
              <w:pStyle w:val="877"/>
              <w:ind w:left="551" w:hanging="55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5、投标人参加政府采购活动前3年内在经营活动中没有重大违法记录的书面声明，加盖电子签章，格式见本文件第七章《投标文件相关格式》。</w:t>
            </w:r>
            <w:r/>
          </w:p>
          <w:p>
            <w:pPr>
              <w:pStyle w:val="877"/>
              <w:ind w:left="551" w:hanging="551"/>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6、中小企业声明函</w:t>
            </w:r>
            <w:r>
              <w:rPr>
                <w:rFonts w:hint="eastAsia" w:ascii="仿宋" w:hAnsi="仿宋" w:eastAsia="仿宋" w:cs="仿宋"/>
                <w:bCs/>
                <w:color w:val="auto"/>
                <w:sz w:val="28"/>
                <w:szCs w:val="28"/>
                <w:lang w:eastAsia="zh-CN"/>
              </w:rPr>
              <w:t xml:space="preserve">。</w:t>
            </w:r>
            <w:r>
              <w:rPr>
                <w:rFonts w:hint="eastAsia" w:ascii="仿宋" w:hAnsi="仿宋" w:eastAsia="仿宋" w:cs="仿宋"/>
                <w:color w:val="auto"/>
                <w:sz w:val="28"/>
                <w:szCs w:val="28"/>
              </w:rPr>
              <w:t xml:space="preserve">加盖电子签章，格式见本文件第七章《投标文件相关格式》。</w:t>
            </w:r>
            <w:r/>
          </w:p>
          <w:p>
            <w:pPr>
              <w:pStyle w:val="890"/>
              <w:spacing w:line="36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三、符合条件（必须提供，否则投标无效）</w:t>
            </w:r>
            <w:r/>
          </w:p>
          <w:p>
            <w:pPr>
              <w:pStyle w:val="89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(一)报价</w:t>
            </w:r>
            <w:r/>
          </w:p>
          <w:p>
            <w:pPr>
              <w:pStyle w:val="89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1.《分项价格表》（加盖电子签章，格式见招标文件第七章《投标文件相关格式》）；</w:t>
            </w:r>
            <w:r/>
          </w:p>
          <w:p>
            <w:pPr>
              <w:pStyle w:val="89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（二）商务资信</w:t>
            </w:r>
            <w:r/>
          </w:p>
          <w:p>
            <w:pPr>
              <w:pStyle w:val="89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《投标函》（加盖电子签章，格式见招标文件第七章《投标文件相关格式》）；</w:t>
            </w:r>
            <w:r/>
          </w:p>
          <w:p>
            <w:pPr>
              <w:pStyle w:val="89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（三）技术响应</w:t>
            </w:r>
            <w:r/>
          </w:p>
          <w:p>
            <w:pPr>
              <w:pStyle w:val="89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《偏离表》（加盖电子签章，格式见招标文件第七章《投标文件相关格式》）。</w:t>
            </w:r>
            <w:r/>
          </w:p>
          <w:p>
            <w:pPr>
              <w:pStyle w:val="934"/>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四、综合评审评分项</w:t>
            </w:r>
            <w:r/>
          </w:p>
          <w:p>
            <w:pPr>
              <w:pStyle w:val="882"/>
              <w:ind w:left="0" w:firstLine="0"/>
              <w:spacing w:line="36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（一）技术部分</w:t>
            </w:r>
            <w:r/>
          </w:p>
          <w:p>
            <w:pPr>
              <w:pStyle w:val="882"/>
              <w:ind w:left="0" w:firstLine="0"/>
              <w:spacing w:line="36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1.项目实施方案；</w:t>
            </w:r>
            <w:r/>
          </w:p>
          <w:p>
            <w:pPr>
              <w:pStyle w:val="882"/>
              <w:ind w:left="0" w:firstLine="0"/>
              <w:spacing w:line="36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2.配送和安装方案；</w:t>
            </w:r>
            <w:r/>
          </w:p>
          <w:p>
            <w:pPr>
              <w:pStyle w:val="882"/>
              <w:ind w:left="0" w:firstLine="0"/>
              <w:spacing w:line="36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3.质量保证措施；</w:t>
            </w:r>
            <w:r/>
          </w:p>
          <w:p>
            <w:pPr>
              <w:pStyle w:val="882"/>
              <w:ind w:left="0" w:firstLine="0"/>
              <w:spacing w:line="36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4.售后服务方案。</w:t>
            </w:r>
            <w:r/>
          </w:p>
          <w:p>
            <w:pPr>
              <w:pStyle w:val="882"/>
              <w:ind w:left="0" w:firstLine="0"/>
              <w:spacing w:line="36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（二）商务部分</w:t>
            </w:r>
            <w:r/>
          </w:p>
          <w:p>
            <w:pPr>
              <w:pStyle w:val="882"/>
              <w:ind w:left="0" w:firstLine="0"/>
              <w:spacing w:line="36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1.产品认证体系；</w:t>
            </w:r>
            <w:r/>
          </w:p>
          <w:p>
            <w:pPr>
              <w:pStyle w:val="882"/>
              <w:ind w:left="0" w:firstLine="0"/>
              <w:spacing w:line="36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2.投标人业绩。</w:t>
            </w:r>
            <w:r/>
          </w:p>
          <w:p>
            <w:pPr>
              <w:pStyle w:val="882"/>
              <w:ind w:left="0" w:firstLine="0"/>
              <w:spacing w:line="360" w:lineRule="auto"/>
              <w:rPr>
                <w:rFonts w:hint="eastAsia" w:ascii="仿宋" w:hAnsi="仿宋" w:eastAsia="仿宋" w:cs="仿宋"/>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三</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价格折扣文件格式</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无</w:t>
            </w:r>
            <w:r>
              <w:rPr>
                <w:rFonts w:hint="eastAsia" w:ascii="仿宋" w:hAnsi="仿宋" w:eastAsia="仿宋" w:cs="仿宋"/>
                <w:bCs/>
                <w:color w:val="auto"/>
                <w:sz w:val="28"/>
                <w:szCs w:val="28"/>
              </w:rPr>
              <w:t xml:space="preserve">。</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w:t>
            </w:r>
            <w:r>
              <w:rPr>
                <w:rFonts w:hint="eastAsia" w:ascii="仿宋" w:hAnsi="仿宋" w:eastAsia="仿宋" w:cs="仿宋"/>
                <w:color w:val="auto"/>
                <w:sz w:val="28"/>
                <w:szCs w:val="28"/>
              </w:rPr>
              <w:t xml:space="preserve">中小微企业</w:t>
            </w:r>
            <w:r>
              <w:rPr>
                <w:rFonts w:hint="eastAsia" w:ascii="仿宋" w:hAnsi="仿宋" w:eastAsia="仿宋" w:cs="仿宋"/>
                <w:bCs/>
                <w:color w:val="auto"/>
                <w:sz w:val="28"/>
                <w:szCs w:val="28"/>
              </w:rPr>
              <w:t xml:space="preserve">，应当同时符合以下条件：</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1.符合中小企业划分标准；</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color w:val="auto"/>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color w:val="auto"/>
                <w:sz w:val="28"/>
                <w:szCs w:val="28"/>
                <w:lang w:eastAsia="zh-CN"/>
              </w:rPr>
            </w:pPr>
            <w:r>
              <w:rPr>
                <w:rFonts w:hint="eastAsia" w:ascii="仿宋" w:hAnsi="仿宋" w:eastAsia="仿宋" w:cs="仿宋"/>
                <w:bCs/>
                <w:color w:val="auto"/>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116"/>
              <w:spacing w:line="360" w:lineRule="auto"/>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注</w:t>
            </w:r>
            <w:r>
              <w:rPr>
                <w:rFonts w:hint="eastAsia" w:ascii="仿宋" w:hAnsi="仿宋" w:eastAsia="仿宋" w:cs="仿宋"/>
                <w:bCs/>
                <w:color w:val="auto"/>
                <w:sz w:val="28"/>
                <w:szCs w:val="28"/>
              </w:rPr>
              <w:t xml:space="preserve">：</w:t>
            </w:r>
            <w:r/>
          </w:p>
          <w:p>
            <w:pPr>
              <w:ind w:firstLine="472"/>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1.投标人应对以上文件的合法性、真实性负责。</w:t>
            </w:r>
            <w:r/>
          </w:p>
          <w:p>
            <w:pPr>
              <w:ind w:left="792" w:hanging="24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rPr>
              <w:t xml:space="preserve">2.</w:t>
            </w:r>
            <w:r>
              <w:rPr>
                <w:rFonts w:hint="eastAsia" w:ascii="仿宋" w:hAnsi="仿宋" w:eastAsia="仿宋" w:cs="仿宋"/>
                <w:color w:val="auto"/>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商务条件见：</w:t>
            </w:r>
            <w:r/>
          </w:p>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一、本文件第四章《评标标准》中《评分细则》。</w:t>
            </w:r>
            <w:r/>
          </w:p>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二、本文件第三章《投标资料表》中(十二)1和(十二)2。</w:t>
            </w:r>
            <w:r/>
          </w:p>
        </w:tc>
      </w:tr>
      <w:tr>
        <w:trPr>
          <w:jc w:val="center"/>
          <w:trHeight w:val="48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w:t>
            </w:r>
            <w:r>
              <w:rPr>
                <w:rFonts w:hint="eastAsia" w:ascii="仿宋" w:hAnsi="仿宋" w:eastAsia="仿宋" w:cs="仿宋"/>
                <w:color w:val="auto"/>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jc w:val="center"/>
          <w:trHeight w:val="262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pStyle w:val="87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本项目不接受超过350.372万元人民币（采购项目预算金额）的投标报价。报价包括全部费用，施工过程中产生的问题自行协调，采购人不再支付报价以外的任何费用。报价包括但不限于产品价、安装、调试、运维、税金、运费、投标人的利润等全部费用。</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eastAsia="zh-CN"/>
              </w:rPr>
              <w:t xml:space="preserve">五</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以人民币报价。</w:t>
            </w:r>
            <w:r/>
          </w:p>
        </w:tc>
      </w:tr>
      <w:tr>
        <w:trPr>
          <w:jc w:val="center"/>
          <w:trHeight w:val="181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eastAsia="zh-CN"/>
              </w:rPr>
              <w:t xml:space="preserve">七</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877"/>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线上要求：</w:t>
            </w:r>
            <w:r/>
          </w:p>
          <w:p>
            <w:pPr>
              <w:pStyle w:val="877"/>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50M！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(十八)</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color w:val="auto"/>
                <w:sz w:val="28"/>
                <w:szCs w:val="28"/>
                <w:u w:val="none"/>
              </w:rPr>
            </w:pPr>
            <w:r>
              <w:rPr>
                <w:rFonts w:hint="eastAsia" w:ascii="仿宋" w:hAnsi="仿宋" w:eastAsia="仿宋" w:cs="仿宋"/>
                <w:color w:val="auto"/>
                <w:sz w:val="28"/>
                <w:szCs w:val="28"/>
                <w:u w:val="none"/>
              </w:rPr>
              <w:t xml:space="preserve">一、投标文件提交时间：202</w:t>
            </w:r>
            <w:r>
              <w:rPr>
                <w:rFonts w:hint="eastAsia" w:ascii="仿宋" w:hAnsi="仿宋" w:eastAsia="仿宋" w:cs="仿宋"/>
                <w:color w:val="auto"/>
                <w:sz w:val="28"/>
                <w:szCs w:val="28"/>
                <w:u w:val="none"/>
                <w:lang w:val="en-US" w:eastAsia="zh-CN"/>
              </w:rPr>
              <w:t xml:space="preserve">4</w:t>
            </w:r>
            <w:r>
              <w:rPr>
                <w:rFonts w:hint="eastAsia" w:ascii="仿宋" w:hAnsi="仿宋" w:eastAsia="仿宋" w:cs="仿宋"/>
                <w:color w:val="auto"/>
                <w:sz w:val="28"/>
                <w:szCs w:val="28"/>
                <w:u w:val="none"/>
              </w:rPr>
              <w:t xml:space="preserve">年8</w:t>
            </w:r>
            <w:r>
              <w:rPr>
                <w:rFonts w:hint="eastAsia" w:ascii="仿宋" w:hAnsi="仿宋" w:eastAsia="仿宋" w:cs="仿宋"/>
                <w:color w:val="auto"/>
                <w:sz w:val="28"/>
                <w:szCs w:val="28"/>
                <w:u w:val="none"/>
              </w:rPr>
              <w:t xml:space="preserve">月15</w:t>
            </w:r>
            <w:r>
              <w:rPr>
                <w:rFonts w:hint="eastAsia" w:ascii="仿宋" w:hAnsi="仿宋" w:eastAsia="仿宋" w:cs="仿宋"/>
                <w:color w:val="auto"/>
                <w:sz w:val="28"/>
                <w:szCs w:val="28"/>
                <w:u w:val="none"/>
              </w:rPr>
              <w:t xml:space="preserve">日北京时间</w:t>
            </w:r>
            <w:r>
              <w:rPr>
                <w:rFonts w:hint="eastAsia" w:ascii="仿宋" w:hAnsi="仿宋" w:eastAsia="仿宋" w:cs="仿宋"/>
                <w:color w:val="auto"/>
                <w:sz w:val="28"/>
                <w:szCs w:val="28"/>
                <w:u w:val="none"/>
                <w:lang w:val="en-US" w:eastAsia="zh-CN"/>
              </w:rPr>
              <w:t xml:space="preserve">10</w:t>
            </w:r>
            <w:r>
              <w:rPr>
                <w:rFonts w:hint="eastAsia" w:ascii="仿宋" w:hAnsi="仿宋" w:eastAsia="仿宋" w:cs="仿宋"/>
                <w:color w:val="auto"/>
                <w:sz w:val="28"/>
                <w:szCs w:val="28"/>
                <w:u w:val="none"/>
              </w:rPr>
              <w:t xml:space="preserve">：00</w:t>
            </w:r>
            <w:r>
              <w:rPr>
                <w:rFonts w:hint="eastAsia" w:ascii="仿宋" w:hAnsi="仿宋" w:eastAsia="仿宋" w:cs="仿宋"/>
                <w:color w:val="auto"/>
                <w:sz w:val="28"/>
                <w:szCs w:val="28"/>
                <w:u w:val="none"/>
              </w:rPr>
              <w:t xml:space="preserve">前。</w:t>
            </w:r>
            <w:r/>
          </w:p>
          <w:p>
            <w:pPr>
              <w:ind w:left="560" w:hanging="480"/>
              <w:spacing w:line="360" w:lineRule="auto"/>
              <w:rPr>
                <w:rFonts w:hint="eastAsia" w:ascii="仿宋" w:hAnsi="仿宋" w:eastAsia="仿宋" w:cs="仿宋"/>
                <w:color w:val="auto"/>
                <w:sz w:val="28"/>
                <w:szCs w:val="28"/>
                <w:u w:val="none"/>
              </w:rPr>
            </w:pPr>
            <w:r>
              <w:rPr>
                <w:rFonts w:hint="eastAsia" w:ascii="仿宋" w:hAnsi="仿宋" w:eastAsia="仿宋" w:cs="仿宋"/>
                <w:color w:val="auto"/>
                <w:sz w:val="28"/>
                <w:szCs w:val="28"/>
                <w:u w:val="none"/>
              </w:rPr>
              <w:t xml:space="preserve">二、投标文件接收截止时间：202</w:t>
            </w:r>
            <w:r>
              <w:rPr>
                <w:rFonts w:hint="eastAsia" w:ascii="仿宋" w:hAnsi="仿宋" w:eastAsia="仿宋" w:cs="仿宋"/>
                <w:color w:val="auto"/>
                <w:sz w:val="28"/>
                <w:szCs w:val="28"/>
                <w:u w:val="none"/>
                <w:lang w:val="en-US" w:eastAsia="zh-CN"/>
              </w:rPr>
              <w:t xml:space="preserve">4</w:t>
            </w:r>
            <w:r>
              <w:rPr>
                <w:rFonts w:hint="eastAsia" w:ascii="仿宋" w:hAnsi="仿宋" w:eastAsia="仿宋" w:cs="仿宋"/>
                <w:color w:val="auto"/>
                <w:sz w:val="28"/>
                <w:szCs w:val="28"/>
                <w:u w:val="none"/>
              </w:rPr>
              <w:t xml:space="preserve">年8</w:t>
            </w:r>
            <w:r>
              <w:rPr>
                <w:rFonts w:hint="eastAsia" w:ascii="仿宋" w:hAnsi="仿宋" w:eastAsia="仿宋" w:cs="仿宋"/>
                <w:color w:val="auto"/>
                <w:sz w:val="28"/>
                <w:szCs w:val="28"/>
                <w:u w:val="none"/>
              </w:rPr>
              <w:t xml:space="preserve">月15</w:t>
            </w:r>
            <w:r>
              <w:rPr>
                <w:rFonts w:hint="eastAsia" w:ascii="仿宋" w:hAnsi="仿宋" w:eastAsia="仿宋" w:cs="仿宋"/>
                <w:color w:val="auto"/>
                <w:sz w:val="28"/>
                <w:szCs w:val="28"/>
                <w:u w:val="none"/>
              </w:rPr>
              <w:t xml:space="preserve">日北京时间</w:t>
            </w:r>
            <w:r>
              <w:rPr>
                <w:rFonts w:hint="eastAsia" w:ascii="仿宋" w:hAnsi="仿宋" w:eastAsia="仿宋" w:cs="仿宋"/>
                <w:color w:val="auto"/>
                <w:sz w:val="28"/>
                <w:szCs w:val="28"/>
                <w:u w:val="none"/>
                <w:lang w:val="en-US" w:eastAsia="zh-CN"/>
              </w:rPr>
              <w:t xml:space="preserve">10</w:t>
            </w:r>
            <w:r>
              <w:rPr>
                <w:rFonts w:hint="eastAsia" w:ascii="仿宋" w:hAnsi="仿宋" w:eastAsia="仿宋" w:cs="仿宋"/>
                <w:color w:val="auto"/>
                <w:sz w:val="28"/>
                <w:szCs w:val="28"/>
                <w:u w:val="none"/>
              </w:rPr>
              <w:t xml:space="preserve">：00</w:t>
            </w:r>
            <w:r>
              <w:rPr>
                <w:rFonts w:hint="eastAsia" w:ascii="仿宋" w:hAnsi="仿宋" w:eastAsia="仿宋" w:cs="仿宋"/>
                <w:color w:val="auto"/>
                <w:sz w:val="28"/>
                <w:szCs w:val="28"/>
                <w:u w:val="none"/>
              </w:rPr>
              <w:t xml:space="preserve">。</w:t>
            </w:r>
            <w:r/>
          </w:p>
          <w:p>
            <w:pPr>
              <w:ind w:left="560" w:hanging="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电子投标文件应由其法定代表人或法定代表人授权代表在规定的网上投标时间内，</w:t>
            </w:r>
            <w:r>
              <w:rPr>
                <w:rFonts w:hint="eastAsia" w:ascii="仿宋" w:hAnsi="仿宋" w:eastAsia="仿宋" w:cs="仿宋"/>
                <w:b/>
                <w:bCs/>
                <w:color w:val="auto"/>
                <w:sz w:val="28"/>
                <w:szCs w:val="28"/>
              </w:rPr>
              <w:t xml:space="preserve">凭 CA 证书登陆“苏采云”系统在线编制投标文件（电子数据），</w:t>
            </w:r>
            <w:r>
              <w:rPr>
                <w:rFonts w:hint="eastAsia" w:ascii="仿宋" w:hAnsi="仿宋" w:eastAsia="仿宋" w:cs="仿宋"/>
                <w:b/>
                <w:color w:val="auto"/>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开标</w:t>
            </w:r>
            <w:r/>
          </w:p>
        </w:tc>
      </w:tr>
      <w:tr>
        <w:trPr>
          <w:jc w:val="center"/>
          <w:trHeight w:val="244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(二十四)</w:t>
            </w:r>
            <w:r/>
          </w:p>
        </w:tc>
        <w:tc>
          <w:tcPr>
            <w:tcMar>
              <w:left w:w="108" w:type="dxa"/>
              <w:top w:w="0" w:type="dxa"/>
              <w:right w:w="108" w:type="dxa"/>
              <w:bottom w:w="0" w:type="dxa"/>
            </w:tcMar>
            <w:tcW w:w="8313" w:type="dxa"/>
            <w:vAlign w:val="top"/>
            <w:textDirection w:val="lrTb"/>
            <w:noWrap w:val="false"/>
          </w:tcPr>
          <w:p>
            <w:pPr>
              <w:pStyle w:val="877"/>
              <w:spacing w:line="360" w:lineRule="auto"/>
              <w:tabs>
                <w:tab w:val="right" w:pos="8097" w:leader="none"/>
              </w:tabs>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开标时间及地点：</w:t>
            </w:r>
            <w:r>
              <w:rPr>
                <w:rFonts w:hint="eastAsia" w:ascii="仿宋" w:hAnsi="仿宋" w:eastAsia="仿宋" w:cs="仿宋"/>
                <w:color w:val="auto"/>
                <w:sz w:val="28"/>
                <w:szCs w:val="28"/>
                <w:lang w:eastAsia="zh-CN"/>
              </w:rPr>
              <w:tab/>
            </w:r>
            <w:r/>
          </w:p>
          <w:p>
            <w:pPr>
              <w:pStyle w:val="877"/>
              <w:spacing w:line="360" w:lineRule="auto"/>
              <w:rPr>
                <w:rFonts w:hint="eastAsia" w:ascii="仿宋" w:hAnsi="仿宋" w:eastAsia="仿宋" w:cs="仿宋"/>
                <w:color w:val="auto"/>
                <w:sz w:val="28"/>
                <w:szCs w:val="28"/>
                <w:u w:val="none"/>
              </w:rPr>
            </w:pPr>
            <w:r>
              <w:rPr>
                <w:rFonts w:hint="eastAsia" w:ascii="仿宋" w:hAnsi="仿宋" w:eastAsia="仿宋" w:cs="仿宋"/>
                <w:color w:val="auto"/>
                <w:sz w:val="28"/>
                <w:szCs w:val="28"/>
                <w:u w:val="none"/>
              </w:rPr>
              <w:t xml:space="preserve">1.开标时间：202</w:t>
            </w:r>
            <w:r>
              <w:rPr>
                <w:rFonts w:hint="eastAsia" w:ascii="仿宋" w:hAnsi="仿宋" w:eastAsia="仿宋" w:cs="仿宋"/>
                <w:color w:val="auto"/>
                <w:sz w:val="28"/>
                <w:szCs w:val="28"/>
                <w:u w:val="none"/>
                <w:lang w:val="en-US" w:eastAsia="zh-CN"/>
              </w:rPr>
              <w:t xml:space="preserve">4</w:t>
            </w:r>
            <w:r>
              <w:rPr>
                <w:rFonts w:hint="eastAsia" w:ascii="仿宋" w:hAnsi="仿宋" w:eastAsia="仿宋" w:cs="仿宋"/>
                <w:color w:val="auto"/>
                <w:sz w:val="28"/>
                <w:szCs w:val="28"/>
                <w:u w:val="none"/>
              </w:rPr>
              <w:t xml:space="preserve">年8</w:t>
            </w:r>
            <w:r>
              <w:rPr>
                <w:rFonts w:hint="eastAsia" w:ascii="仿宋" w:hAnsi="仿宋" w:eastAsia="仿宋" w:cs="仿宋"/>
                <w:color w:val="auto"/>
                <w:sz w:val="28"/>
                <w:szCs w:val="28"/>
                <w:u w:val="none"/>
              </w:rPr>
              <w:t xml:space="preserve">月15</w:t>
            </w:r>
            <w:r>
              <w:rPr>
                <w:rFonts w:hint="eastAsia" w:ascii="仿宋" w:hAnsi="仿宋" w:eastAsia="仿宋" w:cs="仿宋"/>
                <w:color w:val="auto"/>
                <w:sz w:val="28"/>
                <w:szCs w:val="28"/>
                <w:u w:val="none"/>
              </w:rPr>
              <w:t xml:space="preserve">日10</w:t>
            </w:r>
            <w:r>
              <w:rPr>
                <w:rFonts w:hint="eastAsia" w:ascii="仿宋" w:hAnsi="仿宋" w:eastAsia="仿宋" w:cs="仿宋"/>
                <w:color w:val="auto"/>
                <w:sz w:val="28"/>
                <w:szCs w:val="28"/>
                <w:u w:val="none"/>
              </w:rPr>
              <w:t xml:space="preserve">：00</w:t>
            </w:r>
            <w:r>
              <w:rPr>
                <w:rFonts w:hint="eastAsia" w:ascii="仿宋" w:hAnsi="仿宋" w:eastAsia="仿宋" w:cs="仿宋"/>
                <w:color w:val="auto"/>
                <w:sz w:val="28"/>
                <w:szCs w:val="28"/>
                <w:u w:val="none"/>
              </w:rPr>
              <w:t xml:space="preserve">（标准时间）</w:t>
            </w:r>
            <w:r/>
          </w:p>
          <w:p>
            <w:pPr>
              <w:ind w:left="1680" w:hanging="16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2.开标地点：“苏采云”系统（网址： http://jszfcg.jsczt.cn/）“开标大厅”或进入徐州政府采购网（网址：</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"http://czj.xz.gov.cn/Home/HomeIndex）--业务工作--用户登录，点击" </w:instrText>
            </w:r>
            <w:r>
              <w:rPr>
                <w:rFonts w:hint="eastAsia" w:ascii="仿宋" w:hAnsi="仿宋" w:eastAsia="仿宋" w:cs="仿宋"/>
                <w:color w:val="auto"/>
                <w:sz w:val="28"/>
                <w:szCs w:val="28"/>
              </w:rPr>
              <w:fldChar w:fldCharType="separate"/>
            </w:r>
            <w:r>
              <w:rPr>
                <w:rStyle w:val="908"/>
                <w:rFonts w:hint="eastAsia" w:ascii="仿宋" w:hAnsi="仿宋" w:eastAsia="仿宋" w:cs="仿宋"/>
                <w:color w:val="auto"/>
                <w:sz w:val="28"/>
                <w:szCs w:val="28"/>
              </w:rPr>
              <w:t xml:space="preserve">http://czj.xz.gov.cn/Home/HomeIndex）--业务工作--用户登录，点击“苏采云”进入系统“开标大厅”。</w:t>
            </w:r>
            <w:r>
              <w:rPr>
                <w:rFonts w:hint="eastAsia" w:ascii="仿宋" w:hAnsi="仿宋" w:eastAsia="仿宋" w:cs="仿宋"/>
                <w:color w:val="auto"/>
                <w:sz w:val="28"/>
                <w:szCs w:val="28"/>
              </w:rPr>
              <w:fldChar w:fldCharType="end"/>
            </w:r>
            <w:r/>
          </w:p>
          <w:p>
            <w:pPr>
              <w:pStyle w:val="89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w:t>
            </w:r>
            <w:r>
              <w:rPr>
                <w:rFonts w:hint="eastAsia" w:ascii="仿宋" w:hAnsi="仿宋" w:eastAsia="仿宋" w:cs="仿宋"/>
                <w:color w:val="auto"/>
                <w:sz w:val="28"/>
                <w:szCs w:val="28"/>
                <w:highlight w:val="none"/>
                <w:lang w:eastAsia="zh-CN"/>
              </w:rPr>
              <w:t xml:space="preserve">六</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采用综合评分法。</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(三十二)</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二、采用综合评分法的，按评审后得分由高到低顺序排列。评审得分相同的，按实施方案得分顺序排列。</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tc>
        <w:tc>
          <w:tcPr>
            <w:tcMar>
              <w:left w:w="108" w:type="dxa"/>
              <w:top w:w="0" w:type="dxa"/>
              <w:right w:w="108" w:type="dxa"/>
              <w:bottom w:w="0" w:type="dxa"/>
            </w:tcMar>
            <w:tcW w:w="8313" w:type="dxa"/>
            <w:vAlign w:val="top"/>
            <w:textDirection w:val="lrTb"/>
            <w:noWrap w:val="false"/>
          </w:tcPr>
          <w:p>
            <w:pPr>
              <w:pStyle w:val="89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pStyle w:val="89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2.对于投标文件中含义不明确、同类问题表述不一致或者有明显文字，评标委员会通过“苏采云”系统要求投标人作出必要的澄清、说明或者补正，并规定回复时间。</w:t>
            </w:r>
            <w:r/>
          </w:p>
          <w:p>
            <w:pPr>
              <w:pStyle w:val="89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7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w:t>
            </w:r>
            <w:r>
              <w:rPr>
                <w:rFonts w:hint="eastAsia" w:ascii="仿宋" w:hAnsi="仿宋" w:eastAsia="仿宋" w:cs="仿宋"/>
                <w:color w:val="auto"/>
                <w:sz w:val="28"/>
                <w:szCs w:val="28"/>
                <w:highlight w:val="none"/>
                <w:lang w:eastAsia="zh-CN"/>
              </w:rPr>
              <w:t xml:space="preserve">五</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（三十</w:t>
            </w:r>
            <w:r>
              <w:rPr>
                <w:rFonts w:hint="eastAsia" w:ascii="仿宋" w:hAnsi="仿宋" w:eastAsia="仿宋" w:cs="仿宋"/>
                <w:color w:val="auto"/>
                <w:sz w:val="24"/>
                <w:szCs w:val="24"/>
                <w:lang w:eastAsia="zh-CN"/>
              </w:rPr>
              <w:t xml:space="preserve">九</w:t>
            </w:r>
            <w:r>
              <w:rPr>
                <w:rFonts w:hint="eastAsia" w:ascii="仿宋" w:hAnsi="仿宋" w:eastAsia="仿宋" w:cs="仿宋"/>
                <w:color w:val="auto"/>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eastAsia="zh-CN"/>
              </w:rPr>
              <w:t xml:space="preserve">程柱</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lang w:val="en-US" w:eastAsia="zh-CN"/>
              </w:rPr>
              <w:t xml:space="preserve">13685109620</w:t>
            </w:r>
            <w:r>
              <w:rPr>
                <w:rFonts w:hint="eastAsia" w:ascii="仿宋" w:hAnsi="仿宋" w:eastAsia="仿宋" w:cs="仿宋"/>
                <w:color w:val="auto"/>
                <w:sz w:val="28"/>
                <w:szCs w:val="28"/>
              </w:rPr>
              <w:t xml:space="preserve">；</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rPr>
              <w:t xml:space="preserve">地址：徐州市</w:t>
            </w:r>
            <w:r>
              <w:rPr>
                <w:rFonts w:hint="eastAsia" w:ascii="仿宋" w:hAnsi="仿宋" w:eastAsia="仿宋" w:cs="仿宋"/>
                <w:color w:val="auto"/>
                <w:sz w:val="28"/>
                <w:szCs w:val="28"/>
                <w:lang w:val="en-US" w:eastAsia="zh-CN"/>
              </w:rPr>
              <w:t xml:space="preserve">鼓楼区下淀路1号</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其他</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（四十）</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（四十一）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本项目应执行的政府采购政策：</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①本项目属于专门面向中小微企业采购的项目，供应商应为中小微企业、监狱企业、残疾人福利性单位。</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②本项目应当履行促进绿色低碳循环发展，执行国家相关绿色标准，推动环保、节能、节水、循环、低碳、再生、有机等绿色产品和相关绿色服务、绿色基础设施应用的要求。</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tc>
      </w:tr>
    </w:tbl>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0"/>
          <w:highlight w:val="none"/>
        </w:rPr>
      </w:r>
      <w:r/>
    </w:p>
    <w:p>
      <w:pPr>
        <w:ind w:firstLine="2377"/>
        <w:spacing w:line="520" w:lineRule="exact"/>
        <w:tabs>
          <w:tab w:val="left" w:pos="2235" w:leader="none"/>
        </w:tabs>
        <w:rPr>
          <w:rFonts w:hint="eastAsia" w:ascii="仿宋" w:hAnsi="仿宋" w:eastAsia="仿宋" w:cs="仿宋"/>
          <w:color w:val="auto"/>
          <w:sz w:val="32"/>
          <w:szCs w:val="32"/>
        </w:rPr>
      </w:pPr>
      <w:r>
        <w:rPr>
          <w:rFonts w:hint="eastAsia" w:ascii="仿宋" w:hAnsi="仿宋" w:eastAsia="仿宋" w:cs="仿宋"/>
          <w:b/>
          <w:bCs/>
          <w:color w:val="auto"/>
          <w:sz w:val="32"/>
          <w:szCs w:val="32"/>
        </w:rPr>
        <w:t xml:space="preserve">本章附件：招标代理服务收费标准</w:t>
      </w:r>
      <w:r/>
    </w:p>
    <w:p>
      <w:pPr>
        <w:ind w:firstLine="560"/>
        <w:spacing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r>
      <w:r/>
    </w:p>
    <w:tbl>
      <w:tblPr>
        <w:tblStyle w:val="695"/>
        <w:tblpPr w:horzAnchor="page" w:tblpX="1890" w:vertAnchor="text" w:tblpY="104" w:leftFromText="180" w:topFromText="0" w:rightFromText="180" w:bottomFromText="0"/>
        <w:tblW w:w="7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4"/>
        <w:gridCol w:w="1264"/>
        <w:gridCol w:w="1206"/>
        <w:gridCol w:w="1255"/>
        <w:gridCol w:w="1888"/>
      </w:tblGrid>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中标金额</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货物</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服务</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工程</w:t>
            </w:r>
            <w:r/>
          </w:p>
        </w:tc>
        <w:tc>
          <w:tcPr>
            <w:tcW w:w="1888"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收费上</w:t>
            </w:r>
            <w:r>
              <w:rPr>
                <w:rFonts w:hint="eastAsia" w:ascii="仿宋" w:hAnsi="仿宋" w:eastAsia="仿宋" w:cs="仿宋"/>
                <w:color w:val="auto"/>
                <w:sz w:val="28"/>
                <w:szCs w:val="28"/>
                <w:lang w:val="en-US" w:eastAsia="zh-CN"/>
              </w:rPr>
              <w:t xml:space="preserve">下</w:t>
            </w:r>
            <w:r>
              <w:rPr>
                <w:rFonts w:hint="eastAsia" w:ascii="仿宋" w:hAnsi="仿宋" w:eastAsia="仿宋" w:cs="仿宋"/>
                <w:color w:val="auto"/>
                <w:sz w:val="28"/>
                <w:szCs w:val="28"/>
              </w:rPr>
              <w:t xml:space="preserve">限</w:t>
            </w:r>
            <w:r/>
          </w:p>
        </w:tc>
      </w:tr>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100万以下</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1.50%</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1.50%</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1.00%</w:t>
            </w:r>
            <w:r/>
          </w:p>
        </w:tc>
        <w:tc>
          <w:tcPr>
            <w:tcW w:w="1888" w:type="dxa"/>
            <w:vAlign w:val="center"/>
            <w:vMerge w:val="restart"/>
            <w:textDirection w:val="lrTb"/>
            <w:noWrap w:val="false"/>
          </w:tcPr>
          <w:p>
            <w:pPr>
              <w:keepLines w:val="0"/>
              <w:keepNext w:val="0"/>
              <w:pageBreakBefore w:val="0"/>
              <w:spacing w:line="600" w:lineRule="exact"/>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最低5千元</w:t>
            </w:r>
            <w:r/>
          </w:p>
          <w:p>
            <w:pPr>
              <w:keepLines w:val="0"/>
              <w:keepNext w:val="0"/>
              <w:pageBreakBefore w:val="0"/>
              <w:spacing w:line="600" w:lineRule="exact"/>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最高15万元</w:t>
            </w:r>
            <w:r/>
          </w:p>
          <w:p>
            <w:pPr>
              <w:ind w:firstLine="28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100万~500万</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1.10%</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0.80%</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0.70%</w:t>
            </w:r>
            <w:r/>
          </w:p>
        </w:tc>
        <w:tc>
          <w:tcPr>
            <w:tcW w:w="1888"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500万~1000万</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0.80%</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0.45%</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0.55%</w:t>
            </w:r>
            <w:r/>
          </w:p>
        </w:tc>
        <w:tc>
          <w:tcPr>
            <w:tcW w:w="1888"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l000万~5000万</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0.50%</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0.25%</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0.35%</w:t>
            </w:r>
            <w:r/>
          </w:p>
        </w:tc>
        <w:tc>
          <w:tcPr>
            <w:tcW w:w="1888"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5000万~l亿</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0.25%</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0.10%</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0.20%</w:t>
            </w:r>
            <w:r/>
          </w:p>
        </w:tc>
        <w:tc>
          <w:tcPr>
            <w:tcW w:w="1888"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1亿~5亿</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0.05%</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0.05%</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0.05%</w:t>
            </w:r>
            <w:r/>
          </w:p>
        </w:tc>
        <w:tc>
          <w:tcPr>
            <w:tcW w:w="1888"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5亿~10亿</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0.035%</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0.035%</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0.035%</w:t>
            </w:r>
            <w:r/>
          </w:p>
        </w:tc>
        <w:tc>
          <w:tcPr>
            <w:tcW w:w="1888"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58"/>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10亿~50亿</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0.008%</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0.008%</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0.008%</w:t>
            </w:r>
            <w:r/>
          </w:p>
        </w:tc>
        <w:tc>
          <w:tcPr>
            <w:tcW w:w="1888"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trPr>
        <w:tc>
          <w:tcPr>
            <w:tcW w:w="234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50亿</w:t>
            </w:r>
            <w:r>
              <w:rPr>
                <w:rFonts w:hint="eastAsia" w:ascii="仿宋" w:hAnsi="仿宋" w:eastAsia="仿宋" w:cs="仿宋"/>
                <w:color w:val="auto"/>
                <w:sz w:val="28"/>
                <w:szCs w:val="28"/>
                <w:lang w:val="en-US" w:eastAsia="zh-CN"/>
              </w:rPr>
              <w:t xml:space="preserve">以上</w:t>
            </w:r>
            <w:r/>
          </w:p>
        </w:tc>
        <w:tc>
          <w:tcPr>
            <w:tcW w:w="1264"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0.006%</w:t>
            </w:r>
            <w:r/>
          </w:p>
        </w:tc>
        <w:tc>
          <w:tcPr>
            <w:tcW w:w="1206"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0.006%</w:t>
            </w:r>
            <w:r/>
          </w:p>
        </w:tc>
        <w:tc>
          <w:tcPr>
            <w:tcW w:w="1255"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0.006%</w:t>
            </w:r>
            <w:r/>
          </w:p>
        </w:tc>
        <w:tc>
          <w:tcPr>
            <w:tcW w:w="1888"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spacing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spacing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0"/>
        <w:keepLines w:val="0"/>
        <w:keepNext w:val="0"/>
        <w:pageBreakBefore w:val="0"/>
        <w:spacing w:line="240" w:lineRule="auto"/>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firstLine="560"/>
        <w:keepLines w:val="0"/>
        <w:keepNext w:val="0"/>
        <w:pageBreakBefore w:val="0"/>
        <w:spacing w:line="240" w:lineRule="auto"/>
        <w:widowControl/>
        <w:rPr>
          <w:rFonts w:hint="eastAsia" w:ascii="仿宋" w:hAnsi="仿宋" w:eastAsia="仿宋" w:cs="仿宋"/>
          <w:color w:val="auto"/>
          <w:sz w:val="22"/>
          <w:szCs w:val="22"/>
        </w:rPr>
      </w:pPr>
      <w:r>
        <w:rPr>
          <w:rFonts w:hint="eastAsia" w:ascii="仿宋" w:hAnsi="仿宋" w:eastAsia="仿宋" w:cs="仿宋"/>
          <w:color w:val="auto"/>
          <w:sz w:val="22"/>
          <w:szCs w:val="22"/>
          <w:lang w:eastAsia="zh-CN"/>
        </w:rPr>
        <w:t xml:space="preserve">说明</w:t>
      </w:r>
      <w:r>
        <w:rPr>
          <w:rFonts w:hint="eastAsia" w:ascii="仿宋" w:hAnsi="仿宋" w:eastAsia="仿宋" w:cs="仿宋"/>
          <w:color w:val="auto"/>
          <w:sz w:val="22"/>
          <w:szCs w:val="22"/>
        </w:rPr>
        <w:t xml:space="preserve">：</w:t>
      </w:r>
      <w:r/>
    </w:p>
    <w:p>
      <w:pPr>
        <w:ind w:firstLine="677"/>
        <w:jc w:val="left"/>
        <w:spacing w:line="240" w:lineRule="auto"/>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1.按上表计算的收费为代理服务全过程的收费金额。</w:t>
      </w:r>
      <w:r>
        <w:rPr>
          <w:rFonts w:hint="eastAsia" w:ascii="仿宋" w:hAnsi="仿宋" w:eastAsia="仿宋" w:cs="仿宋"/>
          <w:color w:val="auto"/>
          <w:sz w:val="22"/>
          <w:szCs w:val="22"/>
          <w:lang w:val="en-US" w:eastAsia="zh-CN"/>
        </w:rPr>
        <w:t xml:space="preserve">各社会代理机构</w:t>
      </w:r>
      <w:r>
        <w:rPr>
          <w:rFonts w:hint="eastAsia" w:ascii="仿宋" w:hAnsi="仿宋" w:eastAsia="仿宋" w:cs="仿宋"/>
          <w:color w:val="auto"/>
          <w:sz w:val="22"/>
          <w:szCs w:val="22"/>
        </w:rPr>
        <w:t xml:space="preserve">不</w:t>
      </w:r>
      <w:r>
        <w:rPr>
          <w:rFonts w:hint="eastAsia" w:ascii="仿宋" w:hAnsi="仿宋" w:eastAsia="仿宋" w:cs="仿宋"/>
          <w:color w:val="auto"/>
          <w:sz w:val="22"/>
          <w:szCs w:val="22"/>
          <w:lang w:val="en-US" w:eastAsia="zh-CN"/>
        </w:rPr>
        <w:t xml:space="preserve">再</w:t>
      </w:r>
      <w:r>
        <w:rPr>
          <w:rFonts w:hint="eastAsia" w:ascii="仿宋" w:hAnsi="仿宋" w:eastAsia="仿宋" w:cs="仿宋"/>
          <w:color w:val="auto"/>
          <w:sz w:val="22"/>
          <w:szCs w:val="22"/>
        </w:rPr>
        <w:t xml:space="preserve">收取采购文件制作售卖费用。</w:t>
      </w:r>
      <w:r/>
    </w:p>
    <w:p>
      <w:pPr>
        <w:ind w:firstLine="630"/>
        <w:jc w:val="left"/>
        <w:keepLines w:val="0"/>
        <w:keepNext w:val="0"/>
        <w:pageBreakBefore w:val="0"/>
        <w:spacing w:line="240" w:lineRule="auto"/>
        <w:tabs>
          <w:tab w:val="left" w:pos="840"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2.代理服务费按差额定率累进法计算。</w:t>
      </w:r>
      <w:r/>
    </w:p>
    <w:p>
      <w:pPr>
        <w:ind w:left="67" w:firstLine="560"/>
        <w:jc w:val="left"/>
        <w:keepLines w:val="0"/>
        <w:keepNext w:val="0"/>
        <w:pageBreakBefore w:val="0"/>
        <w:spacing w:line="240" w:lineRule="auto"/>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3.代理服务费基准金额（按差额定率累进法计算的）=中标金额（按差额定率累进法计算的） * 费率（%）</w:t>
      </w:r>
      <w:r/>
    </w:p>
    <w:p>
      <w:pPr>
        <w:ind w:left="67" w:firstLine="560"/>
        <w:jc w:val="left"/>
        <w:keepLines w:val="0"/>
        <w:keepNext w:val="0"/>
        <w:pageBreakBefore w:val="0"/>
        <w:spacing w:line="240" w:lineRule="auto"/>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4.代理服务费应收取金额=代理服务费基准金额（按差额定率累进法计算的）的合计数。</w:t>
      </w:r>
      <w:r/>
    </w:p>
    <w:p>
      <w:pPr>
        <w:ind w:left="-1" w:firstLine="560"/>
        <w:jc w:val="left"/>
        <w:keepLines w:val="0"/>
        <w:keepNext w:val="0"/>
        <w:pageBreakBefore w:val="0"/>
        <w:spacing w:line="240" w:lineRule="auto"/>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5.计算出的代理服务费应收取金额如低于</w:t>
      </w:r>
      <w:r>
        <w:rPr>
          <w:rFonts w:hint="eastAsia" w:ascii="仿宋" w:hAnsi="仿宋" w:eastAsia="仿宋" w:cs="仿宋"/>
          <w:color w:val="auto"/>
          <w:sz w:val="22"/>
          <w:szCs w:val="22"/>
          <w:lang w:val="en-US" w:eastAsia="zh-CN"/>
        </w:rPr>
        <w:t xml:space="preserve">5</w:t>
      </w:r>
      <w:r>
        <w:rPr>
          <w:rFonts w:hint="eastAsia" w:ascii="仿宋" w:hAnsi="仿宋" w:eastAsia="仿宋" w:cs="仿宋"/>
          <w:color w:val="auto"/>
          <w:sz w:val="22"/>
          <w:szCs w:val="22"/>
        </w:rPr>
        <w:t xml:space="preserve">千元，按</w:t>
      </w:r>
      <w:r>
        <w:rPr>
          <w:rFonts w:hint="eastAsia" w:ascii="仿宋" w:hAnsi="仿宋" w:eastAsia="仿宋" w:cs="仿宋"/>
          <w:color w:val="auto"/>
          <w:sz w:val="22"/>
          <w:szCs w:val="22"/>
          <w:lang w:val="en-US" w:eastAsia="zh-CN"/>
        </w:rPr>
        <w:t xml:space="preserve">5</w:t>
      </w:r>
      <w:r>
        <w:rPr>
          <w:rFonts w:hint="eastAsia" w:ascii="仿宋" w:hAnsi="仿宋" w:eastAsia="仿宋" w:cs="仿宋"/>
          <w:color w:val="auto"/>
          <w:sz w:val="22"/>
          <w:szCs w:val="22"/>
        </w:rPr>
        <w:t xml:space="preserve">千元收取；如高于</w:t>
      </w:r>
      <w:r>
        <w:rPr>
          <w:rFonts w:hint="eastAsia" w:ascii="仿宋" w:hAnsi="仿宋" w:eastAsia="仿宋" w:cs="仿宋"/>
          <w:color w:val="auto"/>
          <w:sz w:val="22"/>
          <w:szCs w:val="22"/>
          <w:lang w:val="en-US" w:eastAsia="zh-CN"/>
        </w:rPr>
        <w:t xml:space="preserve">15万元，按15万元收取。</w:t>
      </w:r>
      <w:r/>
    </w:p>
    <w:p>
      <w:pPr>
        <w:ind w:left="-1" w:firstLine="560"/>
        <w:jc w:val="left"/>
        <w:keepLines w:val="0"/>
        <w:keepNext w:val="0"/>
        <w:pageBreakBefore w:val="0"/>
        <w:spacing w:line="240" w:lineRule="auto"/>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6.</w:t>
      </w:r>
      <w:r>
        <w:rPr>
          <w:rFonts w:hint="eastAsia" w:ascii="仿宋" w:hAnsi="仿宋" w:eastAsia="仿宋" w:cs="仿宋"/>
          <w:color w:val="auto"/>
          <w:sz w:val="22"/>
          <w:szCs w:val="22"/>
          <w:lang w:val="en-US" w:eastAsia="zh-CN"/>
        </w:rPr>
        <w:t xml:space="preserve">定点类等无金额或事先不能计算出价格总额的</w:t>
      </w:r>
      <w:r>
        <w:rPr>
          <w:rFonts w:hint="eastAsia" w:ascii="仿宋" w:hAnsi="仿宋" w:eastAsia="仿宋" w:cs="仿宋"/>
          <w:color w:val="auto"/>
          <w:sz w:val="22"/>
          <w:szCs w:val="22"/>
        </w:rPr>
        <w:t xml:space="preserve">项目，</w:t>
      </w:r>
      <w:r>
        <w:rPr>
          <w:rFonts w:hint="eastAsia" w:ascii="仿宋" w:hAnsi="仿宋" w:eastAsia="仿宋" w:cs="仿宋"/>
          <w:color w:val="auto"/>
          <w:sz w:val="22"/>
          <w:szCs w:val="22"/>
          <w:lang w:val="en-US" w:eastAsia="zh-CN"/>
        </w:rPr>
        <w:t xml:space="preserve">按</w:t>
      </w:r>
      <w:r>
        <w:rPr>
          <w:rFonts w:hint="eastAsia" w:ascii="仿宋" w:hAnsi="仿宋" w:eastAsia="仿宋" w:cs="仿宋"/>
          <w:color w:val="auto"/>
          <w:sz w:val="22"/>
          <w:szCs w:val="22"/>
        </w:rPr>
        <w:t xml:space="preserve">中标（成交）金额</w:t>
      </w:r>
      <w:r>
        <w:rPr>
          <w:rFonts w:hint="eastAsia" w:ascii="仿宋" w:hAnsi="仿宋" w:eastAsia="仿宋" w:cs="仿宋"/>
          <w:color w:val="auto"/>
          <w:sz w:val="22"/>
          <w:szCs w:val="22"/>
          <w:lang w:val="en-US" w:eastAsia="zh-CN"/>
        </w:rPr>
        <w:t xml:space="preserve">100</w:t>
      </w:r>
      <w:r>
        <w:rPr>
          <w:rFonts w:hint="eastAsia" w:ascii="仿宋" w:hAnsi="仿宋" w:eastAsia="仿宋" w:cs="仿宋"/>
          <w:color w:val="auto"/>
          <w:sz w:val="22"/>
          <w:szCs w:val="22"/>
        </w:rPr>
        <w:t xml:space="preserve">万元计算</w:t>
      </w:r>
      <w:r>
        <w:rPr>
          <w:rFonts w:hint="eastAsia" w:ascii="仿宋" w:hAnsi="仿宋" w:eastAsia="仿宋" w:cs="仿宋"/>
          <w:color w:val="auto"/>
          <w:sz w:val="22"/>
          <w:szCs w:val="22"/>
          <w:lang w:val="en-US" w:eastAsia="zh-CN"/>
        </w:rPr>
        <w:t xml:space="preserve">服务费</w:t>
      </w:r>
      <w:r>
        <w:rPr>
          <w:rFonts w:hint="eastAsia" w:ascii="仿宋" w:hAnsi="仿宋" w:eastAsia="仿宋" w:cs="仿宋"/>
          <w:color w:val="auto"/>
          <w:sz w:val="22"/>
          <w:szCs w:val="22"/>
        </w:rPr>
        <w:t xml:space="preserve">。</w:t>
      </w:r>
      <w:r/>
    </w:p>
    <w:p>
      <w:pPr>
        <w:ind w:firstLine="660"/>
        <w:jc w:val="left"/>
        <w:keepLines w:val="0"/>
        <w:keepNext w:val="0"/>
        <w:pageBreakBefore w:val="0"/>
        <w:spacing w:line="24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 xml:space="preserve">7.多个采购包（标段）项目按总项目中标（成交）金额收费，最高不超过15万元。</w:t>
      </w:r>
      <w:r/>
    </w:p>
    <w:p>
      <w:pPr>
        <w:ind w:firstLine="720"/>
        <w:spacing w:line="24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8</w:t>
      </w:r>
      <w:r>
        <w:rPr>
          <w:rFonts w:hint="eastAsia" w:ascii="仿宋" w:hAnsi="仿宋" w:eastAsia="仿宋" w:cs="仿宋"/>
          <w:b/>
          <w:bCs/>
          <w:color w:val="auto"/>
          <w:sz w:val="28"/>
          <w:szCs w:val="28"/>
        </w:rPr>
        <w:t xml:space="preserve">.账户名：江苏翔瑞招投标代理有限公司</w:t>
      </w:r>
      <w:r/>
    </w:p>
    <w:p>
      <w:pPr>
        <w:ind w:firstLine="720"/>
        <w:spacing w:line="24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开户银行：江苏银行徐州金山桥支行    </w:t>
      </w:r>
      <w:r/>
    </w:p>
    <w:p>
      <w:pPr>
        <w:ind w:firstLine="720"/>
        <w:spacing w:line="240" w:lineRule="auto"/>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 xml:space="preserve">账    号：60020188000158566</w:t>
      </w:r>
      <w:r/>
    </w:p>
    <w:p>
      <w:pPr>
        <w:ind w:firstLine="720"/>
        <w:spacing w:line="24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行号：313303000030</w:t>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3"/>
        </w:numPr>
        <w:ind w:firstLine="3614"/>
        <w:jc w:val="both"/>
        <w:spacing w:line="360" w:lineRule="auto"/>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val="en-US" w:eastAsia="zh-CN"/>
        </w:rPr>
        <w:t xml:space="preserve"> </w:t>
      </w:r>
      <w:r>
        <w:rPr>
          <w:rFonts w:hint="eastAsia" w:ascii="仿宋" w:hAnsi="仿宋" w:eastAsia="仿宋" w:cs="仿宋"/>
          <w:b/>
          <w:color w:val="auto"/>
          <w:sz w:val="30"/>
          <w:highlight w:val="none"/>
        </w:rPr>
        <w:t xml:space="preserve">评标标准</w:t>
      </w:r>
      <w:r/>
    </w:p>
    <w:tbl>
      <w:tblPr>
        <w:tblStyle w:val="695"/>
        <w:tblW w:w="9319" w:type="dxa"/>
        <w:jc w:val="center"/>
        <w:tblLayout w:type="fixed"/>
        <w:tblCellMar>
          <w:left w:w="108" w:type="dxa"/>
          <w:top w:w="0" w:type="dxa"/>
          <w:right w:w="108" w:type="dxa"/>
          <w:bottom w:w="0" w:type="dxa"/>
        </w:tblCellMar>
        <w:tblLook w:val="04A0" w:firstRow="1" w:lastRow="0" w:firstColumn="1" w:lastColumn="0" w:noHBand="0" w:noVBand="1"/>
      </w:tblPr>
      <w:tblGrid>
        <w:gridCol w:w="1129"/>
        <w:gridCol w:w="1079"/>
        <w:gridCol w:w="6134"/>
        <w:gridCol w:w="977"/>
      </w:tblGrid>
      <w:tr>
        <w:trPr>
          <w:jc w:val="center"/>
          <w:trHeight w:val="567"/>
        </w:trPr>
        <w:tc>
          <w:tcPr>
            <w:gridSpan w:val="2"/>
            <w:tcBorders>
              <w:top w:val="single" w:color="auto" w:sz="4" w:space="0"/>
              <w:left w:val="single" w:color="auto" w:sz="4" w:space="0"/>
              <w:bottom w:val="single" w:color="auto" w:sz="4" w:space="0"/>
              <w:right w:val="single" w:color="auto" w:sz="4" w:space="0"/>
            </w:tcBorders>
            <w:tcW w:w="2208"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评审内容</w:t>
            </w:r>
            <w:r/>
          </w:p>
        </w:tc>
        <w:tc>
          <w:tcPr>
            <w:tcBorders>
              <w:top w:val="single" w:color="auto" w:sz="4" w:space="0"/>
              <w:left w:val="none" w:color="000000" w:sz="4" w:space="0"/>
              <w:bottom w:val="single" w:color="auto" w:sz="4" w:space="0"/>
              <w:right w:val="single" w:color="auto" w:sz="4" w:space="0"/>
            </w:tcBorders>
            <w:tcW w:w="6134"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977"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标准分值</w:t>
            </w:r>
            <w:r/>
          </w:p>
        </w:tc>
      </w:tr>
      <w:tr>
        <w:trPr>
          <w:jc w:val="center"/>
          <w:trHeight w:val="917"/>
        </w:trPr>
        <w:tc>
          <w:tcPr>
            <w:tcBorders>
              <w:top w:val="none" w:color="000000" w:sz="4" w:space="0"/>
              <w:left w:val="single" w:color="auto" w:sz="4" w:space="0"/>
              <w:bottom w:val="single" w:color="auto" w:sz="4" w:space="0"/>
              <w:right w:val="single" w:color="auto" w:sz="4" w:space="0"/>
            </w:tcBorders>
            <w:tcW w:w="1129"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价格评审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30分</w:t>
            </w:r>
            <w:r>
              <w:rPr>
                <w:rFonts w:hint="eastAsia" w:ascii="仿宋" w:hAnsi="仿宋" w:eastAsia="仿宋" w:cs="仿宋"/>
                <w:color w:val="auto"/>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07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投标报价</w:t>
            </w:r>
            <w:r/>
          </w:p>
        </w:tc>
        <w:tc>
          <w:tcPr>
            <w:tcBorders>
              <w:top w:val="none" w:color="000000" w:sz="4" w:space="0"/>
              <w:left w:val="none" w:color="000000" w:sz="4" w:space="0"/>
              <w:bottom w:val="single" w:color="auto" w:sz="4" w:space="0"/>
              <w:right w:val="single" w:color="auto" w:sz="4" w:space="0"/>
            </w:tcBorders>
            <w:tcW w:w="6134" w:type="dxa"/>
            <w:vAlign w:val="center"/>
            <w:textDirection w:val="lrTb"/>
            <w:noWrap w:val="false"/>
          </w:tcPr>
          <w:p>
            <w:pPr>
              <w:ind w:left="0" w:right="0" w:firstLine="0"/>
              <w:spacing w:before="0" w:after="0"/>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采用低价优先法计算，各投标人价格得分=最低报价（投标人的最低评审价格）÷各投标人评审价格×</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0</w:t>
            </w: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97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30</w:t>
            </w:r>
            <w:r/>
          </w:p>
        </w:tc>
      </w:tr>
      <w:tr>
        <w:trPr>
          <w:jc w:val="center"/>
          <w:trHeight w:val="1166"/>
        </w:trPr>
        <w:tc>
          <w:tcPr>
            <w:tcBorders>
              <w:top w:val="single" w:color="auto" w:sz="4" w:space="0"/>
              <w:left w:val="single" w:color="auto" w:sz="4" w:space="0"/>
              <w:right w:val="single" w:color="auto" w:sz="4" w:space="0"/>
            </w:tcBorders>
            <w:tcW w:w="1129" w:type="dxa"/>
            <w:vAlign w:val="center"/>
            <w:vMerge w:val="restart"/>
            <w:textDirection w:val="lrTb"/>
            <w:noWrap w:val="false"/>
          </w:tcPr>
          <w:p>
            <w:pPr>
              <w:pStyle w:val="901"/>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商务部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5分</w:t>
            </w:r>
            <w:r>
              <w:rPr>
                <w:rFonts w:hint="eastAsia" w:ascii="仿宋" w:hAnsi="仿宋" w:eastAsia="仿宋" w:cs="仿宋"/>
                <w:color w:val="auto"/>
                <w:sz w:val="24"/>
                <w:szCs w:val="24"/>
                <w:lang w:eastAsia="zh-CN"/>
              </w:rPr>
              <w:t xml:space="preserve">）</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pStyle w:val="901"/>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 xml:space="preserve">产品认证体系</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3分</w:t>
            </w:r>
            <w:r>
              <w:rPr>
                <w:rFonts w:hint="eastAsia" w:ascii="仿宋" w:hAnsi="仿宋" w:eastAsia="仿宋" w:cs="仿宋"/>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134" w:type="dxa"/>
            <w:vAlign w:val="center"/>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产品具有有效的ISO9001质量管理体系认证、职业健康安全管理体系认证、环境管理体系认证并提供相关证明材料（上传原件扫描件加盖电子签章），同时具备的得3分，具备2个的得1分，其他不得分。</w:t>
            </w:r>
            <w:r/>
          </w:p>
        </w:tc>
        <w:tc>
          <w:tcPr>
            <w:tcBorders>
              <w:top w:val="single" w:color="auto" w:sz="4" w:space="0"/>
              <w:left w:val="none" w:color="000000" w:sz="4" w:space="0"/>
              <w:bottom w:val="single" w:color="auto" w:sz="4" w:space="0"/>
              <w:right w:val="single" w:color="auto" w:sz="4" w:space="0"/>
            </w:tcBorders>
            <w:tcW w:w="977" w:type="dxa"/>
            <w:vAlign w:val="center"/>
            <w:vMerge w:val="restart"/>
            <w:textDirection w:val="lrTb"/>
            <w:noWrap w:val="false"/>
          </w:tcPr>
          <w:p>
            <w:pPr>
              <w:pStyle w:val="901"/>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r>
      <w:tr>
        <w:trPr>
          <w:jc w:val="center"/>
          <w:trHeight w:val="557"/>
        </w:trPr>
        <w:tc>
          <w:tcPr>
            <w:tcBorders>
              <w:top w:val="single" w:color="auto" w:sz="4" w:space="0"/>
              <w:left w:val="single" w:color="auto" w:sz="4" w:space="0"/>
              <w:right w:val="single" w:color="auto" w:sz="4" w:space="0"/>
            </w:tcBorders>
            <w:tcW w:w="1129" w:type="dxa"/>
            <w:vAlign w:val="center"/>
            <w:vMerge w:val="continue"/>
            <w:textDirection w:val="lrTb"/>
            <w:noWrap w:val="false"/>
          </w:tcPr>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pStyle w:val="901"/>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业绩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2分</w:t>
            </w:r>
            <w:r>
              <w:rPr>
                <w:rFonts w:hint="eastAsia" w:ascii="仿宋" w:hAnsi="仿宋" w:eastAsia="仿宋" w:cs="仿宋"/>
                <w:color w:val="auto"/>
                <w:sz w:val="24"/>
                <w:szCs w:val="24"/>
                <w:lang w:eastAsia="zh-CN"/>
              </w:rPr>
              <w:t xml:space="preserve">）</w:t>
            </w:r>
            <w:r/>
          </w:p>
        </w:tc>
        <w:tc>
          <w:tcPr>
            <w:tcBorders>
              <w:top w:val="single" w:color="auto" w:sz="4" w:space="0"/>
              <w:left w:val="none" w:color="000000" w:sz="4" w:space="0"/>
              <w:bottom w:val="single" w:color="auto" w:sz="4" w:space="0"/>
              <w:right w:val="single" w:color="auto" w:sz="4" w:space="0"/>
            </w:tcBorders>
            <w:tcW w:w="6134" w:type="dxa"/>
            <w:vAlign w:val="center"/>
            <w:textDirection w:val="lrTb"/>
            <w:noWrap w:val="false"/>
          </w:tcPr>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年1月1日以来至投标截止日期止，投标人类似项目的业绩，每项得1分，满分2分。（投标文件中提供合同复印件并加盖投标人单位公章）</w:t>
            </w:r>
            <w:r/>
          </w:p>
        </w:tc>
        <w:tc>
          <w:tcPr>
            <w:tcBorders>
              <w:top w:val="single" w:color="auto" w:sz="4" w:space="0"/>
              <w:left w:val="none" w:color="000000" w:sz="4" w:space="0"/>
              <w:bottom w:val="single" w:color="auto" w:sz="4" w:space="0"/>
              <w:right w:val="single" w:color="auto" w:sz="4" w:space="0"/>
            </w:tcBorders>
            <w:tcW w:w="977" w:type="dxa"/>
            <w:vAlign w:val="center"/>
            <w:vMerge w:val="continue"/>
            <w:textDirection w:val="lrTb"/>
            <w:noWrap w:val="false"/>
          </w:tcPr>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262"/>
        </w:trPr>
        <w:tc>
          <w:tcPr>
            <w:tcBorders>
              <w:top w:val="single" w:color="auto" w:sz="4" w:space="0"/>
              <w:left w:val="single" w:color="auto" w:sz="4" w:space="0"/>
              <w:right w:val="single" w:color="auto" w:sz="4" w:space="0"/>
            </w:tcBorders>
            <w:tcW w:w="1129" w:type="dxa"/>
            <w:vAlign w:val="center"/>
            <w:vMerge w:val="restart"/>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技术部分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65</w:t>
            </w:r>
            <w:r>
              <w:rPr>
                <w:rFonts w:hint="eastAsia" w:ascii="仿宋" w:hAnsi="仿宋" w:eastAsia="仿宋" w:cs="仿宋"/>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项目实施方案</w:t>
            </w:r>
            <w:r/>
          </w:p>
          <w:p>
            <w:pPr>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10分</w:t>
            </w:r>
            <w:r>
              <w:rPr>
                <w:rFonts w:hint="eastAsia" w:ascii="仿宋" w:hAnsi="仿宋" w:eastAsia="仿宋" w:cs="仿宋"/>
                <w:color w:val="auto"/>
                <w:sz w:val="24"/>
                <w:szCs w:val="24"/>
                <w:lang w:eastAsia="zh-CN"/>
              </w:rPr>
              <w:t xml:space="preserve">）</w:t>
            </w:r>
            <w:r/>
          </w:p>
        </w:tc>
        <w:tc>
          <w:tcPr>
            <w:tcBorders>
              <w:top w:val="single" w:color="auto" w:sz="4" w:space="0"/>
              <w:left w:val="none" w:color="000000" w:sz="4" w:space="0"/>
              <w:bottom w:val="single" w:color="auto" w:sz="4" w:space="0"/>
              <w:right w:val="single" w:color="auto" w:sz="4" w:space="0"/>
            </w:tcBorders>
            <w:tcW w:w="6134" w:type="dxa"/>
            <w:vAlign w:val="center"/>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根据对本项目的理解提供项目实施方案，内容完整,且切实可行的得10分，内容较完整、可行性一般的得7分，内容一般且可行性欠缺的得4分，内容表述不够清楚且不具有可行性的得1分，不提供不得分。</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r>
      <w:tr>
        <w:trPr>
          <w:jc w:val="center"/>
          <w:trHeight w:val="718"/>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pStyle w:val="901"/>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配送和安装方案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25分</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6134" w:type="dxa"/>
            <w:vAlign w:val="center"/>
            <w:textDirection w:val="lrTb"/>
            <w:noWrap w:val="false"/>
          </w:tcPr>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根据《配送和安装方案》的完整性、合理性、可操作性进行评分。</w:t>
            </w:r>
            <w:r/>
          </w:p>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1.内容完整性（9分）：内容完整得9分；内容基本完整得</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分；内容一般得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分；内容不完整得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p>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2.合理性(9分)：合理、切实可行的得9分；较合理、基本可行的得</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分；不太合理的得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分；欠缺的得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p>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3.可操作性(7分)：操作性强的得7分；操作性较强的得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分；操作性弱的得1分。不提供不得分。</w:t>
            </w:r>
            <w:r/>
          </w:p>
        </w:tc>
        <w:tc>
          <w:tcPr>
            <w:tcBorders>
              <w:top w:val="none" w:color="000000" w:sz="4" w:space="0"/>
              <w:left w:val="single" w:color="auto" w:sz="4" w:space="0"/>
              <w:bottom w:val="single" w:color="auto" w:sz="4" w:space="0"/>
              <w:right w:val="single" w:color="auto" w:sz="4" w:space="0"/>
            </w:tcBorders>
            <w:tcW w:w="97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25</w:t>
            </w:r>
            <w:r/>
          </w:p>
        </w:tc>
      </w:tr>
      <w:tr>
        <w:trPr>
          <w:jc w:val="center"/>
          <w:trHeight w:val="582"/>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质量保障措施</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10分</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6134" w:type="dxa"/>
            <w:vAlign w:val="center"/>
            <w:textDirection w:val="lrTb"/>
            <w:noWrap w:val="false"/>
          </w:tcPr>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根据生产技术能力、质量控制措施和组建系统过程中不可避免质量问题的把控和维护措施进行评分；</w:t>
            </w:r>
            <w:r/>
          </w:p>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1.质量保证措施阐述科学、合理、切实可行，对货物的质量控制和不可避免质量问题有较强的保障得10分；</w:t>
            </w:r>
            <w:r/>
          </w:p>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2.质量保证措施阐述科学、合理、切实可行，对货物的质量控制有较好的保障得7分；</w:t>
            </w:r>
            <w:r/>
          </w:p>
          <w:p>
            <w:pPr>
              <w:pStyle w:val="901"/>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3.质量保证措施阐述基本可行，能对本项目货物有一定的质量保障得4分；</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4.质量保证措施阐述简单，未能体现对本项目货物的质量保障得1分；没有不得分。</w:t>
            </w:r>
            <w:r/>
          </w:p>
        </w:tc>
        <w:tc>
          <w:tcPr>
            <w:tcBorders>
              <w:top w:val="none" w:color="000000" w:sz="4" w:space="0"/>
              <w:left w:val="none" w:color="000000" w:sz="4" w:space="0"/>
              <w:bottom w:val="single" w:color="auto" w:sz="4" w:space="0"/>
              <w:right w:val="single" w:color="auto" w:sz="4" w:space="0"/>
            </w:tcBorders>
            <w:tcW w:w="97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r>
      <w:tr>
        <w:trPr>
          <w:jc w:val="center"/>
          <w:trHeight w:val="582"/>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售后服务方案</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20分</w:t>
            </w:r>
            <w:r>
              <w:rPr>
                <w:rFonts w:hint="eastAsia" w:ascii="仿宋" w:hAnsi="仿宋" w:eastAsia="仿宋" w:cs="仿宋"/>
                <w:color w:val="auto"/>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6134" w:type="dxa"/>
            <w:vAlign w:val="center"/>
            <w:textDirection w:val="lrTb"/>
            <w:noWrap w:val="false"/>
          </w:tcPr>
          <w:p>
            <w:pP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对售后服务方案内容的全面性、合理性、针对性、可行性进行综合评分：</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全面性(5分)：全面具体详实得5分；较全面得3分；不全面得1分。</w:t>
            </w:r>
            <w:r/>
          </w:p>
          <w:p>
            <w:pPr>
              <w:rPr>
                <w:rFonts w:hint="eastAsia" w:ascii="仿宋" w:hAnsi="仿宋" w:eastAsia="仿宋" w:cs="仿宋"/>
                <w:color w:val="auto"/>
                <w:sz w:val="24"/>
                <w:szCs w:val="24"/>
              </w:rPr>
            </w:pPr>
            <w:r>
              <w:rPr>
                <w:rFonts w:hint="eastAsia" w:ascii="仿宋" w:hAnsi="仿宋" w:eastAsia="仿宋" w:cs="仿宋"/>
                <w:color w:val="auto"/>
                <w:sz w:val="24"/>
                <w:szCs w:val="24"/>
                <w:lang w:eastAsia="en-US"/>
              </w:rPr>
              <w:t xml:space="preserve">合理性(</w:t>
            </w: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eastAsia="en-US"/>
              </w:rPr>
              <w:t xml:space="preserve">分)：合理、切实可行的得</w:t>
            </w: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eastAsia="en-US"/>
              </w:rPr>
              <w:t xml:space="preserve">分；较合理、基本可行的得</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en-US"/>
              </w:rPr>
              <w:t xml:space="preserve">分；不太合理的得</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en-US"/>
              </w:rPr>
              <w:t xml:space="preserve">分。</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针对性(5分)：针对性强得5分；针对性较强得3分；针对性不强得1分。</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可行性(5分)：符合实际切实可行得5分；较切实可行得3分；可行性欠缺得1分；未提供的得0分。</w:t>
            </w:r>
            <w:r/>
          </w:p>
        </w:tc>
        <w:tc>
          <w:tcPr>
            <w:tcBorders>
              <w:top w:val="none" w:color="000000" w:sz="4" w:space="0"/>
              <w:left w:val="none" w:color="000000" w:sz="4" w:space="0"/>
              <w:bottom w:val="single" w:color="auto" w:sz="4" w:space="0"/>
              <w:right w:val="single" w:color="auto" w:sz="4" w:space="0"/>
            </w:tcBorders>
            <w:tcW w:w="97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20</w:t>
            </w:r>
            <w:r/>
          </w:p>
        </w:tc>
      </w:tr>
      <w:tr>
        <w:trPr>
          <w:jc w:val="center"/>
          <w:trHeight w:val="233"/>
        </w:trPr>
        <w:tc>
          <w:tcPr>
            <w:gridSpan w:val="3"/>
            <w:tcBorders>
              <w:top w:val="single" w:color="auto" w:sz="4" w:space="0"/>
              <w:left w:val="single" w:color="auto" w:sz="4" w:space="0"/>
              <w:bottom w:val="single" w:color="auto" w:sz="4" w:space="0"/>
              <w:right w:val="single" w:color="auto" w:sz="4" w:space="0"/>
            </w:tcBorders>
            <w:tcW w:w="8342"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总分</w:t>
            </w:r>
            <w:r/>
          </w:p>
        </w:tc>
        <w:tc>
          <w:tcPr>
            <w:tcBorders>
              <w:top w:val="none" w:color="000000" w:sz="4" w:space="0"/>
              <w:left w:val="none" w:color="000000" w:sz="4" w:space="0"/>
              <w:bottom w:val="single" w:color="auto" w:sz="4" w:space="0"/>
              <w:right w:val="single" w:color="auto" w:sz="4" w:space="0"/>
            </w:tcBorders>
            <w:tcW w:w="97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100</w:t>
            </w:r>
            <w:r/>
          </w:p>
        </w:tc>
      </w:tr>
    </w:tbl>
    <w:p>
      <w:pPr>
        <w:pStyle w:val="92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p>
      <w:pPr>
        <w:pStyle w:val="926"/>
        <w:spacing w:line="360" w:lineRule="auto"/>
        <w:rPr>
          <w:rFonts w:hint="eastAsia" w:ascii="仿宋" w:hAnsi="仿宋" w:eastAsia="仿宋" w:cs="仿宋"/>
          <w:color w:val="auto"/>
          <w:sz w:val="24"/>
        </w:rPr>
      </w:pPr>
      <w:r>
        <w:rPr>
          <w:rFonts w:hint="eastAsia" w:ascii="仿宋" w:hAnsi="仿宋" w:eastAsia="仿宋" w:cs="仿宋"/>
          <w:b/>
          <w:bCs/>
          <w:color w:val="auto"/>
          <w:sz w:val="28"/>
          <w:szCs w:val="28"/>
        </w:rPr>
        <w:t xml:space="preserve">本项目采用综合评分法</w:t>
      </w:r>
      <w:r>
        <w:rPr>
          <w:rFonts w:hint="eastAsia" w:ascii="仿宋" w:hAnsi="仿宋" w:eastAsia="仿宋" w:cs="仿宋"/>
          <w:color w:val="auto"/>
          <w:sz w:val="24"/>
        </w:rPr>
        <w:t xml:space="preserve">。</w:t>
      </w:r>
      <w:r/>
    </w:p>
    <w:p>
      <w:pPr>
        <w:pStyle w:val="905"/>
        <w:ind w:left="0" w:firstLine="0"/>
        <w:rPr>
          <w:rFonts w:hint="eastAsia"/>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auto"/>
          <w:highlight w:val="none"/>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rPr>
        <w:t xml:space="preserve">第五章  拟签订的合同文本</w:t>
      </w:r>
      <w:r/>
    </w:p>
    <w:p>
      <w:pPr>
        <w:pStyle w:val="887"/>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p>
      <w:pPr>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p>
    <w:p>
      <w:pPr>
        <w:pStyle w:val="701"/>
        <w:jc w:val="center"/>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70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政</w:t>
      </w:r>
      <w:r/>
    </w:p>
    <w:p>
      <w:pPr>
        <w:pStyle w:val="70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府</w:t>
      </w:r>
      <w:r/>
    </w:p>
    <w:p>
      <w:pPr>
        <w:pStyle w:val="70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采</w:t>
      </w:r>
      <w:r/>
    </w:p>
    <w:p>
      <w:pPr>
        <w:pStyle w:val="70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购</w:t>
      </w:r>
      <w:r/>
    </w:p>
    <w:p>
      <w:pPr>
        <w:pStyle w:val="70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合</w:t>
      </w:r>
      <w:r/>
    </w:p>
    <w:p>
      <w:pPr>
        <w:pStyle w:val="701"/>
        <w:jc w:val="center"/>
        <w:rPr>
          <w:rFonts w:hint="eastAsia" w:ascii="仿宋" w:hAnsi="仿宋" w:eastAsia="仿宋" w:cs="仿宋"/>
          <w:color w:val="auto"/>
          <w:sz w:val="24"/>
          <w:highlight w:val="none"/>
        </w:rPr>
      </w:pPr>
      <w:r>
        <w:rPr>
          <w:rFonts w:hint="eastAsia" w:ascii="仿宋" w:hAnsi="仿宋" w:eastAsia="仿宋" w:cs="仿宋"/>
          <w:color w:val="auto"/>
          <w:sz w:val="72"/>
          <w:szCs w:val="72"/>
          <w:highlight w:val="none"/>
        </w:rPr>
        <w:t xml:space="preserve">同</w:t>
      </w:r>
      <w:r/>
    </w:p>
    <w:p>
      <w:pPr>
        <w:pStyle w:val="69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698"/>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698"/>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32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采  购  人：</w:t>
      </w:r>
      <w:r/>
    </w:p>
    <w:p>
      <w:pPr>
        <w:ind w:firstLine="13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成交供应商：</w:t>
      </w:r>
      <w:r/>
    </w:p>
    <w:p>
      <w:pPr>
        <w:ind w:firstLine="13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合同签订日期：     年     月     日</w:t>
      </w:r>
      <w:r/>
    </w:p>
    <w:p>
      <w:pPr>
        <w:pStyle w:val="877"/>
        <w:ind w:firstLine="48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友情提醒：采购人与中标、成交供应商应当在中标、成交通知书发出之日起三十日内，按照采购文件确定的事项签订政府采购合同。</w:t>
      </w:r>
      <w:r/>
    </w:p>
    <w:p>
      <w:pPr>
        <w:pStyle w:val="877"/>
        <w:ind w:firstLine="480"/>
        <w:spacing w:line="360" w:lineRule="auto"/>
        <w:rPr>
          <w:rFonts w:hint="eastAsia" w:ascii="仿宋" w:hAnsi="仿宋" w:eastAsia="仿宋" w:cs="仿宋"/>
          <w:color w:val="auto"/>
          <w:sz w:val="30"/>
          <w:szCs w:val="30"/>
        </w:rPr>
      </w:pPr>
      <w:r>
        <w:rPr>
          <w:rFonts w:hint="eastAsia" w:ascii="仿宋" w:hAnsi="仿宋" w:eastAsia="仿宋" w:cs="仿宋"/>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82"/>
        <w:rPr>
          <w:rFonts w:ascii="宋体" w:hAnsi="宋体" w:eastAsia="宋体"/>
          <w:color w:val="auto"/>
          <w:sz w:val="24"/>
          <w:szCs w:val="24"/>
          <w:lang w:eastAsia="zh-CN"/>
        </w:rPr>
      </w:pPr>
      <w:r>
        <w:rPr>
          <w:rFonts w:ascii="宋体" w:hAnsi="宋体" w:eastAsia="宋体"/>
          <w:color w:val="auto"/>
          <w:sz w:val="24"/>
          <w:szCs w:val="24"/>
          <w:lang w:eastAsia="zh-CN"/>
        </w:rPr>
      </w:r>
      <w:r/>
    </w:p>
    <w:p>
      <w:pPr>
        <w:pStyle w:val="889"/>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合同协议书</w:t>
      </w:r>
      <w:r/>
    </w:p>
    <w:p>
      <w:pPr>
        <w:pStyle w:val="889"/>
        <w:jc w:val="right"/>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合同编号:____________ </w:t>
      </w:r>
      <w:r/>
    </w:p>
    <w:p>
      <w:pPr>
        <w:pStyle w:val="889"/>
        <w:jc w:val="right"/>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签字日期:____________ </w:t>
      </w:r>
      <w:r/>
    </w:p>
    <w:p>
      <w:pPr>
        <w:pStyle w:val="889"/>
        <w:jc w:val="right"/>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签字地点:____________ </w:t>
      </w:r>
      <w:r/>
    </w:p>
    <w:p>
      <w:pPr>
        <w:pStyle w:val="889"/>
        <w:ind w:firstLine="41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1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（买方名称）（以下简称“买方”）已接受</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（卖方名称）（以下简称“卖方”）对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（项目编号）]的投标。买方和卖方共同达成如下协议。</w:t>
      </w:r>
      <w:r/>
    </w:p>
    <w:p>
      <w:pPr>
        <w:pStyle w:val="889"/>
        <w:numPr>
          <w:ilvl w:val="0"/>
          <w:numId w:val="4"/>
        </w:numP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本合同协议书中的词语和术语的含义与合同条款中定义的相同。</w:t>
      </w:r>
      <w:r/>
    </w:p>
    <w:p>
      <w:pPr>
        <w:pStyle w:val="889"/>
        <w:ind w:firstLine="36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 以下文件应构成买方和卖方之间达成的合同，若各文件之间存在含糊不清或互相冲突之处，优先顺序应按下列文件顺序解释。</w:t>
      </w:r>
      <w:r/>
    </w:p>
    <w:p>
      <w:pPr>
        <w:pStyle w:val="889"/>
        <w:ind w:left="40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 合同协议书</w:t>
      </w:r>
      <w:r/>
    </w:p>
    <w:p>
      <w:pPr>
        <w:pStyle w:val="889"/>
        <w:ind w:left="40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 中标通知书</w:t>
      </w:r>
      <w:r/>
    </w:p>
    <w:p>
      <w:pPr>
        <w:pStyle w:val="889"/>
        <w:ind w:left="40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 合同专用条款</w:t>
      </w:r>
      <w:r/>
    </w:p>
    <w:p>
      <w:pPr>
        <w:pStyle w:val="889"/>
        <w:ind w:left="40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 合同通用条款</w:t>
      </w:r>
      <w:r/>
    </w:p>
    <w:p>
      <w:pPr>
        <w:pStyle w:val="889"/>
        <w:ind w:left="40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 除合同附件1外的合同附件</w:t>
      </w:r>
      <w:r/>
    </w:p>
    <w:p>
      <w:pPr>
        <w:pStyle w:val="889"/>
        <w:ind w:left="40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 其他文件</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 考虑到买方将按照本合同向卖方支付合同价款，卖方在此保证全部按照合同的规定向买方提供合同标的、技术资料、售后服务及技术培训。</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 考虑到卖方将按合同规定提供合同标的、技术资料、售后服务及技术培训，买方在此保证按照合同规定的时间和方式向卖方支付合同价款。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本合同在下列条件全部满足后生效，生效日期以下列条件全部满足的最晚日期为准：双方加盖公章或合同专用章。 </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 合同一式肆份，具有同等法律效力，买方壹份，卖方壹份，采购代理机构壹份存档，政府采购管理部门壹份备案。</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本合同其他未尽事宜及与采购文件有矛盾之处，以采购文件[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（项目编号）]为准。</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买方和卖方由其正式授权代表于上述所写日期和地点签订本合同。</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买方（公章）：____________________________________  </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法定代表人或授权代表(签字或盖章)： ____________________ </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开户银行：____________________________________ </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银行帐号： ______________________________________</w:t>
      </w:r>
      <w:r/>
    </w:p>
    <w:p>
      <w:pPr>
        <w:pStyle w:val="889"/>
        <w:ind w:firstLine="336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卖方（公章）： ____________________________________ </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法定代表人或授权代表(签字或盖章)： ____________________ </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开户银行：_______________________________________ </w:t>
      </w:r>
      <w:r/>
    </w:p>
    <w:p>
      <w:pPr>
        <w:pStyle w:val="889"/>
        <w:jc w:val="left"/>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银行帐号： ______________________________________</w:t>
      </w:r>
      <w:r/>
    </w:p>
    <w:p>
      <w:pPr>
        <w:pStyle w:val="895"/>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4"/>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6"/>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6"/>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r/>
    </w:p>
    <w:p>
      <w:pPr>
        <w:pStyle w:val="896"/>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r/>
    </w:p>
    <w:p>
      <w:pPr>
        <w:pStyle w:val="896"/>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3900"/>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合同通用条款</w:t>
      </w:r>
      <w:r/>
    </w:p>
    <w:p>
      <w:pPr>
        <w:pStyle w:val="889"/>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目录</w:t>
      </w:r>
      <w:r/>
    </w:p>
    <w:p>
      <w:pPr>
        <w:pStyle w:val="889"/>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第一条    定义</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第二条    合同范围</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第三条    价格</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第四条    支付</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第五条    交货</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第六条    包装和标记</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第七条    技术资料</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第八条    安装</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第九条    验收</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第十条    售后服务和技术培训</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第十一条  索赔</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第十二条  不可抗力</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第十三条  合同的终止</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第十四条  争议的解决</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第十五条  适用法律</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第十六条  权利保证</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第十七条  保密</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第十八条  合同生效及其他</w:t>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t xml:space="preserve">合同通用条款</w:t>
      </w:r>
      <w:r/>
    </w:p>
    <w:p>
      <w:pPr>
        <w:pStyle w:val="889"/>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第一条  定义</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除本合同上下文中另有规定外，下列各词语定义如下： </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1.1“买方”见《合同专用条款》。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1.2“卖方”见《合同专用条款》。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1.3“工作现场”见《合同专用条款》。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1.4“合同标的”见合同附件4。</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1.5“技术资料”是指与合同标的的安装、试运行、验收、操作以及维修有关的技术指标、规格、图纸和文件。</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1.6“技术培训”是指在合同标的的安装、试运行、验收、操作、维修以及其他方面卖方给予买方的培训。</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1.7“安装”是指有关合同标的、备件和材料的安装工作。</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1.8“试运行”是指为验明合同标的的技术性能，在安装完毕后对合同标的进行的测试。</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1.10“合同货币”见《合同专用条款》。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1.11“合同价格”见合同附件4。</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1.12“合同生效日”见《合同协议书》（合同附件1）第5 条。</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1.13“日”是指日历天数。</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1.14“月”是指日历月数。</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第二条 合同范围</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2.1买方同意从卖方购买、卖方同意向买方出售和提供的合同标的以及相关售后服务、技术培训和技术资料。</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第三条 价格</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3.1 合同总价见《合同专用条款》。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3.2 合同总价是固定价格。</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第四条 支付</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4.1买方应按照《合同专用条款》的规定进行支付。如果卖方未能按照《合同专用条款》的要求提交支付文件，由此产生的所有责任和发生的所有费用，均由卖方承担。</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4.2卖方有义务根据合同的规定向买方支付违约金和/或赔偿金时，买方有权从任何一笔应付款中予以扣除。</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第五条 交货</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5.1交货期限、批次和交货条件见《合同专用条款》。</w:t>
      </w:r>
      <w:r/>
    </w:p>
    <w:p>
      <w:pPr>
        <w:pStyle w:val="889"/>
        <w:ind w:firstLine="480"/>
        <w:spacing w:line="240" w:lineRule="auto"/>
        <w:rPr>
          <w:rFonts w:hint="eastAsia" w:ascii="仿宋" w:hAnsi="仿宋" w:eastAsia="仿宋" w:cs="仿宋"/>
          <w:strike/>
          <w:color w:val="auto"/>
          <w:sz w:val="24"/>
          <w:szCs w:val="24"/>
        </w:rPr>
      </w:pPr>
      <w:r>
        <w:rPr>
          <w:rFonts w:hint="eastAsia" w:ascii="仿宋" w:hAnsi="仿宋" w:eastAsia="仿宋" w:cs="仿宋"/>
          <w:color w:val="auto"/>
          <w:sz w:val="24"/>
          <w:szCs w:val="24"/>
        </w:rPr>
        <w:t xml:space="preserve">5.2交货地点见《合同专用条款》。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5.3在《合同专用条款》规定的期限内，卖方应将合同号、合同标的的名称、数量、金额、包装件数以及交货的时间以书面方式通知买方。</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5.4卖方应按下列规定交付合同标的：</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5.4.1卖方负责将合同标的送至《合同专用条款》规定的交货地点。</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5.4.2买方出具的收据日期是合同标的的实际交货日期。</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5.5如果卖方未能按照合同规定的交货期限交货，卖方应按《合同专用条款》的规定支付违约金或提供其他救济。</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第六条 包装与标记</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6.1除非合同中另有规定，合同标的应保持产品制造企业原包装完好。</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6.2在合同标的的每件包装中都应附有下列单据： </w:t>
      </w:r>
      <w:r/>
    </w:p>
    <w:p>
      <w:pPr>
        <w:pStyle w:val="889"/>
        <w:ind w:firstLine="480"/>
        <w:spacing w:line="240" w:lineRule="auto"/>
        <w:rPr>
          <w:rFonts w:hint="eastAsia" w:ascii="仿宋" w:hAnsi="仿宋" w:eastAsia="仿宋" w:cs="仿宋"/>
          <w:strike/>
          <w:color w:val="auto"/>
          <w:sz w:val="24"/>
          <w:szCs w:val="24"/>
        </w:rPr>
      </w:pPr>
      <w:r>
        <w:rPr>
          <w:rFonts w:hint="eastAsia" w:ascii="仿宋" w:hAnsi="仿宋" w:eastAsia="仿宋" w:cs="仿宋"/>
          <w:color w:val="auto"/>
          <w:sz w:val="24"/>
          <w:szCs w:val="24"/>
        </w:rPr>
        <w:t xml:space="preserve">A. 装箱明细单； </w:t>
      </w:r>
      <w:r/>
    </w:p>
    <w:p>
      <w:pPr>
        <w:pStyle w:val="889"/>
        <w:ind w:firstLine="480"/>
        <w:spacing w:line="240" w:lineRule="auto"/>
        <w:rPr>
          <w:rFonts w:hint="eastAsia" w:ascii="仿宋" w:hAnsi="仿宋" w:eastAsia="仿宋" w:cs="仿宋"/>
          <w:strike/>
          <w:color w:val="auto"/>
          <w:sz w:val="24"/>
          <w:szCs w:val="24"/>
        </w:rPr>
      </w:pPr>
      <w:r>
        <w:rPr>
          <w:rFonts w:hint="eastAsia" w:ascii="仿宋" w:hAnsi="仿宋" w:eastAsia="仿宋" w:cs="仿宋"/>
          <w:color w:val="auto"/>
          <w:sz w:val="24"/>
          <w:szCs w:val="24"/>
        </w:rPr>
        <w:t xml:space="preserve">B. 质量合格证； </w:t>
      </w:r>
      <w:r/>
    </w:p>
    <w:p>
      <w:pPr>
        <w:pStyle w:val="889"/>
        <w:ind w:firstLine="480"/>
        <w:spacing w:line="240" w:lineRule="auto"/>
        <w:rPr>
          <w:rFonts w:hint="eastAsia" w:ascii="仿宋" w:hAnsi="仿宋" w:eastAsia="仿宋" w:cs="仿宋"/>
          <w:strike/>
          <w:color w:val="auto"/>
          <w:sz w:val="24"/>
          <w:szCs w:val="24"/>
        </w:rPr>
      </w:pPr>
      <w:r>
        <w:rPr>
          <w:rFonts w:hint="eastAsia" w:ascii="仿宋" w:hAnsi="仿宋" w:eastAsia="仿宋" w:cs="仿宋"/>
          <w:color w:val="auto"/>
          <w:sz w:val="24"/>
          <w:szCs w:val="24"/>
        </w:rPr>
        <w:t xml:space="preserve">C. 技术资料。</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第七条 技术资料</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7.1 技术资料交付的期限和方式见《合同专用条款》。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第八条 安装</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8.1 合同标的的安装期限见《合同专用条款》。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第九条 验收</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9.1合同标的的试运行、验收见《合同专用条款》。</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9.2如果合同附件2 所规定的所有技术性能在验收中都已经达到，双方应在验收合格后5 日内签署验收书。</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第十条 售后服务和技术培训</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10.1售后服务和技术培训见合同附件3。</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第十一条 索赔</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11.1如果合同标的在安装、试运行和验收中卖方未能履行其在本合同项下承担的义务，买方有权向卖方提出索赔并寻求《合同专用条款》中规定的救济方式，救济方式包括：</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A. 卖方替换不符合合同规定的合同标的。</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B. 按质量低劣的程度、买方受损害的程度及损失的数额对合同标的进行降价。</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C. 拒收合同标的。</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D. 赔偿由卖方违约引起的其他损失。</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第十二条 不可抗力</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第十三条 合同的终止</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A. 卖方在合同规定的交货期限后未能按《合同专用条款》中规定的最终期限交付合同标的和/或技术资料； </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B. 合同标的未能达到合同附件2 规定的技术性能； </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C. 卖方未能履行合同项下任何其它义务，并且在收到买方违约通知后未能按《合同专用条款》中规定的期限对其违约行为作出补救。</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13.2如果一方破产或发生资不抵债的情况,合同另一方有权在任何时候发出书面通知终止合同。此种情况下合同的终止不妨碍或影响行使任何可能的其它救济手段。</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13.3如果买方认定卖方在投标或执行合同中有腐败或欺诈行为,买方有权在任何时候发出书面通知终止合同。</w:t>
      </w:r>
      <w:r/>
    </w:p>
    <w:p>
      <w:pPr>
        <w:pStyle w:val="889"/>
        <w:ind w:left="1" w:firstLine="537"/>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A.“腐败行为”系指在招标、采购和合同执行等过程中，为谋求利益、影响相关人员而提供、给予、接受或索取任何有价物的行为。</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B.“欺诈行为”系指为了影响招标、采购和合同执行等过程而隐瞒事实，从而给买方造成损害的行为，其中包括投标人之间的串通行为。</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13.4 在买方全部或部分终止合同的情况下，卖方应按《合同专用条款》的规定对买方给予补偿。</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第十四条 争议的解决</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14.1 因执行本合同所发生的或者与本合同有关的一切争议由合同双方通过友好协商解决，如果不能协商一致，按《合同专用条款》规定的方式解决。</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第十五条 适用法律</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15.1 本合同的执行和争议的解决适用中华人民共和国的法律并按中华人民共和国的法律进行解释。</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第十六条  权利保证</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16.1卖方应保证买方在使用合同标的时不受第三方提出侵犯其专利权、版权、商标权或其他权利的起诉。一旦出现侵权，卖方承担全部责任。</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第十七条  保密 </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17.2上述秘密，卖方只能用于本合同，而且只能由卖方相应的人员使用；没有必要接触的卖方人员，不得接触。</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17.3卖方应当采取适当有效的方式保护所获取的上述秘密。</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第十八条 合同生效及其他</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18.1 本合同在合同协议书（合同附件1）规定的条件全部满足后生效。</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18.3 合同双方各自承担与本合同有关的应负税费。</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18.4合同双方除非《合同专用条款》另有规定，所有合同文件及相关的修订和合同双方之间的书面联络，应使用中文书就并按中文解释。</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18.5对本合同的任何补充、增添或修改以书面方式进行。</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18.6没有另一方的事先书面同意，合同任何一方不得将合同项下的任何权利和义务转让给第三方。</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18.8合同条款中的标题和边注仅供参考使用，不应视为合同的一部分，也不影响本文的解释。</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18.9合同构成买方和卖方之间就合同主要内容方面的完整协议，并且取代合同签订前所有关于这方面的通讯、协商、协议(不论是书面的，还是口头的)。</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18.11合同双方之间的一切联络往来应以书面形式按《合同专用条款》中规定的通讯地址发往合同另一方。有关重要事项的传真应及时用挂号信或快件确认。</w:t>
      </w:r>
      <w:r/>
    </w:p>
    <w:p>
      <w:pPr>
        <w:pStyle w:val="889"/>
        <w:ind w:firstLine="3000"/>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3000"/>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3000"/>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3000"/>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5"/>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4"/>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6"/>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3000"/>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3000"/>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0"/>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0"/>
        <w:rPr>
          <w:rFonts w:hint="eastAsia"/>
          <w:color w:val="auto"/>
        </w:rPr>
      </w:pPr>
      <w:r>
        <w:rPr>
          <w:rFonts w:hint="eastAsia"/>
          <w:color w:val="auto"/>
        </w:rPr>
      </w:r>
      <w:r/>
    </w:p>
    <w:p>
      <w:pPr>
        <w:pStyle w:val="889"/>
        <w:ind w:firstLine="3000"/>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3904"/>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合同专用条款</w:t>
      </w:r>
      <w:r/>
    </w:p>
    <w:p>
      <w:pPr>
        <w:pStyle w:val="889"/>
        <w:jc w:val="cente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ind w:firstLine="48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第一条 定义</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 “买方”为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1.2 “卖方”为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 “工作现场”为</w:t>
      </w:r>
      <w:r>
        <w:rPr>
          <w:rFonts w:hint="eastAsia" w:ascii="仿宋" w:hAnsi="仿宋" w:eastAsia="仿宋" w:cs="仿宋"/>
          <w:color w:val="auto"/>
          <w:sz w:val="24"/>
          <w:szCs w:val="24"/>
          <w:u w:val="single"/>
        </w:rPr>
        <w:t xml:space="preserve">买方指定地点</w:t>
      </w:r>
      <w:r>
        <w:rPr>
          <w:rFonts w:hint="eastAsia" w:ascii="仿宋" w:hAnsi="仿宋" w:eastAsia="仿宋" w:cs="仿宋"/>
          <w:color w:val="auto"/>
          <w:sz w:val="24"/>
          <w:szCs w:val="24"/>
        </w:rPr>
        <w:t xml:space="preserve">。</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1.10 “合同货币”即</w:t>
      </w:r>
      <w:r>
        <w:rPr>
          <w:rFonts w:hint="eastAsia" w:ascii="仿宋" w:hAnsi="仿宋" w:eastAsia="仿宋" w:cs="仿宋"/>
          <w:color w:val="auto"/>
          <w:sz w:val="24"/>
          <w:szCs w:val="24"/>
          <w:u w:val="single"/>
        </w:rPr>
        <w:t xml:space="preserve">人民币</w:t>
      </w:r>
      <w:r>
        <w:rPr>
          <w:rFonts w:hint="eastAsia" w:ascii="仿宋" w:hAnsi="仿宋" w:eastAsia="仿宋" w:cs="仿宋"/>
          <w:color w:val="auto"/>
          <w:sz w:val="24"/>
          <w:szCs w:val="24"/>
        </w:rPr>
        <w:t xml:space="preserve">。</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第三条 价格</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3.1合同总价为￥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889"/>
        <w:ind w:firstLine="48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(1)价格包含成套设备本身及送达买方指定地点、卸货、机组安装、系统安装、税金、验收、系统调试、售后服务等所有费用。</w:t>
      </w:r>
      <w:r/>
    </w:p>
    <w:p>
      <w:pPr>
        <w:pStyle w:val="889"/>
        <w:ind w:firstLine="480"/>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(2)如卖方在投标时设备清单内出现没有报价的漏项配件，卖方按照招标文件要求提供相应货物，不再另外收取任何费用。</w:t>
      </w:r>
      <w:r/>
    </w:p>
    <w:p>
      <w:pPr>
        <w:pStyle w:val="889"/>
        <w:ind w:firstLine="48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none"/>
          <w:lang w:val="en-US" w:eastAsia="zh-CN"/>
        </w:rPr>
        <w:t xml:space="preserve">3.2本项目</w:t>
      </w:r>
      <w:r>
        <w:rPr>
          <w:rFonts w:hint="eastAsia" w:ascii="仿宋" w:hAnsi="仿宋" w:eastAsia="仿宋" w:cs="仿宋"/>
          <w:color w:val="auto"/>
          <w:sz w:val="24"/>
          <w:szCs w:val="24"/>
          <w:highlight w:val="none"/>
          <w:lang w:val="en-US" w:eastAsia="zh-CN"/>
        </w:rPr>
        <w:t xml:space="preserve">采购的</w:t>
      </w:r>
      <w:r>
        <w:rPr>
          <w:rFonts w:hint="eastAsia" w:ascii="仿宋" w:hAnsi="仿宋" w:eastAsia="仿宋" w:cs="仿宋"/>
          <w:color w:val="auto"/>
          <w:sz w:val="24"/>
          <w:szCs w:val="24"/>
          <w:highlight w:val="none"/>
          <w:u w:val="none"/>
          <w:lang w:val="en-US" w:eastAsia="zh-CN"/>
        </w:rPr>
        <w:t xml:space="preserve">所有</w:t>
      </w:r>
      <w:r>
        <w:rPr>
          <w:rFonts w:hint="eastAsia" w:ascii="仿宋" w:hAnsi="仿宋" w:eastAsia="仿宋" w:cs="仿宋"/>
          <w:color w:val="auto"/>
          <w:sz w:val="24"/>
          <w:szCs w:val="24"/>
          <w:highlight w:val="none"/>
          <w:lang w:val="en-US" w:eastAsia="zh-CN"/>
        </w:rPr>
        <w:t xml:space="preserve">设备物资的所有权归房村镇政府。</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第四条 支付</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lang w:val="en-US" w:eastAsia="zh-CN"/>
        </w:rPr>
        <w:t xml:space="preserve"> </w:t>
      </w:r>
      <w:r>
        <w:rPr>
          <w:rFonts w:hint="eastAsia" w:ascii="仿宋" w:hAnsi="仿宋" w:eastAsia="仿宋" w:cs="仿宋"/>
          <w:b/>
          <w:bCs/>
          <w:color w:val="auto"/>
          <w:sz w:val="24"/>
          <w:szCs w:val="24"/>
          <w:highlight w:val="none"/>
        </w:rPr>
        <w:t xml:space="preserve">付款方式一：提交预付款保函的</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合同</w:t>
      </w:r>
      <w:r>
        <w:rPr>
          <w:rFonts w:hint="eastAsia" w:ascii="仿宋" w:hAnsi="仿宋" w:eastAsia="仿宋" w:cs="仿宋"/>
          <w:color w:val="auto"/>
          <w:sz w:val="24"/>
          <w:szCs w:val="24"/>
          <w:highlight w:val="none"/>
          <w:lang w:eastAsia="zh-CN"/>
        </w:rPr>
        <w:t xml:space="preserve">总</w:t>
      </w:r>
      <w:r>
        <w:rPr>
          <w:rFonts w:hint="eastAsia" w:ascii="仿宋" w:hAnsi="仿宋" w:eastAsia="仿宋" w:cs="仿宋"/>
          <w:color w:val="auto"/>
          <w:sz w:val="24"/>
          <w:szCs w:val="24"/>
          <w:highlight w:val="none"/>
        </w:rPr>
        <w:t xml:space="preserve">价的百分之</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元整，在双方签订合同后15个工作日内，乙方向甲方出具等额预付款保函后，办理政府采购资金结算手续支付给乙方。</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合同总价的百分之</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元整，合同标的全部交付并安装完毕验收后15个工作日内，由买方办理政府采购资金结算手续，经审核后支付给卖方。</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卖方需提交的支付文件包括：</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卖方出具的全额正式发票；</w:t>
      </w:r>
      <w:r/>
    </w:p>
    <w:p>
      <w:pPr>
        <w:pStyle w:val="943"/>
        <w:ind w:right="0" w:firstLine="480"/>
        <w:jc w:val="both"/>
        <w:keepLines w:val="0"/>
        <w:keepNext w:val="0"/>
        <w:pageBreakBefore w:val="0"/>
        <w:spacing w:line="240" w:lineRule="auto"/>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付款方式二：不提交预付款保函的</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合同总价的百分之</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元整，在双方签订合同后15个工作日内，由买方办理政府采购资金结算手续支付给乙方。</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合同总价的百分之</w:t>
      </w:r>
      <w:r>
        <w:rPr>
          <w:rFonts w:hint="eastAsia" w:ascii="仿宋" w:hAnsi="仿宋" w:eastAsia="仿宋" w:cs="仿宋"/>
          <w:color w:val="auto"/>
          <w:sz w:val="24"/>
          <w:szCs w:val="24"/>
          <w:highlight w:val="none"/>
          <w:lang w:eastAsia="zh-CN"/>
        </w:rPr>
        <w:t xml:space="preserve">七十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元整，合同标的全部交付并安装完毕验收后</w:t>
      </w:r>
      <w:r>
        <w:rPr>
          <w:rFonts w:hint="eastAsia" w:ascii="仿宋" w:hAnsi="仿宋" w:eastAsia="仿宋" w:cs="仿宋"/>
          <w:color w:val="auto"/>
          <w:sz w:val="24"/>
          <w:szCs w:val="24"/>
          <w:highlight w:val="none"/>
          <w:lang w:val="en-US" w:eastAsia="zh-CN"/>
        </w:rPr>
        <w:t xml:space="preserve">50</w:t>
      </w:r>
      <w:r>
        <w:rPr>
          <w:rFonts w:hint="eastAsia" w:ascii="仿宋" w:hAnsi="仿宋" w:eastAsia="仿宋" w:cs="仿宋"/>
          <w:color w:val="auto"/>
          <w:sz w:val="24"/>
          <w:szCs w:val="24"/>
          <w:highlight w:val="none"/>
        </w:rPr>
        <w:t xml:space="preserve">日内，由买方办理政府采购资金结算手续，经审核后支付给卖方。</w:t>
      </w:r>
      <w:r/>
    </w:p>
    <w:p>
      <w:pPr>
        <w:pStyle w:val="943"/>
        <w:ind w:right="0" w:firstLine="480"/>
        <w:jc w:val="both"/>
        <w:keepLines w:val="0"/>
        <w:keepNext w:val="0"/>
        <w:pageBreakBefore w:val="0"/>
        <w:spacing w:line="240" w:lineRule="auto"/>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卖方需提交的支付文件包括：</w:t>
      </w:r>
      <w:r/>
    </w:p>
    <w:p>
      <w:pPr>
        <w:ind w:left="0" w:right="0" w:firstLine="480"/>
        <w:keepLines w:val="0"/>
        <w:keepNext w:val="0"/>
        <w:pageBreakBefore w:val="0"/>
        <w:spacing w:line="24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卖方出具的全额正式发票</w:t>
      </w:r>
      <w:r>
        <w:rPr>
          <w:rFonts w:hint="eastAsia" w:ascii="仿宋" w:hAnsi="仿宋" w:eastAsia="仿宋" w:cs="仿宋"/>
          <w:color w:val="auto"/>
          <w:sz w:val="24"/>
          <w:szCs w:val="24"/>
          <w:highlight w:val="none"/>
          <w:lang w:eastAsia="zh-CN"/>
        </w:rPr>
        <w:t xml:space="preserve">。</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 xml:space="preserve">履约担保</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供货方是否提供履约担保:</w:t>
      </w:r>
      <w:r>
        <w:rPr>
          <w:rFonts w:hint="eastAsia" w:ascii="仿宋" w:hAnsi="仿宋" w:eastAsia="仿宋" w:cs="仿宋"/>
          <w:color w:val="auto"/>
          <w:sz w:val="24"/>
          <w:szCs w:val="24"/>
          <w:highlight w:val="none"/>
          <w:u w:val="single"/>
          <w:lang w:val="en-US" w:eastAsia="zh-CN"/>
        </w:rPr>
        <w:t xml:space="preserve">是</w:t>
      </w:r>
      <w:r>
        <w:rPr>
          <w:rFonts w:hint="eastAsia" w:ascii="仿宋" w:hAnsi="仿宋" w:eastAsia="仿宋" w:cs="仿宋"/>
          <w:color w:val="auto"/>
          <w:sz w:val="24"/>
          <w:szCs w:val="24"/>
          <w:highlight w:val="none"/>
          <w:lang w:val="en-US" w:eastAsia="zh-CN"/>
        </w:rPr>
        <w:t xml:space="preserve">。</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供货方提供履约担保的形式、金额及期限:履约保证金可以采取支票、汇票等方式，也可以根据采购人所同意接受的商业银行、保险公司或担保公司等出具的保函等非现金形式提交，须在合同标的验收合格后、尾款结清</w:t>
      </w:r>
      <w:r>
        <w:rPr>
          <w:rFonts w:hint="eastAsia" w:ascii="仿宋" w:hAnsi="仿宋" w:eastAsia="仿宋" w:cs="仿宋"/>
          <w:color w:val="auto"/>
          <w:sz w:val="24"/>
          <w:szCs w:val="24"/>
          <w:highlight w:val="none"/>
          <w:u w:val="single"/>
          <w:lang w:val="en-US" w:eastAsia="zh-CN"/>
        </w:rPr>
        <w:t xml:space="preserve">前</w:t>
      </w:r>
      <w:r>
        <w:rPr>
          <w:rFonts w:hint="eastAsia" w:ascii="仿宋" w:hAnsi="仿宋" w:eastAsia="仿宋" w:cs="仿宋"/>
          <w:color w:val="auto"/>
          <w:sz w:val="24"/>
          <w:szCs w:val="24"/>
          <w:highlight w:val="none"/>
          <w:lang w:val="en-US" w:eastAsia="zh-CN"/>
        </w:rPr>
        <w:t xml:space="preserve">提供给采购人，其数额为中标金额的</w:t>
      </w:r>
      <w:r>
        <w:rPr>
          <w:rFonts w:hint="eastAsia" w:ascii="仿宋" w:hAnsi="仿宋" w:eastAsia="仿宋" w:cs="仿宋"/>
          <w:b/>
          <w:bCs/>
          <w:color w:val="auto"/>
          <w:sz w:val="24"/>
          <w:szCs w:val="24"/>
          <w:highlight w:val="none"/>
          <w:u w:val="single"/>
          <w:lang w:val="en-US" w:eastAsia="zh-CN"/>
        </w:rPr>
        <w:t xml:space="preserve">10%</w:t>
      </w:r>
      <w:r>
        <w:rPr>
          <w:rFonts w:hint="eastAsia" w:ascii="仿宋" w:hAnsi="仿宋" w:eastAsia="仿宋" w:cs="仿宋"/>
          <w:color w:val="auto"/>
          <w:sz w:val="24"/>
          <w:szCs w:val="24"/>
          <w:highlight w:val="none"/>
          <w:lang w:val="en-US" w:eastAsia="zh-CN"/>
        </w:rPr>
        <w:t xml:space="preserve">。</w:t>
      </w:r>
      <w:r/>
    </w:p>
    <w:p>
      <w:pPr>
        <w:pStyle w:val="943"/>
        <w:ind w:right="0"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履约保证金的返还:待质保期结束后后一次性无息返还履约保证金。</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第五条 交货</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5.1卖方应于合同生效日后，</w:t>
      </w:r>
      <w:r>
        <w:rPr>
          <w:rFonts w:hint="eastAsia" w:ascii="仿宋" w:hAnsi="仿宋" w:eastAsia="仿宋" w:cs="仿宋"/>
          <w:b/>
          <w:bCs/>
          <w:color w:val="auto"/>
          <w:sz w:val="24"/>
          <w:szCs w:val="24"/>
          <w:u w:val="single"/>
          <w:lang w:val="en-US" w:eastAsia="zh-CN"/>
        </w:rPr>
        <w:t xml:space="preserve">30</w:t>
      </w:r>
      <w:r>
        <w:rPr>
          <w:rFonts w:hint="eastAsia" w:ascii="仿宋" w:hAnsi="仿宋" w:eastAsia="仿宋" w:cs="仿宋"/>
          <w:color w:val="auto"/>
          <w:sz w:val="24"/>
          <w:szCs w:val="24"/>
        </w:rPr>
        <w:t xml:space="preserve">日内将合同标的全部安装调试交付验收完</w:t>
      </w:r>
      <w:r>
        <w:rPr>
          <w:rFonts w:hint="eastAsia" w:ascii="仿宋" w:hAnsi="仿宋" w:eastAsia="仿宋" w:cs="仿宋"/>
          <w:color w:val="auto"/>
          <w:sz w:val="24"/>
          <w:szCs w:val="24"/>
          <w:lang w:eastAsia="zh-CN"/>
        </w:rPr>
        <w:t xml:space="preserve">毕</w:t>
      </w:r>
      <w:r>
        <w:rPr>
          <w:rFonts w:hint="eastAsia" w:ascii="仿宋" w:hAnsi="仿宋" w:eastAsia="仿宋" w:cs="仿宋"/>
          <w:color w:val="auto"/>
          <w:sz w:val="24"/>
          <w:szCs w:val="24"/>
        </w:rPr>
        <w:t xml:space="preserve">。</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5.2 交货地点为</w:t>
      </w:r>
      <w:r>
        <w:rPr>
          <w:rFonts w:hint="eastAsia" w:ascii="仿宋" w:hAnsi="仿宋" w:eastAsia="仿宋" w:cs="仿宋"/>
          <w:color w:val="auto"/>
          <w:sz w:val="24"/>
          <w:szCs w:val="24"/>
          <w:u w:val="single"/>
        </w:rPr>
        <w:t xml:space="preserve">买方指定地点</w:t>
      </w:r>
      <w:r>
        <w:rPr>
          <w:rFonts w:hint="eastAsia" w:ascii="仿宋" w:hAnsi="仿宋" w:eastAsia="仿宋" w:cs="仿宋"/>
          <w:color w:val="auto"/>
          <w:sz w:val="24"/>
          <w:szCs w:val="24"/>
        </w:rPr>
        <w:t xml:space="preserve">。</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5.3卖方应在不迟于每批合同标的备妥待运前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日通知买方。</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5.5如果卖方未能按照合同规定的交货期限交货，卖方应按每天迟交合同标的金额的百分之</w:t>
      </w:r>
      <w:r>
        <w:rPr>
          <w:rFonts w:hint="eastAsia" w:ascii="仿宋" w:hAnsi="仿宋" w:eastAsia="仿宋" w:cs="仿宋"/>
          <w:color w:val="auto"/>
          <w:sz w:val="24"/>
          <w:szCs w:val="24"/>
          <w:u w:val="single"/>
        </w:rPr>
        <w:t xml:space="preserve">一</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1</w:t>
      </w:r>
      <w:r>
        <w:rPr>
          <w:rFonts w:hint="eastAsia" w:ascii="仿宋" w:hAnsi="仿宋" w:eastAsia="仿宋" w:cs="仿宋"/>
          <w:color w:val="auto"/>
          <w:sz w:val="24"/>
          <w:szCs w:val="24"/>
        </w:rPr>
        <w:t xml:space="preserve">%)的比率支付违约金。违约金的总金额不超过合同总价的百分之</w:t>
      </w:r>
      <w:r>
        <w:rPr>
          <w:rFonts w:hint="eastAsia" w:ascii="仿宋" w:hAnsi="仿宋" w:eastAsia="仿宋" w:cs="仿宋"/>
          <w:color w:val="auto"/>
          <w:sz w:val="24"/>
          <w:szCs w:val="24"/>
          <w:u w:val="single"/>
        </w:rPr>
        <w:t xml:space="preserve">十</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10</w:t>
      </w:r>
      <w:r>
        <w:rPr>
          <w:rFonts w:hint="eastAsia" w:ascii="仿宋" w:hAnsi="仿宋" w:eastAsia="仿宋" w:cs="仿宋"/>
          <w:color w:val="auto"/>
          <w:sz w:val="24"/>
          <w:szCs w:val="24"/>
        </w:rPr>
        <w:t xml:space="preserve">%) ，违约金的支付不能免除卖方继续交付相关合同标的的义务。</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如果卖方在合同规定的交货期限后</w:t>
      </w:r>
      <w:r>
        <w:rPr>
          <w:rFonts w:hint="eastAsia" w:ascii="仿宋" w:hAnsi="仿宋" w:eastAsia="仿宋" w:cs="仿宋"/>
          <w:color w:val="auto"/>
          <w:sz w:val="24"/>
          <w:szCs w:val="24"/>
          <w:u w:val="single"/>
        </w:rPr>
        <w:t xml:space="preserve">十</w:t>
      </w:r>
      <w:r>
        <w:rPr>
          <w:rFonts w:hint="eastAsia" w:ascii="仿宋" w:hAnsi="仿宋" w:eastAsia="仿宋" w:cs="仿宋"/>
          <w:color w:val="auto"/>
          <w:sz w:val="24"/>
          <w:szCs w:val="24"/>
        </w:rPr>
        <w:t xml:space="preserve">日内仍未能交付全部或部分标的，在不妨碍买方采取其他救济手段的情况下，买方可以向卖方发出书面违约通知从而全部或部分地终止合同。</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第七条 技术资料</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7.1 技术资料随合同标的同时交付给买方。</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第八条 安装</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8.1卖方应于合同生效日后，</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rPr>
        <w:t xml:space="preserve">日内将合同标的全部安装调试交付验收完毕。</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第九条 验收</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9.1 合同标的的试运行、验收应在卖方的协助下进行。合同标的全部交付并安装完毕后，卖方可向买方书面提出试运行、验收要求，买方在接到书面要求后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日进行试运行、验收。如果试运行和/或验收因卖方原因发生迟延和/ 或在其它情况下发生额外费用，买方有权就因迟延发生的损害和损失和/或任何额外费用请求赔偿。</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第十一条 索赔</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11.1买方有权选择本条款规定的任意或全部救济方式。</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11.2卖方应在收到买方索赔要求后14日内作出书面回复，否则该索赔要求将被视为已被卖方接受。卖方应在买方发出索赔要求后14日内，按照买方选择的救济方法解决索赔事宜。</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第十二条 不可抗力</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12.3 如果不可抗力事件的影响持续超过20日，合同任何一方均有权发出书面通知终止合同。</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第十三条 合同的终止</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13.1如果卖方有下述违约行为，买方可以全部或部分地终止合同：</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卖方在合同规定的交货期限后</w:t>
      </w:r>
      <w:r>
        <w:rPr>
          <w:rFonts w:hint="eastAsia" w:ascii="仿宋" w:hAnsi="仿宋" w:eastAsia="仿宋" w:cs="仿宋"/>
          <w:color w:val="auto"/>
          <w:sz w:val="24"/>
          <w:szCs w:val="24"/>
          <w:u w:val="single"/>
        </w:rPr>
        <w:t xml:space="preserve">10</w:t>
      </w:r>
      <w:r>
        <w:rPr>
          <w:rFonts w:hint="eastAsia" w:ascii="仿宋" w:hAnsi="仿宋" w:eastAsia="仿宋" w:cs="仿宋"/>
          <w:color w:val="auto"/>
          <w:sz w:val="24"/>
          <w:szCs w:val="24"/>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u w:val="single"/>
        </w:rPr>
        <w:t xml:space="preserve">5</w:t>
      </w:r>
      <w:r>
        <w:rPr>
          <w:rFonts w:hint="eastAsia" w:ascii="仿宋" w:hAnsi="仿宋" w:eastAsia="仿宋" w:cs="仿宋"/>
          <w:color w:val="auto"/>
          <w:sz w:val="24"/>
          <w:szCs w:val="24"/>
        </w:rPr>
        <w:t xml:space="preserve">日内仍未能对其违约行为作出补救。</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第十四条 争议的解决</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14.1如果不能协商一致，合同任何一方有权向买方所在地人民法院提起诉讼。</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第十八条 合同生效及其他</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18.10 按照《财政部关于做好政府采购信息公开工作的通知》（财库〔2015〕135号），买方依据《保守国家秘密法》等法律制度规定确定本合同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部分涉及商业秘密，该涉及商业秘密部分不公告。</w:t>
      </w:r>
      <w:r/>
    </w:p>
    <w:p>
      <w:pPr>
        <w:pStyle w:val="889"/>
        <w:ind w:firstLine="480"/>
        <w:spacing w:line="240" w:lineRule="auto"/>
        <w:tabs>
          <w:tab w:val="left" w:pos="5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18.12 合同双方的通讯地址： </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买方:</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卖方: </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地址: </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邮编: </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电话:</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电话: </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传真: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传真: </w:t>
      </w:r>
      <w:r/>
    </w:p>
    <w:p>
      <w:pPr>
        <w:pStyle w:val="889"/>
        <w:ind w:firstLine="54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90"/>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89"/>
        <w:jc w:val="both"/>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合同附件</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：供货范围和价格清单</w:t>
      </w:r>
      <w:r/>
    </w:p>
    <w:p>
      <w:pPr>
        <w:pStyle w:val="889"/>
        <w:spacing w:line="240" w:lineRule="auto"/>
        <w:rPr>
          <w:rFonts w:ascii="宋体" w:hAnsi="宋体"/>
          <w:color w:val="auto"/>
          <w:sz w:val="24"/>
        </w:rPr>
      </w:pPr>
      <w:r>
        <w:rPr>
          <w:rFonts w:hint="eastAsia" w:ascii="仿宋" w:hAnsi="仿宋" w:eastAsia="仿宋" w:cs="仿宋"/>
          <w:color w:val="auto"/>
          <w:sz w:val="24"/>
          <w:szCs w:val="24"/>
        </w:rPr>
        <w:t xml:space="preserve">(要求见招标文件中《开标一览表》和《分项价格表》；合同</w:t>
      </w:r>
      <w:r>
        <w:rPr>
          <w:rFonts w:hint="eastAsia" w:ascii="仿宋" w:hAnsi="仿宋" w:eastAsia="仿宋" w:cs="仿宋"/>
          <w:color w:val="auto"/>
          <w:sz w:val="24"/>
          <w:szCs w:val="24"/>
          <w:lang w:eastAsia="zh-CN"/>
        </w:rPr>
        <w:t xml:space="preserve">内容</w:t>
      </w:r>
      <w:r>
        <w:rPr>
          <w:rFonts w:hint="eastAsia" w:ascii="仿宋" w:hAnsi="仿宋" w:eastAsia="仿宋" w:cs="仿宋"/>
          <w:color w:val="auto"/>
          <w:sz w:val="24"/>
          <w:szCs w:val="24"/>
        </w:rPr>
        <w:t xml:space="preserve">见卖方投标文件。)</w:t>
      </w:r>
      <w:r/>
    </w:p>
    <w:p>
      <w:pPr>
        <w:numPr>
          <w:ilvl w:val="0"/>
          <w:numId w:val="0"/>
        </w:numPr>
        <w:ind w:firstLine="3520"/>
        <w:jc w:val="both"/>
        <w:spacing w:line="288" w:lineRule="auto"/>
        <w:rPr>
          <w:rFonts w:hint="eastAsia" w:ascii="仿宋" w:hAnsi="仿宋" w:eastAsia="仿宋" w:cs="仿宋"/>
          <w:b w:val="0"/>
          <w:bCs/>
          <w:color w:val="auto"/>
          <w:sz w:val="32"/>
          <w:szCs w:val="32"/>
          <w:highlight w:val="none"/>
        </w:rPr>
      </w:pPr>
      <w:r>
        <w:rPr>
          <w:rFonts w:hint="eastAsia" w:ascii="仿宋" w:hAnsi="仿宋" w:eastAsia="仿宋" w:cs="仿宋"/>
          <w:color w:val="auto"/>
          <w:sz w:val="28"/>
          <w:szCs w:val="28"/>
        </w:rPr>
        <w:br w:type="page" w:clear="all"/>
      </w:r>
      <w:r>
        <w:rPr>
          <w:rFonts w:hint="eastAsia" w:ascii="仿宋" w:hAnsi="仿宋" w:eastAsia="仿宋" w:cs="仿宋"/>
          <w:b w:val="0"/>
          <w:bCs/>
          <w:color w:val="auto"/>
          <w:sz w:val="32"/>
          <w:szCs w:val="32"/>
          <w:highlight w:val="none"/>
          <w:lang w:eastAsia="zh-CN"/>
        </w:rPr>
        <w:t xml:space="preserve">第六</w:t>
      </w:r>
      <w:bookmarkStart w:id="0" w:name="_Toc322457054"/>
      <w:r/>
      <w:bookmarkEnd w:id="0"/>
      <w:r/>
      <w:bookmarkStart w:id="1" w:name="_Toc324452802"/>
      <w:r/>
      <w:bookmarkEnd w:id="1"/>
      <w:r>
        <w:rPr>
          <w:rFonts w:hint="eastAsia" w:ascii="仿宋" w:hAnsi="仿宋" w:eastAsia="仿宋" w:cs="仿宋"/>
          <w:b w:val="0"/>
          <w:bCs/>
          <w:color w:val="auto"/>
          <w:sz w:val="32"/>
          <w:szCs w:val="32"/>
          <w:highlight w:val="none"/>
          <w:lang w:eastAsia="zh-CN"/>
        </w:rPr>
        <w:t xml:space="preserve">章</w:t>
      </w:r>
      <w:r>
        <w:rPr>
          <w:rFonts w:ascii="宋体" w:hAnsi="宋体" w:eastAsia="宋体"/>
          <w:color w:val="auto"/>
          <w:sz w:val="30"/>
          <w:szCs w:val="30"/>
        </w:rPr>
        <w:t xml:space="preserve"> </w:t>
      </w:r>
      <w:r>
        <w:rPr>
          <w:rFonts w:hint="eastAsia" w:ascii="宋体" w:hAnsi="宋体"/>
          <w:color w:val="auto"/>
          <w:sz w:val="30"/>
          <w:szCs w:val="30"/>
          <w:lang w:eastAsia="zh-CN"/>
        </w:rPr>
        <w:t xml:space="preserve">采购需求</w:t>
      </w:r>
      <w:r/>
    </w:p>
    <w:p>
      <w:pPr>
        <w:pStyle w:val="902"/>
        <w:numPr>
          <w:ilvl w:val="0"/>
          <w:numId w:val="0"/>
        </w:numPr>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一、项目概况</w:t>
      </w:r>
      <w:r/>
    </w:p>
    <w:p>
      <w:pPr>
        <w:spacing w:line="360" w:lineRule="auto"/>
        <w:rPr>
          <w:rFonts w:hint="eastAsia" w:ascii="仿宋" w:hAnsi="仿宋" w:eastAsia="仿宋" w:cs="仿宋"/>
          <w:b w:val="0"/>
          <w:bCs w:val="0"/>
          <w:i w:val="0"/>
          <w:iCs w:val="0"/>
          <w:caps w:val="0"/>
          <w:color w:val="auto"/>
          <w:spacing w:val="0"/>
          <w:sz w:val="24"/>
          <w:szCs w:val="24"/>
          <w:highlight w:val="none"/>
          <w:lang w:val="en-US" w:eastAsia="zh-CN" w:bidi="ar"/>
        </w:rPr>
      </w:pPr>
      <w:r>
        <w:rPr>
          <w:rFonts w:hint="eastAsia" w:ascii="仿宋" w:hAnsi="仿宋" w:eastAsia="仿宋" w:cs="仿宋"/>
          <w:b/>
          <w:bCs/>
          <w:i w:val="0"/>
          <w:iCs w:val="0"/>
          <w:caps w:val="0"/>
          <w:color w:val="auto"/>
          <w:spacing w:val="0"/>
          <w:sz w:val="24"/>
          <w:szCs w:val="24"/>
          <w:highlight w:val="none"/>
          <w:lang w:val="en-US" w:eastAsia="zh-CN" w:bidi="ar"/>
        </w:rPr>
        <w:t xml:space="preserve">1、项目名称:</w:t>
      </w:r>
      <w:r>
        <w:rPr>
          <w:rFonts w:hint="eastAsia" w:ascii="仿宋" w:hAnsi="仿宋" w:eastAsia="仿宋" w:cs="仿宋"/>
          <w:b w:val="0"/>
          <w:bCs w:val="0"/>
          <w:i w:val="0"/>
          <w:iCs w:val="0"/>
          <w:caps w:val="0"/>
          <w:color w:val="auto"/>
          <w:spacing w:val="0"/>
          <w:sz w:val="24"/>
          <w:szCs w:val="24"/>
          <w:highlight w:val="none"/>
          <w:lang w:val="en-US" w:eastAsia="zh-CN" w:bidi="ar"/>
        </w:rPr>
        <w:t xml:space="preserve">铜山区房村镇农村生活垃圾分类运营市场化服务（设备物资采购）</w:t>
      </w:r>
      <w:r/>
    </w:p>
    <w:p>
      <w:pPr>
        <w:pStyle w:val="701"/>
        <w:numPr>
          <w:ilvl w:val="0"/>
          <w:numId w:val="0"/>
        </w:numPr>
        <w:spacing w:line="360" w:lineRule="auto"/>
        <w:rPr>
          <w:rFonts w:hint="eastAsia" w:ascii="仿宋" w:hAnsi="仿宋" w:eastAsia="仿宋" w:cs="仿宋"/>
          <w:bCs w:val="0"/>
          <w:color w:val="auto"/>
          <w:spacing w:val="0"/>
          <w:sz w:val="24"/>
          <w:szCs w:val="24"/>
          <w:highlight w:val="none"/>
          <w:lang w:val="en-US" w:eastAsia="zh-CN" w:bidi="en-US"/>
        </w:rPr>
      </w:pPr>
      <w:r>
        <w:rPr>
          <w:rFonts w:hint="eastAsia" w:ascii="仿宋" w:hAnsi="仿宋" w:eastAsia="仿宋" w:cs="仿宋"/>
          <w:b/>
          <w:bCs/>
          <w:color w:val="auto"/>
          <w:sz w:val="24"/>
          <w:szCs w:val="24"/>
          <w:highlight w:val="none"/>
          <w:lang w:val="en-US" w:eastAsia="zh-CN" w:bidi="ar-SA"/>
        </w:rPr>
        <w:t xml:space="preserve">2、项目预算：</w:t>
      </w:r>
      <w:r>
        <w:rPr>
          <w:rFonts w:hint="eastAsia" w:ascii="仿宋" w:hAnsi="仿宋" w:eastAsia="仿宋" w:cs="仿宋"/>
          <w:bCs w:val="0"/>
          <w:color w:val="auto"/>
          <w:spacing w:val="0"/>
          <w:sz w:val="24"/>
          <w:szCs w:val="24"/>
          <w:highlight w:val="none"/>
          <w:lang w:val="en-US" w:eastAsia="zh-CN" w:bidi="en-US"/>
        </w:rPr>
        <w:t xml:space="preserve">本项目不接受超过350.372万元人民币（项目预算金额）的投标报价。报价包括全部费用，施工过程中产生的问题自行协调，采购人不再支付报价以外的任何费用。报价包括但不限于产品价、安装、调试、运维、税金、运费、投标人的利润等全部费用。</w:t>
      </w:r>
      <w:r/>
    </w:p>
    <w:p>
      <w:pPr>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en-US" w:eastAsia="zh-CN" w:bidi="ar-SA"/>
        </w:rPr>
        <w:t xml:space="preserve">设备采购包括：</w:t>
      </w:r>
      <w:r>
        <w:rPr>
          <w:rFonts w:hint="eastAsia" w:ascii="仿宋" w:hAnsi="仿宋" w:eastAsia="仿宋" w:cs="仿宋"/>
          <w:bCs w:val="0"/>
          <w:color w:val="auto"/>
          <w:spacing w:val="0"/>
          <w:sz w:val="24"/>
          <w:szCs w:val="24"/>
          <w:highlight w:val="none"/>
          <w:lang w:val="en-US" w:eastAsia="zh-CN" w:bidi="en-US"/>
        </w:rPr>
        <w:t xml:space="preserve">运输设备、垃圾桶、垃圾分类亭、垃圾房及垃圾分类点、</w:t>
      </w:r>
      <w:r>
        <w:rPr>
          <w:rFonts w:hint="eastAsia" w:ascii="仿宋" w:hAnsi="仿宋" w:eastAsia="仿宋" w:cs="仿宋"/>
          <w:i w:val="0"/>
          <w:iCs w:val="0"/>
          <w:color w:val="auto"/>
          <w:sz w:val="24"/>
          <w:szCs w:val="24"/>
          <w:highlight w:val="none"/>
          <w:u w:val="none"/>
          <w:lang w:val="en-US" w:eastAsia="zh-CN" w:bidi="ar"/>
        </w:rPr>
        <w:t xml:space="preserve">垃圾分拣中心（垃圾分类区域划分）和有害垃圾暂存点</w:t>
      </w:r>
      <w:r>
        <w:rPr>
          <w:rFonts w:hint="eastAsia" w:ascii="仿宋" w:hAnsi="仿宋" w:eastAsia="仿宋" w:cs="仿宋"/>
          <w:bCs w:val="0"/>
          <w:color w:val="auto"/>
          <w:spacing w:val="0"/>
          <w:sz w:val="24"/>
          <w:szCs w:val="24"/>
          <w:highlight w:val="none"/>
          <w:lang w:val="en-US" w:eastAsia="zh-CN" w:bidi="en-US"/>
        </w:rPr>
        <w:t xml:space="preserve">、宣传设施。</w:t>
      </w:r>
      <w:r/>
    </w:p>
    <w:p>
      <w:pPr>
        <w:pStyle w:val="940"/>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4、</w:t>
      </w:r>
      <w:r>
        <w:rPr>
          <w:rFonts w:hint="eastAsia" w:ascii="仿宋" w:hAnsi="仿宋" w:eastAsia="仿宋" w:cs="仿宋"/>
          <w:b/>
          <w:bCs/>
          <w:color w:val="auto"/>
          <w:spacing w:val="0"/>
          <w:sz w:val="24"/>
          <w:szCs w:val="24"/>
          <w:highlight w:val="none"/>
          <w:lang w:val="en-US" w:eastAsia="zh-CN" w:bidi="ar-SA"/>
        </w:rPr>
        <w:t xml:space="preserve">合同履行期限：</w:t>
      </w:r>
      <w:r>
        <w:rPr>
          <w:rFonts w:hint="eastAsia" w:ascii="仿宋" w:hAnsi="仿宋" w:eastAsia="仿宋" w:cs="仿宋"/>
          <w:bCs w:val="0"/>
          <w:color w:val="auto"/>
          <w:spacing w:val="0"/>
          <w:sz w:val="24"/>
          <w:szCs w:val="24"/>
          <w:highlight w:val="none"/>
          <w:lang w:val="en-US" w:eastAsia="zh-CN" w:bidi="en-US"/>
        </w:rPr>
        <w:t xml:space="preserve">合同签订后30日历天内，供应商应保证在要求时间内完成全部货物的供货、安装、调试和培训工作,符合国家标准、行业规范和合同等相关文件的要求；</w:t>
      </w:r>
      <w:r/>
    </w:p>
    <w:p>
      <w:pPr>
        <w:pStyle w:val="944"/>
        <w:numPr>
          <w:ilvl w:val="0"/>
          <w:numId w:val="0"/>
        </w:numPr>
        <w:pageBreakBefore w:val="0"/>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项目</w:t>
      </w:r>
      <w:r>
        <w:rPr>
          <w:rFonts w:hint="eastAsia" w:ascii="仿宋" w:hAnsi="仿宋" w:eastAsia="仿宋" w:cs="仿宋"/>
          <w:b/>
          <w:color w:val="auto"/>
          <w:sz w:val="24"/>
          <w:szCs w:val="24"/>
          <w:highlight w:val="none"/>
          <w:lang w:val="en-US" w:eastAsia="zh-CN"/>
        </w:rPr>
        <w:t xml:space="preserve">背景及</w:t>
      </w:r>
      <w:r>
        <w:rPr>
          <w:rFonts w:hint="eastAsia" w:ascii="仿宋" w:hAnsi="仿宋" w:eastAsia="仿宋" w:cs="仿宋"/>
          <w:b/>
          <w:color w:val="auto"/>
          <w:sz w:val="24"/>
          <w:szCs w:val="24"/>
          <w:highlight w:val="none"/>
        </w:rPr>
        <w:t xml:space="preserve">简介</w:t>
      </w:r>
      <w:r>
        <w:rPr>
          <w:rFonts w:hint="eastAsia" w:ascii="仿宋" w:hAnsi="仿宋" w:eastAsia="仿宋" w:cs="仿宋"/>
          <w:b/>
          <w:color w:val="auto"/>
          <w:sz w:val="24"/>
          <w:szCs w:val="24"/>
          <w:highlight w:val="none"/>
          <w:lang w:eastAsia="zh-CN"/>
        </w:rPr>
        <w:t xml:space="preserve">：</w:t>
      </w:r>
      <w:r/>
    </w:p>
    <w:p>
      <w:pPr>
        <w:pStyle w:val="944"/>
        <w:numPr>
          <w:ilvl w:val="0"/>
          <w:numId w:val="0"/>
        </w:numPr>
        <w:ind w:firstLine="48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为贯彻落实习近平总书记关于垃圾分类工作重要指示精神，全面提升农村生活垃圾治理水平，在全区范围内实施农村垃圾分类“443”模式，推动农村垃圾减量化、资源化、无害化治理。以建设美丽宜居乡村、提升农村生活质量为目标，坚持政府主导、群众主体、社会参与的方式，采取试点先行、全域发动、稳步推进的办法，加快构建符合农村实际、尊重农民意愿、农民群众认可的“户分类投放、村分拣收集、镇回收清运、有机垃圾生态处理”的农村生活垃圾分类收集处理体系，实现生活垃圾减量化、资源化。</w:t>
      </w:r>
      <w:r/>
    </w:p>
    <w:p>
      <w:pPr>
        <w:pStyle w:val="944"/>
        <w:numPr>
          <w:ilvl w:val="0"/>
          <w:numId w:val="0"/>
        </w:numPr>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pStyle w:val="944"/>
        <w:numPr>
          <w:ilvl w:val="0"/>
          <w:numId w:val="0"/>
        </w:numPr>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二、项目概况及采购要求</w:t>
      </w:r>
      <w:r/>
    </w:p>
    <w:p>
      <w:pPr>
        <w:pStyle w:val="944"/>
        <w:numPr>
          <w:ilvl w:val="0"/>
          <w:numId w:val="0"/>
        </w:numPr>
        <w:ind w:firstLine="48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房村镇隶</w:t>
      </w:r>
      <w:r>
        <w:rPr>
          <w:rFonts w:hint="eastAsia" w:ascii="仿宋" w:hAnsi="仿宋" w:eastAsia="仿宋" w:cs="仿宋"/>
          <w:b w:val="0"/>
          <w:bCs w:val="0"/>
          <w:color w:val="auto"/>
          <w:sz w:val="24"/>
          <w:szCs w:val="24"/>
          <w:highlight w:val="none"/>
          <w:lang w:val="en-US" w:eastAsia="zh-CN" w:bidi="ar-SA"/>
        </w:rPr>
        <w:t xml:space="preserve">属于江苏省徐州市铜山区，地处铜山区东南部，东与睢宁县接壤，南接安徽省灵璧县，西为张集镇，北与伊庄镇毗邻。房村镇镇区及下辖20个行政村（房村，下洪，杨场，新庄，大牛，李庄，周庙，温刘，郝湾，李楼，窦家，八王，林场，尚王，大沟里，鹿台，郭集，西王，马家，鹿湾），共有18252户，72194人。房村镇隶属于江苏省徐州市铜山区，地处铜山区东南部，东与睢宁县接壤，南接安徽省灵璧县，西为张集镇，北与伊庄镇毗邻。为响应铜山区城管局垃圾分类文件指示精神，经过充分的实地勘察、调研、讨论，本着有效化、可行化、节约化的原则实施。</w:t>
      </w:r>
      <w:r/>
    </w:p>
    <w:p>
      <w:pPr>
        <w:pStyle w:val="944"/>
        <w:numPr>
          <w:ilvl w:val="0"/>
          <w:numId w:val="0"/>
        </w:numPr>
        <w:ind w:firstLine="48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pStyle w:val="944"/>
        <w:numPr>
          <w:ilvl w:val="0"/>
          <w:numId w:val="0"/>
        </w:numPr>
        <w:ind w:firstLine="48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pStyle w:val="944"/>
        <w:numPr>
          <w:ilvl w:val="0"/>
          <w:numId w:val="0"/>
        </w:numPr>
        <w:ind w:firstLine="48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pStyle w:val="944"/>
        <w:numPr>
          <w:ilvl w:val="0"/>
          <w:numId w:val="0"/>
        </w:numPr>
        <w:ind w:firstLine="480"/>
        <w:jc w:val="center"/>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color w:val="auto"/>
          <w:sz w:val="24"/>
          <w:szCs w:val="24"/>
          <w:highlight w:val="none"/>
        </w:rPr>
        <w:t xml:space="preserve">采购数量清单</w:t>
      </w:r>
      <w:r/>
    </w:p>
    <w:tbl>
      <w:tblPr>
        <w:tblStyle w:val="695"/>
        <w:tblW w:w="97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46"/>
        <w:gridCol w:w="3289"/>
        <w:gridCol w:w="1275"/>
        <w:gridCol w:w="1479"/>
        <w:gridCol w:w="1435"/>
      </w:tblGrid>
      <w:tr>
        <w:trPr>
          <w:trHeight w:val="547" w:hRule="exact"/>
        </w:trPr>
        <w:tc>
          <w:tcPr>
            <w:gridSpan w:val="2"/>
            <w:tcBorders>
              <w:top w:val="single" w:color="000000" w:sz="4" w:space="0"/>
              <w:left w:val="single" w:color="000000" w:sz="4" w:space="0"/>
              <w:bottom w:val="single" w:color="000000" w:sz="4" w:space="0"/>
              <w:right w:val="single" w:color="000000" w:sz="4" w:space="0"/>
            </w:tcBorders>
            <w:tcW w:w="553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名称及要求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tcBorders>
              <w:top w:val="single" w:color="auto" w:sz="4" w:space="0"/>
              <w:left w:val="single" w:color="auto" w:sz="4" w:space="0"/>
              <w:right w:val="single" w:color="auto" w:sz="4" w:space="0"/>
            </w:tcBorders>
            <w:tcW w:w="1435"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所投产品的技术规格和技术性能对应以下“项目设备设施配置技术参数要求”</w:t>
            </w:r>
            <w:r/>
          </w:p>
        </w:tc>
      </w:tr>
      <w:tr>
        <w:trPr>
          <w:trHeight w:val="916" w:hRule="exact"/>
        </w:trPr>
        <w:tc>
          <w:tcPr>
            <w:tcBorders>
              <w:top w:val="single" w:color="000000" w:sz="4" w:space="0"/>
              <w:left w:val="single" w:color="000000" w:sz="4" w:space="0"/>
              <w:right w:val="single" w:color="000000" w:sz="4" w:space="0"/>
            </w:tcBorders>
            <w:tcW w:w="2246"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t xml:space="preserve">运输设备配置</w:t>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双桶垃圾收集车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辆</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547" w:hRule="exact"/>
        </w:trPr>
        <w:tc>
          <w:tcPr>
            <w:tcBorders>
              <w:left w:val="single" w:color="000000" w:sz="4" w:space="0"/>
              <w:right w:val="single" w:color="000000" w:sz="4" w:space="0"/>
            </w:tcBorders>
            <w:tcW w:w="2246" w:type="dxa"/>
            <w:vAlign w:val="center"/>
            <w:vMerge w:val="continue"/>
            <w:textDirection w:val="lrTb"/>
            <w:noWrap w:val="false"/>
          </w:tcPr>
          <w:p>
            <w:pPr>
              <w:jc w:val="center"/>
              <w:spacing w:line="240" w:lineRule="auto"/>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4轮电动厨余垃圾转运车</w:t>
            </w:r>
            <w:r/>
          </w:p>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辆</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547" w:hRule="exact"/>
        </w:trPr>
        <w:tc>
          <w:tcPr>
            <w:tcBorders>
              <w:left w:val="single" w:color="000000" w:sz="4" w:space="0"/>
              <w:bottom w:val="single" w:color="auto" w:sz="4" w:space="0"/>
              <w:right w:val="single" w:color="000000" w:sz="4" w:space="0"/>
            </w:tcBorders>
            <w:tcW w:w="2246"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有害垃圾转运车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辆</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547" w:hRule="exact"/>
        </w:trPr>
        <w:tc>
          <w:tcPr>
            <w:tcBorders>
              <w:top w:val="single" w:color="auto" w:sz="4" w:space="0"/>
              <w:left w:val="single" w:color="auto" w:sz="4" w:space="0"/>
              <w:bottom w:val="single" w:color="auto" w:sz="4" w:space="0"/>
              <w:right w:val="single" w:color="auto" w:sz="4" w:space="0"/>
            </w:tcBorders>
            <w:tcW w:w="2246"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垃圾桶</w:t>
            </w:r>
            <w:r>
              <w:rPr>
                <w:rFonts w:hint="eastAsia" w:ascii="仿宋" w:hAnsi="仿宋" w:eastAsia="仿宋" w:cs="仿宋"/>
                <w:i w:val="0"/>
                <w:iCs w:val="0"/>
                <w:color w:val="auto"/>
                <w:sz w:val="24"/>
                <w:szCs w:val="24"/>
                <w:highlight w:val="none"/>
                <w:u w:val="none"/>
              </w:rPr>
              <w:t xml:space="preserve">配置</w:t>
            </w:r>
            <w:r/>
          </w:p>
        </w:tc>
        <w:tc>
          <w:tcPr>
            <w:tcBorders>
              <w:top w:val="single" w:color="000000" w:sz="4" w:space="0"/>
              <w:left w:val="single" w:color="auto"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30L户桶</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36504</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587" w:hRule="exact"/>
        </w:trPr>
        <w:tc>
          <w:tcPr>
            <w:tcBorders>
              <w:top w:val="single" w:color="auto" w:sz="4" w:space="0"/>
              <w:left w:val="single" w:color="auto" w:sz="4" w:space="0"/>
              <w:bottom w:val="single" w:color="auto" w:sz="4" w:space="0"/>
              <w:right w:val="single" w:color="auto" w:sz="4" w:space="0"/>
            </w:tcBorders>
            <w:tcW w:w="2246" w:type="dxa"/>
            <w:vAlign w:val="center"/>
            <w:vMerge w:val="continue"/>
            <w:textDirection w:val="lrTb"/>
            <w:noWrap w:val="false"/>
          </w:tcPr>
          <w:p>
            <w:pPr>
              <w:jc w:val="center"/>
              <w:spacing w:line="240" w:lineRule="auto"/>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auto"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240L垃圾桶</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1212</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762" w:hRule="exact"/>
        </w:trPr>
        <w:tc>
          <w:tcPr>
            <w:tcBorders>
              <w:top w:val="single" w:color="auto" w:sz="4" w:space="0"/>
              <w:left w:val="single" w:color="000000" w:sz="4" w:space="0"/>
              <w:right w:val="single" w:color="000000" w:sz="4" w:space="0"/>
            </w:tcBorders>
            <w:tcW w:w="2246" w:type="dxa"/>
            <w:vAlign w:val="center"/>
            <w:vMerge w:val="restart"/>
            <w:textDirection w:val="lrTb"/>
            <w:noWrap w:val="false"/>
          </w:tcPr>
          <w:p>
            <w:pPr>
              <w:jc w:val="center"/>
              <w:spacing w:line="240" w:lineRule="auto"/>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 xml:space="preserve">垃圾分类亭、垃圾房及生活垃圾集中投放点配置</w:t>
            </w:r>
            <w:r/>
          </w:p>
        </w:tc>
        <w:tc>
          <w:tcPr>
            <w:tcBorders>
              <w:top w:val="single" w:color="auto"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垃圾分类房</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810" w:hRule="exact"/>
        </w:trPr>
        <w:tc>
          <w:tcPr>
            <w:tcBorders>
              <w:left w:val="single" w:color="000000" w:sz="4" w:space="0"/>
              <w:right w:val="single" w:color="000000" w:sz="4" w:space="0"/>
            </w:tcBorders>
            <w:tcW w:w="2246" w:type="dxa"/>
            <w:vAlign w:val="center"/>
            <w:vMerge w:val="continue"/>
            <w:textDirection w:val="lrTb"/>
            <w:noWrap w:val="false"/>
          </w:tcPr>
          <w:p>
            <w:pPr>
              <w:jc w:val="center"/>
              <w:spacing w:line="240" w:lineRule="auto"/>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大垃圾分类亭</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22</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669" w:hRule="exact"/>
        </w:trPr>
        <w:tc>
          <w:tcPr>
            <w:tcBorders>
              <w:left w:val="single" w:color="000000" w:sz="4" w:space="0"/>
              <w:right w:val="single" w:color="000000" w:sz="4" w:space="0"/>
            </w:tcBorders>
            <w:tcW w:w="2246" w:type="dxa"/>
            <w:vAlign w:val="center"/>
            <w:vMerge w:val="continue"/>
            <w:textDirection w:val="lrTb"/>
            <w:noWrap w:val="false"/>
          </w:tcPr>
          <w:p>
            <w:pPr>
              <w:jc w:val="center"/>
              <w:spacing w:line="240" w:lineRule="auto"/>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小垃圾分类亭</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824" w:hRule="exact"/>
        </w:trPr>
        <w:tc>
          <w:tcPr>
            <w:tcBorders>
              <w:left w:val="single" w:color="000000" w:sz="4" w:space="0"/>
              <w:bottom w:val="single" w:color="000000" w:sz="4" w:space="0"/>
              <w:right w:val="single" w:color="000000" w:sz="4" w:space="0"/>
            </w:tcBorders>
            <w:tcW w:w="2246" w:type="dxa"/>
            <w:vAlign w:val="center"/>
            <w:vMerge w:val="continue"/>
            <w:textDirection w:val="lrTb"/>
            <w:noWrap w:val="false"/>
          </w:tcPr>
          <w:p>
            <w:pPr>
              <w:jc w:val="center"/>
              <w:spacing w:line="240" w:lineRule="auto"/>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垃圾分类点</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1478" w:hRule="exact"/>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垃圾分拣中心（垃圾分类区域划分）和有害垃圾暂存点</w:t>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利用现有厂房，建设有害垃圾暂存点，可回收垃圾分拣中心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Borders>
              <w:left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1478" w:hRule="exact"/>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宣传发动</w:t>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垃圾分类宣传 阵地、展板、展架、宣传彩页、积分兑物卡、宣传活动、墙画等</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auto" w:sz="4" w:space="0"/>
            </w:tcBorders>
            <w:tcW w:w="1479"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处</w:t>
            </w:r>
            <w:r/>
          </w:p>
        </w:tc>
        <w:tc>
          <w:tcPr>
            <w:tcBorders>
              <w:left w:val="single" w:color="auto" w:sz="4" w:space="0"/>
              <w:bottom w:val="single" w:color="auto" w:sz="4" w:space="0"/>
              <w:right w:val="single" w:color="auto" w:sz="4" w:space="0"/>
            </w:tcBorders>
            <w:tcW w:w="1435" w:type="dxa"/>
            <w:vAlign w:val="center"/>
            <w:vMerge w:val="continue"/>
            <w:textDirection w:val="lrTb"/>
            <w:noWrap w:val="false"/>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bl>
    <w:p>
      <w:pPr>
        <w:pStyle w:val="890"/>
        <w:ind w:firstLine="0"/>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90"/>
        <w:ind w:firstLine="0"/>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说明：本</w:t>
      </w:r>
      <w:r>
        <w:rPr>
          <w:rFonts w:hint="eastAsia" w:ascii="仿宋" w:hAnsi="仿宋" w:eastAsia="仿宋" w:cs="仿宋"/>
          <w:b/>
          <w:bCs/>
          <w:color w:val="auto"/>
          <w:sz w:val="24"/>
          <w:szCs w:val="24"/>
          <w:highlight w:val="none"/>
          <w:lang w:eastAsia="zh-CN"/>
        </w:rPr>
        <w:t xml:space="preserve">表</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数量</w:t>
      </w:r>
      <w:r>
        <w:rPr>
          <w:rFonts w:hint="eastAsia" w:ascii="仿宋" w:hAnsi="仿宋" w:eastAsia="仿宋" w:cs="仿宋"/>
          <w:b/>
          <w:bCs/>
          <w:color w:val="auto"/>
          <w:sz w:val="24"/>
          <w:szCs w:val="24"/>
          <w:highlight w:val="none"/>
        </w:rPr>
        <w:t xml:space="preserve">”为不允许偏离的实质性要求和条件，如有偏离，在符合性审查时按照投标无效处理。</w:t>
      </w:r>
      <w:r/>
    </w:p>
    <w:p>
      <w:pPr>
        <w:pStyle w:val="890"/>
        <w:ind w:firstLine="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投标文件要求：</w:t>
      </w:r>
      <w:r/>
    </w:p>
    <w:p>
      <w:pPr>
        <w:pStyle w:val="890"/>
        <w:ind w:firstLine="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1.投标文件中提供《所投产品的技术规格和技术性能》文件。</w:t>
      </w:r>
      <w:r/>
    </w:p>
    <w:p>
      <w:pPr>
        <w:pStyle w:val="890"/>
        <w:ind w:firstLine="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2.《所投产品的技术规格和技术性能》包括以下内容：对应以</w:t>
      </w:r>
      <w:r>
        <w:rPr>
          <w:rFonts w:hint="eastAsia" w:ascii="仿宋" w:hAnsi="仿宋" w:eastAsia="仿宋" w:cs="仿宋"/>
          <w:color w:val="auto"/>
          <w:sz w:val="24"/>
          <w:szCs w:val="24"/>
          <w:highlight w:val="none"/>
          <w:lang w:eastAsia="zh-CN"/>
        </w:rPr>
        <w:t xml:space="preserve">下</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项目设备设施配置技术参数要求</w:t>
      </w:r>
      <w:r>
        <w:rPr>
          <w:rFonts w:hint="eastAsia" w:ascii="仿宋" w:hAnsi="仿宋" w:eastAsia="仿宋" w:cs="仿宋"/>
          <w:color w:val="auto"/>
          <w:sz w:val="24"/>
          <w:szCs w:val="24"/>
          <w:highlight w:val="none"/>
        </w:rPr>
        <w:t xml:space="preserve">”，逐条列出所投产品的技术规格。</w:t>
      </w:r>
      <w:r/>
    </w:p>
    <w:p>
      <w:pPr>
        <w:pStyle w:val="88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90"/>
        <w:numPr>
          <w:ilvl w:val="0"/>
          <w:numId w:val="0"/>
        </w:numPr>
        <w:ind w:left="0" w:firstLine="0"/>
        <w:keepLines w:val="0"/>
        <w:keepNext w:val="0"/>
        <w:pageBreakBefore w:val="0"/>
        <w:spacing w:line="288" w:lineRule="auto"/>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rPr>
        <w:t xml:space="preserve">2、项目设备设施配置技术参数要求</w:t>
      </w:r>
      <w:r/>
    </w:p>
    <w:p>
      <w:pPr>
        <w:pStyle w:val="890"/>
        <w:numPr>
          <w:ilvl w:val="0"/>
          <w:numId w:val="0"/>
        </w:numPr>
        <w:ind w:left="0" w:firstLine="0"/>
        <w:keepLines w:val="0"/>
        <w:keepNext w:val="0"/>
        <w:pageBreakBefore w:val="0"/>
        <w:spacing w:line="288" w:lineRule="auto"/>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2.1运输设备配置</w:t>
      </w:r>
      <w:r/>
    </w:p>
    <w:p>
      <w:pPr>
        <w:pStyle w:val="890"/>
        <w:numPr>
          <w:ilvl w:val="0"/>
          <w:numId w:val="0"/>
        </w:numPr>
        <w:ind w:left="0" w:firstLine="0"/>
        <w:keepLines w:val="0"/>
        <w:keepNext w:val="0"/>
        <w:pageBreakBefore w:val="0"/>
        <w:spacing w:line="288"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2.1.1 双桶垃圾收集车</w:t>
      </w:r>
      <w:r/>
    </w:p>
    <w:tbl>
      <w:tblPr>
        <w:tblStyle w:val="695"/>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4081"/>
        <w:gridCol w:w="5032"/>
      </w:tblGrid>
      <w:tr>
        <w:trPr>
          <w:cantSplit/>
          <w:jc w:val="center"/>
          <w:trHeight w:val="340"/>
        </w:trPr>
        <w:tc>
          <w:tcPr>
            <w:tcBorders>
              <w:top w:val="single" w:color="auto" w:sz="4" w:space="0"/>
              <w:left w:val="single" w:color="auto" w:sz="4" w:space="0"/>
              <w:right w:val="single" w:color="auto" w:sz="4" w:space="0"/>
            </w:tcBorders>
            <w:tcW w:w="600" w:type="dxa"/>
            <w:vAlign w:val="center"/>
            <w:vMerge w:val="restart"/>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 术 参 数</w:t>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额定乘员</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人</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整车尺寸</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mm</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val="0"/>
                <w:i w:val="0"/>
                <w:caps w:val="0"/>
                <w:color w:val="auto"/>
                <w:spacing w:val="0"/>
                <w:sz w:val="24"/>
                <w:szCs w:val="24"/>
              </w:rPr>
              <w:t xml:space="preserve">2</w:t>
            </w:r>
            <w:r>
              <w:rPr>
                <w:rFonts w:hint="eastAsia" w:ascii="仿宋" w:hAnsi="仿宋" w:eastAsia="仿宋" w:cs="仿宋"/>
                <w:b w:val="0"/>
                <w:i w:val="0"/>
                <w:caps w:val="0"/>
                <w:color w:val="auto"/>
                <w:spacing w:val="0"/>
                <w:sz w:val="24"/>
                <w:szCs w:val="24"/>
                <w:lang w:val="en-US" w:eastAsia="zh-CN"/>
              </w:rPr>
              <w:t xml:space="preserve">80</w:t>
            </w:r>
            <w:r>
              <w:rPr>
                <w:rFonts w:hint="eastAsia" w:ascii="仿宋" w:hAnsi="仿宋" w:eastAsia="仿宋" w:cs="仿宋"/>
                <w:b w:val="0"/>
                <w:i w:val="0"/>
                <w:caps w:val="0"/>
                <w:color w:val="auto"/>
                <w:spacing w:val="0"/>
                <w:sz w:val="24"/>
                <w:szCs w:val="24"/>
              </w:rPr>
              <w:t xml:space="preserve">0×</w:t>
            </w:r>
            <w:r>
              <w:rPr>
                <w:rFonts w:hint="eastAsia" w:ascii="仿宋" w:hAnsi="仿宋" w:eastAsia="仿宋" w:cs="仿宋"/>
                <w:b w:val="0"/>
                <w:i w:val="0"/>
                <w:caps w:val="0"/>
                <w:color w:val="auto"/>
                <w:spacing w:val="0"/>
                <w:sz w:val="24"/>
                <w:szCs w:val="24"/>
                <w:lang w:val="en-US" w:eastAsia="zh-CN"/>
              </w:rPr>
              <w:t xml:space="preserve">90</w:t>
            </w:r>
            <w:r>
              <w:rPr>
                <w:rFonts w:hint="eastAsia" w:ascii="仿宋" w:hAnsi="仿宋" w:eastAsia="仿宋" w:cs="仿宋"/>
                <w:b w:val="0"/>
                <w:i w:val="0"/>
                <w:caps w:val="0"/>
                <w:color w:val="auto"/>
                <w:spacing w:val="0"/>
                <w:sz w:val="24"/>
                <w:szCs w:val="24"/>
              </w:rPr>
              <w:t xml:space="preserve">0×1</w:t>
            </w:r>
            <w:r>
              <w:rPr>
                <w:rFonts w:hint="eastAsia" w:ascii="仿宋" w:hAnsi="仿宋" w:eastAsia="仿宋" w:cs="仿宋"/>
                <w:b w:val="0"/>
                <w:i w:val="0"/>
                <w:caps w:val="0"/>
                <w:color w:val="auto"/>
                <w:spacing w:val="0"/>
                <w:sz w:val="24"/>
                <w:szCs w:val="24"/>
                <w:lang w:val="en-US" w:eastAsia="zh-CN"/>
              </w:rPr>
              <w:t xml:space="preserve">180</w:t>
            </w:r>
            <w:r>
              <w:rPr>
                <w:rFonts w:hint="eastAsia" w:ascii="仿宋" w:hAnsi="仿宋" w:eastAsia="仿宋" w:cs="仿宋"/>
                <w:color w:val="auto"/>
                <w:sz w:val="24"/>
                <w:szCs w:val="24"/>
                <w:highlight w:val="none"/>
              </w:rPr>
              <w:t xml:space="preserve"> </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箱体尺寸(</w:t>
            </w:r>
            <w:r>
              <w:rPr>
                <w:rFonts w:hint="eastAsia" w:ascii="仿宋" w:hAnsi="仿宋" w:eastAsia="仿宋" w:cs="仿宋"/>
                <w:b w:val="0"/>
                <w:i w:val="0"/>
                <w:caps w:val="0"/>
                <w:color w:val="auto"/>
                <w:spacing w:val="0"/>
                <w:sz w:val="24"/>
                <w:szCs w:val="24"/>
              </w:rPr>
              <w:t xml:space="preserve">mm</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1400*630*720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额定载荷</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Kg</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b w:val="0"/>
                <w:i w:val="0"/>
                <w:caps w:val="0"/>
                <w:color w:val="auto"/>
                <w:spacing w:val="0"/>
                <w:sz w:val="24"/>
                <w:szCs w:val="24"/>
                <w:lang w:val="en-US" w:eastAsia="zh-CN"/>
              </w:rPr>
              <w:t xml:space="preserve">24</w:t>
            </w:r>
            <w:r>
              <w:rPr>
                <w:rFonts w:hint="eastAsia" w:ascii="仿宋" w:hAnsi="仿宋" w:eastAsia="仿宋" w:cs="仿宋"/>
                <w:b w:val="0"/>
                <w:i w:val="0"/>
                <w:caps w:val="0"/>
                <w:color w:val="auto"/>
                <w:spacing w:val="0"/>
                <w:sz w:val="24"/>
                <w:szCs w:val="24"/>
              </w:rPr>
              <w:t xml:space="preserve">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电机功率</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W</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800</w:t>
            </w:r>
            <w:r>
              <w:rPr>
                <w:rFonts w:hint="eastAsia" w:ascii="仿宋" w:hAnsi="仿宋" w:eastAsia="仿宋" w:cs="仿宋"/>
                <w:color w:val="auto"/>
                <w:sz w:val="24"/>
                <w:szCs w:val="24"/>
                <w:highlight w:val="none"/>
              </w:rPr>
              <w:t xml:space="preserve">(空载）</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最高时速</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km/h</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val="0"/>
                <w:i w:val="0"/>
                <w:caps w:val="0"/>
                <w:color w:val="auto"/>
                <w:spacing w:val="0"/>
                <w:sz w:val="24"/>
                <w:szCs w:val="24"/>
                <w:lang w:val="en-US" w:eastAsia="zh-CN"/>
              </w:rPr>
              <w:t xml:space="preserve">36</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制动距离（普通水泥路面）</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m</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val="0"/>
                <w:i w:val="0"/>
                <w:caps w:val="0"/>
                <w:color w:val="auto"/>
                <w:spacing w:val="0"/>
                <w:sz w:val="24"/>
                <w:szCs w:val="24"/>
              </w:rPr>
              <w:t xml:space="preserve">4</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转弯半径</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m</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b w:val="0"/>
                <w:i w:val="0"/>
                <w:caps w:val="0"/>
                <w:color w:val="auto"/>
                <w:spacing w:val="0"/>
                <w:sz w:val="24"/>
                <w:szCs w:val="24"/>
                <w:lang w:val="en-US" w:eastAsia="zh-CN"/>
              </w:rPr>
              <w:t xml:space="preserve">≥4</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后轮距</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mm</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740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轴距</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mm</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b w:val="0"/>
                <w:i w:val="0"/>
                <w:caps w:val="0"/>
                <w:color w:val="auto"/>
                <w:spacing w:val="0"/>
                <w:sz w:val="24"/>
                <w:szCs w:val="24"/>
              </w:rPr>
              <w:t xml:space="preserve">1</w:t>
            </w:r>
            <w:r>
              <w:rPr>
                <w:rFonts w:hint="eastAsia" w:ascii="仿宋" w:hAnsi="仿宋" w:eastAsia="仿宋" w:cs="仿宋"/>
                <w:b w:val="0"/>
                <w:i w:val="0"/>
                <w:caps w:val="0"/>
                <w:color w:val="auto"/>
                <w:spacing w:val="0"/>
                <w:sz w:val="24"/>
                <w:szCs w:val="24"/>
                <w:lang w:val="en-US" w:eastAsia="zh-CN"/>
              </w:rPr>
              <w:t xml:space="preserve">85</w:t>
            </w:r>
            <w:r>
              <w:rPr>
                <w:rFonts w:hint="eastAsia" w:ascii="仿宋" w:hAnsi="仿宋" w:eastAsia="仿宋" w:cs="仿宋"/>
                <w:b w:val="0"/>
                <w:i w:val="0"/>
                <w:caps w:val="0"/>
                <w:color w:val="auto"/>
                <w:spacing w:val="0"/>
                <w:sz w:val="24"/>
                <w:szCs w:val="24"/>
              </w:rPr>
              <w:t xml:space="preserve">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垃圾箱容量</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L</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240*2</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最小离地间隙</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mm</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val="0"/>
                <w:i w:val="0"/>
                <w:caps w:val="0"/>
                <w:color w:val="auto"/>
                <w:spacing w:val="0"/>
                <w:sz w:val="24"/>
                <w:szCs w:val="24"/>
              </w:rPr>
              <w:t xml:space="preserve">120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额定电压</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V</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b w:val="0"/>
                <w:i w:val="0"/>
                <w:caps w:val="0"/>
                <w:color w:val="auto"/>
                <w:spacing w:val="0"/>
                <w:sz w:val="24"/>
                <w:szCs w:val="24"/>
              </w:rPr>
              <w:t xml:space="preserve">48</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b w:val="0"/>
                <w:i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爬坡力</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b w:val="0"/>
                <w:i w:val="0"/>
                <w:caps w:val="0"/>
                <w:color w:val="auto"/>
                <w:spacing w:val="0"/>
                <w:sz w:val="24"/>
                <w:szCs w:val="24"/>
              </w:rPr>
              <w:t xml:space="preserve">15%</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1" w:type="dxa"/>
            <w:vAlign w:val="center"/>
            <w:textDirection w:val="lrTb"/>
            <w:noWrap w:val="false"/>
          </w:tcPr>
          <w:p>
            <w:pPr>
              <w:pStyle w:val="717"/>
              <w:ind w:left="0" w:right="0"/>
              <w:jc w:val="center"/>
              <w:keepLines w:val="0"/>
              <w:keepNext w:val="0"/>
              <w:spacing w:before="0" w:beforeAutospacing="0" w:after="0" w:afterAutospacing="0" w:line="256"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续航里程（空载）</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Km</w:t>
            </w:r>
            <w:r>
              <w:rPr>
                <w:rFonts w:hint="eastAsia" w:ascii="仿宋" w:hAnsi="仿宋" w:eastAsia="仿宋" w:cs="仿宋"/>
                <w:b w:val="0"/>
                <w:i w:val="0"/>
                <w:caps w:val="0"/>
                <w:color w:val="auto"/>
                <w:spacing w:val="0"/>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5032" w:type="dxa"/>
            <w:vAlign w:val="center"/>
            <w:textDirection w:val="lrTb"/>
            <w:noWrap w:val="false"/>
          </w:tcPr>
          <w:p>
            <w:pPr>
              <w:ind w:firstLine="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val="0"/>
                <w:i w:val="0"/>
                <w:caps w:val="0"/>
                <w:color w:val="auto"/>
                <w:spacing w:val="0"/>
                <w:sz w:val="24"/>
                <w:szCs w:val="24"/>
                <w:lang w:val="en-US" w:eastAsia="zh-CN"/>
              </w:rPr>
              <w:t xml:space="preserve">5</w:t>
            </w:r>
            <w:r>
              <w:rPr>
                <w:rFonts w:hint="eastAsia" w:ascii="仿宋" w:hAnsi="仿宋" w:eastAsia="仿宋" w:cs="仿宋"/>
                <w:b w:val="0"/>
                <w:i w:val="0"/>
                <w:caps w:val="0"/>
                <w:color w:val="auto"/>
                <w:spacing w:val="0"/>
                <w:sz w:val="24"/>
                <w:szCs w:val="24"/>
              </w:rPr>
              <w:t xml:space="preserve">0</w:t>
            </w:r>
            <w:r/>
          </w:p>
        </w:tc>
      </w:tr>
    </w:tbl>
    <w:p>
      <w:pPr>
        <w:pStyle w:val="717"/>
        <w:ind w:left="0" w:right="0" w:firstLine="0"/>
        <w:keepLines w:val="0"/>
        <w:keepNext w:val="0"/>
        <w:spacing w:before="0" w:beforeAutospacing="0" w:after="0" w:afterAutospacing="0" w:line="256" w:lineRule="atLeast"/>
        <w:shd w:val="clear" w:color="auto" w:fill="ffffff"/>
        <w:widowControl/>
        <w:rPr>
          <w:rFonts w:hint="eastAsia" w:ascii="仿宋" w:hAnsi="仿宋" w:eastAsia="仿宋" w:cs="仿宋"/>
          <w:b w:val="0"/>
          <w:i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720"/>
          <w:rFonts w:hint="eastAsia" w:ascii="仿宋" w:hAnsi="仿宋" w:eastAsia="仿宋" w:cs="仿宋"/>
          <w:i w:val="0"/>
          <w:caps w:val="0"/>
          <w:color w:val="auto"/>
          <w:spacing w:val="0"/>
          <w:sz w:val="24"/>
          <w:szCs w:val="24"/>
          <w:shd w:val="clear" w:color="auto" w:fill="ffffff"/>
        </w:rPr>
        <w:t xml:space="preserve">主要配置：</w:t>
      </w:r>
      <w:r/>
    </w:p>
    <w:tbl>
      <w:tblPr>
        <w:tblStyle w:val="695"/>
        <w:tblW w:w="9740" w:type="dxa"/>
        <w:tblInd w:w="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2711"/>
        <w:gridCol w:w="1868"/>
        <w:gridCol w:w="1644"/>
        <w:gridCol w:w="3517"/>
      </w:tblGrid>
      <w:tr>
        <w:trPr>
          <w:trHeight w:val="281"/>
        </w:trPr>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271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标准颜色</w:t>
            </w:r>
            <w:r/>
          </w:p>
        </w:tc>
        <w:tc>
          <w:tcPr>
            <w:shd w:val="clear" w:color="auto" w:fill="ffffff"/>
            <w:tcBorders>
              <w:top w:val="single" w:color="auto" w:sz="4" w:space="0"/>
              <w:left w:val="none" w:color="000000" w:sz="4" w:space="0"/>
              <w:bottom w:val="single" w:color="auto" w:sz="4" w:space="0"/>
              <w:right w:val="single" w:color="auto" w:sz="4" w:space="0"/>
            </w:tcBorders>
            <w:tcMar>
              <w:left w:w="70" w:type="dxa"/>
              <w:right w:w="70" w:type="dxa"/>
            </w:tcMar>
            <w:tcW w:w="1868"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环保</w:t>
            </w:r>
            <w:r>
              <w:rPr>
                <w:rFonts w:hint="eastAsia" w:ascii="仿宋" w:hAnsi="仿宋" w:eastAsia="仿宋" w:cs="仿宋"/>
                <w:b w:val="0"/>
                <w:i w:val="0"/>
                <w:caps w:val="0"/>
                <w:color w:val="auto"/>
                <w:spacing w:val="0"/>
                <w:sz w:val="24"/>
                <w:szCs w:val="24"/>
              </w:rPr>
              <w:t xml:space="preserve">蓝</w:t>
            </w:r>
            <w:r/>
          </w:p>
        </w:tc>
        <w:tc>
          <w:tcPr>
            <w:shd w:val="clear" w:color="auto" w:fill="ffffff"/>
            <w:tcBorders>
              <w:top w:val="single" w:color="auto" w:sz="4" w:space="0"/>
              <w:left w:val="none" w:color="000000" w:sz="4" w:space="0"/>
              <w:bottom w:val="single" w:color="auto" w:sz="4" w:space="0"/>
              <w:right w:val="single" w:color="auto" w:sz="4" w:space="0"/>
            </w:tcBorders>
            <w:tcMar>
              <w:left w:w="70" w:type="dxa"/>
              <w:right w:w="70" w:type="dxa"/>
            </w:tcMar>
            <w:tcW w:w="1644"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充电器</w:t>
            </w:r>
            <w:r/>
          </w:p>
        </w:tc>
        <w:tc>
          <w:tcPr>
            <w:shd w:val="clear" w:color="auto" w:fill="ffffff"/>
            <w:tcBorders>
              <w:top w:val="single" w:color="auto" w:sz="4" w:space="0"/>
              <w:left w:val="none" w:color="000000" w:sz="4" w:space="0"/>
              <w:bottom w:val="single" w:color="auto" w:sz="4" w:space="0"/>
              <w:right w:val="single" w:color="auto" w:sz="4" w:space="0"/>
            </w:tcBorders>
            <w:tcMar>
              <w:left w:w="70" w:type="dxa"/>
              <w:right w:w="70" w:type="dxa"/>
            </w:tcMar>
            <w:tcW w:w="3517"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便携式全自动充电器</w:t>
            </w:r>
            <w:r/>
          </w:p>
        </w:tc>
      </w:tr>
      <w:tr>
        <w:trPr/>
        <w:tc>
          <w:tcPr>
            <w:shd w:val="clear" w:color="auto" w:fill="ffffff"/>
            <w:tcBorders>
              <w:top w:val="none" w:color="000000" w:sz="4" w:space="0"/>
              <w:left w:val="single" w:color="auto" w:sz="4" w:space="0"/>
              <w:bottom w:val="single" w:color="auto" w:sz="4" w:space="0"/>
              <w:right w:val="single" w:color="auto" w:sz="4" w:space="0"/>
            </w:tcBorders>
            <w:tcMar>
              <w:left w:w="70" w:type="dxa"/>
              <w:right w:w="70" w:type="dxa"/>
            </w:tcMar>
            <w:tcW w:w="271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座椅材质</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868"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皮革</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644"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驱动方式</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3517"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后桥式驱动</w:t>
            </w:r>
            <w:r/>
          </w:p>
        </w:tc>
      </w:tr>
      <w:tr>
        <w:trPr/>
        <w:tc>
          <w:tcPr>
            <w:shd w:val="clear" w:color="auto" w:fill="ffffff"/>
            <w:tcBorders>
              <w:top w:val="none" w:color="000000" w:sz="4" w:space="0"/>
              <w:left w:val="single" w:color="auto" w:sz="4" w:space="0"/>
              <w:bottom w:val="single" w:color="auto" w:sz="4" w:space="0"/>
              <w:right w:val="single" w:color="auto" w:sz="4" w:space="0"/>
            </w:tcBorders>
            <w:tcMar>
              <w:left w:w="70" w:type="dxa"/>
              <w:right w:w="70" w:type="dxa"/>
            </w:tcMar>
            <w:tcW w:w="271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电  机</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868"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高磁钢无刷差速</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644"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蓄电池容量</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3517"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32</w:t>
            </w:r>
            <w:r>
              <w:rPr>
                <w:rFonts w:hint="eastAsia" w:ascii="仿宋" w:hAnsi="仿宋" w:eastAsia="仿宋" w:cs="仿宋"/>
                <w:b w:val="0"/>
                <w:i w:val="0"/>
                <w:caps w:val="0"/>
                <w:color w:val="auto"/>
                <w:spacing w:val="0"/>
                <w:sz w:val="24"/>
                <w:szCs w:val="24"/>
              </w:rPr>
              <w:t xml:space="preserve">AH</w:t>
            </w:r>
            <w:r>
              <w:rPr>
                <w:rFonts w:hint="eastAsia" w:ascii="仿宋" w:hAnsi="仿宋" w:eastAsia="仿宋" w:cs="仿宋"/>
                <w:b w:val="0"/>
                <w:i w:val="0"/>
                <w:caps w:val="0"/>
                <w:color w:val="auto"/>
                <w:spacing w:val="0"/>
                <w:sz w:val="24"/>
                <w:szCs w:val="24"/>
                <w:lang w:eastAsia="zh-CN"/>
              </w:rPr>
              <w:t xml:space="preserve">，</w:t>
            </w:r>
            <w:r>
              <w:rPr>
                <w:rFonts w:hint="eastAsia" w:ascii="仿宋" w:hAnsi="仿宋" w:eastAsia="仿宋" w:cs="仿宋"/>
                <w:b w:val="0"/>
                <w:i w:val="0"/>
                <w:caps w:val="0"/>
                <w:color w:val="auto"/>
                <w:spacing w:val="0"/>
                <w:sz w:val="24"/>
                <w:szCs w:val="24"/>
                <w:lang w:val="en-US" w:eastAsia="zh-CN"/>
              </w:rPr>
              <w:t xml:space="preserve">免维护高效胶体</w:t>
            </w:r>
            <w:r/>
          </w:p>
        </w:tc>
      </w:tr>
      <w:tr>
        <w:trPr/>
        <w:tc>
          <w:tcPr>
            <w:shd w:val="clear" w:color="auto" w:fill="ffffff"/>
            <w:tcBorders>
              <w:top w:val="none" w:color="000000" w:sz="4" w:space="0"/>
              <w:left w:val="single" w:color="auto" w:sz="4" w:space="0"/>
              <w:bottom w:val="single" w:color="auto" w:sz="4" w:space="0"/>
              <w:right w:val="single" w:color="auto" w:sz="4" w:space="0"/>
            </w:tcBorders>
            <w:tcMar>
              <w:left w:w="70" w:type="dxa"/>
              <w:right w:w="70" w:type="dxa"/>
            </w:tcMar>
            <w:tcW w:w="271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整体车架</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868"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高强度碳钢</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644"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表面处理</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3517"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酸洗电泳磷化</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271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前轮</w:t>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1868"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16</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1644"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后轮</w:t>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3517"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t xml:space="preserve">16</w:t>
            </w:r>
            <w:r>
              <w:rPr>
                <w:rFonts w:hint="eastAsia" w:ascii="仿宋" w:hAnsi="仿宋" w:eastAsia="仿宋" w:cs="仿宋"/>
                <w:b w:val="0"/>
                <w:i w:val="0"/>
                <w:caps w:val="0"/>
                <w:color w:val="auto"/>
                <w:spacing w:val="0"/>
                <w:sz w:val="24"/>
                <w:szCs w:val="24"/>
                <w:lang w:val="en-US" w:eastAsia="zh-CN"/>
              </w:rPr>
              <w:t xml:space="preserve">-</w:t>
            </w:r>
            <w:r>
              <w:rPr>
                <w:rFonts w:hint="eastAsia" w:ascii="仿宋" w:hAnsi="仿宋" w:eastAsia="仿宋" w:cs="仿宋"/>
                <w:b w:val="0"/>
                <w:i w:val="0"/>
                <w:caps w:val="0"/>
                <w:color w:val="auto"/>
                <w:spacing w:val="0"/>
                <w:sz w:val="24"/>
                <w:szCs w:val="24"/>
              </w:rPr>
              <w:t xml:space="preserve">3.0</w:t>
            </w:r>
            <w:r/>
          </w:p>
        </w:tc>
      </w:tr>
    </w:tbl>
    <w:p>
      <w:pP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其他说明：</w:t>
      </w:r>
      <w:r/>
    </w:p>
    <w:tbl>
      <w:tblPr>
        <w:tblStyle w:val="695"/>
        <w:tblW w:w="9729" w:type="dxa"/>
        <w:tblInd w:w="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340"/>
        <w:gridCol w:w="1371"/>
        <w:gridCol w:w="7018"/>
      </w:tblGrid>
      <w:tr>
        <w:trPr>
          <w:trHeight w:val="281"/>
        </w:trPr>
        <w:tc>
          <w:tcPr>
            <w:shd w:val="clear" w:color="auto" w:fill="ffffff"/>
            <w:tcBorders>
              <w:top w:val="single" w:color="auto" w:sz="4" w:space="0"/>
              <w:left w:val="single" w:color="auto" w:sz="4" w:space="0"/>
              <w:right w:val="single" w:color="auto" w:sz="4" w:space="0"/>
            </w:tcBorders>
            <w:tcMar>
              <w:left w:w="70" w:type="dxa"/>
              <w:right w:w="70" w:type="dxa"/>
            </w:tcMar>
            <w:tcW w:w="1340" w:type="dxa"/>
            <w:vAlign w:val="center"/>
            <w:vMerge w:val="restart"/>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底盘系统</w:t>
            </w:r>
            <w:r/>
          </w:p>
        </w:tc>
        <w:tc>
          <w:tcPr>
            <w:shd w:val="clear" w:color="auto" w:fill="ffffff"/>
            <w:tcBorders>
              <w:top w:val="single" w:color="auto" w:sz="4" w:space="0"/>
              <w:left w:val="none" w:color="000000" w:sz="4" w:space="0"/>
              <w:bottom w:val="single" w:color="auto" w:sz="4" w:space="0"/>
              <w:right w:val="single" w:color="auto" w:sz="4" w:space="0"/>
            </w:tcBorders>
            <w:tcMar>
              <w:left w:w="70" w:type="dxa"/>
              <w:right w:w="70" w:type="dxa"/>
            </w:tcMar>
            <w:tcW w:w="137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车架</w:t>
            </w:r>
            <w:r/>
          </w:p>
        </w:tc>
        <w:tc>
          <w:tcPr>
            <w:shd w:val="clear" w:color="auto" w:fill="ffffff"/>
            <w:tcBorders>
              <w:top w:val="single" w:color="auto" w:sz="4" w:space="0"/>
              <w:left w:val="none" w:color="000000" w:sz="4" w:space="0"/>
              <w:bottom w:val="single" w:color="auto" w:sz="4" w:space="0"/>
              <w:right w:val="single" w:color="auto" w:sz="4" w:space="0"/>
            </w:tcBorders>
            <w:tcMar>
              <w:left w:w="70" w:type="dxa"/>
              <w:right w:w="70" w:type="dxa"/>
            </w:tcMar>
            <w:tcW w:w="7018" w:type="dxa"/>
            <w:vAlign w:val="center"/>
            <w:textDirection w:val="lrTb"/>
            <w:noWrap w:val="false"/>
          </w:tcPr>
          <w:p>
            <w:pPr>
              <w:pStyle w:val="717"/>
              <w:ind w:left="0" w:right="0"/>
              <w:jc w:val="both"/>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整体焊接一体大梁</w:t>
            </w:r>
            <w:r/>
          </w:p>
        </w:tc>
      </w:tr>
      <w:tr>
        <w:trPr/>
        <w:tc>
          <w:tcPr>
            <w:shd w:val="clear" w:color="auto" w:fill="ffffff"/>
            <w:tcBorders>
              <w:left w:val="single" w:color="auto" w:sz="4" w:space="0"/>
              <w:right w:val="single" w:color="auto" w:sz="4" w:space="0"/>
            </w:tcBorders>
            <w:tcMar>
              <w:left w:w="70" w:type="dxa"/>
              <w:right w:w="70" w:type="dxa"/>
            </w:tcMar>
            <w:tcW w:w="1340" w:type="dxa"/>
            <w:vAlign w:val="center"/>
            <w:vMerge w:val="continue"/>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rPr>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37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悬架</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7018" w:type="dxa"/>
            <w:vAlign w:val="center"/>
            <w:textDirection w:val="lrTb"/>
            <w:noWrap w:val="false"/>
          </w:tcPr>
          <w:p>
            <w:pPr>
              <w:pStyle w:val="717"/>
              <w:ind w:left="0" w:right="0"/>
              <w:jc w:val="both"/>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前悬架：加粗双筒外加螺旋弹簧式前叉；</w:t>
            </w:r>
            <w:r/>
          </w:p>
          <w:p>
            <w:pPr>
              <w:pStyle w:val="717"/>
              <w:ind w:left="0" w:right="0"/>
              <w:jc w:val="both"/>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后悬架：非独立悬架</w:t>
            </w:r>
            <w:r/>
          </w:p>
        </w:tc>
      </w:tr>
      <w:tr>
        <w:trPr/>
        <w:tc>
          <w:tcPr>
            <w:shd w:val="clear" w:color="auto" w:fill="ffffff"/>
            <w:tcBorders>
              <w:left w:val="single" w:color="auto" w:sz="4" w:space="0"/>
              <w:right w:val="single" w:color="auto" w:sz="4" w:space="0"/>
            </w:tcBorders>
            <w:tcMar>
              <w:left w:w="70" w:type="dxa"/>
              <w:right w:w="70" w:type="dxa"/>
            </w:tcMar>
            <w:tcW w:w="1340" w:type="dxa"/>
            <w:vAlign w:val="center"/>
            <w:vMerge w:val="continue"/>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rPr>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37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后桥</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7018" w:type="dxa"/>
            <w:vAlign w:val="center"/>
            <w:textDirection w:val="lrTb"/>
            <w:noWrap w:val="false"/>
          </w:tcPr>
          <w:p>
            <w:pPr>
              <w:pStyle w:val="717"/>
              <w:ind w:left="0" w:right="0"/>
              <w:jc w:val="both"/>
              <w:keepLines w:val="0"/>
              <w:keepNext w:val="0"/>
              <w:spacing w:before="0" w:beforeAutospacing="0" w:after="0" w:afterAutospacing="0" w:line="16" w:lineRule="atLeast"/>
              <w:widowControl/>
              <w:rPr>
                <w:rFonts w:hint="eastAsia" w:ascii="仿宋" w:hAnsi="仿宋" w:eastAsia="仿宋" w:cs="仿宋"/>
                <w:color w:val="auto"/>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分体式差速后桥</w:t>
            </w:r>
            <w:r/>
          </w:p>
        </w:tc>
      </w:tr>
      <w:tr>
        <w:trPr/>
        <w:tc>
          <w:tcPr>
            <w:shd w:val="clear" w:color="auto" w:fill="ffffff"/>
            <w:tcBorders>
              <w:left w:val="single" w:color="auto" w:sz="4" w:space="0"/>
              <w:bottom w:val="single" w:color="auto" w:sz="4" w:space="0"/>
              <w:right w:val="single" w:color="auto" w:sz="4" w:space="0"/>
            </w:tcBorders>
            <w:tcMar>
              <w:left w:w="70" w:type="dxa"/>
              <w:right w:w="70" w:type="dxa"/>
            </w:tcMar>
            <w:tcW w:w="1340" w:type="dxa"/>
            <w:vAlign w:val="center"/>
            <w:vMerge w:val="continue"/>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rPr>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137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制动</w:t>
            </w:r>
            <w:r/>
          </w:p>
        </w:tc>
        <w:tc>
          <w:tcPr>
            <w:shd w:val="clear" w:color="auto" w:fill="ffffff"/>
            <w:tcBorders>
              <w:top w:val="none" w:color="000000" w:sz="4" w:space="0"/>
              <w:left w:val="none" w:color="000000" w:sz="4" w:space="0"/>
              <w:bottom w:val="single" w:color="auto" w:sz="4" w:space="0"/>
              <w:right w:val="single" w:color="auto" w:sz="4" w:space="0"/>
            </w:tcBorders>
            <w:tcMar>
              <w:left w:w="70" w:type="dxa"/>
              <w:right w:w="70" w:type="dxa"/>
            </w:tcMar>
            <w:tcW w:w="7018" w:type="dxa"/>
            <w:vAlign w:val="center"/>
            <w:textDirection w:val="lrTb"/>
            <w:noWrap w:val="false"/>
          </w:tcPr>
          <w:p>
            <w:pPr>
              <w:pStyle w:val="717"/>
              <w:ind w:left="0" w:right="0"/>
              <w:jc w:val="both"/>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脚踩机械连杆鼓式后轮制动+左手把式软轴前轮制动+手动机械驻车制动</w:t>
            </w:r>
            <w:r/>
          </w:p>
        </w:tc>
      </w:tr>
      <w:tr>
        <w:trPr/>
        <w:tc>
          <w:tcPr>
            <w:shd w:val="clear" w:color="auto" w:fill="ffffff"/>
            <w:tcBorders>
              <w:top w:val="single" w:color="auto" w:sz="4" w:space="0"/>
              <w:left w:val="single" w:color="auto" w:sz="4" w:space="0"/>
              <w:right w:val="single" w:color="auto" w:sz="4" w:space="0"/>
            </w:tcBorders>
            <w:tcMar>
              <w:left w:w="70" w:type="dxa"/>
              <w:right w:w="70" w:type="dxa"/>
            </w:tcMar>
            <w:tcW w:w="1340" w:type="dxa"/>
            <w:vAlign w:val="center"/>
            <w:vMerge w:val="restart"/>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车身</w:t>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137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仪表台</w:t>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7018" w:type="dxa"/>
            <w:vAlign w:val="center"/>
            <w:textDirection w:val="lrTb"/>
            <w:noWrap w:val="false"/>
          </w:tcPr>
          <w:p>
            <w:pPr>
              <w:pStyle w:val="717"/>
              <w:ind w:left="0" w:right="0"/>
              <w:jc w:val="both"/>
              <w:keepLines w:val="0"/>
              <w:keepNext w:val="0"/>
              <w:spacing w:before="0" w:beforeAutospacing="0" w:after="0" w:afterAutospacing="0" w:line="16" w:lineRule="atLeast"/>
              <w:widowControl/>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注塑成型仪表台，电源锁，仪表，组合开关</w:t>
            </w:r>
            <w:r/>
          </w:p>
        </w:tc>
      </w:tr>
      <w:tr>
        <w:trPr/>
        <w:tc>
          <w:tcPr>
            <w:shd w:val="clear" w:color="auto" w:fill="ffffff"/>
            <w:tcBorders>
              <w:left w:val="single" w:color="auto" w:sz="4" w:space="0"/>
              <w:right w:val="single" w:color="auto" w:sz="4" w:space="0"/>
            </w:tcBorders>
            <w:tcMar>
              <w:left w:w="70" w:type="dxa"/>
              <w:right w:w="70" w:type="dxa"/>
            </w:tcMar>
            <w:tcW w:w="1340" w:type="dxa"/>
            <w:vAlign w:val="center"/>
            <w:vMerge w:val="continue"/>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b w:val="0"/>
                <w:i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137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b w:val="0"/>
                <w:i w:val="0"/>
                <w:caps w:val="0"/>
                <w:color w:val="auto"/>
                <w:spacing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油漆</w:t>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7018" w:type="dxa"/>
            <w:vAlign w:val="center"/>
            <w:textDirection w:val="lrTb"/>
            <w:noWrap w:val="false"/>
          </w:tcPr>
          <w:p>
            <w:pPr>
              <w:pStyle w:val="717"/>
              <w:ind w:left="0" w:right="0"/>
              <w:jc w:val="both"/>
              <w:keepLines w:val="0"/>
              <w:keepNext w:val="0"/>
              <w:spacing w:before="0" w:beforeAutospacing="0" w:after="0" w:afterAutospacing="0" w:line="16" w:lineRule="atLeast"/>
              <w:widowControl/>
              <w:rPr>
                <w:rFonts w:hint="eastAsia" w:ascii="仿宋" w:hAnsi="仿宋" w:eastAsia="仿宋" w:cs="仿宋"/>
                <w:b w:val="0"/>
                <w:i w:val="0"/>
                <w:caps w:val="0"/>
                <w:color w:val="auto"/>
                <w:spacing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高级汽车专用油漆</w:t>
            </w:r>
            <w:r/>
          </w:p>
        </w:tc>
      </w:tr>
      <w:tr>
        <w:trPr/>
        <w:tc>
          <w:tcPr>
            <w:shd w:val="clear" w:color="auto" w:fill="ffffff"/>
            <w:tcBorders>
              <w:left w:val="single" w:color="auto" w:sz="4" w:space="0"/>
              <w:bottom w:val="single" w:color="auto" w:sz="4" w:space="0"/>
              <w:right w:val="single" w:color="auto" w:sz="4" w:space="0"/>
            </w:tcBorders>
            <w:tcMar>
              <w:left w:w="70" w:type="dxa"/>
              <w:right w:w="70" w:type="dxa"/>
            </w:tcMar>
            <w:tcW w:w="1340" w:type="dxa"/>
            <w:vAlign w:val="center"/>
            <w:vMerge w:val="continue"/>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b w:val="0"/>
                <w:i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1371"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b w:val="0"/>
                <w:i w:val="0"/>
                <w:caps w:val="0"/>
                <w:color w:val="auto"/>
                <w:spacing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箱体</w:t>
            </w:r>
            <w:r/>
          </w:p>
        </w:tc>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7018" w:type="dxa"/>
            <w:vAlign w:val="center"/>
            <w:textDirection w:val="lrTb"/>
            <w:noWrap w:val="false"/>
          </w:tcPr>
          <w:p>
            <w:pPr>
              <w:pStyle w:val="717"/>
              <w:ind w:left="0" w:right="0"/>
              <w:jc w:val="both"/>
              <w:keepLines w:val="0"/>
              <w:keepNext w:val="0"/>
              <w:spacing w:before="0" w:beforeAutospacing="0" w:after="0" w:afterAutospacing="0" w:line="16" w:lineRule="atLeast"/>
              <w:widowControl/>
              <w:rPr>
                <w:rFonts w:hint="eastAsia" w:ascii="仿宋" w:hAnsi="仿宋" w:eastAsia="仿宋" w:cs="仿宋"/>
                <w:b w:val="0"/>
                <w:i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rPr>
              <w:t xml:space="preserve">箱体采用酸洗电泳喷漆整体焊接工艺而成，配合2个240L标准塑料桶使用,后门的设计使垃圾桶推拉作业更加合理</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1340" w:type="dxa"/>
            <w:vAlign w:val="center"/>
            <w:textDirection w:val="lrTb"/>
            <w:noWrap w:val="false"/>
          </w:tcPr>
          <w:p>
            <w:pPr>
              <w:pStyle w:val="717"/>
              <w:ind w:left="0" w:right="0"/>
              <w:jc w:val="center"/>
              <w:keepLines w:val="0"/>
              <w:keepNext w:val="0"/>
              <w:spacing w:before="0" w:beforeAutospacing="0" w:after="0" w:afterAutospacing="0" w:line="16" w:lineRule="atLeast"/>
              <w:widowControl/>
              <w:rPr>
                <w:rFonts w:hint="eastAsia" w:ascii="仿宋" w:hAnsi="仿宋" w:eastAsia="仿宋" w:cs="仿宋"/>
                <w:b w:val="0"/>
                <w:i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i w:val="0"/>
                <w:caps w:val="0"/>
                <w:color w:val="auto"/>
                <w:spacing w:val="0"/>
                <w:sz w:val="24"/>
                <w:szCs w:val="24"/>
                <w:lang w:val="en-US" w:eastAsia="zh-CN"/>
              </w:rPr>
              <w:t xml:space="preserve">灯光及信号</w:t>
            </w:r>
            <w:r/>
          </w:p>
        </w:tc>
        <w:tc>
          <w:tcPr>
            <w:gridSpan w:val="2"/>
            <w:shd w:val="clear" w:color="auto" w:fill="ffffff"/>
            <w:tcBorders>
              <w:top w:val="single" w:color="auto" w:sz="4" w:space="0"/>
              <w:left w:val="single" w:color="auto" w:sz="4" w:space="0"/>
              <w:bottom w:val="single" w:color="auto" w:sz="4" w:space="0"/>
              <w:right w:val="single" w:color="auto" w:sz="4" w:space="0"/>
            </w:tcBorders>
            <w:tcMar>
              <w:left w:w="70" w:type="dxa"/>
              <w:right w:w="70" w:type="dxa"/>
            </w:tcMar>
            <w:tcW w:w="8389" w:type="dxa"/>
            <w:vAlign w:val="center"/>
            <w:textDirection w:val="lrTb"/>
            <w:noWrap w:val="false"/>
          </w:tcPr>
          <w:p>
            <w:pPr>
              <w:pStyle w:val="717"/>
              <w:ind w:left="0" w:right="0"/>
              <w:jc w:val="both"/>
              <w:keepLines w:val="0"/>
              <w:keepNext w:val="0"/>
              <w:spacing w:before="0" w:beforeAutospacing="0" w:after="0" w:afterAutospacing="0" w:line="16" w:lineRule="atLeas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rPr>
              <w:t xml:space="preserve">LED照明灯、左右转向灯、刹车灯、行车灯、仪表、电喇叭、工作警示灯(选装)等</w:t>
            </w:r>
            <w:r/>
          </w:p>
        </w:tc>
      </w:tr>
    </w:tbl>
    <w:p>
      <w:pPr>
        <w:pStyle w:val="890"/>
        <w:numPr>
          <w:ilvl w:val="0"/>
          <w:numId w:val="0"/>
        </w:numPr>
        <w:ind w:left="0" w:firstLine="0"/>
        <w:keepLines w:val="0"/>
        <w:keepNext w:val="0"/>
        <w:pageBreakBefore w:val="0"/>
        <w:spacing w:line="288"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适用于城镇街道、车站、机场、码头、工厂、学校、医院、广场、小区小巷、人行道等路段垃圾收集和巡回保洁使用。随走随停，方便灵活。</w:t>
      </w:r>
      <w:r/>
    </w:p>
    <w:p>
      <w:pPr>
        <w:pStyle w:val="890"/>
        <w:numPr>
          <w:ilvl w:val="0"/>
          <w:numId w:val="0"/>
        </w:numPr>
        <w:ind w:left="0" w:firstLine="0"/>
        <w:keepLines w:val="0"/>
        <w:keepNext w:val="0"/>
        <w:pageBreakBefore w:val="0"/>
        <w:spacing w:line="288"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pStyle w:val="889"/>
        <w:rPr>
          <w:rFonts w:hint="eastAsia"/>
          <w:color w:val="auto"/>
          <w:lang w:val="en-US" w:eastAsia="zh-CN"/>
        </w:rPr>
      </w:pPr>
      <w:r>
        <w:rPr>
          <w:rFonts w:hint="eastAsia"/>
          <w:color w:val="auto"/>
          <w:lang w:val="en-US" w:eastAsia="zh-CN"/>
        </w:rPr>
      </w:r>
      <w:r/>
    </w:p>
    <w:p>
      <w:pPr>
        <w:pStyle w:val="890"/>
        <w:numPr>
          <w:ilvl w:val="0"/>
          <w:numId w:val="0"/>
        </w:numPr>
        <w:ind w:left="0" w:firstLine="0"/>
        <w:keepLines w:val="0"/>
        <w:keepNext w:val="0"/>
        <w:pageBreakBefore w:val="0"/>
        <w:spacing w:line="288"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2.2.24轮电动厨余垃圾转运车</w:t>
      </w:r>
      <w:r/>
    </w:p>
    <w:tbl>
      <w:tblPr>
        <w:tblStyle w:val="695"/>
        <w:tblW w:w="9685" w:type="dxa"/>
        <w:tblInd w:w="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690"/>
        <w:gridCol w:w="6085"/>
      </w:tblGrid>
      <w:tr>
        <w:trPr>
          <w:trHeight w:val="494"/>
        </w:trPr>
        <w:tc>
          <w:tcPr>
            <w:gridSpan w:val="2"/>
            <w:tcW w:w="360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额定成员（人）</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p>
        </w:tc>
      </w:tr>
      <w:tr>
        <w:trPr>
          <w:trHeight w:val="334"/>
        </w:trPr>
        <w:tc>
          <w:tcPr>
            <w:tcW w:w="910" w:type="dxa"/>
            <w:vAlign w:val="top"/>
            <w:vMerge w:val="restart"/>
            <w:textDirection w:val="tbRlV"/>
            <w:noWrap w:val="false"/>
          </w:tcPr>
          <w:p>
            <w:pPr>
              <w:ind w:left="113" w:right="113"/>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技术参数</w:t>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整车尺寸（mm）</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55</w:t>
            </w:r>
            <w:r>
              <w:rPr>
                <w:rFonts w:hint="eastAsia" w:ascii="仿宋" w:hAnsi="仿宋" w:eastAsia="仿宋" w:cs="仿宋"/>
                <w:color w:val="auto"/>
                <w:sz w:val="24"/>
                <w:szCs w:val="24"/>
              </w:rPr>
              <w:t xml:space="preserve">0×14</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0×2050</w:t>
            </w:r>
            <w:r/>
          </w:p>
        </w:tc>
      </w:tr>
      <w:tr>
        <w:trPr>
          <w:trHeight w:val="334"/>
        </w:trPr>
        <w:tc>
          <w:tcPr>
            <w:tcW w:w="910" w:type="dxa"/>
            <w:vAlign w:val="top"/>
            <w:vMerge w:val="continue"/>
            <w:textDirection w:val="tbRlV"/>
            <w:noWrap w:val="false"/>
          </w:tcPr>
          <w:p>
            <w:pPr>
              <w:ind w:left="113" w:right="113"/>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车厢</w:t>
            </w:r>
            <w:r>
              <w:rPr>
                <w:rFonts w:hint="eastAsia" w:ascii="仿宋" w:hAnsi="仿宋" w:eastAsia="仿宋" w:cs="仿宋"/>
                <w:color w:val="auto"/>
                <w:sz w:val="24"/>
                <w:szCs w:val="24"/>
              </w:rPr>
              <w:t xml:space="preserve">尺寸（mm）</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3100</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1400</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500</w:t>
            </w:r>
            <w:r/>
          </w:p>
        </w:tc>
      </w:tr>
      <w:tr>
        <w:trPr>
          <w:trHeight w:val="321"/>
        </w:trPr>
        <w:tc>
          <w:tcPr>
            <w:tcW w:w="910" w:type="dxa"/>
            <w:vAlign w:val="top"/>
            <w:vMerge w:val="continue"/>
            <w:textDirection w:val="tbRlV"/>
            <w:noWrap w:val="false"/>
          </w:tcPr>
          <w:p>
            <w:pPr>
              <w:ind w:left="113" w:right="113"/>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装桶个数</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240L垃圾桶*8</w:t>
            </w:r>
            <w:r/>
          </w:p>
        </w:tc>
      </w:tr>
      <w:tr>
        <w:trPr>
          <w:trHeight w:val="339"/>
        </w:trPr>
        <w:tc>
          <w:tcPr>
            <w:tcW w:w="910" w:type="dxa"/>
            <w:vAlign w:val="top"/>
            <w:vMerge w:val="continue"/>
            <w:textDirection w:val="tbRlV"/>
            <w:noWrap w:val="false"/>
          </w:tcPr>
          <w:p>
            <w:pPr>
              <w:ind w:left="113" w:right="113"/>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最小离地间隙（mm）</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220</w:t>
            </w:r>
            <w:r/>
          </w:p>
        </w:tc>
      </w:tr>
      <w:tr>
        <w:trPr>
          <w:trHeight w:val="569"/>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最大爬坡度（％）</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15</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车辆动力系统和抓地能力强，车辆运行更加安全稳定</w:t>
            </w:r>
            <w:r/>
          </w:p>
        </w:tc>
      </w:tr>
      <w:tr>
        <w:trPr>
          <w:trHeight w:val="505"/>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最高行驶速度（km/h）</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30（空载）</w:t>
            </w:r>
            <w:r/>
          </w:p>
        </w:tc>
      </w:tr>
      <w:tr>
        <w:trPr>
          <w:trHeight w:val="422"/>
        </w:trPr>
        <w:tc>
          <w:tcPr>
            <w:tcW w:w="910" w:type="dxa"/>
            <w:vAlign w:val="top"/>
            <w:vMerge w:val="restart"/>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电 器系统</w:t>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工作电压（u）</w:t>
            </w:r>
            <w:r/>
          </w:p>
        </w:tc>
        <w:tc>
          <w:tcPr>
            <w:tcW w:w="6085" w:type="dxa"/>
            <w:vAlign w:val="top"/>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72</w:t>
            </w:r>
            <w:r/>
          </w:p>
        </w:tc>
      </w:tr>
      <w:tr>
        <w:trPr>
          <w:trHeight w:val="465"/>
        </w:trPr>
        <w:tc>
          <w:tcPr>
            <w:tcW w:w="910" w:type="dxa"/>
            <w:vAlign w:val="top"/>
            <w:vMerge w:val="continue"/>
            <w:textDirection w:val="tbRlV"/>
            <w:noWrap w:val="false"/>
          </w:tcPr>
          <w:p>
            <w:pPr>
              <w:ind w:right="113"/>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电池容量（Ah）</w:t>
            </w:r>
            <w:r/>
          </w:p>
        </w:tc>
        <w:tc>
          <w:tcPr>
            <w:tcW w:w="6085" w:type="dxa"/>
            <w:vAlign w:val="top"/>
            <w:textDirection w:val="lrTb"/>
            <w:noWrap w:val="false"/>
          </w:tcPr>
          <w:p>
            <w:p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72</w:t>
            </w:r>
            <w:r>
              <w:rPr>
                <w:rFonts w:hint="eastAsia" w:ascii="仿宋" w:hAnsi="仿宋" w:eastAsia="仿宋" w:cs="仿宋"/>
                <w:b w:val="0"/>
                <w:bCs/>
                <w:color w:val="auto"/>
                <w:sz w:val="24"/>
                <w:szCs w:val="24"/>
                <w:highlight w:val="none"/>
              </w:rPr>
              <w:t xml:space="preserve">V1</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0Ah免维护电池，容量大，续航里程长，全国统一售后，更换方便</w:t>
            </w:r>
            <w:r/>
          </w:p>
        </w:tc>
      </w:tr>
      <w:tr>
        <w:trPr>
          <w:trHeight w:val="422"/>
        </w:trPr>
        <w:tc>
          <w:tcPr>
            <w:tcW w:w="910" w:type="dxa"/>
            <w:vAlign w:val="top"/>
            <w:vMerge w:val="continue"/>
            <w:textDirection w:val="tbRlV"/>
            <w:noWrap w:val="false"/>
          </w:tcPr>
          <w:p>
            <w:pPr>
              <w:ind w:right="113"/>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电机功率（kw）</w:t>
            </w:r>
            <w:r/>
          </w:p>
        </w:tc>
        <w:tc>
          <w:tcPr>
            <w:tcW w:w="6085" w:type="dxa"/>
            <w:vAlign w:val="top"/>
            <w:textDirection w:val="lrTb"/>
            <w:noWrap w:val="false"/>
          </w:tcPr>
          <w:p>
            <w:pPr>
              <w:rPr>
                <w:rFonts w:hint="eastAsia" w:ascii="仿宋" w:hAnsi="仿宋" w:eastAsia="仿宋" w:cs="仿宋"/>
                <w:b w:val="0"/>
                <w:bCs/>
                <w:color w:val="auto"/>
                <w:sz w:val="24"/>
                <w:szCs w:val="24"/>
                <w:highlight w:val="none"/>
              </w:rPr>
            </w:pPr>
            <w:r>
              <w:rPr>
                <w:rFonts w:hint="eastAsia" w:ascii="仿宋" w:hAnsi="仿宋" w:eastAsia="仿宋" w:cs="仿宋"/>
                <w:bCs/>
                <w:color w:val="auto"/>
                <w:sz w:val="24"/>
                <w:szCs w:val="24"/>
                <w:highlight w:val="none"/>
              </w:rPr>
              <w:t xml:space="preserve">72V5000W交流异步电机</w:t>
            </w:r>
            <w:r>
              <w:rPr>
                <w:rFonts w:hint="eastAsia" w:ascii="仿宋" w:hAnsi="仿宋" w:eastAsia="仿宋" w:cs="仿宋"/>
                <w:color w:val="auto"/>
                <w:sz w:val="24"/>
                <w:szCs w:val="24"/>
                <w:highlight w:val="none"/>
              </w:rPr>
              <w:t xml:space="preserve">，动力强大，牵引性能优越，低噪声，过载能力强，使用寿命长</w:t>
            </w:r>
            <w:r/>
          </w:p>
        </w:tc>
      </w:tr>
      <w:tr>
        <w:trPr>
          <w:trHeight w:val="422"/>
        </w:trPr>
        <w:tc>
          <w:tcPr>
            <w:tcW w:w="910" w:type="dxa"/>
            <w:vAlign w:val="top"/>
            <w:vMerge w:val="continue"/>
            <w:textDirection w:val="tbRlV"/>
            <w:noWrap w:val="false"/>
          </w:tcPr>
          <w:p>
            <w:pPr>
              <w:ind w:right="113"/>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w:t>
            </w:r>
            <w:r/>
          </w:p>
        </w:tc>
        <w:tc>
          <w:tcPr>
            <w:tcW w:w="6085" w:type="dxa"/>
            <w:vAlign w:val="top"/>
            <w:textDirection w:val="lrTb"/>
            <w:noWrap w:val="false"/>
          </w:tcPr>
          <w:p>
            <w:pPr>
              <w:rPr>
                <w:rFonts w:hint="eastAsia" w:ascii="仿宋" w:hAnsi="仿宋" w:eastAsia="仿宋" w:cs="仿宋"/>
                <w:b w:val="0"/>
                <w:bCs/>
                <w:color w:val="auto"/>
                <w:sz w:val="24"/>
                <w:szCs w:val="24"/>
                <w:highlight w:val="none"/>
              </w:rPr>
            </w:pPr>
            <w:r>
              <w:rPr>
                <w:rFonts w:hint="eastAsia" w:ascii="仿宋" w:hAnsi="仿宋" w:eastAsia="仿宋" w:cs="仿宋"/>
                <w:bCs/>
                <w:color w:val="auto"/>
                <w:sz w:val="24"/>
                <w:szCs w:val="24"/>
                <w:highlight w:val="none"/>
                <w:shd w:val="clear" w:color="auto" w:fill="ffffff"/>
              </w:rPr>
              <w:t xml:space="preserve">72V5000W交流控制器</w:t>
            </w:r>
            <w:r>
              <w:rPr>
                <w:rFonts w:hint="eastAsia" w:ascii="仿宋" w:hAnsi="仿宋" w:eastAsia="仿宋" w:cs="仿宋"/>
                <w:color w:val="auto"/>
                <w:sz w:val="24"/>
                <w:szCs w:val="24"/>
                <w:highlight w:val="none"/>
              </w:rPr>
              <w:t xml:space="preserve">，可靠性高，整体封装，防水好，操控电流更大更平稳，电机输出更强劲，发挥电机最高效率。</w:t>
            </w:r>
            <w:r/>
          </w:p>
        </w:tc>
      </w:tr>
      <w:tr>
        <w:trPr>
          <w:trHeight w:val="422"/>
        </w:trPr>
        <w:tc>
          <w:tcPr>
            <w:tcW w:w="910" w:type="dxa"/>
            <w:vAlign w:val="top"/>
            <w:vMerge w:val="continue"/>
            <w:textDirection w:val="tbRlV"/>
            <w:noWrap w:val="false"/>
          </w:tcPr>
          <w:p>
            <w:pPr>
              <w:ind w:right="113"/>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充电机</w:t>
            </w:r>
            <w:r/>
          </w:p>
        </w:tc>
        <w:tc>
          <w:tcPr>
            <w:tcW w:w="6085"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72V全自动充电器，该品牌充电器安全可靠，内置的漏电保护装置，能确保使用安全性。</w:t>
            </w:r>
            <w:r/>
          </w:p>
        </w:tc>
      </w:tr>
      <w:tr>
        <w:trPr>
          <w:trHeight w:val="428"/>
        </w:trPr>
        <w:tc>
          <w:tcPr>
            <w:tcW w:w="910" w:type="dxa"/>
            <w:vAlign w:val="top"/>
            <w:vMerge w:val="continue"/>
            <w:textDirection w:val="tbRlV"/>
            <w:noWrap w:val="false"/>
          </w:tcPr>
          <w:p>
            <w:pPr>
              <w:ind w:left="113" w:right="113"/>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充电时间（h）</w:t>
            </w:r>
            <w:r/>
          </w:p>
        </w:tc>
        <w:tc>
          <w:tcPr>
            <w:tcW w:w="6085"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据放电程度不同</w:t>
            </w:r>
            <w:r>
              <w:rPr>
                <w:rFonts w:hint="eastAsia" w:ascii="仿宋" w:hAnsi="仿宋" w:eastAsia="仿宋" w:cs="仿宋"/>
                <w:color w:val="auto"/>
                <w:sz w:val="24"/>
                <w:szCs w:val="24"/>
                <w:highlight w:val="none"/>
                <w:lang w:val="en-US" w:eastAsia="zh-CN"/>
              </w:rPr>
              <w:t xml:space="preserve">10-12</w:t>
            </w:r>
            <w:r>
              <w:rPr>
                <w:rFonts w:hint="eastAsia" w:ascii="仿宋" w:hAnsi="仿宋" w:eastAsia="仿宋" w:cs="仿宋"/>
                <w:color w:val="auto"/>
                <w:sz w:val="24"/>
                <w:szCs w:val="24"/>
                <w:highlight w:val="none"/>
              </w:rPr>
              <w:t xml:space="preserve">小时左右</w:t>
            </w:r>
            <w:r/>
          </w:p>
        </w:tc>
      </w:tr>
      <w:tr>
        <w:trPr>
          <w:trHeight w:val="400"/>
        </w:trPr>
        <w:tc>
          <w:tcPr>
            <w:tcW w:w="910" w:type="dxa"/>
            <w:vAlign w:val="top"/>
            <w:vMerge w:val="restart"/>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车身配置</w:t>
            </w:r>
            <w:r/>
          </w:p>
        </w:tc>
        <w:tc>
          <w:tcPr>
            <w:tcW w:w="2690" w:type="dxa"/>
            <w:vAlign w:val="top"/>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车厢</w:t>
            </w:r>
            <w:r/>
          </w:p>
        </w:tc>
        <w:tc>
          <w:tcPr>
            <w:tcW w:w="6085" w:type="dxa"/>
            <w:vAlign w:val="top"/>
            <w:textDirection w:val="lrTb"/>
            <w:noWrap w:val="false"/>
          </w:tcPr>
          <w:p>
            <w:pPr>
              <w:numPr>
                <w:ilvl w:val="0"/>
                <w:numId w:val="5"/>
              </w:numPr>
              <w:spacing w:after="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材质：</w:t>
            </w:r>
            <w:r>
              <w:rPr>
                <w:rFonts w:hint="eastAsia" w:ascii="仿宋" w:hAnsi="仿宋" w:eastAsia="仿宋" w:cs="仿宋"/>
                <w:color w:val="auto"/>
                <w:sz w:val="24"/>
                <w:szCs w:val="24"/>
                <w:highlight w:val="none"/>
                <w:lang w:val="en-US" w:eastAsia="zh-CN"/>
              </w:rPr>
              <w:t xml:space="preserve">Q235低碳钢</w:t>
            </w:r>
            <w:r/>
          </w:p>
          <w:p>
            <w:pPr>
              <w:numPr>
                <w:ilvl w:val="0"/>
                <w:numId w:val="5"/>
              </w:numPr>
              <w:spacing w:after="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采用钣金半封闭式后箱体，防滑花纹底板及活动式钢制护栏，底板采用加厚花纹钢板</w:t>
            </w:r>
            <w:r/>
          </w:p>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一次性可容纳8个桶（240L标准垃圾箱），装桶数量多，容纳垃圾更多，避免反复运输倾倒垃圾，省时省力，工作效率更高。</w:t>
            </w:r>
            <w:r/>
          </w:p>
        </w:tc>
      </w:tr>
      <w:tr>
        <w:trPr>
          <w:trHeight w:val="400"/>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驾驶室</w:t>
            </w:r>
            <w:r/>
          </w:p>
        </w:tc>
        <w:tc>
          <w:tcPr>
            <w:tcW w:w="6085" w:type="dxa"/>
            <w:vAlign w:val="top"/>
            <w:textDirection w:val="lrTb"/>
            <w:noWrap w:val="false"/>
          </w:tcPr>
          <w:p>
            <w:pPr>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全封闭钢制</w:t>
            </w:r>
            <w:r>
              <w:rPr>
                <w:rFonts w:hint="eastAsia" w:ascii="仿宋" w:hAnsi="仿宋" w:eastAsia="仿宋" w:cs="仿宋"/>
                <w:color w:val="auto"/>
                <w:sz w:val="24"/>
                <w:szCs w:val="24"/>
                <w:shd w:val="clear" w:color="auto" w:fill="ffffff"/>
              </w:rPr>
              <w:t xml:space="preserve">驾驶室</w:t>
            </w:r>
            <w:r>
              <w:rPr>
                <w:rFonts w:hint="eastAsia" w:ascii="仿宋" w:hAnsi="仿宋" w:eastAsia="仿宋" w:cs="仿宋"/>
                <w:color w:val="auto"/>
                <w:sz w:val="24"/>
                <w:szCs w:val="24"/>
              </w:rPr>
              <w:t xml:space="preserve">，采用双层夹胶钢化玻璃，视野宽阔，提高安全性，挡风玻璃为汽车专用双曲面钢化玻璃，双前一体化嵌入式组合LED大灯，整体式塑料仪表工作台，高清液晶仪表，电门锁，仪表，组合开关，配装雨刮器，倒车影像。</w:t>
            </w:r>
            <w:r/>
          </w:p>
        </w:tc>
      </w:tr>
      <w:tr>
        <w:trPr>
          <w:trHeight w:val="452"/>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座椅</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超级豪华仿真皮</w:t>
            </w:r>
            <w:r>
              <w:rPr>
                <w:rFonts w:hint="eastAsia" w:ascii="仿宋" w:hAnsi="仿宋" w:eastAsia="仿宋" w:cs="仿宋"/>
                <w:color w:val="auto"/>
                <w:sz w:val="24"/>
                <w:szCs w:val="24"/>
                <w:highlight w:val="none"/>
                <w:lang w:eastAsia="zh-CN"/>
              </w:rPr>
              <w:t xml:space="preserve">革座椅</w:t>
            </w:r>
            <w:r/>
          </w:p>
        </w:tc>
      </w:tr>
      <w:tr>
        <w:trPr>
          <w:trHeight w:val="423"/>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后视镜</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大视野无死角后视镜</w:t>
            </w:r>
            <w:r/>
          </w:p>
        </w:tc>
      </w:tr>
      <w:tr>
        <w:trPr>
          <w:trHeight w:val="423"/>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前轮/后轮</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165/70R13</w:t>
            </w:r>
            <w:r/>
          </w:p>
        </w:tc>
      </w:tr>
      <w:tr>
        <w:trPr>
          <w:trHeight w:val="414"/>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灯光及信号</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3C照明灯、左右转向灯、刹车灯、行车灯、仪表、电喇叭，警示灯。人性化设计，合理配置，保障了行驶的安全性。</w:t>
            </w:r>
            <w:r/>
          </w:p>
        </w:tc>
      </w:tr>
      <w:tr>
        <w:trPr>
          <w:trHeight w:val="472"/>
        </w:trPr>
        <w:tc>
          <w:tcPr>
            <w:tcW w:w="910" w:type="dxa"/>
            <w:vAlign w:val="top"/>
            <w:vMerge w:val="restart"/>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底盘系统</w:t>
            </w:r>
            <w:r/>
          </w:p>
        </w:tc>
        <w:tc>
          <w:tcPr>
            <w:tcW w:w="2690"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车架</w:t>
            </w:r>
            <w:r/>
          </w:p>
        </w:tc>
        <w:tc>
          <w:tcPr>
            <w:tcW w:w="6085"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纵梁采用高强度50mm*100mm方管，横梁采用50mm无缝管穿插焊接。</w:t>
            </w:r>
            <w:r/>
          </w:p>
        </w:tc>
      </w:tr>
      <w:tr>
        <w:trPr>
          <w:trHeight w:val="244"/>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center"/>
            <w:textDirection w:val="lrTb"/>
            <w:noWrap w:val="false"/>
          </w:tcPr>
          <w:p>
            <w:pPr>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 xml:space="preserve">动力传动</w:t>
            </w:r>
            <w:r/>
          </w:p>
        </w:tc>
        <w:tc>
          <w:tcPr>
            <w:tcW w:w="6085"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后置驱动配备高低变速</w:t>
            </w:r>
            <w:r>
              <w:rPr>
                <w:rFonts w:hint="eastAsia" w:ascii="仿宋" w:hAnsi="仿宋" w:eastAsia="仿宋" w:cs="仿宋"/>
                <w:color w:val="auto"/>
                <w:sz w:val="24"/>
                <w:szCs w:val="24"/>
                <w:lang w:val="en-US" w:eastAsia="zh-CN"/>
              </w:rPr>
              <w:t xml:space="preserve">+配备前进与倒档</w:t>
            </w:r>
            <w:r/>
          </w:p>
        </w:tc>
      </w:tr>
      <w:tr>
        <w:trPr>
          <w:trHeight w:val="244"/>
        </w:trPr>
        <w:tc>
          <w:tcPr>
            <w:tcW w:w="910" w:type="dxa"/>
            <w:vAlign w:val="top"/>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悬挂</w:t>
            </w:r>
            <w:r/>
          </w:p>
        </w:tc>
        <w:tc>
          <w:tcPr>
            <w:tcW w:w="6085"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前后桥板簧采用优质碳钢材质加筒式阻尼液压加重减震器；驾驶舒适且抗震动强度大，性能优良，有效缓冲冲击力，颠簸路面更安全，变形量小，给驾驶员安全增加保障。</w:t>
            </w:r>
            <w:r/>
          </w:p>
        </w:tc>
      </w:tr>
      <w:tr>
        <w:trPr>
          <w:trHeight w:val="418"/>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后桥</w:t>
            </w:r>
            <w:r/>
          </w:p>
        </w:tc>
        <w:tc>
          <w:tcPr>
            <w:tcW w:w="6085"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弓形前桥管直径70mm，制动鼓直径250mm。一体差速后桥，2000kg承载，后桥管直径70mm，制动鼓直径250mm</w:t>
            </w:r>
            <w:r/>
          </w:p>
        </w:tc>
      </w:tr>
      <w:tr>
        <w:trPr>
          <w:trHeight w:val="418"/>
        </w:trPr>
        <w:tc>
          <w:tcPr>
            <w:tcW w:w="910" w:type="dxa"/>
            <w:vAlign w:val="top"/>
            <w:vMerge w:val="restart"/>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液压</w:t>
            </w:r>
            <w:r>
              <w:rPr>
                <w:rFonts w:hint="eastAsia" w:ascii="仿宋" w:hAnsi="仿宋" w:eastAsia="仿宋" w:cs="仿宋"/>
                <w:color w:val="auto"/>
                <w:sz w:val="24"/>
                <w:szCs w:val="24"/>
                <w:highlight w:val="none"/>
                <w:lang w:eastAsia="zh-CN"/>
              </w:rPr>
              <w:t xml:space="preserve">尾板</w:t>
            </w:r>
            <w:r>
              <w:rPr>
                <w:rFonts w:hint="eastAsia" w:ascii="仿宋" w:hAnsi="仿宋" w:eastAsia="仿宋" w:cs="仿宋"/>
                <w:color w:val="auto"/>
                <w:sz w:val="24"/>
                <w:szCs w:val="24"/>
                <w:highlight w:val="none"/>
              </w:rPr>
              <w:t xml:space="preserve">系统</w:t>
            </w:r>
            <w:r/>
          </w:p>
        </w:tc>
        <w:tc>
          <w:tcPr>
            <w:tcW w:w="269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液压电机工作电压</w:t>
            </w:r>
            <w:r/>
          </w:p>
        </w:tc>
        <w:tc>
          <w:tcPr>
            <w:tcW w:w="6085" w:type="dxa"/>
            <w:vAlign w:val="center"/>
            <w:textDirection w:val="lrTb"/>
            <w:noWrap w:val="false"/>
          </w:tcPr>
          <w:p>
            <w:pPr>
              <w:spacing w:after="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V</w:t>
            </w:r>
            <w:r/>
          </w:p>
        </w:tc>
      </w:tr>
      <w:tr>
        <w:trPr>
          <w:trHeight w:val="418"/>
        </w:trPr>
        <w:tc>
          <w:tcPr>
            <w:tcW w:w="910"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0" w:type="dxa"/>
            <w:vAlign w:val="center"/>
            <w:textDirection w:val="lrTb"/>
            <w:noWrap w:val="false"/>
          </w:tcPr>
          <w:p>
            <w:pPr>
              <w:pStyle w:val="73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液压动力单元</w:t>
            </w:r>
            <w:r/>
          </w:p>
        </w:tc>
        <w:tc>
          <w:tcPr>
            <w:tcW w:w="6085" w:type="dxa"/>
            <w:vAlign w:val="center"/>
            <w:textDirection w:val="lrTb"/>
            <w:noWrap w:val="false"/>
          </w:tcPr>
          <w:p>
            <w:pPr>
              <w:pStyle w:val="733"/>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液压泵动力电机：直流电机</w:t>
            </w:r>
            <w:r>
              <w:rPr>
                <w:rFonts w:hint="eastAsia" w:ascii="仿宋" w:hAnsi="仿宋" w:eastAsia="仿宋" w:cs="仿宋"/>
                <w:color w:val="auto"/>
                <w:sz w:val="24"/>
                <w:szCs w:val="24"/>
                <w:highlight w:val="none"/>
                <w:lang w:val="en-US" w:eastAsia="zh-CN"/>
              </w:rPr>
              <w:t xml:space="preserve">1300W</w:t>
            </w:r>
            <w:r/>
          </w:p>
        </w:tc>
      </w:tr>
      <w:tr>
        <w:trPr>
          <w:trHeight w:val="418"/>
        </w:trPr>
        <w:tc>
          <w:tcPr>
            <w:tcW w:w="910"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0" w:type="dxa"/>
            <w:vAlign w:val="center"/>
            <w:textDirection w:val="lrTb"/>
            <w:noWrap w:val="false"/>
          </w:tcPr>
          <w:p>
            <w:pPr>
              <w:pStyle w:val="733"/>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尾板规格</w:t>
            </w:r>
            <w:r/>
          </w:p>
        </w:tc>
        <w:tc>
          <w:tcPr>
            <w:tcW w:w="6085" w:type="dxa"/>
            <w:vAlign w:val="center"/>
            <w:textDirection w:val="lrTb"/>
            <w:noWrap w:val="false"/>
          </w:tcPr>
          <w:p>
            <w:pPr>
              <w:spacing w:after="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2.5mm厚防滑花纹板，</w:t>
            </w:r>
            <w:r>
              <w:rPr>
                <w:rFonts w:hint="eastAsia" w:ascii="仿宋" w:hAnsi="仿宋" w:eastAsia="仿宋" w:cs="仿宋"/>
                <w:color w:val="auto"/>
                <w:sz w:val="24"/>
                <w:szCs w:val="24"/>
              </w:rPr>
              <w:t xml:space="preserve">悬臂式尾板，电磁阀同步液压动力，自动缓降功能。可移动式遥控电子开关。尾板承载500kg。</w:t>
            </w:r>
            <w:r/>
          </w:p>
        </w:tc>
      </w:tr>
      <w:tr>
        <w:trPr>
          <w:trHeight w:val="418"/>
        </w:trPr>
        <w:tc>
          <w:tcPr>
            <w:tcW w:w="910"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0" w:type="dxa"/>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升降速度（</w:t>
            </w:r>
            <w:r>
              <w:rPr>
                <w:rFonts w:hint="eastAsia" w:ascii="仿宋" w:hAnsi="仿宋" w:eastAsia="仿宋" w:cs="仿宋"/>
                <w:color w:val="auto"/>
                <w:sz w:val="24"/>
                <w:szCs w:val="24"/>
                <w:highlight w:val="none"/>
                <w:lang w:val="en-US" w:eastAsia="zh-CN"/>
              </w:rPr>
              <w:t xml:space="preserve">s</w:t>
            </w:r>
            <w:r>
              <w:rPr>
                <w:rFonts w:hint="eastAsia" w:ascii="仿宋" w:hAnsi="仿宋" w:eastAsia="仿宋" w:cs="仿宋"/>
                <w:color w:val="auto"/>
                <w:sz w:val="24"/>
                <w:szCs w:val="24"/>
                <w:highlight w:val="none"/>
                <w:lang w:eastAsia="zh-CN"/>
              </w:rPr>
              <w:t xml:space="preserve">）</w:t>
            </w:r>
            <w:r/>
          </w:p>
        </w:tc>
        <w:tc>
          <w:tcPr>
            <w:tcW w:w="6085" w:type="dxa"/>
            <w:vAlign w:val="center"/>
            <w:textDirection w:val="lrTb"/>
            <w:noWrap w:val="false"/>
          </w:tcPr>
          <w:p>
            <w:pPr>
              <w:spacing w:after="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7-9s</w:t>
            </w:r>
            <w:r/>
          </w:p>
        </w:tc>
      </w:tr>
      <w:tr>
        <w:trPr>
          <w:trHeight w:val="418"/>
        </w:trPr>
        <w:tc>
          <w:tcPr>
            <w:tcW w:w="910" w:type="dxa"/>
            <w:vAlign w:val="top"/>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90" w:type="dxa"/>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翻板速度（</w:t>
            </w:r>
            <w:r>
              <w:rPr>
                <w:rFonts w:hint="eastAsia" w:ascii="仿宋" w:hAnsi="仿宋" w:eastAsia="仿宋" w:cs="仿宋"/>
                <w:color w:val="auto"/>
                <w:sz w:val="24"/>
                <w:szCs w:val="24"/>
                <w:highlight w:val="none"/>
                <w:lang w:val="en-US" w:eastAsia="zh-CN"/>
              </w:rPr>
              <w:t xml:space="preserve">s</w:t>
            </w:r>
            <w:r>
              <w:rPr>
                <w:rFonts w:hint="eastAsia" w:ascii="仿宋" w:hAnsi="仿宋" w:eastAsia="仿宋" w:cs="仿宋"/>
                <w:color w:val="auto"/>
                <w:sz w:val="24"/>
                <w:szCs w:val="24"/>
                <w:highlight w:val="none"/>
                <w:lang w:eastAsia="zh-CN"/>
              </w:rPr>
              <w:t xml:space="preserve">）</w:t>
            </w:r>
            <w:r/>
          </w:p>
        </w:tc>
        <w:tc>
          <w:tcPr>
            <w:tcW w:w="6085" w:type="dxa"/>
            <w:vAlign w:val="center"/>
            <w:textDirection w:val="lrTb"/>
            <w:noWrap w:val="false"/>
          </w:tcPr>
          <w:p>
            <w:pPr>
              <w:spacing w:after="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7-10s</w:t>
            </w:r>
            <w:r/>
          </w:p>
        </w:tc>
      </w:tr>
      <w:tr>
        <w:trPr>
          <w:trHeight w:val="418"/>
        </w:trPr>
        <w:tc>
          <w:tcPr>
            <w:tcW w:w="910" w:type="dxa"/>
            <w:vAlign w:val="top"/>
            <w:vMerge w:val="restart"/>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其他配置</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制动系统</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脚制动：真空助力，液压鼓式制动，手制动：机械驻车制动，确保行驶的稳定性和安全性。</w:t>
            </w:r>
            <w:r/>
          </w:p>
        </w:tc>
      </w:tr>
      <w:tr>
        <w:trPr>
          <w:trHeight w:val="418"/>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转向方式</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循环球式输出转向器</w:t>
            </w:r>
            <w:r>
              <w:rPr>
                <w:rFonts w:hint="eastAsia" w:ascii="仿宋" w:hAnsi="仿宋" w:eastAsia="仿宋" w:cs="仿宋"/>
                <w:color w:val="auto"/>
                <w:sz w:val="24"/>
                <w:szCs w:val="24"/>
                <w:lang w:val="en-US" w:eastAsia="zh-CN"/>
              </w:rPr>
              <w:t xml:space="preserve">+方向盘转动</w:t>
            </w:r>
            <w:r/>
          </w:p>
        </w:tc>
      </w:tr>
      <w:tr>
        <w:trPr>
          <w:trHeight w:val="347"/>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速度控制系统</w:t>
            </w:r>
            <w:r/>
          </w:p>
        </w:tc>
        <w:tc>
          <w:tcPr>
            <w:tcW w:w="6085"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无级变速（电机直接驱动）</w:t>
            </w:r>
            <w:r/>
          </w:p>
        </w:tc>
      </w:tr>
      <w:tr>
        <w:trPr>
          <w:trHeight w:val="347"/>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车漆及颜色</w:t>
            </w:r>
            <w:r/>
          </w:p>
        </w:tc>
        <w:tc>
          <w:tcPr>
            <w:tcW w:w="6085"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整车采用汽车烤漆工艺，经抛丸、磷化、电溶、烤漆处理，确保五年不褪色、不生锈，美观大方车架，颜色根据业主要求喷制</w:t>
            </w:r>
            <w:r/>
          </w:p>
        </w:tc>
      </w:tr>
      <w:tr>
        <w:trPr>
          <w:trHeight w:val="347"/>
        </w:trPr>
        <w:tc>
          <w:tcPr>
            <w:tcW w:w="91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690" w:type="dxa"/>
            <w:vAlign w:val="top"/>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空调</w:t>
            </w:r>
            <w:r/>
          </w:p>
        </w:tc>
        <w:tc>
          <w:tcPr>
            <w:tcW w:w="6085" w:type="dxa"/>
            <w:vAlign w:val="top"/>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可加装冷暖空调</w:t>
            </w:r>
            <w:r/>
          </w:p>
        </w:tc>
      </w:tr>
      <w:tr>
        <w:trPr>
          <w:trHeight w:val="418"/>
        </w:trPr>
        <w:tc>
          <w:tcPr>
            <w:gridSpan w:val="2"/>
            <w:tcW w:w="3600" w:type="dxa"/>
            <w:vAlign w:val="top"/>
            <w:vMerge w:val="restart"/>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性能描述</w:t>
            </w:r>
            <w:r/>
          </w:p>
        </w:tc>
        <w:tc>
          <w:tcPr>
            <w:tcW w:w="6085" w:type="dxa"/>
            <w:vAlign w:val="center"/>
            <w:textDirection w:val="lrTb"/>
            <w:noWrap w:val="false"/>
          </w:tcPr>
          <w:p>
            <w:pPr>
              <w:spacing w:after="0"/>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四轮八桶转</w:t>
            </w:r>
            <w:r>
              <w:rPr>
                <w:rFonts w:hint="eastAsia" w:ascii="仿宋" w:hAnsi="仿宋" w:eastAsia="仿宋" w:cs="仿宋"/>
                <w:color w:val="auto"/>
                <w:sz w:val="24"/>
                <w:szCs w:val="24"/>
                <w:highlight w:val="none"/>
              </w:rPr>
              <w:t xml:space="preserve">运车</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"http://baike.sogou.com/lemma/ShowInnerLink.htm?lemmaId=353709" \t "_blank"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载重量</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大，车身设计合理，减轻了</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"http://baike.sogou.com/lemma/ShowInnerLink.htm?lemmaId=33575402" \t "_blank"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环卫工人</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"http://baike.sogou.com/lemma/ShowInnerLink.htm?lemmaId=7773331" \t "_blank"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劳动强度</w:t>
            </w:r>
            <w:r>
              <w:rPr>
                <w:rFonts w:hint="eastAsia" w:ascii="仿宋" w:hAnsi="仿宋" w:eastAsia="仿宋" w:cs="仿宋"/>
                <w:color w:val="auto"/>
                <w:sz w:val="24"/>
                <w:szCs w:val="24"/>
                <w:highlight w:val="none"/>
              </w:rPr>
              <w:fldChar w:fldCharType="end"/>
            </w:r>
            <w:r/>
          </w:p>
        </w:tc>
      </w:tr>
      <w:tr>
        <w:trPr>
          <w:trHeight w:val="418"/>
        </w:trPr>
        <w:tc>
          <w:tcPr>
            <w:gridSpan w:val="2"/>
            <w:tcW w:w="3600" w:type="dxa"/>
            <w:vAlign w:val="top"/>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085" w:type="dxa"/>
            <w:vAlign w:val="center"/>
            <w:textDirection w:val="lrTb"/>
            <w:noWrap w:val="false"/>
          </w:tcPr>
          <w:p>
            <w:pPr>
              <w:spacing w:after="0"/>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、操控简单：</w:t>
            </w:r>
            <w:r>
              <w:rPr>
                <w:rFonts w:hint="eastAsia" w:ascii="仿宋" w:hAnsi="仿宋" w:eastAsia="仿宋" w:cs="仿宋"/>
                <w:color w:val="auto"/>
                <w:sz w:val="24"/>
                <w:szCs w:val="24"/>
                <w:highlight w:val="none"/>
                <w:lang w:eastAsia="zh-CN"/>
              </w:rPr>
              <w:t xml:space="preserve">操作简单，快捷高效，提高工作效率</w:t>
            </w:r>
            <w:r>
              <w:rPr>
                <w:rFonts w:hint="eastAsia" w:ascii="仿宋" w:hAnsi="仿宋" w:eastAsia="仿宋" w:cs="仿宋"/>
                <w:color w:val="auto"/>
                <w:sz w:val="24"/>
                <w:szCs w:val="24"/>
                <w:highlight w:val="none"/>
              </w:rPr>
              <w:t xml:space="preserve">；</w:t>
            </w:r>
            <w:r/>
          </w:p>
        </w:tc>
      </w:tr>
    </w:tbl>
    <w:p>
      <w:pPr>
        <w:pStyle w:val="889"/>
        <w:numPr>
          <w:ilvl w:val="0"/>
          <w:numId w:val="0"/>
        </w:numPr>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pStyle w:val="890"/>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pStyle w:val="889"/>
        <w:rPr>
          <w:rFonts w:hint="eastAsia"/>
          <w:color w:val="auto"/>
          <w:lang w:val="en-US" w:eastAsia="zh-CN"/>
        </w:rPr>
      </w:pPr>
      <w:r>
        <w:rPr>
          <w:rFonts w:hint="eastAsia"/>
          <w:color w:val="auto"/>
          <w:lang w:val="en-US" w:eastAsia="zh-CN"/>
        </w:rPr>
      </w:r>
      <w:r/>
    </w:p>
    <w:p>
      <w:pPr>
        <w:pStyle w:val="889"/>
        <w:numPr>
          <w:ilvl w:val="0"/>
          <w:numId w:val="0"/>
        </w:numPr>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2.2.3有害垃圾转运车</w:t>
      </w:r>
      <w:r/>
    </w:p>
    <w:tbl>
      <w:tblPr>
        <w:tblStyle w:val="695"/>
        <w:tblpPr w:horzAnchor="page" w:tblpX="1143" w:vertAnchor="text" w:tblpY="596" w:leftFromText="180" w:topFromText="0" w:rightFromText="180" w:bottomFromText="0"/>
        <w:tblW w:w="9653"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685"/>
        <w:gridCol w:w="2304"/>
        <w:gridCol w:w="6664"/>
      </w:tblGrid>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9" w:type="dxa"/>
            <w:vAlign w:val="center"/>
            <w:textDirection w:val="lrTb"/>
            <w:noWrap w:val="false"/>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 参 数</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restart"/>
            <w:textDirection w:val="lrTb"/>
            <w:noWrap w:val="false"/>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技术 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5"/>
                <w:rFonts w:hint="eastAsia" w:ascii="仿宋" w:hAnsi="仿宋" w:eastAsia="仿宋" w:cs="仿宋"/>
                <w:color w:val="auto"/>
                <w:sz w:val="24"/>
                <w:szCs w:val="24"/>
                <w:lang w:val="en-US" w:eastAsia="zh-CN" w:bidi="ar"/>
              </w:rPr>
              <w:t xml:space="preserve">外型尺寸（</w:t>
            </w:r>
            <w:r>
              <w:rPr>
                <w:rFonts w:hint="eastAsia" w:ascii="仿宋" w:hAnsi="仿宋" w:eastAsia="仿宋" w:cs="仿宋"/>
                <w:i w:val="0"/>
                <w:color w:val="auto"/>
                <w:sz w:val="24"/>
                <w:szCs w:val="24"/>
                <w:u w:val="none"/>
                <w:lang w:val="en-US" w:eastAsia="zh-CN" w:bidi="ar"/>
              </w:rPr>
              <w:t xml:space="preserve">mm</w:t>
            </w:r>
            <w:r>
              <w:rPr>
                <w:rStyle w:val="945"/>
                <w:rFonts w:hint="eastAsia" w:ascii="仿宋" w:hAnsi="仿宋" w:eastAsia="仿宋" w:cs="仿宋"/>
                <w:color w:val="auto"/>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keepLines w:val="0"/>
              <w:keepNext w:val="0"/>
              <w:widowControl/>
              <w:rPr>
                <w:rFonts w:hint="eastAsia" w:ascii="仿宋" w:hAnsi="仿宋" w:eastAsia="仿宋" w:cs="仿宋"/>
                <w:i w:val="0"/>
                <w:color w:val="auto"/>
                <w:sz w:val="24"/>
                <w:szCs w:val="24"/>
                <w:u w:val="none"/>
              </w:rPr>
              <w:suppressLineNumbers w:val="0"/>
            </w:pPr>
            <w:r>
              <w:rPr>
                <w:rStyle w:val="945"/>
                <w:rFonts w:hint="eastAsia" w:ascii="仿宋" w:hAnsi="仿宋" w:eastAsia="仿宋" w:cs="仿宋"/>
                <w:color w:val="auto"/>
                <w:sz w:val="24"/>
                <w:szCs w:val="24"/>
                <w:lang w:val="en-US" w:eastAsia="zh-CN" w:bidi="ar"/>
              </w:rPr>
              <w:t xml:space="preserve">≥</w:t>
            </w:r>
            <w:r>
              <w:rPr>
                <w:rFonts w:hint="eastAsia" w:ascii="仿宋" w:hAnsi="仿宋" w:eastAsia="仿宋" w:cs="仿宋"/>
                <w:i w:val="0"/>
                <w:color w:val="auto"/>
                <w:sz w:val="24"/>
                <w:szCs w:val="24"/>
                <w:u w:val="none"/>
                <w:lang w:val="en-US" w:eastAsia="zh-CN" w:bidi="ar"/>
              </w:rPr>
              <w:t xml:space="preserve">2650×900×1230 </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箱体尺寸（mm）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Style w:val="945"/>
                <w:rFonts w:hint="eastAsia" w:ascii="仿宋" w:hAnsi="仿宋" w:eastAsia="仿宋" w:cs="仿宋"/>
                <w:color w:val="auto"/>
                <w:sz w:val="24"/>
                <w:szCs w:val="24"/>
                <w:lang w:val="en-US" w:eastAsia="zh-CN" w:bidi="ar"/>
              </w:rPr>
              <w:t xml:space="preserve">≥</w:t>
            </w:r>
            <w:r>
              <w:rPr>
                <w:rFonts w:hint="eastAsia" w:ascii="仿宋" w:hAnsi="仿宋" w:eastAsia="仿宋" w:cs="仿宋"/>
                <w:i w:val="0"/>
                <w:color w:val="auto"/>
                <w:sz w:val="24"/>
                <w:szCs w:val="24"/>
                <w:u w:val="none"/>
                <w:lang w:val="en-US" w:eastAsia="zh-CN" w:bidi="ar"/>
              </w:rPr>
              <w:t xml:space="preserve">1300×900×850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箱体容积（L）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Style w:val="945"/>
                <w:rFonts w:hint="eastAsia" w:ascii="仿宋" w:hAnsi="仿宋" w:eastAsia="仿宋" w:cs="仿宋"/>
                <w:color w:val="auto"/>
                <w:sz w:val="24"/>
                <w:szCs w:val="24"/>
                <w:lang w:val="en-US" w:eastAsia="zh-CN" w:bidi="ar"/>
              </w:rPr>
              <w:t xml:space="preserve">≥</w:t>
            </w:r>
            <w:r>
              <w:rPr>
                <w:rFonts w:hint="eastAsia" w:ascii="仿宋" w:hAnsi="仿宋" w:eastAsia="仿宋" w:cs="仿宋"/>
                <w:i w:val="0"/>
                <w:color w:val="auto"/>
                <w:sz w:val="24"/>
                <w:szCs w:val="24"/>
                <w:u w:val="none"/>
                <w:lang w:val="en-US" w:eastAsia="zh-CN" w:bidi="ar"/>
              </w:rPr>
              <w:t xml:space="preserve">900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额定乘员（人）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lang w:val="en-US" w:eastAsia="zh-CN" w:bidi="ar"/>
              </w:rPr>
              <w:t xml:space="preserve">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5"/>
                <w:rFonts w:hint="eastAsia" w:ascii="仿宋" w:hAnsi="仿宋" w:eastAsia="仿宋" w:cs="仿宋"/>
                <w:color w:val="auto"/>
                <w:sz w:val="24"/>
                <w:szCs w:val="24"/>
                <w:lang w:val="en-US" w:eastAsia="zh-CN" w:bidi="ar"/>
              </w:rPr>
              <w:t xml:space="preserve">最高行驶速度（</w:t>
            </w:r>
            <w:r>
              <w:rPr>
                <w:rFonts w:hint="eastAsia" w:ascii="仿宋" w:hAnsi="仿宋" w:eastAsia="仿宋" w:cs="仿宋"/>
                <w:i w:val="0"/>
                <w:color w:val="auto"/>
                <w:sz w:val="24"/>
                <w:szCs w:val="24"/>
                <w:u w:val="none"/>
                <w:lang w:val="en-US" w:eastAsia="zh-CN" w:bidi="ar"/>
              </w:rPr>
              <w:t xml:space="preserve">km/h</w:t>
            </w:r>
            <w:r>
              <w:rPr>
                <w:rStyle w:val="945"/>
                <w:rFonts w:hint="eastAsia" w:ascii="仿宋" w:hAnsi="仿宋" w:eastAsia="仿宋" w:cs="仿宋"/>
                <w:color w:val="auto"/>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lang w:val="en-US" w:eastAsia="zh-CN" w:bidi="ar"/>
              </w:rPr>
              <w:t xml:space="preserve">≤25(空载）</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5"/>
                <w:rFonts w:hint="eastAsia" w:ascii="仿宋" w:hAnsi="仿宋" w:eastAsia="仿宋" w:cs="仿宋"/>
                <w:color w:val="auto"/>
                <w:sz w:val="24"/>
                <w:szCs w:val="24"/>
                <w:lang w:val="en-US" w:eastAsia="zh-CN" w:bidi="ar"/>
              </w:rPr>
              <w:t xml:space="preserve">最小转变半径（</w:t>
            </w:r>
            <w:r>
              <w:rPr>
                <w:rFonts w:hint="eastAsia" w:ascii="仿宋" w:hAnsi="仿宋" w:eastAsia="仿宋" w:cs="仿宋"/>
                <w:i w:val="0"/>
                <w:color w:val="auto"/>
                <w:sz w:val="24"/>
                <w:szCs w:val="24"/>
                <w:u w:val="none"/>
                <w:lang w:val="en-US" w:eastAsia="zh-CN" w:bidi="ar"/>
              </w:rPr>
              <w:t xml:space="preserve">m</w:t>
            </w:r>
            <w:r>
              <w:rPr>
                <w:rStyle w:val="945"/>
                <w:rFonts w:hint="eastAsia" w:ascii="仿宋" w:hAnsi="仿宋" w:eastAsia="仿宋" w:cs="仿宋"/>
                <w:color w:val="auto"/>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lang w:val="en-US" w:eastAsia="zh-CN" w:bidi="ar"/>
              </w:rPr>
              <w:t xml:space="preserve">≤3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最大爬坡度（空载）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lang w:val="en-US" w:eastAsia="zh-CN" w:bidi="ar"/>
              </w:rPr>
              <w:t xml:space="preserve">15°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5"/>
                <w:rFonts w:hint="eastAsia" w:ascii="仿宋" w:hAnsi="仿宋" w:eastAsia="仿宋" w:cs="仿宋"/>
                <w:color w:val="auto"/>
                <w:sz w:val="24"/>
                <w:szCs w:val="24"/>
                <w:lang w:val="en-US" w:eastAsia="zh-CN" w:bidi="ar"/>
              </w:rPr>
              <w:t xml:space="preserve">最大制动距离（</w:t>
            </w:r>
            <w:r>
              <w:rPr>
                <w:rFonts w:hint="eastAsia" w:ascii="仿宋" w:hAnsi="仿宋" w:eastAsia="仿宋" w:cs="仿宋"/>
                <w:i w:val="0"/>
                <w:color w:val="auto"/>
                <w:sz w:val="24"/>
                <w:szCs w:val="24"/>
                <w:u w:val="none"/>
                <w:lang w:val="en-US" w:eastAsia="zh-CN" w:bidi="ar"/>
              </w:rPr>
              <w:t xml:space="preserve">m</w:t>
            </w:r>
            <w:r>
              <w:rPr>
                <w:rStyle w:val="945"/>
                <w:rFonts w:hint="eastAsia" w:ascii="仿宋" w:hAnsi="仿宋" w:eastAsia="仿宋" w:cs="仿宋"/>
                <w:color w:val="auto"/>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lang w:val="en-US" w:eastAsia="zh-CN" w:bidi="ar"/>
              </w:rPr>
              <w:t xml:space="preserve">≤5 (v0=20km/h)</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5"/>
                <w:rFonts w:hint="eastAsia" w:ascii="仿宋" w:hAnsi="仿宋" w:eastAsia="仿宋" w:cs="仿宋"/>
                <w:color w:val="auto"/>
                <w:sz w:val="24"/>
                <w:szCs w:val="24"/>
                <w:lang w:val="en-US" w:eastAsia="zh-CN" w:bidi="ar"/>
              </w:rPr>
              <w:t xml:space="preserve">最大续行里程（</w:t>
            </w:r>
            <w:r>
              <w:rPr>
                <w:rFonts w:hint="eastAsia" w:ascii="仿宋" w:hAnsi="仿宋" w:eastAsia="仿宋" w:cs="仿宋"/>
                <w:i w:val="0"/>
                <w:color w:val="auto"/>
                <w:sz w:val="24"/>
                <w:szCs w:val="24"/>
                <w:u w:val="none"/>
                <w:lang w:val="en-US" w:eastAsia="zh-CN" w:bidi="ar"/>
              </w:rPr>
              <w:t xml:space="preserve">km</w:t>
            </w:r>
            <w:r>
              <w:rPr>
                <w:rStyle w:val="945"/>
                <w:rFonts w:hint="eastAsia" w:ascii="仿宋" w:hAnsi="仿宋" w:eastAsia="仿宋" w:cs="仿宋"/>
                <w:color w:val="auto"/>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Style w:val="945"/>
                <w:rFonts w:hint="eastAsia" w:ascii="仿宋" w:hAnsi="仿宋" w:eastAsia="仿宋" w:cs="仿宋"/>
                <w:color w:val="auto"/>
                <w:sz w:val="24"/>
                <w:szCs w:val="24"/>
                <w:lang w:val="en-US" w:eastAsia="zh-CN" w:bidi="ar"/>
              </w:rPr>
              <w:t xml:space="preserve">≥</w:t>
            </w:r>
            <w:r>
              <w:rPr>
                <w:rFonts w:hint="eastAsia" w:ascii="仿宋" w:hAnsi="仿宋" w:eastAsia="仿宋" w:cs="仿宋"/>
                <w:i w:val="0"/>
                <w:color w:val="auto"/>
                <w:sz w:val="24"/>
                <w:szCs w:val="24"/>
                <w:u w:val="none"/>
                <w:lang w:val="en-US" w:eastAsia="zh-CN" w:bidi="ar"/>
              </w:rPr>
              <w:t xml:space="preserve">50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5"/>
                <w:rFonts w:hint="eastAsia" w:ascii="仿宋" w:hAnsi="仿宋" w:eastAsia="仿宋" w:cs="仿宋"/>
                <w:color w:val="auto"/>
                <w:sz w:val="24"/>
                <w:szCs w:val="24"/>
                <w:lang w:val="en-US" w:eastAsia="zh-CN" w:bidi="ar"/>
              </w:rPr>
              <w:t xml:space="preserve">空载整车质量（</w:t>
            </w:r>
            <w:r>
              <w:rPr>
                <w:rFonts w:hint="eastAsia" w:ascii="仿宋" w:hAnsi="仿宋" w:eastAsia="仿宋" w:cs="仿宋"/>
                <w:i w:val="0"/>
                <w:color w:val="auto"/>
                <w:sz w:val="24"/>
                <w:szCs w:val="24"/>
                <w:u w:val="none"/>
                <w:lang w:val="en-US" w:eastAsia="zh-CN" w:bidi="ar"/>
              </w:rPr>
              <w:t xml:space="preserve">kg</w:t>
            </w:r>
            <w:r>
              <w:rPr>
                <w:rStyle w:val="945"/>
                <w:rFonts w:hint="eastAsia" w:ascii="仿宋" w:hAnsi="仿宋" w:eastAsia="仿宋" w:cs="仿宋"/>
                <w:color w:val="auto"/>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Style w:val="945"/>
                <w:rFonts w:hint="eastAsia" w:ascii="仿宋" w:hAnsi="仿宋" w:eastAsia="仿宋" w:cs="仿宋"/>
                <w:color w:val="auto"/>
                <w:sz w:val="24"/>
                <w:szCs w:val="24"/>
                <w:lang w:val="en-US" w:eastAsia="zh-CN" w:bidi="ar"/>
              </w:rPr>
              <w:t xml:space="preserve">≥</w:t>
            </w:r>
            <w:r>
              <w:rPr>
                <w:rFonts w:hint="eastAsia" w:ascii="仿宋" w:hAnsi="仿宋" w:eastAsia="仿宋" w:cs="仿宋"/>
                <w:i w:val="0"/>
                <w:color w:val="auto"/>
                <w:sz w:val="24"/>
                <w:szCs w:val="24"/>
                <w:u w:val="none"/>
                <w:lang w:val="en-US" w:eastAsia="zh-CN" w:bidi="ar"/>
              </w:rPr>
              <w:t xml:space="preserve">300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5"/>
                <w:rFonts w:hint="eastAsia" w:ascii="仿宋" w:hAnsi="仿宋" w:eastAsia="仿宋" w:cs="仿宋"/>
                <w:color w:val="auto"/>
                <w:sz w:val="24"/>
                <w:szCs w:val="24"/>
                <w:lang w:val="en-US" w:eastAsia="zh-CN" w:bidi="ar"/>
              </w:rPr>
              <w:t xml:space="preserve">额定载质量（</w:t>
            </w:r>
            <w:r>
              <w:rPr>
                <w:rFonts w:hint="eastAsia" w:ascii="仿宋" w:hAnsi="仿宋" w:eastAsia="仿宋" w:cs="仿宋"/>
                <w:i w:val="0"/>
                <w:color w:val="auto"/>
                <w:sz w:val="24"/>
                <w:szCs w:val="24"/>
                <w:u w:val="none"/>
                <w:lang w:val="en-US" w:eastAsia="zh-CN" w:bidi="ar"/>
              </w:rPr>
              <w:t xml:space="preserve">kg</w:t>
            </w:r>
            <w:r>
              <w:rPr>
                <w:rStyle w:val="945"/>
                <w:rFonts w:hint="eastAsia" w:ascii="仿宋" w:hAnsi="仿宋" w:eastAsia="仿宋" w:cs="仿宋"/>
                <w:color w:val="auto"/>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Style w:val="945"/>
                <w:rFonts w:hint="eastAsia" w:ascii="仿宋" w:hAnsi="仿宋" w:eastAsia="仿宋" w:cs="仿宋"/>
                <w:color w:val="auto"/>
                <w:sz w:val="24"/>
                <w:szCs w:val="24"/>
                <w:lang w:val="en-US" w:eastAsia="zh-CN" w:bidi="ar"/>
              </w:rPr>
              <w:t xml:space="preserve">≥</w:t>
            </w:r>
            <w:r>
              <w:rPr>
                <w:rFonts w:hint="eastAsia" w:ascii="仿宋" w:hAnsi="仿宋" w:eastAsia="仿宋" w:cs="仿宋"/>
                <w:i w:val="0"/>
                <w:color w:val="auto"/>
                <w:sz w:val="24"/>
                <w:szCs w:val="24"/>
                <w:u w:val="none"/>
                <w:lang w:val="en-US" w:eastAsia="zh-CN" w:bidi="ar"/>
              </w:rPr>
              <w:t xml:space="preserve">500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充电时间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lang w:val="en-US" w:eastAsia="zh-CN" w:bidi="ar"/>
              </w:rPr>
              <w:t xml:space="preserve">6-8小时（放电率80%）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restart"/>
            <w:textDirection w:val="lrTb"/>
            <w:noWrap w:val="false"/>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电    气    系   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keepLines w:val="0"/>
              <w:keepNext w:val="0"/>
              <w:widowControl/>
              <w:rPr>
                <w:rFonts w:hint="eastAsia" w:ascii="仿宋" w:hAnsi="仿宋" w:eastAsia="仿宋" w:cs="仿宋"/>
                <w:i w:val="0"/>
                <w:color w:val="auto"/>
                <w:sz w:val="24"/>
                <w:szCs w:val="24"/>
                <w:u w:val="none"/>
              </w:rPr>
              <w:suppressLineNumbers w:val="0"/>
            </w:pPr>
            <w:r>
              <w:rPr>
                <w:rStyle w:val="946"/>
                <w:rFonts w:hint="eastAsia" w:ascii="仿宋" w:hAnsi="仿宋" w:eastAsia="仿宋" w:cs="仿宋"/>
                <w:color w:val="auto"/>
                <w:sz w:val="24"/>
                <w:szCs w:val="24"/>
                <w:lang w:val="en-US" w:eastAsia="zh-CN" w:bidi="ar"/>
              </w:rPr>
              <w:t xml:space="preserve"> 48V/ 20—32Ah蓄电池组（选配）</w:t>
            </w:r>
            <w:r>
              <w:rPr>
                <w:rStyle w:val="947"/>
                <w:rFonts w:hint="eastAsia" w:ascii="仿宋" w:hAnsi="仿宋" w:eastAsia="仿宋" w:cs="仿宋"/>
                <w:color w:val="auto"/>
                <w:sz w:val="24"/>
                <w:szCs w:val="24"/>
                <w:lang w:val="en-US" w:eastAsia="zh-CN" w:bidi="ar"/>
              </w:rPr>
              <w:t xml:space="preserve"> </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48V全自动智能化蓄电池配套充电器</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15管无刷防水控制器，软起动控制，带倒车语音提示功能</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6"/>
                <w:rFonts w:hint="eastAsia" w:ascii="仿宋" w:hAnsi="仿宋" w:eastAsia="仿宋" w:cs="仿宋"/>
                <w:color w:val="auto"/>
                <w:sz w:val="24"/>
                <w:szCs w:val="24"/>
                <w:lang w:val="en-US" w:eastAsia="zh-CN" w:bidi="ar"/>
              </w:rPr>
              <w:t xml:space="preserve">48V</w:t>
            </w:r>
            <w:r>
              <w:rPr>
                <w:rStyle w:val="948"/>
                <w:rFonts w:hint="eastAsia" w:ascii="仿宋" w:hAnsi="仿宋" w:eastAsia="仿宋" w:cs="仿宋"/>
                <w:color w:val="auto"/>
                <w:sz w:val="24"/>
                <w:szCs w:val="24"/>
                <w:lang w:val="en-US" w:eastAsia="zh-CN" w:bidi="ar"/>
              </w:rPr>
              <w:t xml:space="preserve">650W  </w:t>
            </w:r>
            <w:r>
              <w:rPr>
                <w:rStyle w:val="946"/>
                <w:rFonts w:hint="eastAsia" w:ascii="仿宋" w:hAnsi="仿宋" w:eastAsia="仿宋" w:cs="仿宋"/>
                <w:color w:val="auto"/>
                <w:sz w:val="24"/>
                <w:szCs w:val="24"/>
                <w:lang w:val="en-US" w:eastAsia="zh-CN" w:bidi="ar"/>
              </w:rPr>
              <w:t xml:space="preserve">高磁钢无刷差速电机，分体式后桥</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灯光及信号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组合LED前大灯，转向灯，组合后尾灯；电喇叭及倒车蜂鸣器</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restart"/>
            <w:textDirection w:val="lrTb"/>
            <w:noWrap w:val="false"/>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底    盘   系   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车架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整体焊接车架 + 酸洗电泳烤漆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减震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前：33#双肩液压减震；后：4片加厚弹簧钢板，减震效果强，乘驶舒适、安全</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后桥调节拉杆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两根调节拉杆连接后桥，让后桥不走位、不变形</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轮胎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前轮12—300，后轮12—350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制动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脚踩机械连杆鼓式后轮制动 + 手动机械驻车制动，刹车灵敏，确保整车安全</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restart"/>
            <w:textDirection w:val="lrTb"/>
            <w:noWrap w:val="false"/>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车    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全车采用汽车级油漆，电脑调漆，专业酸洗、电泳、喷涂设备</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LOGO</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可按照客户图样贴花、标示、反光条等要求制作</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Style w:val="946"/>
                <w:rFonts w:hint="eastAsia" w:ascii="仿宋" w:hAnsi="仿宋" w:eastAsia="仿宋" w:cs="仿宋"/>
                <w:color w:val="auto"/>
                <w:sz w:val="24"/>
                <w:szCs w:val="24"/>
                <w:lang w:val="en-US" w:eastAsia="zh-CN" w:bidi="ar"/>
              </w:rPr>
              <w:t xml:space="preserve">高级仿真皮皮革面料 </w:t>
            </w:r>
            <w:r>
              <w:rPr>
                <w:rStyle w:val="948"/>
                <w:rFonts w:hint="eastAsia" w:ascii="仿宋" w:hAnsi="仿宋" w:eastAsia="仿宋" w:cs="仿宋"/>
                <w:color w:val="auto"/>
                <w:sz w:val="24"/>
                <w:szCs w:val="24"/>
                <w:lang w:val="en-US" w:eastAsia="zh-CN" w:bidi="ar"/>
              </w:rPr>
              <w:t xml:space="preserve">+ </w:t>
            </w:r>
            <w:r>
              <w:rPr>
                <w:rStyle w:val="946"/>
                <w:rFonts w:hint="eastAsia" w:ascii="仿宋" w:hAnsi="仿宋" w:eastAsia="仿宋" w:cs="仿宋"/>
                <w:color w:val="auto"/>
                <w:sz w:val="24"/>
                <w:szCs w:val="24"/>
                <w:lang w:val="en-US" w:eastAsia="zh-CN" w:bidi="ar"/>
              </w:rPr>
              <w:t xml:space="preserve">高回弹</w:t>
            </w:r>
            <w:r>
              <w:rPr>
                <w:rStyle w:val="948"/>
                <w:rFonts w:hint="eastAsia" w:ascii="仿宋" w:hAnsi="仿宋" w:eastAsia="仿宋" w:cs="仿宋"/>
                <w:color w:val="auto"/>
                <w:sz w:val="24"/>
                <w:szCs w:val="24"/>
                <w:lang w:val="en-US" w:eastAsia="zh-CN" w:bidi="ar"/>
              </w:rPr>
              <w:t xml:space="preserve">PU</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仪表台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left"/>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注塑成型仪表台，电门锁、仪表、组合开关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支撑液压顶杆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底部双液压杆翻桶自卸机构，减轻环卫工人的劳动强度</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vMerge w:val="continue"/>
            <w:textDirection w:val="lrTb"/>
            <w:noWrap w:val="false"/>
          </w:tcPr>
          <w:p>
            <w:pPr>
              <w:jc w:val="center"/>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0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车厢结构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内部分格式，垃圾分类收集，后翻式箱体，全封闭结构，可避免作业中垃圾滴漏飞扬，可选配简易驾驶室</w:t>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9" w:type="dxa"/>
            <w:vAlign w:val="center"/>
            <w:textDirection w:val="lrTb"/>
            <w:noWrap w:val="false"/>
          </w:tcPr>
          <w:p>
            <w:pPr>
              <w:jc w:val="center"/>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适应场所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4" w:type="dxa"/>
            <w:vAlign w:val="center"/>
            <w:textDirection w:val="lrTb"/>
            <w:noWrap w:val="false"/>
          </w:tcPr>
          <w:p>
            <w:pPr>
              <w:jc w:val="both"/>
              <w:keepLines w:val="0"/>
              <w:keepNext w:val="0"/>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整车体积小，适于在小区、广场、小巷、人行道等路段垃圾收集和巡回保洁使用。随走随停，方便灵活</w:t>
            </w:r>
            <w:r/>
          </w:p>
        </w:tc>
      </w:tr>
    </w:tbl>
    <w:p>
      <w:pPr>
        <w:pStyle w:val="89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44"/>
        <w:ind w:left="0" w:firstLine="0"/>
        <w:spacing w:line="360" w:lineRule="auto"/>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2.2垃圾桶配置：</w:t>
      </w:r>
      <w:r/>
    </w:p>
    <w:p>
      <w:pPr>
        <w:pStyle w:val="944"/>
        <w:ind w:left="0" w:firstLine="0"/>
        <w:spacing w:line="360" w:lineRule="auto"/>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color w:val="auto"/>
          <w:sz w:val="24"/>
          <w:szCs w:val="24"/>
          <w:highlight w:val="none"/>
          <w:lang w:val="en-US" w:eastAsia="zh-CN" w:bidi="ar-SA"/>
        </w:rPr>
        <w:t xml:space="preserve">30L户桶 （36504个）</w:t>
      </w:r>
      <w:r/>
    </w:p>
    <w:p>
      <w:pPr>
        <w:pStyle w:val="944"/>
        <w:ind w:left="0" w:firstLine="0"/>
        <w:spacing w:line="360" w:lineRule="auto"/>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lang w:val="en-US" w:eastAsia="zh-CN" w:bidi="ar-SA"/>
        </w:rPr>
        <w:t xml:space="preserve">主要参数说明</w:t>
      </w:r>
      <w:r/>
    </w:p>
    <w:p>
      <w:pPr>
        <w:pStyle w:val="944"/>
        <w:ind w:left="0" w:firstLine="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lang w:val="en-US" w:eastAsia="zh-CN"/>
        </w:rPr>
        <w:t xml:space="preserve">1、</w:t>
      </w:r>
      <w:r>
        <w:rPr>
          <w:rFonts w:hint="eastAsia" w:ascii="仿宋" w:hAnsi="仿宋" w:eastAsia="仿宋" w:cs="仿宋"/>
          <w:color w:val="auto"/>
          <w:sz w:val="24"/>
          <w:szCs w:val="24"/>
          <w:highlight w:val="none"/>
          <w:lang w:eastAsia="zh-CN"/>
        </w:rPr>
        <w:t xml:space="preserve">容量</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容量</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立升±3%</w:t>
      </w:r>
      <w:r>
        <w:rPr>
          <w:rFonts w:hint="eastAsia" w:ascii="仿宋" w:hAnsi="仿宋" w:eastAsia="仿宋" w:cs="仿宋"/>
          <w:color w:val="auto"/>
          <w:sz w:val="24"/>
          <w:szCs w:val="24"/>
          <w:highlight w:val="none"/>
          <w:lang w:val="en-US" w:eastAsia="zh-CN"/>
        </w:rPr>
        <w:t xml:space="preserve">;</w:t>
      </w:r>
      <w:r/>
    </w:p>
    <w:p>
      <w:pPr>
        <w:pStyle w:val="944"/>
        <w:ind w:left="0" w:firstLine="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lang w:val="en-US" w:eastAsia="zh-CN"/>
        </w:rPr>
        <w:t xml:space="preserve">2、</w:t>
      </w:r>
      <w:r>
        <w:rPr>
          <w:rFonts w:hint="eastAsia" w:ascii="仿宋" w:hAnsi="仿宋" w:eastAsia="仿宋" w:cs="仿宋"/>
          <w:color w:val="auto"/>
          <w:sz w:val="24"/>
          <w:szCs w:val="24"/>
          <w:highlight w:val="none"/>
        </w:rPr>
        <w:t xml:space="preserve">整体尺寸：长×宽×高（mm）</w:t>
      </w:r>
      <w:r>
        <w:rPr>
          <w:rFonts w:hint="eastAsia" w:ascii="仿宋" w:hAnsi="仿宋" w:eastAsia="仿宋" w:cs="仿宋"/>
          <w:color w:val="auto"/>
          <w:sz w:val="24"/>
          <w:szCs w:val="24"/>
          <w:highlight w:val="none"/>
          <w:lang w:eastAsia="zh-CN"/>
        </w:rPr>
        <w:t xml:space="preserve">：36</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250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500mm</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highlight w:val="none"/>
          <w:lang w:val="en-US" w:eastAsia="zh-CN"/>
        </w:rPr>
        <w:t xml:space="preserve">;</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lang w:val="en-US" w:eastAsia="zh-CN"/>
        </w:rPr>
        <w:t xml:space="preserve">3、</w:t>
      </w:r>
      <w:r>
        <w:rPr>
          <w:rFonts w:hint="eastAsia" w:ascii="仿宋" w:hAnsi="仿宋" w:eastAsia="仿宋" w:cs="仿宋"/>
          <w:color w:val="auto"/>
          <w:sz w:val="24"/>
          <w:szCs w:val="24"/>
        </w:rPr>
        <w:t xml:space="preserve">材料</w:t>
      </w:r>
      <w:r>
        <w:rPr>
          <w:rFonts w:hint="eastAsia" w:ascii="仿宋" w:hAnsi="仿宋" w:eastAsia="仿宋" w:cs="仿宋"/>
          <w:color w:val="auto"/>
          <w:sz w:val="24"/>
          <w:szCs w:val="24"/>
          <w:lang w:val="en-US" w:eastAsia="zh-CN"/>
        </w:rPr>
        <w:t xml:space="preserve">:100%共聚丙烯全新料（PP）;</w:t>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b/>
          <w:color w:val="auto"/>
          <w:sz w:val="24"/>
          <w:szCs w:val="24"/>
          <w:lang w:val="en-US" w:eastAsia="zh-CN"/>
        </w:rPr>
        <w:t xml:space="preserve">4、</w:t>
      </w:r>
      <w:r>
        <w:rPr>
          <w:rFonts w:hint="eastAsia" w:ascii="仿宋" w:hAnsi="仿宋" w:eastAsia="仿宋" w:cs="仿宋"/>
          <w:color w:val="auto"/>
          <w:sz w:val="24"/>
          <w:szCs w:val="24"/>
        </w:rPr>
        <w:t xml:space="preserve">厚度</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外桶壁厚</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rPr>
        <w:t xml:space="preserve">2.5mm，内桶壁厚</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rPr>
        <w:t xml:space="preserve">2.5mm，桶盖厚</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rPr>
        <w:t xml:space="preserve">2.5mm</w:t>
      </w:r>
      <w:r>
        <w:rPr>
          <w:rFonts w:hint="eastAsia" w:ascii="仿宋" w:hAnsi="仿宋" w:eastAsia="仿宋" w:cs="仿宋"/>
          <w:color w:val="auto"/>
          <w:sz w:val="24"/>
          <w:szCs w:val="24"/>
          <w:lang w:eastAsia="zh-CN"/>
        </w:rPr>
        <w:t xml:space="preserve">；</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lang w:val="en-US" w:eastAsia="zh-CN"/>
        </w:rPr>
        <w:t xml:space="preserve">5、</w:t>
      </w:r>
      <w:r>
        <w:rPr>
          <w:rFonts w:hint="eastAsia" w:ascii="仿宋" w:hAnsi="仿宋" w:eastAsia="仿宋" w:cs="仿宋"/>
          <w:color w:val="auto"/>
          <w:sz w:val="24"/>
          <w:szCs w:val="24"/>
        </w:rPr>
        <w:t xml:space="preserve">重量</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整体重量≧1.</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kg，盖子≧0.22kg，桶身≧</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98</w:t>
      </w:r>
      <w:r>
        <w:rPr>
          <w:rFonts w:hint="eastAsia" w:ascii="仿宋" w:hAnsi="仿宋" w:eastAsia="仿宋" w:cs="仿宋"/>
          <w:color w:val="auto"/>
          <w:sz w:val="24"/>
          <w:szCs w:val="24"/>
        </w:rPr>
        <w:t xml:space="preserve">kg</w:t>
      </w:r>
      <w:r>
        <w:rPr>
          <w:rFonts w:hint="eastAsia" w:ascii="仿宋" w:hAnsi="仿宋" w:eastAsia="仿宋" w:cs="仿宋"/>
          <w:color w:val="auto"/>
          <w:sz w:val="24"/>
          <w:szCs w:val="24"/>
          <w:lang w:val="en-US" w:eastAsia="zh-CN"/>
        </w:rPr>
        <w:t xml:space="preserve">;</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lang w:val="en-US" w:eastAsia="zh-CN"/>
        </w:rPr>
        <w:t xml:space="preserve">6、</w:t>
      </w:r>
      <w:r>
        <w:rPr>
          <w:rFonts w:hint="eastAsia" w:ascii="仿宋" w:hAnsi="仿宋" w:eastAsia="仿宋" w:cs="仿宋"/>
          <w:color w:val="auto"/>
          <w:sz w:val="24"/>
          <w:szCs w:val="24"/>
        </w:rPr>
        <w:t xml:space="preserve">颜色</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按照国际标用颜色色系标准</w:t>
      </w:r>
      <w:r>
        <w:rPr>
          <w:rFonts w:hint="eastAsia" w:ascii="仿宋" w:hAnsi="仿宋" w:eastAsia="仿宋" w:cs="仿宋"/>
          <w:color w:val="auto"/>
          <w:sz w:val="24"/>
          <w:szCs w:val="24"/>
          <w:lang w:val="en-US" w:eastAsia="zh-CN"/>
        </w:rPr>
        <w:t xml:space="preserve">;</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lang w:val="en-US" w:eastAsia="zh-CN"/>
        </w:rPr>
        <w:t xml:space="preserve">7、</w:t>
      </w:r>
      <w:r>
        <w:rPr>
          <w:rFonts w:hint="eastAsia" w:ascii="仿宋" w:hAnsi="仿宋" w:eastAsia="仿宋" w:cs="仿宋"/>
          <w:color w:val="auto"/>
          <w:sz w:val="24"/>
          <w:szCs w:val="24"/>
        </w:rPr>
        <w:t xml:space="preserve">标识</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按采购方要求喷字加标识</w:t>
      </w:r>
      <w:r>
        <w:rPr>
          <w:rFonts w:hint="eastAsia" w:ascii="仿宋" w:hAnsi="仿宋" w:eastAsia="仿宋" w:cs="仿宋"/>
          <w:color w:val="auto"/>
          <w:sz w:val="24"/>
          <w:szCs w:val="24"/>
          <w:lang w:val="en-US" w:eastAsia="zh-CN"/>
        </w:rPr>
        <w:t xml:space="preserve">;</w:t>
      </w:r>
      <w:r/>
    </w:p>
    <w:p>
      <w:pPr>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b/>
          <w:bCs/>
          <w:color w:val="auto"/>
          <w:sz w:val="24"/>
          <w:szCs w:val="24"/>
        </w:rPr>
        <w:t xml:space="preserve">产品主要性能指标</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1、总容量：30L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2、桶总重量：整体重量≧1.</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kg，盖子≧0.22kg，桶身≧</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98</w:t>
      </w:r>
      <w:r>
        <w:rPr>
          <w:rFonts w:hint="eastAsia" w:ascii="仿宋" w:hAnsi="仿宋" w:eastAsia="仿宋" w:cs="仿宋"/>
          <w:color w:val="auto"/>
          <w:sz w:val="24"/>
          <w:szCs w:val="24"/>
        </w:rPr>
        <w:t xml:space="preserve">kg。</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3、整体尺寸：L36</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×W250×H5</w:t>
      </w:r>
      <w:r>
        <w:rPr>
          <w:rFonts w:hint="eastAsia" w:ascii="仿宋" w:hAnsi="仿宋" w:eastAsia="仿宋" w:cs="仿宋"/>
          <w:color w:val="auto"/>
          <w:sz w:val="24"/>
          <w:szCs w:val="24"/>
          <w:lang w:val="en-US" w:eastAsia="zh-CN"/>
        </w:rPr>
        <w:t xml:space="preserve">00</w:t>
      </w:r>
      <w:r>
        <w:rPr>
          <w:rFonts w:hint="eastAsia" w:ascii="仿宋" w:hAnsi="仿宋" w:eastAsia="仿宋" w:cs="仿宋"/>
          <w:color w:val="auto"/>
          <w:sz w:val="24"/>
          <w:szCs w:val="24"/>
        </w:rPr>
        <w:t xml:space="preserve">mm</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rPr>
        <w:t xml:space="preserve">；不含盖、把手尺寸：L315×W250×H440mm（±</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mm）。</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4、正面加强筋凸起部分，比例大小合理，正面印刷图案更加美观大气。</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5、材料：采用100%高密度聚丙稀新料（PP),添加高质量增强、抗紫外线剂，颜色色素达5%，确保颜色鲜艳，长时间不褪色。</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6、桶体各部位分别一次性注塑成型，无接缝，具有耐腐蚀，耐酸碱，并有足够的机械强度和良好的冲击韧性。</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7、桶盖为掀盖设计无需脚踏，避免了易损易坏，增加了产品的使用寿命。</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8、桶盖卡扣连接处使用加强筋设计，增加了产品的使用寿命。</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9、桶盖采用瀑布流线性设计，翻盖角度大于120°，方便套、取垃圾袋，顶部留有</w:t>
      </w:r>
      <w:r>
        <w:rPr>
          <w:rFonts w:hint="eastAsia" w:ascii="仿宋" w:hAnsi="仿宋" w:eastAsia="仿宋" w:cs="仿宋"/>
          <w:color w:val="auto"/>
          <w:sz w:val="24"/>
          <w:szCs w:val="24"/>
          <w:lang w:val="en-US" w:eastAsia="zh-CN"/>
        </w:rPr>
        <w:t xml:space="preserve">部分</w:t>
      </w:r>
      <w:r>
        <w:rPr>
          <w:rFonts w:hint="eastAsia" w:ascii="仿宋" w:hAnsi="仿宋" w:eastAsia="仿宋" w:cs="仿宋"/>
          <w:color w:val="auto"/>
          <w:sz w:val="24"/>
          <w:szCs w:val="24"/>
        </w:rPr>
        <w:t xml:space="preserve">平面，根据用户需求加图案标识。</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10、垃圾桶后侧设有防滑提手并在连接处设有加强筋，方便用户用手提拎和倾倒垃圾，增加用户体验感。</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11、垃圾桶桶身两侧设有挂钩，能够自由组合各种颜色，随心分类。</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12、桶全身采用磨砂皮纹，更能凸显产品的档次。</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13、桶身上方左右两侧</w:t>
      </w:r>
      <w:r>
        <w:rPr>
          <w:rFonts w:hint="eastAsia" w:ascii="仿宋" w:hAnsi="仿宋" w:eastAsia="仿宋" w:cs="仿宋"/>
          <w:color w:val="auto"/>
          <w:sz w:val="24"/>
          <w:szCs w:val="24"/>
          <w:lang w:eastAsia="zh-CN"/>
        </w:rPr>
        <w:t xml:space="preserve">预留有安装提手的孔位，需要时</w:t>
      </w:r>
      <w:r>
        <w:rPr>
          <w:rFonts w:hint="eastAsia" w:ascii="仿宋" w:hAnsi="仿宋" w:eastAsia="仿宋" w:cs="仿宋"/>
          <w:color w:val="auto"/>
          <w:sz w:val="24"/>
          <w:szCs w:val="24"/>
        </w:rPr>
        <w:t xml:space="preserve">可</w:t>
      </w:r>
      <w:r>
        <w:rPr>
          <w:rFonts w:hint="eastAsia" w:ascii="仿宋" w:hAnsi="仿宋" w:eastAsia="仿宋" w:cs="仿宋"/>
          <w:color w:val="auto"/>
          <w:sz w:val="24"/>
          <w:szCs w:val="24"/>
          <w:lang w:eastAsia="zh-CN"/>
        </w:rPr>
        <w:t xml:space="preserve">方便</w:t>
      </w:r>
      <w:r>
        <w:rPr>
          <w:rFonts w:hint="eastAsia" w:ascii="仿宋" w:hAnsi="仿宋" w:eastAsia="仿宋" w:cs="仿宋"/>
          <w:color w:val="auto"/>
          <w:sz w:val="24"/>
          <w:szCs w:val="24"/>
        </w:rPr>
        <w:t xml:space="preserve">安装提手，使用过程中可方便垃圾袋套取。</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14、桶身正面和左右两面均采用加强筋设计，使整体更加结实耐用。</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15、桶底部四周留有四个圆柱形立孔，可根据用户需求安装万向轮。</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16、桶底留有两个长方形凹槽，可用来安装垃圾分类电子标识。</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17、正常使用温度为-25℃--65℃；产品3年内不褪色。</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96"/>
        <w:rPr>
          <w:rFonts w:hint="eastAsia"/>
          <w:color w:val="auto"/>
        </w:rPr>
      </w:pPr>
      <w:r>
        <w:rPr>
          <w:rFonts w:hint="eastAsia"/>
          <w:color w:val="auto"/>
        </w:rPr>
      </w:r>
      <w:r/>
    </w:p>
    <w:p>
      <w:pPr>
        <w:pStyle w:val="944"/>
        <w:ind w:left="0" w:firstLine="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2.2.2  </w:t>
      </w:r>
      <w:r>
        <w:rPr>
          <w:rFonts w:hint="eastAsia" w:ascii="仿宋" w:hAnsi="仿宋" w:eastAsia="仿宋" w:cs="仿宋"/>
          <w:b/>
          <w:bCs/>
          <w:color w:val="auto"/>
          <w:sz w:val="24"/>
          <w:szCs w:val="24"/>
          <w:highlight w:val="none"/>
          <w:lang w:val="en-US" w:eastAsia="zh-CN"/>
        </w:rPr>
        <w:t xml:space="preserve">240L垃圾桶</w:t>
      </w:r>
      <w:r>
        <w:rPr>
          <w:rFonts w:hint="eastAsia" w:ascii="仿宋" w:hAnsi="仿宋" w:eastAsia="仿宋" w:cs="仿宋"/>
          <w:b/>
          <w:color w:val="auto"/>
          <w:sz w:val="24"/>
          <w:szCs w:val="24"/>
          <w:highlight w:val="none"/>
          <w:lang w:val="en-US" w:eastAsia="zh-CN" w:bidi="ar-SA"/>
        </w:rPr>
        <w:t xml:space="preserve">（1212个）</w:t>
      </w:r>
      <w:r/>
    </w:p>
    <w:p>
      <w:pPr>
        <w:pStyle w:val="944"/>
        <w:ind w:left="0" w:firstLine="0"/>
        <w:spacing w:line="360" w:lineRule="auto"/>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lang w:val="en-US" w:eastAsia="zh-CN" w:bidi="ar-SA"/>
        </w:rPr>
        <w:t xml:space="preserve">主要参数说明</w:t>
      </w:r>
      <w:r/>
    </w:p>
    <w:p>
      <w:pPr>
        <w:pStyle w:val="944"/>
        <w:ind w:left="0" w:firstLine="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lang w:val="en-US" w:eastAsia="zh-CN"/>
        </w:rPr>
        <w:t xml:space="preserve">1、</w:t>
      </w:r>
      <w:r>
        <w:rPr>
          <w:rFonts w:hint="eastAsia" w:ascii="仿宋" w:hAnsi="仿宋" w:eastAsia="仿宋" w:cs="仿宋"/>
          <w:color w:val="auto"/>
          <w:sz w:val="24"/>
          <w:szCs w:val="24"/>
          <w:highlight w:val="none"/>
          <w:lang w:eastAsia="zh-CN"/>
        </w:rPr>
        <w:t xml:space="preserve">容量</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容量</w:t>
      </w:r>
      <w:r>
        <w:rPr>
          <w:rFonts w:hint="eastAsia" w:ascii="仿宋" w:hAnsi="仿宋" w:eastAsia="仿宋" w:cs="仿宋"/>
          <w:color w:val="auto"/>
          <w:sz w:val="24"/>
          <w:szCs w:val="24"/>
          <w:highlight w:val="none"/>
          <w:lang w:val="en-US" w:eastAsia="zh-CN"/>
        </w:rPr>
        <w:t xml:space="preserve">240</w:t>
      </w:r>
      <w:r>
        <w:rPr>
          <w:rFonts w:hint="eastAsia" w:ascii="仿宋" w:hAnsi="仿宋" w:eastAsia="仿宋" w:cs="仿宋"/>
          <w:color w:val="auto"/>
          <w:sz w:val="24"/>
          <w:szCs w:val="24"/>
          <w:highlight w:val="none"/>
        </w:rPr>
        <w:t xml:space="preserve">立升±3%</w:t>
      </w:r>
      <w:r>
        <w:rPr>
          <w:rFonts w:hint="eastAsia" w:ascii="仿宋" w:hAnsi="仿宋" w:eastAsia="仿宋" w:cs="仿宋"/>
          <w:color w:val="auto"/>
          <w:sz w:val="24"/>
          <w:szCs w:val="24"/>
          <w:highlight w:val="none"/>
          <w:lang w:val="en-US" w:eastAsia="zh-CN"/>
        </w:rPr>
        <w:t xml:space="preserve">;</w:t>
      </w:r>
      <w:r/>
    </w:p>
    <w:p>
      <w:pPr>
        <w:pStyle w:val="944"/>
        <w:ind w:left="0" w:firstLine="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lang w:val="en-US" w:eastAsia="zh-CN"/>
        </w:rPr>
        <w:t xml:space="preserve">2、</w:t>
      </w:r>
      <w:r>
        <w:rPr>
          <w:rFonts w:hint="eastAsia" w:ascii="仿宋" w:hAnsi="仿宋" w:eastAsia="仿宋" w:cs="仿宋"/>
          <w:color w:val="auto"/>
          <w:sz w:val="24"/>
          <w:szCs w:val="24"/>
          <w:highlight w:val="none"/>
        </w:rPr>
        <w:t xml:space="preserve">整体尺寸：长×宽×高（mm）</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lang w:val="en-US" w:eastAsia="zh-CN"/>
        </w:rPr>
        <w:t xml:space="preserve">580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104</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highlight w:val="none"/>
          <w:lang w:val="en-US" w:eastAsia="zh-CN"/>
        </w:rPr>
        <w:t xml:space="preserve">;</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lang w:val="en-US" w:eastAsia="zh-CN"/>
        </w:rPr>
        <w:t xml:space="preserve">3、</w:t>
      </w:r>
      <w:r>
        <w:rPr>
          <w:rFonts w:hint="eastAsia" w:ascii="仿宋" w:hAnsi="仿宋" w:eastAsia="仿宋" w:cs="仿宋"/>
          <w:color w:val="auto"/>
          <w:sz w:val="24"/>
          <w:szCs w:val="24"/>
        </w:rPr>
        <w:t xml:space="preserve">材料</w:t>
      </w:r>
      <w:r>
        <w:rPr>
          <w:rFonts w:hint="eastAsia" w:ascii="仿宋" w:hAnsi="仿宋" w:eastAsia="仿宋" w:cs="仿宋"/>
          <w:color w:val="auto"/>
          <w:sz w:val="24"/>
          <w:szCs w:val="24"/>
          <w:lang w:val="en-US" w:eastAsia="zh-CN"/>
        </w:rPr>
        <w:t xml:space="preserve">:</w:t>
      </w:r>
      <w:r>
        <w:rPr>
          <w:rStyle w:val="949"/>
          <w:rFonts w:hint="eastAsia" w:ascii="仿宋" w:hAnsi="仿宋" w:eastAsia="仿宋" w:cs="仿宋"/>
          <w:color w:val="auto"/>
          <w:sz w:val="24"/>
          <w:szCs w:val="24"/>
        </w:rPr>
        <w:t xml:space="preserve">高密度，中低分子量分布，100%聚乙烯树脂，一次性注塑成型，含紫外线稳定剂≥0.4%，其中颜料色素占5%，以确保塑料桶颜色保持鲜艳持久，不褪色长达5年；</w:t>
      </w:r>
      <w:r>
        <w:rPr>
          <w:rFonts w:hint="eastAsia" w:ascii="仿宋" w:hAnsi="仿宋" w:eastAsia="仿宋" w:cs="仿宋"/>
          <w:color w:val="auto"/>
          <w:sz w:val="24"/>
          <w:szCs w:val="24"/>
          <w:lang w:val="en-US" w:eastAsia="zh-CN"/>
        </w:rPr>
        <w:t xml:space="preserve">;</w:t>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b/>
          <w:color w:val="auto"/>
          <w:sz w:val="24"/>
          <w:szCs w:val="24"/>
          <w:lang w:val="en-US" w:eastAsia="zh-CN"/>
        </w:rPr>
        <w:t xml:space="preserve">4、</w:t>
      </w:r>
      <w:r>
        <w:rPr>
          <w:rFonts w:hint="eastAsia" w:ascii="仿宋" w:hAnsi="仿宋" w:eastAsia="仿宋" w:cs="仿宋"/>
          <w:color w:val="auto"/>
          <w:sz w:val="24"/>
          <w:szCs w:val="24"/>
        </w:rPr>
        <w:t xml:space="preserve">厚度</w:t>
      </w:r>
      <w:r>
        <w:rPr>
          <w:rFonts w:hint="eastAsia" w:ascii="仿宋" w:hAnsi="仿宋" w:eastAsia="仿宋" w:cs="仿宋"/>
          <w:color w:val="auto"/>
          <w:sz w:val="24"/>
          <w:szCs w:val="24"/>
          <w:lang w:val="en-US" w:eastAsia="zh-CN"/>
        </w:rPr>
        <w:t xml:space="preserve">:</w:t>
      </w:r>
      <w:r>
        <w:rPr>
          <w:rStyle w:val="949"/>
          <w:rFonts w:hint="eastAsia" w:ascii="仿宋" w:hAnsi="仿宋" w:eastAsia="仿宋" w:cs="仿宋"/>
          <w:color w:val="auto"/>
          <w:sz w:val="24"/>
          <w:szCs w:val="24"/>
        </w:rPr>
        <w:t xml:space="preserve">≥5mm，硬度测试（邵氏硬度）≥62</w:t>
      </w:r>
      <w:r>
        <w:rPr>
          <w:rFonts w:hint="eastAsia" w:ascii="仿宋" w:hAnsi="仿宋" w:eastAsia="仿宋" w:cs="仿宋"/>
          <w:color w:val="auto"/>
          <w:sz w:val="24"/>
          <w:szCs w:val="24"/>
          <w:lang w:eastAsia="zh-CN"/>
        </w:rPr>
        <w:t xml:space="preserve">；</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lang w:val="en-US" w:eastAsia="zh-CN"/>
        </w:rPr>
        <w:t xml:space="preserve">5、</w:t>
      </w:r>
      <w:r>
        <w:rPr>
          <w:rFonts w:hint="eastAsia" w:ascii="仿宋" w:hAnsi="仿宋" w:eastAsia="仿宋" w:cs="仿宋"/>
          <w:color w:val="auto"/>
          <w:sz w:val="24"/>
          <w:szCs w:val="24"/>
        </w:rPr>
        <w:t xml:space="preserve">重量</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整体重量≧13.5kg，桶身</w:t>
      </w:r>
      <w:r>
        <w:rPr>
          <w:rStyle w:val="949"/>
          <w:rFonts w:hint="eastAsia" w:ascii="仿宋" w:hAnsi="仿宋" w:eastAsia="仿宋" w:cs="仿宋"/>
          <w:color w:val="auto"/>
          <w:sz w:val="24"/>
          <w:szCs w:val="24"/>
        </w:rPr>
        <w:t xml:space="preserve">≥</w:t>
      </w:r>
      <w:r>
        <w:rPr>
          <w:rStyle w:val="949"/>
          <w:rFonts w:hint="eastAsia" w:ascii="仿宋" w:hAnsi="仿宋" w:eastAsia="仿宋" w:cs="仿宋"/>
          <w:color w:val="auto"/>
          <w:sz w:val="24"/>
          <w:szCs w:val="24"/>
          <w:lang w:val="en-US" w:eastAsia="zh-CN"/>
        </w:rPr>
        <w:t xml:space="preserve">9.5</w:t>
      </w:r>
      <w:r>
        <w:rPr>
          <w:rFonts w:hint="eastAsia" w:ascii="仿宋" w:hAnsi="仿宋" w:eastAsia="仿宋" w:cs="仿宋"/>
          <w:color w:val="auto"/>
          <w:sz w:val="24"/>
          <w:szCs w:val="24"/>
        </w:rPr>
        <w:t xml:space="preserve">kg</w:t>
      </w:r>
      <w:r>
        <w:rPr>
          <w:rFonts w:hint="eastAsia" w:ascii="仿宋" w:hAnsi="仿宋" w:eastAsia="仿宋" w:cs="仿宋"/>
          <w:color w:val="auto"/>
          <w:sz w:val="24"/>
          <w:szCs w:val="24"/>
          <w:lang w:val="en-US" w:eastAsia="zh-CN"/>
        </w:rPr>
        <w:t xml:space="preserve">;</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lang w:val="en-US" w:eastAsia="zh-CN"/>
        </w:rPr>
        <w:t xml:space="preserve">6、</w:t>
      </w:r>
      <w:r>
        <w:rPr>
          <w:rFonts w:hint="eastAsia" w:ascii="仿宋" w:hAnsi="仿宋" w:eastAsia="仿宋" w:cs="仿宋"/>
          <w:color w:val="auto"/>
          <w:sz w:val="24"/>
          <w:szCs w:val="24"/>
        </w:rPr>
        <w:t xml:space="preserve">颜色</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按照国际标用颜色色系标准</w:t>
      </w:r>
      <w:r>
        <w:rPr>
          <w:rFonts w:hint="eastAsia" w:ascii="仿宋" w:hAnsi="仿宋" w:eastAsia="仿宋" w:cs="仿宋"/>
          <w:color w:val="auto"/>
          <w:sz w:val="24"/>
          <w:szCs w:val="24"/>
          <w:lang w:val="en-US" w:eastAsia="zh-CN"/>
        </w:rPr>
        <w:t xml:space="preserve">;</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lang w:val="en-US" w:eastAsia="zh-CN"/>
        </w:rPr>
        <w:t xml:space="preserve">7、</w:t>
      </w:r>
      <w:r>
        <w:rPr>
          <w:rFonts w:hint="eastAsia" w:ascii="仿宋" w:hAnsi="仿宋" w:eastAsia="仿宋" w:cs="仿宋"/>
          <w:color w:val="auto"/>
          <w:sz w:val="24"/>
          <w:szCs w:val="24"/>
        </w:rPr>
        <w:t xml:space="preserve">标识</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按采购方要求喷字加标识</w:t>
      </w:r>
      <w:r>
        <w:rPr>
          <w:rFonts w:hint="eastAsia" w:ascii="仿宋" w:hAnsi="仿宋" w:eastAsia="仿宋" w:cs="仿宋"/>
          <w:color w:val="auto"/>
          <w:sz w:val="24"/>
          <w:szCs w:val="24"/>
          <w:lang w:val="en-US" w:eastAsia="zh-CN"/>
        </w:rPr>
        <w:t xml:space="preserve">;</w:t>
      </w:r>
      <w:r/>
    </w:p>
    <w:p>
      <w:pPr>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b/>
          <w:bCs/>
          <w:color w:val="auto"/>
          <w:sz w:val="24"/>
          <w:szCs w:val="24"/>
        </w:rPr>
        <w:t xml:space="preserve">产品主要性能指标</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Style w:val="949"/>
          <w:rFonts w:hint="eastAsia" w:ascii="仿宋" w:hAnsi="仿宋" w:eastAsia="仿宋" w:cs="仿宋"/>
          <w:color w:val="auto"/>
          <w:sz w:val="24"/>
          <w:szCs w:val="24"/>
        </w:rPr>
        <w:t xml:space="preserve">桶盖跟桶体密封严实四周无缝隙，桶体使用原料水分吸收力低于0.01以确保箱体结构日久不变形，不变脆</w:t>
      </w:r>
      <w:r>
        <w:rPr>
          <w:rFonts w:hint="eastAsia" w:ascii="仿宋" w:hAnsi="仿宋" w:eastAsia="仿宋" w:cs="仿宋"/>
          <w:color w:val="auto"/>
          <w:sz w:val="24"/>
          <w:szCs w:val="24"/>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Style w:val="949"/>
          <w:rFonts w:hint="eastAsia" w:ascii="仿宋" w:hAnsi="仿宋" w:eastAsia="仿宋" w:cs="仿宋"/>
          <w:color w:val="auto"/>
          <w:sz w:val="24"/>
          <w:szCs w:val="24"/>
        </w:rPr>
        <w:t xml:space="preserve">产品正常的使用温度范围：-35℃至+66℃</w:t>
      </w:r>
      <w:r>
        <w:rPr>
          <w:rFonts w:hint="eastAsia" w:ascii="仿宋" w:hAnsi="仿宋" w:eastAsia="仿宋" w:cs="仿宋"/>
          <w:color w:val="auto"/>
          <w:sz w:val="24"/>
          <w:szCs w:val="24"/>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Style w:val="949"/>
          <w:rFonts w:hint="eastAsia" w:ascii="仿宋" w:hAnsi="仿宋" w:eastAsia="仿宋" w:cs="仿宋"/>
          <w:color w:val="auto"/>
          <w:sz w:val="24"/>
          <w:szCs w:val="24"/>
        </w:rPr>
        <w:t xml:space="preserve">底部两个移动轮为橡胶外轮，工程塑料轮子芯，直径为200mm，厚度为5mm，滚动自如、便于清晰，轮子采用卡扣式连接轮轴，起到良好的防盗作用</w:t>
      </w:r>
      <w:r>
        <w:rPr>
          <w:rFonts w:hint="eastAsia" w:ascii="仿宋" w:hAnsi="仿宋" w:eastAsia="仿宋" w:cs="仿宋"/>
          <w:color w:val="auto"/>
          <w:sz w:val="24"/>
          <w:szCs w:val="24"/>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Style w:val="949"/>
          <w:rFonts w:hint="eastAsia" w:ascii="仿宋" w:hAnsi="仿宋" w:eastAsia="仿宋" w:cs="仿宋"/>
          <w:color w:val="auto"/>
          <w:sz w:val="24"/>
          <w:szCs w:val="24"/>
        </w:rPr>
        <w:t xml:space="preserve">轮轴采用的是直径为20mm,表面经过电镀锌的坚实钢轴，电镀锌的厚度≥10 μm，使得轮轴更加的坚固耐用，抗氧化，防锈年限达到10年以上</w:t>
      </w:r>
      <w:r>
        <w:rPr>
          <w:rFonts w:hint="eastAsia" w:ascii="仿宋" w:hAnsi="仿宋" w:eastAsia="仿宋" w:cs="仿宋"/>
          <w:color w:val="auto"/>
          <w:sz w:val="24"/>
          <w:szCs w:val="24"/>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5、桶的承载重量不应该超过塑料桶容积的45%。</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6、桶一定要与提升设备衔接作用。</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7、桶盖跟桶身边缘接触良好，整体密封性强，桶盖后方增加两条加强筋，不易变形。</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8、滚轮移动轮采用卡扣式固定，不易被盗卸；橡胶硬度测试≥61，以确保在清运过程中动作平衡；单轮承载达到60</w:t>
      </w:r>
      <w:r>
        <w:rPr>
          <w:rFonts w:hint="eastAsia" w:ascii="仿宋" w:hAnsi="仿宋" w:eastAsia="仿宋" w:cs="仿宋"/>
          <w:color w:val="auto"/>
          <w:sz w:val="24"/>
          <w:szCs w:val="24"/>
          <w:lang w:val="en-US" w:eastAsia="zh-CN"/>
        </w:rPr>
        <w:t xml:space="preserve">kg(</w:t>
      </w: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en-US" w:eastAsia="zh-CN"/>
        </w:rPr>
        <w:t xml:space="preserve">kg)</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便于清洗；桶盖卡扣连接处使用加强筋设计，增加了产品的使用寿命。</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9、轮轴</w:t>
      </w:r>
      <w:r>
        <w:rPr>
          <w:rFonts w:hint="eastAsia" w:ascii="仿宋" w:hAnsi="仿宋" w:eastAsia="仿宋" w:cs="仿宋"/>
          <w:color w:val="auto"/>
          <w:sz w:val="24"/>
          <w:szCs w:val="24"/>
          <w:lang w:val="en-US" w:eastAsia="zh-CN"/>
        </w:rPr>
        <w:t xml:space="preserve">:坚固耐用，抗氧化。</w:t>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10、销子</w:t>
      </w:r>
      <w:r>
        <w:rPr>
          <w:rFonts w:hint="eastAsia" w:ascii="仿宋" w:hAnsi="仿宋" w:eastAsia="仿宋" w:cs="仿宋"/>
          <w:color w:val="auto"/>
          <w:sz w:val="24"/>
          <w:szCs w:val="24"/>
          <w:lang w:eastAsia="zh-CN"/>
        </w:rPr>
        <w:t xml:space="preserve">：高强度、坚固耐用，插销加长锁定，盖子不易脱落，作用是使桶身跟盖子紧密相连，不易脱落，可反复开合百万次以上，并具有防盗功能。</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rPr>
        <w:t xml:space="preserve">11、桶身</w:t>
      </w:r>
      <w:r>
        <w:rPr>
          <w:rFonts w:hint="eastAsia" w:ascii="仿宋" w:hAnsi="仿宋" w:eastAsia="仿宋" w:cs="仿宋"/>
          <w:color w:val="auto"/>
          <w:sz w:val="24"/>
          <w:szCs w:val="24"/>
          <w:lang w:eastAsia="zh-CN"/>
        </w:rPr>
        <w:t xml:space="preserve">：桶口边缘四周设计成内高外低的一个排水坡度，在遭遇雨水天气时或清洗完毕后，积水能迅速派去不滞留；桶身设计成倒梯形，上宽下窄，可以进行叠放，便于运输、仓储和管理，大大的降低运行成本；在叠放时，方便取出。</w:t>
      </w:r>
      <w:r/>
    </w:p>
    <w:p>
      <w:pPr>
        <w:pStyle w:val="892"/>
        <w:numPr>
          <w:ilvl w:val="0"/>
          <w:numId w:val="0"/>
        </w:numPr>
        <w:ind w:left="0" w:firstLine="0"/>
        <w:jc w:val="both"/>
        <w:keepLines w:val="0"/>
        <w:keepNext w:val="0"/>
        <w:pageBreakBefore w:val="0"/>
        <w:spacing w:line="288"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2.3垃圾分类亭、垃圾房及生活垃圾集中投放点配置：</w:t>
      </w:r>
      <w:r/>
    </w:p>
    <w:p>
      <w:pPr>
        <w:pStyle w:val="892"/>
        <w:numPr>
          <w:ilvl w:val="0"/>
          <w:numId w:val="0"/>
        </w:numPr>
        <w:ind w:left="0" w:firstLine="0"/>
        <w:jc w:val="both"/>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由房村镇根据镇区、自然村分布和各村人员情况，按照方便村民投放、利于运输、便于管理的原则建设垃圾分类房4座，大垃圾分类亭22座，小垃圾分类亭62座，垃圾分类点114处。</w:t>
      </w:r>
      <w:r/>
    </w:p>
    <w:p>
      <w:pPr>
        <w:pStyle w:val="944"/>
        <w:ind w:left="0" w:firstLine="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pStyle w:val="944"/>
        <w:ind w:left="0" w:firstLine="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2.3.1垃圾分类房4座</w:t>
      </w:r>
      <w:r/>
    </w:p>
    <w:tbl>
      <w:tblPr>
        <w:tblStyle w:val="950"/>
        <w:tblW w:w="94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3"/>
        <w:gridCol w:w="1701"/>
        <w:gridCol w:w="6804"/>
      </w:tblGrid>
      <w:tr>
        <w:trPr>
          <w:jc w:val="center"/>
          <w:trHeight w:val="663"/>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p>
        </w:tc>
        <w:tc>
          <w:tcPr>
            <w:tcW w:w="1701" w:type="dxa"/>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规格尺寸</w:t>
            </w:r>
            <w:r/>
          </w:p>
        </w:tc>
        <w:tc>
          <w:tcPr>
            <w:tcW w:w="6804" w:type="dxa"/>
            <w:textDirection w:val="lrTb"/>
            <w:noWrap w:val="false"/>
          </w:tcPr>
          <w:p>
            <w:pPr>
              <w:pStyle w:val="892"/>
              <w:numPr>
                <w:ilvl w:val="0"/>
                <w:numId w:val="0"/>
              </w:numPr>
              <w:ind w:left="0" w:firstLine="0"/>
              <w:jc w:val="both"/>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外形尺寸（mm）：5000*2000*2650</w:t>
            </w:r>
            <w:r/>
          </w:p>
        </w:tc>
      </w:tr>
      <w:tr>
        <w:trPr>
          <w:jc w:val="center"/>
          <w:trHeight w:val="90"/>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p>
        </w:tc>
        <w:tc>
          <w:tcPr>
            <w:tcW w:w="1701" w:type="dxa"/>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放桶数量</w:t>
            </w:r>
            <w:r/>
          </w:p>
        </w:tc>
        <w:tc>
          <w:tcPr>
            <w:tcW w:w="6804" w:type="dxa"/>
            <w:textDirection w:val="lrTb"/>
            <w:noWrap w:val="false"/>
          </w:tcPr>
          <w:p>
            <w:pPr>
              <w:pStyle w:val="892"/>
              <w:numPr>
                <w:ilvl w:val="0"/>
                <w:numId w:val="0"/>
              </w:numPr>
              <w:ind w:left="0" w:firstLine="0"/>
              <w:jc w:val="both"/>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240L桶  10个</w:t>
            </w:r>
            <w:r/>
          </w:p>
        </w:tc>
      </w:tr>
      <w:tr>
        <w:trPr>
          <w:jc w:val="center"/>
          <w:trHeight w:val="1064"/>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选用材质及相关参数</w:t>
            </w:r>
            <w:r/>
          </w:p>
        </w:tc>
        <w:tc>
          <w:tcPr>
            <w:tcW w:w="6804" w:type="dxa"/>
            <w:textDirection w:val="lrTb"/>
            <w:noWrap w:val="false"/>
          </w:tcPr>
          <w:p>
            <w:pPr>
              <w:pStyle w:val="892"/>
              <w:numPr>
                <w:ilvl w:val="0"/>
                <w:numId w:val="0"/>
              </w:numPr>
              <w:ind w:left="0" w:firstLine="0"/>
              <w:jc w:val="both"/>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垃圾房主体框架采用T1.2*100*100优质热镀锌方管，表面封板采用T1.0优质热镀锌板，顶棚为隔热防火夹芯板，休息室门为铝合金门，收运门为镀锌折叠门。</w:t>
            </w:r>
            <w:r/>
          </w:p>
        </w:tc>
      </w:tr>
      <w:tr>
        <w:trPr>
          <w:jc w:val="center"/>
          <w:trHeight w:val="1250"/>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表面处理</w:t>
            </w:r>
            <w:r/>
          </w:p>
        </w:tc>
        <w:tc>
          <w:tcPr>
            <w:tcW w:w="6804" w:type="dxa"/>
            <w:textDirection w:val="lrTb"/>
            <w:noWrap w:val="false"/>
          </w:tcPr>
          <w:p>
            <w:pPr>
              <w:pStyle w:val="892"/>
              <w:numPr>
                <w:ilvl w:val="0"/>
                <w:numId w:val="0"/>
              </w:numPr>
              <w:ind w:left="0" w:firstLine="0"/>
              <w:jc w:val="both"/>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箱体整体采用户外塑粉静电喷涂，其工艺特点表 现为较高的户外适应性，表面涂层坚固，不易脱 落，抗紫外线以及耐候性强，产品的防腐防锈性 能大大提高。</w:t>
            </w:r>
            <w:r/>
          </w:p>
        </w:tc>
      </w:tr>
      <w:tr>
        <w:trPr>
          <w:jc w:val="center"/>
          <w:trHeight w:val="451"/>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房体标识</w:t>
            </w:r>
            <w:r/>
          </w:p>
        </w:tc>
        <w:tc>
          <w:tcPr>
            <w:tcW w:w="6804" w:type="dxa"/>
            <w:textDirection w:val="lrTb"/>
            <w:noWrap w:val="false"/>
          </w:tcPr>
          <w:p>
            <w:pPr>
              <w:pStyle w:val="892"/>
              <w:numPr>
                <w:ilvl w:val="0"/>
                <w:numId w:val="0"/>
              </w:numPr>
              <w:ind w:left="0" w:firstLine="0"/>
              <w:jc w:val="both"/>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采用特殊工艺制作而成，箱体标识图案精细、层次丰富而清晰，立体感强，鲜艳度持久，抗紫外 线性能更强。</w:t>
            </w:r>
            <w:r/>
          </w:p>
        </w:tc>
      </w:tr>
    </w:tbl>
    <w:p>
      <w:pPr>
        <w:pStyle w:val="893"/>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pStyle w:val="893"/>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2.3.2大垃圾分类亭22座</w:t>
      </w:r>
      <w:r/>
    </w:p>
    <w:tbl>
      <w:tblPr>
        <w:tblStyle w:val="950"/>
        <w:tblW w:w="94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3"/>
        <w:gridCol w:w="1701"/>
        <w:gridCol w:w="6804"/>
      </w:tblGrid>
      <w:tr>
        <w:trPr>
          <w:jc w:val="center"/>
          <w:trHeight w:val="663"/>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p>
        </w:tc>
        <w:tc>
          <w:tcPr>
            <w:tcW w:w="1701" w:type="dxa"/>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规格尺寸</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外形尺寸（mm）：4000*1500*2465（不含顶棚尺寸）</w:t>
            </w:r>
            <w:r/>
          </w:p>
        </w:tc>
      </w:tr>
      <w:tr>
        <w:trPr>
          <w:jc w:val="center"/>
          <w:trHeight w:val="403"/>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p>
        </w:tc>
        <w:tc>
          <w:tcPr>
            <w:tcW w:w="1701" w:type="dxa"/>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放桶数量</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240L桶  8个</w:t>
            </w:r>
            <w:r/>
          </w:p>
        </w:tc>
      </w:tr>
      <w:tr>
        <w:trPr>
          <w:jc w:val="center"/>
          <w:trHeight w:val="1064"/>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选用材质及相关参数</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亭子立柱采用T1.0*80*80优质热镀锌方管，顶棚采用T1.2*40*60优质热镀锌方管，两侧采用加厚镀锌网孔板。</w:t>
            </w:r>
            <w:r/>
          </w:p>
        </w:tc>
      </w:tr>
      <w:tr>
        <w:trPr>
          <w:jc w:val="center"/>
          <w:trHeight w:val="1283"/>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表面处理</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箱体整体采用户外塑粉静电喷涂，其工艺特点表 现为较高的户外适应性，表面涂层坚固，不易脱 落，抗紫外线以及耐候性强，产品的防腐防锈性 能大大提高。</w:t>
            </w:r>
            <w:r/>
          </w:p>
        </w:tc>
      </w:tr>
      <w:tr>
        <w:trPr>
          <w:jc w:val="center"/>
          <w:trHeight w:val="451"/>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亭体标识</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采用特殊工艺制作而成，箱体标识图案精细、层次丰富而清晰，立体感强，鲜艳度持久，抗紫外 线性能更强。</w:t>
            </w:r>
            <w:r/>
          </w:p>
        </w:tc>
      </w:tr>
    </w:tbl>
    <w:p>
      <w:pPr>
        <w:pStyle w:val="893"/>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pStyle w:val="893"/>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2.3.3小垃圾分类亭62座</w:t>
      </w:r>
      <w:r/>
    </w:p>
    <w:tbl>
      <w:tblPr>
        <w:tblStyle w:val="950"/>
        <w:tblW w:w="94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3"/>
        <w:gridCol w:w="1701"/>
        <w:gridCol w:w="6804"/>
      </w:tblGrid>
      <w:tr>
        <w:trPr>
          <w:jc w:val="center"/>
          <w:trHeight w:val="663"/>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p>
        </w:tc>
        <w:tc>
          <w:tcPr>
            <w:tcW w:w="1701" w:type="dxa"/>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规格尺寸</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外形尺寸（mm）：4000*1000*2465（不含顶棚尺寸）</w:t>
            </w:r>
            <w:r/>
          </w:p>
        </w:tc>
      </w:tr>
      <w:tr>
        <w:trPr>
          <w:jc w:val="center"/>
          <w:trHeight w:val="403"/>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p>
        </w:tc>
        <w:tc>
          <w:tcPr>
            <w:tcW w:w="1701" w:type="dxa"/>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放桶数量</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240L桶  6个</w:t>
            </w:r>
            <w:r/>
          </w:p>
        </w:tc>
      </w:tr>
      <w:tr>
        <w:trPr>
          <w:jc w:val="center"/>
          <w:trHeight w:val="1064"/>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选用材质及相关参数</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亭子立柱采用T1.0*80*80优质热镀锌方管，顶棚采用T1.2*40*60优质热镀锌方管，两侧采用加厚镀锌网孔板。</w:t>
            </w:r>
            <w:r/>
          </w:p>
        </w:tc>
      </w:tr>
      <w:tr>
        <w:trPr>
          <w:jc w:val="center"/>
          <w:trHeight w:val="1203"/>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表面处理</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箱体整体采用户外塑粉静电喷涂，其工艺特点表 现为较高的户外适应性，表面涂层坚固，不易脱 落，抗紫外线以及耐候性强，产品的防腐防锈性 能大大提高。</w:t>
            </w:r>
            <w:r/>
          </w:p>
        </w:tc>
      </w:tr>
      <w:tr>
        <w:trPr>
          <w:jc w:val="center"/>
          <w:trHeight w:val="451"/>
        </w:trPr>
        <w:tc>
          <w:tcPr>
            <w:tcW w:w="993"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p>
        </w:tc>
        <w:tc>
          <w:tcPr>
            <w:tcW w:w="1701" w:type="dxa"/>
            <w:vAlign w:val="center"/>
            <w:textDirection w:val="lrTb"/>
            <w:noWrap w:val="false"/>
          </w:tcPr>
          <w:p>
            <w:pPr>
              <w:pStyle w:val="892"/>
              <w:numPr>
                <w:ilvl w:val="0"/>
                <w:numId w:val="0"/>
              </w:numPr>
              <w:ind w:left="0" w:firstLine="0"/>
              <w:jc w:val="center"/>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亭体标识</w:t>
            </w:r>
            <w:r/>
          </w:p>
        </w:tc>
        <w:tc>
          <w:tcPr>
            <w:tcW w:w="6804" w:type="dxa"/>
            <w:textDirection w:val="lrTb"/>
            <w:noWrap w:val="false"/>
          </w:tcPr>
          <w:p>
            <w:pPr>
              <w:pStyle w:val="892"/>
              <w:numPr>
                <w:ilvl w:val="0"/>
                <w:numId w:val="0"/>
              </w:numPr>
              <w:ind w:left="0" w:firstLine="0"/>
              <w:jc w:val="left"/>
              <w:keepLines w:val="0"/>
              <w:keepNext w:val="0"/>
              <w:pageBreakBefore w:val="0"/>
              <w:spacing w:line="288"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采用特殊工艺制作而成，箱体标识图案精细、层次丰富而清晰，立体感强，鲜艳度持久，抗紫外 线性能更强。</w:t>
            </w:r>
            <w:r/>
          </w:p>
        </w:tc>
      </w:tr>
    </w:tbl>
    <w:p>
      <w:pPr>
        <w:pStyle w:val="894"/>
        <w:ind w:left="0" w:firstLine="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93"/>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bidi="ar-SA"/>
        </w:rPr>
        <w:t xml:space="preserve">2.3.4垃圾分类点114处</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m*宽1m,商混</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cm。</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点位立牌：立柱为镀锌Ф</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圆管，板面为镀锌40cm*60cm。板面车贴40cm*60cm。</w:t>
      </w:r>
      <w:r/>
    </w:p>
    <w:p>
      <w:pPr>
        <w:pStyle w:val="888"/>
        <w:ind w:left="0" w:firstLine="0"/>
        <w:jc w:val="both"/>
        <w:keepLines w:val="0"/>
        <w:keepNext w:val="0"/>
        <w:pageBreakBefore w:val="0"/>
        <w:spacing w:before="0" w:after="0" w:line="288"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2.4垃圾分拣中心（垃圾分类区域划分）和有害垃圾暂存点</w:t>
      </w:r>
      <w:r/>
    </w:p>
    <w:p>
      <w:pPr>
        <w:spacing w:line="360" w:lineRule="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利用现有厂房，建设有害垃圾暂存点，可回收垃圾分拣中心</w:t>
      </w:r>
      <w:r>
        <w:rPr>
          <w:rFonts w:hint="eastAsia" w:ascii="仿宋" w:hAnsi="仿宋" w:eastAsia="仿宋" w:cs="仿宋"/>
          <w:color w:val="auto"/>
          <w:sz w:val="24"/>
          <w:szCs w:val="24"/>
          <w:highlight w:val="none"/>
          <w:lang w:val="en-US" w:eastAsia="zh-CN"/>
        </w:rPr>
        <w:t xml:space="preserve">。</w:t>
      </w:r>
      <w:r/>
    </w:p>
    <w:p>
      <w:pPr>
        <w:pStyle w:val="892"/>
        <w:rPr>
          <w:rFonts w:hint="default"/>
          <w:color w:val="auto"/>
          <w:lang w:val="en-US" w:eastAsia="zh-CN"/>
        </w:rPr>
      </w:pPr>
      <w:r>
        <w:rPr>
          <w:rFonts w:hint="default"/>
          <w:color w:val="auto"/>
          <w:lang w:val="en-US" w:eastAsia="zh-CN"/>
        </w:rPr>
      </w:r>
      <w:r/>
    </w:p>
    <w:p>
      <w:pPr>
        <w:pStyle w:val="888"/>
        <w:ind w:left="0" w:firstLine="0"/>
        <w:jc w:val="both"/>
        <w:keepLines w:val="0"/>
        <w:keepNext w:val="0"/>
        <w:pageBreakBefore w:val="0"/>
        <w:spacing w:before="0" w:after="0" w:line="288"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2.5宣传发动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宣传兑物卡：13cm*9.5cm，封皮250克铜版纸彩印，内页普通纸张。宣传彩页：250克铜版纸210mm*297mm</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展架规格参数：高2.6m,宽2.66m。</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Ф76不锈钢圆管2根，总长3.2m</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40*40不锈钢方面总长7.2m</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0.4mm铁皮，1.2m*2.4m=2.88㎡</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4、2.5*2.5不锈钢方管12m</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5、Ф200法兰盘（铸铁）4个</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6、0.8mm不锈钢钢板0.6㎡</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7、Ф100不锈钢圆球2个</w:t>
      </w:r>
      <w:r/>
    </w:p>
    <w:p>
      <w:pPr>
        <w:pStyle w:val="944"/>
        <w:ind w:left="0" w:firstLine="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三、售后服务及配送安装要求</w:t>
      </w:r>
      <w:r/>
    </w:p>
    <w:p>
      <w:pPr>
        <w:pStyle w:val="94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1.服务时间：接到使用方报修电话后，2小时内予以响应并到达现场，4 小时内解决问题；否则，使用方将自行采取必要的措施，由此产生的风险和费用应由中标人承担；提供 24 小时报修服务电话，保证24小时开通。</w:t>
      </w:r>
      <w:r/>
    </w:p>
    <w:p>
      <w:pPr>
        <w:pStyle w:val="94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2.质保期：提供不少于</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pStyle w:val="94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3.培训：中标人必须提供厂家技术工程师到现场进行的操作及保养培训，同时安排使用方人员进行修理培训（培训费用由中标人提供）。</w:t>
      </w:r>
      <w:r/>
    </w:p>
    <w:p>
      <w:pPr>
        <w:pStyle w:val="94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4.所投产品出现质量问题 2 天内不能修复的，须免费提供备用产品。</w:t>
      </w:r>
      <w:r/>
    </w:p>
    <w:p>
      <w:pPr>
        <w:pStyle w:val="94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5.质保期满后的服务：质保期满后中标人必须继续提供终生保养服务，并提供优惠的修理服务与免费的指导修理服务。</w:t>
      </w:r>
      <w:r/>
    </w:p>
    <w:p>
      <w:pPr>
        <w:pStyle w:val="94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6.提供验收标准、货物清单。货物按照采购人要求运输至发标方指定地点由发标方指定负责人进行验收、签字。</w:t>
      </w:r>
      <w:r/>
    </w:p>
    <w:p>
      <w:pPr>
        <w:pStyle w:val="94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7.在产品的设计使用寿命周期内，中标人应能保证使用单位更换到原厂正宗的备件材料，确保设备的正常使用。</w:t>
      </w:r>
      <w:r/>
    </w:p>
    <w:p>
      <w:pPr>
        <w:pStyle w:val="94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8.项目完成后，将项目的全部有关技术文件、资料及测试、验收报告等文档汇集成册交付给采购人留存或存档。</w:t>
      </w:r>
      <w:r/>
    </w:p>
    <w:p>
      <w:pPr>
        <w:jc w:val="center"/>
        <w:spacing w:line="239" w:lineRule="atLeas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239" w:lineRule="atLeas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rPr>
          <w:rFonts w:hint="eastAsia" w:ascii="仿宋" w:hAnsi="仿宋" w:eastAsia="仿宋" w:cs="仿宋"/>
          <w:color w:val="auto"/>
          <w:sz w:val="24"/>
          <w:szCs w:val="24"/>
        </w:rPr>
      </w:pPr>
      <w:r/>
      <w:bookmarkStart w:id="2" w:name="_Toc523404701"/>
      <w:r/>
      <w:bookmarkStart w:id="3" w:name="_Toc522790136"/>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ind w:firstLine="3600"/>
        <w:spacing w:line="360" w:lineRule="auto"/>
        <w:rPr>
          <w:rFonts w:hint="eastAsia"/>
          <w:color w:val="auto"/>
          <w:sz w:val="30"/>
          <w:szCs w:val="30"/>
        </w:rPr>
      </w:pPr>
      <w:r>
        <w:rPr>
          <w:rFonts w:hint="eastAsia"/>
          <w:color w:val="auto"/>
          <w:sz w:val="30"/>
          <w:szCs w:val="30"/>
        </w:rPr>
      </w:r>
      <w:r/>
    </w:p>
    <w:p>
      <w:pPr>
        <w:ind w:firstLine="3600"/>
        <w:spacing w:line="360" w:lineRule="auto"/>
        <w:rPr>
          <w:rFonts w:hint="eastAsia"/>
          <w:color w:val="auto"/>
          <w:sz w:val="30"/>
          <w:szCs w:val="30"/>
        </w:rPr>
      </w:pPr>
      <w:r>
        <w:rPr>
          <w:rFonts w:hint="eastAsia"/>
          <w:color w:val="auto"/>
          <w:sz w:val="30"/>
          <w:szCs w:val="30"/>
        </w:rPr>
      </w:r>
      <w:r/>
    </w:p>
    <w:p>
      <w:pPr>
        <w:ind w:firstLine="3600"/>
        <w:spacing w:line="360" w:lineRule="auto"/>
        <w:rPr>
          <w:rFonts w:hint="eastAsia"/>
          <w:color w:val="auto"/>
          <w:sz w:val="30"/>
          <w:szCs w:val="30"/>
        </w:rPr>
      </w:pPr>
      <w:r>
        <w:rPr>
          <w:rFonts w:hint="eastAsia"/>
          <w:color w:val="auto"/>
          <w:sz w:val="30"/>
          <w:szCs w:val="30"/>
        </w:rPr>
      </w:r>
      <w:r/>
    </w:p>
    <w:p>
      <w:pPr>
        <w:ind w:firstLine="3600"/>
        <w:spacing w:line="360" w:lineRule="auto"/>
        <w:rPr>
          <w:rFonts w:hint="eastAsia"/>
          <w:color w:val="auto"/>
          <w:sz w:val="30"/>
          <w:szCs w:val="30"/>
        </w:rPr>
      </w:pPr>
      <w:r>
        <w:rPr>
          <w:rFonts w:hint="eastAsia"/>
          <w:color w:val="auto"/>
          <w:sz w:val="30"/>
          <w:szCs w:val="30"/>
        </w:rPr>
      </w:r>
      <w:r/>
    </w:p>
    <w:p>
      <w:pPr>
        <w:pStyle w:val="696"/>
        <w:rPr>
          <w:rFonts w:hint="eastAsia"/>
          <w:color w:val="auto"/>
          <w:sz w:val="30"/>
          <w:szCs w:val="30"/>
        </w:rPr>
      </w:pPr>
      <w:r>
        <w:rPr>
          <w:rFonts w:hint="eastAsia"/>
          <w:color w:val="auto"/>
          <w:sz w:val="30"/>
          <w:szCs w:val="30"/>
        </w:rPr>
      </w:r>
      <w:r/>
    </w:p>
    <w:p>
      <w:pPr>
        <w:rPr>
          <w:rFonts w:hint="eastAsia"/>
          <w:color w:val="auto"/>
        </w:rPr>
      </w:pPr>
      <w:r>
        <w:rPr>
          <w:rFonts w:hint="eastAsia"/>
          <w:color w:val="auto"/>
        </w:rPr>
      </w:r>
      <w:r/>
    </w:p>
    <w:p>
      <w:pPr>
        <w:ind w:firstLine="3600"/>
        <w:spacing w:line="360" w:lineRule="auto"/>
        <w:rPr>
          <w:rFonts w:hint="eastAsia"/>
          <w:color w:val="auto"/>
          <w:sz w:val="30"/>
          <w:szCs w:val="30"/>
        </w:rPr>
      </w:pPr>
      <w:r>
        <w:rPr>
          <w:rFonts w:hint="eastAsia"/>
          <w:color w:val="auto"/>
          <w:sz w:val="30"/>
          <w:szCs w:val="30"/>
        </w:rPr>
      </w:r>
      <w:r/>
    </w:p>
    <w:p>
      <w:pPr>
        <w:ind w:firstLine="3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第七章  投标文件相关格式</w:t>
      </w:r>
      <w:bookmarkEnd w:id="2"/>
      <w:r/>
      <w:bookmarkEnd w:id="3"/>
      <w:r/>
      <w:r/>
    </w:p>
    <w:p>
      <w:pPr>
        <w:ind w:firstLine="45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一、投标函</w:t>
      </w:r>
      <w:r/>
    </w:p>
    <w:p>
      <w:pPr>
        <w:spacing w:line="48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江苏翔瑞招投标代理有限公司</w:t>
      </w:r>
      <w:r/>
    </w:p>
    <w:p>
      <w:pPr>
        <w:ind w:left="479"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铜山区房村镇农村生活垃圾分类运营市场化服务项目（设备物资采购）</w:t>
      </w:r>
      <w:r>
        <w:rPr>
          <w:rFonts w:hint="eastAsia" w:ascii="仿宋" w:hAnsi="仿宋" w:eastAsia="仿宋" w:cs="仿宋"/>
          <w:color w:val="auto"/>
          <w:sz w:val="28"/>
          <w:szCs w:val="28"/>
          <w:u w:val="none"/>
          <w:lang w:eastAsia="zh-CN"/>
        </w:rPr>
        <w:t xml:space="preserve">项目，</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项目编号：JSZC-320312-JSXR-G2024-0005</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招标文件，</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(姓名)代表我方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（投标人的名称）全权处理本次投标的有关事宜。</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据此函，投标人承诺并同意如下： </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投标人唯一投标报价见《开标一览表》。</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 投标人将按招标文件的规定履行合同责任和义务。</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 投标有效期为开标之日后90天。</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 </w:t>
      </w:r>
      <w:r>
        <w:rPr>
          <w:rFonts w:hint="eastAsia" w:ascii="仿宋" w:hAnsi="仿宋" w:eastAsia="仿宋" w:cs="仿宋"/>
          <w:color w:val="auto"/>
          <w:sz w:val="28"/>
          <w:szCs w:val="28"/>
          <w:lang w:eastAsia="zh-CN"/>
        </w:rPr>
        <w:t xml:space="preserve">江苏翔瑞招投标代理有限公司</w:t>
      </w:r>
      <w:r>
        <w:rPr>
          <w:rFonts w:hint="eastAsia" w:ascii="仿宋" w:hAnsi="仿宋" w:eastAsia="仿宋" w:cs="仿宋"/>
          <w:color w:val="auto"/>
          <w:sz w:val="28"/>
          <w:szCs w:val="28"/>
        </w:rPr>
        <w:t xml:space="preserve">有权将我单位本项目的《开标一览表》和《分项价格表》予以公示，公示的方式由</w:t>
      </w:r>
      <w:r>
        <w:rPr>
          <w:rFonts w:hint="eastAsia" w:ascii="仿宋" w:hAnsi="仿宋" w:eastAsia="仿宋" w:cs="仿宋"/>
          <w:color w:val="auto"/>
          <w:sz w:val="28"/>
          <w:szCs w:val="28"/>
          <w:lang w:eastAsia="zh-CN"/>
        </w:rPr>
        <w:t xml:space="preserve">江苏翔瑞招投标代理有限公司</w:t>
      </w:r>
      <w:r>
        <w:rPr>
          <w:rFonts w:hint="eastAsia" w:ascii="仿宋" w:hAnsi="仿宋" w:eastAsia="仿宋" w:cs="仿宋"/>
          <w:color w:val="auto"/>
          <w:sz w:val="28"/>
          <w:szCs w:val="28"/>
        </w:rPr>
        <w:t xml:space="preserve">确定。</w:t>
      </w:r>
      <w:r/>
    </w:p>
    <w:p>
      <w:pPr>
        <w:ind w:right="29"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 与本投标有关的一切正式往来信函请寄：</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ind w:firstLine="384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（签字或盖章）  </w:t>
      </w:r>
      <w:r/>
    </w:p>
    <w:p>
      <w:pPr>
        <w:ind w:firstLine="504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jc w:val="both"/>
        <w:spacing w:line="4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480" w:lineRule="exact"/>
        <w:rPr>
          <w:rFonts w:hint="eastAsia" w:ascii="仿宋" w:hAnsi="仿宋" w:eastAsia="仿宋" w:cs="仿宋"/>
          <w:b/>
          <w:bCs/>
          <w:color w:val="auto"/>
          <w:sz w:val="32"/>
          <w:szCs w:val="32"/>
        </w:rPr>
      </w:pPr>
      <w:r>
        <w:rPr>
          <w:rFonts w:hint="eastAsia" w:ascii="仿宋" w:hAnsi="仿宋" w:eastAsia="仿宋" w:cs="仿宋"/>
          <w:color w:val="auto"/>
          <w:sz w:val="32"/>
          <w:szCs w:val="32"/>
          <w:highlight w:val="none"/>
        </w:rPr>
        <w:t xml:space="preserve"> </w:t>
      </w:r>
      <w:r>
        <w:rPr>
          <w:rFonts w:hint="eastAsia" w:ascii="仿宋" w:hAnsi="仿宋" w:eastAsia="仿宋" w:cs="仿宋"/>
          <w:b/>
          <w:bCs/>
          <w:color w:val="auto"/>
          <w:sz w:val="32"/>
          <w:szCs w:val="32"/>
        </w:rPr>
        <w:t xml:space="preserve">二、开标一览表</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520" w:lineRule="exact"/>
        <w:rPr>
          <w:rFonts w:hint="eastAsia" w:ascii="仿宋" w:hAnsi="仿宋" w:eastAsia="仿宋" w:cs="仿宋"/>
          <w:color w:val="auto"/>
          <w:sz w:val="28"/>
          <w:szCs w:val="28"/>
          <w:u w:val="none"/>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u w:val="none"/>
          <w:lang w:eastAsia="zh-CN"/>
        </w:rPr>
        <w:t xml:space="preserve">铜山区房村镇农村生活垃圾分类运营市场化服务项目（设备物资采购）</w:t>
      </w:r>
      <w:r/>
    </w:p>
    <w:p>
      <w:pPr>
        <w:spacing w:line="360" w:lineRule="auto"/>
        <w:rPr>
          <w:rFonts w:hint="eastAsia" w:ascii="仿宋" w:hAnsi="仿宋" w:eastAsia="仿宋" w:cs="仿宋"/>
          <w:b/>
          <w:bCs/>
          <w:color w:val="auto"/>
          <w:sz w:val="28"/>
          <w:szCs w:val="28"/>
          <w:u w:val="none"/>
        </w:rPr>
      </w:pPr>
      <w:r>
        <w:rPr>
          <w:rFonts w:hint="eastAsia" w:ascii="仿宋" w:hAnsi="仿宋" w:eastAsia="仿宋" w:cs="仿宋"/>
          <w:color w:val="auto"/>
          <w:sz w:val="28"/>
          <w:szCs w:val="28"/>
          <w:u w:val="none"/>
          <w:lang w:eastAsia="zh-CN"/>
        </w:rPr>
        <w:t xml:space="preserve">项目编号：JSZC-320312-JSXR-G2024-0005</w:t>
      </w:r>
      <w:r/>
    </w:p>
    <w:p>
      <w:pPr>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货币单位：人民币元</w:t>
      </w:r>
      <w:r/>
    </w:p>
    <w:tbl>
      <w:tblPr>
        <w:tblStyle w:val="695"/>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jc w:val="center"/>
          <w:trHeight w:val="1163"/>
        </w:trPr>
        <w:tc>
          <w:tcPr>
            <w:tcW w:w="3660"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p>
        </w:tc>
        <w:tc>
          <w:tcPr>
            <w:tcW w:w="2836"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项目内容</w:t>
            </w:r>
            <w:r/>
          </w:p>
        </w:tc>
        <w:tc>
          <w:tcPr>
            <w:tcW w:w="2934"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报</w:t>
            </w:r>
            <w:r>
              <w:rPr>
                <w:rFonts w:hint="eastAsia" w:ascii="仿宋" w:hAnsi="仿宋" w:eastAsia="仿宋" w:cs="仿宋"/>
                <w:color w:val="auto"/>
                <w:sz w:val="28"/>
                <w:szCs w:val="28"/>
              </w:rPr>
              <w:t xml:space="preserve">价（小写）</w:t>
            </w:r>
            <w:r/>
          </w:p>
        </w:tc>
      </w:tr>
      <w:tr>
        <w:trPr>
          <w:cantSplit/>
          <w:jc w:val="center"/>
          <w:trHeight w:val="1214"/>
        </w:trPr>
        <w:tc>
          <w:tcPr>
            <w:tcW w:w="3660" w:type="dxa"/>
            <w:vAlign w:val="center"/>
            <w:textDirection w:val="lrTb"/>
            <w:noWrap w:val="false"/>
          </w:tcPr>
          <w:p>
            <w:pPr>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u w:val="none"/>
                <w:lang w:eastAsia="zh-CN"/>
              </w:rPr>
              <w:t xml:space="preserve">铜山区房村镇农村生活垃圾分类运营市场化服务项目（设备物资采购）</w:t>
            </w:r>
            <w:r/>
          </w:p>
        </w:tc>
        <w:tc>
          <w:tcPr>
            <w:tcW w:w="2836"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w:t>
            </w:r>
            <w:r>
              <w:rPr>
                <w:rFonts w:hint="eastAsia" w:ascii="仿宋" w:hAnsi="仿宋" w:eastAsia="仿宋" w:cs="仿宋"/>
                <w:color w:val="auto"/>
                <w:sz w:val="28"/>
                <w:szCs w:val="28"/>
                <w:lang w:eastAsia="zh-CN"/>
              </w:rPr>
              <w:t xml:space="preserve">投</w:t>
            </w:r>
            <w:r>
              <w:rPr>
                <w:rFonts w:hint="eastAsia" w:ascii="仿宋" w:hAnsi="仿宋" w:eastAsia="仿宋" w:cs="仿宋"/>
                <w:color w:val="auto"/>
                <w:sz w:val="28"/>
                <w:szCs w:val="28"/>
              </w:rPr>
              <w:t xml:space="preserve">标文件</w:t>
            </w:r>
            <w:r/>
          </w:p>
        </w:tc>
        <w:tc>
          <w:tcPr>
            <w:tcW w:w="2934"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jc w:val="center"/>
          <w:trHeight w:val="1452"/>
        </w:trPr>
        <w:tc>
          <w:tcPr>
            <w:tcW w:w="3660"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报</w:t>
            </w:r>
            <w:r>
              <w:rPr>
                <w:rFonts w:hint="eastAsia" w:ascii="仿宋" w:hAnsi="仿宋" w:eastAsia="仿宋" w:cs="仿宋"/>
                <w:color w:val="auto"/>
                <w:sz w:val="28"/>
                <w:szCs w:val="28"/>
              </w:rPr>
              <w:t xml:space="preserve">价（大写）：</w:t>
            </w:r>
            <w:r/>
          </w:p>
        </w:tc>
        <w:tc>
          <w:tcPr>
            <w:gridSpan w:val="2"/>
            <w:tcW w:w="5770"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44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02"/>
        <w:rPr>
          <w:rFonts w:hint="eastAsia"/>
          <w:color w:val="auto"/>
        </w:rPr>
      </w:pPr>
      <w:r>
        <w:rPr>
          <w:rFonts w:hint="eastAsia"/>
          <w:color w:val="auto"/>
        </w:rPr>
      </w:r>
      <w:r/>
    </w:p>
    <w:p>
      <w:pPr>
        <w:ind w:firstLine="444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27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（签字或签章）  </w:t>
      </w:r>
      <w:r/>
    </w:p>
    <w:p>
      <w:pPr>
        <w:ind w:firstLine="312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80" w:lineRule="exact"/>
        <w:rPr>
          <w:rFonts w:ascii="宋体" w:hAnsi="宋体"/>
          <w:color w:val="auto"/>
          <w:sz w:val="24"/>
          <w:szCs w:val="24"/>
        </w:rPr>
      </w:pPr>
      <w:r>
        <w:rPr>
          <w:rFonts w:ascii="宋体" w:hAnsi="宋体"/>
          <w:color w:val="auto"/>
          <w:sz w:val="24"/>
          <w:szCs w:val="24"/>
        </w:rPr>
      </w:r>
      <w:r/>
    </w:p>
    <w:p>
      <w:pPr>
        <w:pStyle w:val="884"/>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pStyle w:val="884"/>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pStyle w:val="884"/>
        <w:rPr>
          <w:rFonts w:ascii="宋体" w:hAnsi="宋体"/>
          <w:color w:val="auto"/>
          <w:sz w:val="24"/>
          <w:szCs w:val="24"/>
        </w:rPr>
      </w:pPr>
      <w:r>
        <w:rPr>
          <w:rFonts w:ascii="宋体" w:hAnsi="宋体"/>
          <w:color w:val="auto"/>
          <w:sz w:val="24"/>
          <w:szCs w:val="24"/>
        </w:rPr>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600"/>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三、分项价格表</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项目编号：JSZC-320312-JSXR-G2024-0005</w:t>
      </w:r>
      <w:r/>
    </w:p>
    <w:p>
      <w:pPr>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u w:val="none"/>
          <w:lang w:eastAsia="zh-CN"/>
        </w:rPr>
        <w:t xml:space="preserve">铜山区房村镇农村生活垃圾分类运营市场化服务项目（设备物资采购）</w:t>
      </w:r>
      <w:r/>
    </w:p>
    <w:p>
      <w:pPr>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jc w:val="righ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 货币单位：人民币元</w:t>
      </w:r>
      <w:r/>
    </w:p>
    <w:tbl>
      <w:tblPr>
        <w:tblStyle w:val="69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64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28"/>
          <w:szCs w:val="28"/>
          <w:highlight w:val="none"/>
        </w:rPr>
        <w:t xml:space="preserve">（电子签章）</w:t>
      </w:r>
      <w:r/>
    </w:p>
    <w:p>
      <w:pPr>
        <w:ind w:firstLine="36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pStyle w:val="696"/>
        <w:ind w:left="0" w:firstLine="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696"/>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说明：</w:t>
      </w:r>
      <w:r>
        <w:rPr>
          <w:rFonts w:hint="eastAsia" w:ascii="仿宋" w:hAnsi="仿宋" w:eastAsia="仿宋" w:cs="仿宋"/>
          <w:color w:val="auto"/>
          <w:sz w:val="24"/>
          <w:szCs w:val="24"/>
          <w:lang w:eastAsia="zh-CN"/>
        </w:rPr>
        <w:t xml:space="preserve">参考第六章采购需求中的《采购清单》</w:t>
      </w:r>
      <w:r/>
    </w:p>
    <w:p>
      <w:pPr>
        <w:pStyle w:val="696"/>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696"/>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696"/>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3、享受政府采购支持政策的残疾人福利性单位的条件以《三部门联合发布关于促进残疾人就业政府采购政策的通知》（财库〔2017〕141号）规定为准。</w:t>
      </w:r>
      <w:r/>
    </w:p>
    <w:p>
      <w:pPr>
        <w:pStyle w:val="696"/>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注：1、如果不提供详细分项报价将视为没有实质性响应招标文件。</w:t>
      </w:r>
      <w:r/>
    </w:p>
    <w:p>
      <w:pPr>
        <w:pStyle w:val="696"/>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投标人对以上数据的真实性负责。采购人或采购代理机构有权将以上内容进行公示。</w:t>
      </w:r>
      <w:r/>
    </w:p>
    <w:p>
      <w:pPr>
        <w:pStyle w:val="696"/>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3、供应商应为中小微企业、监狱企业、残疾人福利性单位。供应商提供的货物的制造商应全部为中小微企业、监狱企业、残疾人福利性单位。</w:t>
      </w:r>
      <w:r/>
    </w:p>
    <w:p>
      <w:pPr>
        <w:pStyle w:val="696"/>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both"/>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9"/>
        <w:rPr>
          <w:rFonts w:hint="eastAsia"/>
          <w:color w:val="auto"/>
        </w:rPr>
      </w:pPr>
      <w:r>
        <w:rPr>
          <w:rFonts w:hint="eastAsia"/>
          <w:color w:val="auto"/>
        </w:rPr>
      </w:r>
      <w:r/>
    </w:p>
    <w:p>
      <w:pPr>
        <w:rPr>
          <w:rFonts w:hint="eastAsia"/>
          <w:color w:val="auto"/>
        </w:rPr>
      </w:pPr>
      <w:r>
        <w:rPr>
          <w:rFonts w:hint="eastAsia"/>
          <w:color w:val="auto"/>
        </w:rPr>
      </w:r>
      <w:r/>
    </w:p>
    <w:p>
      <w:pPr>
        <w:jc w:val="center"/>
        <w:spacing w:line="48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696"/>
        <w:rPr>
          <w:rFonts w:hint="eastAsia"/>
          <w:color w:val="auto"/>
        </w:rPr>
      </w:pPr>
      <w:r>
        <w:rPr>
          <w:rFonts w:hint="eastAsia"/>
          <w:color w:val="auto"/>
        </w:rPr>
      </w:r>
      <w:r/>
    </w:p>
    <w:p>
      <w:pPr>
        <w:jc w:val="center"/>
        <w:spacing w:line="480" w:lineRule="exact"/>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四、偏离表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360" w:lineRule="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u w:val="none"/>
          <w:lang w:eastAsia="zh-CN"/>
        </w:rPr>
        <w:t xml:space="preserve">铜山区房村镇农村生活垃圾分类运营市场化服务项目（设备物资采购）</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 xml:space="preserve">项目编号：JSZC-320312-JSXR-G2024-0005</w:t>
      </w:r>
      <w:r>
        <w:rPr>
          <w:rFonts w:hint="eastAsia" w:ascii="仿宋" w:hAnsi="仿宋" w:eastAsia="仿宋" w:cs="仿宋"/>
          <w:color w:val="auto"/>
          <w:sz w:val="28"/>
          <w:szCs w:val="28"/>
          <w:lang w:val="en-US" w:eastAsia="zh-CN"/>
        </w:rPr>
        <w:t xml:space="preserve"> </w:t>
      </w:r>
      <w:r/>
    </w:p>
    <w:tbl>
      <w:tblPr>
        <w:tblStyle w:val="695"/>
        <w:tblW w:w="93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8"/>
        <w:gridCol w:w="1395"/>
        <w:gridCol w:w="1530"/>
        <w:gridCol w:w="1605"/>
        <w:gridCol w:w="1890"/>
        <w:gridCol w:w="2070"/>
      </w:tblGrid>
      <w:tr>
        <w:trPr>
          <w:trHeight w:val="794"/>
        </w:trPr>
        <w:tc>
          <w:tcPr>
            <w:tcW w:w="838"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序号</w:t>
            </w:r>
            <w:r/>
          </w:p>
        </w:tc>
        <w:tc>
          <w:tcPr>
            <w:tcW w:w="1395"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偏离内容</w:t>
            </w:r>
            <w:r/>
          </w:p>
        </w:tc>
        <w:tc>
          <w:tcPr>
            <w:tcW w:w="153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招标文件的要求</w:t>
            </w:r>
            <w:r/>
          </w:p>
        </w:tc>
        <w:tc>
          <w:tcPr>
            <w:tcW w:w="1605"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投标文件中的内容</w:t>
            </w:r>
            <w:r/>
          </w:p>
        </w:tc>
        <w:tc>
          <w:tcPr>
            <w:tcW w:w="189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（正/负/无）偏离</w:t>
            </w:r>
            <w:r/>
          </w:p>
        </w:tc>
        <w:tc>
          <w:tcPr>
            <w:tcW w:w="207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说明</w:t>
            </w:r>
            <w:r/>
          </w:p>
        </w:tc>
      </w:tr>
      <w:tr>
        <w:trPr>
          <w:trHeight w:val="794"/>
        </w:trPr>
        <w:tc>
          <w:tcPr>
            <w:tcW w:w="83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9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3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0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9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07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3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9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3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0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9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07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3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9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3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0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9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07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3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9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3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0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9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07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3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9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3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0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9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07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3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39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3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0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9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07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ind w:firstLine="482"/>
        <w:spacing w:line="44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6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（签字或签章）  </w:t>
      </w:r>
      <w:r/>
    </w:p>
    <w:p>
      <w:pPr>
        <w:ind w:firstLine="31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920"/>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rPr>
        <w:t xml:space="preserve">日期：   年  月  日</w:t>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五、授权委托书格式</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法定代表人（负责人）：               职务：</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统一社会信用代码：</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受托人：        性别：男（女）</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年龄：  岁      民族：  族</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职务：</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身份证号：</w:t>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兹委托（</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）全权代表我企业（公司）参与（</w:t>
      </w:r>
      <w:r>
        <w:rPr>
          <w:rFonts w:hint="eastAsia" w:ascii="仿宋" w:hAnsi="仿宋" w:eastAsia="仿宋" w:cs="仿宋"/>
          <w:color w:val="auto"/>
          <w:sz w:val="30"/>
          <w:highlight w:val="none"/>
          <w:u w:val="single"/>
          <w:lang w:eastAsia="zh-CN"/>
        </w:rPr>
        <w:t xml:space="preserve">铜山区房村镇农村生活垃圾分类运营市场化服务项目（设备物资采购）</w:t>
      </w:r>
      <w:r>
        <w:rPr>
          <w:rFonts w:hint="eastAsia" w:ascii="仿宋" w:hAnsi="仿宋" w:eastAsia="仿宋" w:cs="仿宋"/>
          <w:color w:val="auto"/>
          <w:sz w:val="30"/>
          <w:highlight w:val="none"/>
        </w:rPr>
        <w:t xml:space="preserve">）项目（</w:t>
      </w:r>
      <w:r>
        <w:rPr>
          <w:rFonts w:hint="eastAsia" w:ascii="仿宋" w:hAnsi="仿宋" w:eastAsia="仿宋" w:cs="仿宋"/>
          <w:color w:val="auto"/>
          <w:sz w:val="30"/>
          <w:highlight w:val="none"/>
          <w:lang w:eastAsia="zh-CN"/>
        </w:rPr>
        <w:t xml:space="preserve">项目编号：JSZC-320312-JSXR-G2024-0005</w:t>
      </w:r>
      <w:r>
        <w:rPr>
          <w:rFonts w:hint="eastAsia" w:ascii="仿宋" w:hAnsi="仿宋" w:eastAsia="仿宋" w:cs="仿宋"/>
          <w:color w:val="auto"/>
          <w:sz w:val="30"/>
          <w:highlight w:val="none"/>
        </w:rPr>
        <w:t xml:space="preserve">）的招、投标活动及签订合同。（</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）无转委托权。委托期限自</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日起至</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日止。</w:t>
      </w:r>
      <w:r/>
    </w:p>
    <w:p>
      <w:pPr>
        <w:ind w:firstLine="63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特此授权委托。</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委托人（电子签章）：</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highlight w:val="none"/>
        </w:rPr>
        <w:t xml:space="preserve">受托人（签字或盖章）：</w:t>
      </w:r>
      <w:r/>
    </w:p>
    <w:p>
      <w:pPr>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法定代表人（签字或盖章）： </w:t>
      </w:r>
      <w:r/>
    </w:p>
    <w:p>
      <w:pPr>
        <w:ind w:right="600" w:firstLine="6150"/>
        <w:spacing w:line="479" w:lineRule="atLeast"/>
        <w:rPr>
          <w:rFonts w:hint="eastAsia"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  月 </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日 </w:t>
      </w:r>
      <w:r/>
    </w:p>
    <w:p>
      <w:pPr>
        <w:spacing w:line="479" w:lineRule="atLeast"/>
        <w:rPr>
          <w:rFonts w:hint="eastAsia" w:ascii="仿宋" w:hAnsi="仿宋" w:eastAsia="仿宋" w:cs="仿宋"/>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highlight w:val="none"/>
        </w:rPr>
        <w:t xml:space="preserve">(受托人身份证扫描件附后)</w:t>
      </w:r>
      <w:r/>
    </w:p>
    <w:p>
      <w:pPr>
        <w:ind w:firstLine="447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firstLine="600"/>
        <w:jc w:val="center"/>
        <w:spacing w:before="100" w:after="100"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auto"/>
          <w:sz w:val="32"/>
          <w:szCs w:val="32"/>
          <w:highlight w:val="none"/>
        </w:rPr>
      </w:r>
      <w:r/>
    </w:p>
    <w:p>
      <w:pPr>
        <w:pStyle w:val="877"/>
        <w:ind w:firstLine="602"/>
        <w:jc w:val="center"/>
        <w:spacing w:before="100" w:beforeAutospacing="1" w:after="100" w:afterAutospacing="1" w:line="480" w:lineRule="exact"/>
        <w:widowControl/>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六、中小企业声明函格式</w:t>
      </w:r>
      <w:r/>
    </w:p>
    <w:p>
      <w:pPr>
        <w:pStyle w:val="926"/>
        <w:spacing w:line="360" w:lineRule="auto"/>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rPr>
        <w:t xml:space="preserve">项目名称：</w:t>
      </w:r>
      <w:r>
        <w:rPr>
          <w:rFonts w:hint="eastAsia" w:ascii="仿宋" w:hAnsi="仿宋" w:eastAsia="仿宋" w:cs="仿宋"/>
          <w:color w:val="auto"/>
          <w:sz w:val="28"/>
          <w:szCs w:val="28"/>
          <w:lang w:eastAsia="zh-CN"/>
        </w:rPr>
        <w:t xml:space="preserve">铜山区房村镇农村生活垃圾分类运营市场化服务项目（设备物资采购）</w:t>
      </w:r>
      <w:r/>
    </w:p>
    <w:p>
      <w:pPr>
        <w:spacing w:line="360" w:lineRule="auto"/>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lang w:eastAsia="zh-CN"/>
        </w:rPr>
        <w:t xml:space="preserve">项目编号：JSZC-320312-JSXR-G2024-0005</w:t>
      </w:r>
      <w:r/>
    </w:p>
    <w:p>
      <w:pPr>
        <w:pStyle w:val="877"/>
        <w:ind w:firstLine="560"/>
        <w:jc w:val="left"/>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本公司郑重声明，根据《政府采购促进中小企业发展管理办法》（财库 (2020)46号）的规定，本公司参加</w:t>
      </w:r>
      <w:r>
        <w:rPr>
          <w:rFonts w:hint="eastAsia" w:ascii="仿宋" w:hAnsi="仿宋" w:eastAsia="仿宋" w:cs="仿宋"/>
          <w:color w:val="auto"/>
          <w:sz w:val="28"/>
          <w:szCs w:val="28"/>
          <w:u w:val="single"/>
          <w:lang w:eastAsia="zh-CN"/>
        </w:rPr>
        <w:t xml:space="preserve">徐州市铜山区房村镇人民政府</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lang w:eastAsia="zh-CN"/>
        </w:rPr>
        <w:t xml:space="preserve">铜山区房村镇农村生活垃圾分类运营市场化服务项目（设备物资采购）</w:t>
      </w:r>
      <w:r>
        <w:rPr>
          <w:rFonts w:hint="eastAsia" w:ascii="仿宋" w:hAnsi="仿宋" w:eastAsia="仿宋" w:cs="仿宋"/>
          <w:color w:val="auto"/>
          <w:sz w:val="28"/>
          <w:szCs w:val="28"/>
        </w:rPr>
        <w:t xml:space="preserve">采购活动，提供的货物全部由符合政策要求的中小企业制造。相关企业的具体情况如下</w:t>
      </w:r>
      <w:r/>
    </w:p>
    <w:p>
      <w:pPr>
        <w:ind w:right="0"/>
        <w:spacing w:before="240" w:after="24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1、</w:t>
      </w:r>
      <w:r>
        <w:rPr>
          <w:rFonts w:hint="eastAsia" w:ascii="仿宋" w:hAnsi="仿宋" w:eastAsia="仿宋" w:cs="仿宋"/>
          <w:color w:val="auto"/>
          <w:sz w:val="28"/>
          <w:u w:val="single"/>
          <w:lang w:val="en-US" w:eastAsia="zh-CN"/>
        </w:rPr>
        <w:t xml:space="preserve">双桶垃圾收集车</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工业</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right="0"/>
        <w:spacing w:before="240" w:after="24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2、</w:t>
      </w:r>
      <w:r>
        <w:rPr>
          <w:rFonts w:hint="eastAsia" w:ascii="仿宋" w:hAnsi="仿宋" w:eastAsia="仿宋" w:cs="仿宋"/>
          <w:color w:val="auto"/>
          <w:sz w:val="28"/>
          <w:u w:val="single"/>
          <w:lang w:val="en-US" w:eastAsia="zh-CN"/>
        </w:rPr>
        <w:t xml:space="preserve">4轮电动厨余垃圾转运车</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工业</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left="0" w:right="0" w:firstLine="0"/>
        <w:spacing w:before="240" w:after="24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3、</w:t>
      </w:r>
      <w:r>
        <w:rPr>
          <w:rFonts w:hint="eastAsia" w:ascii="仿宋" w:hAnsi="仿宋" w:eastAsia="仿宋" w:cs="仿宋"/>
          <w:color w:val="auto"/>
          <w:sz w:val="28"/>
          <w:u w:val="single"/>
          <w:lang w:val="en-US" w:eastAsia="zh-CN"/>
        </w:rPr>
        <w:t xml:space="preserve">有害垃圾转运车</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工业</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left="0" w:right="0" w:firstLine="0"/>
        <w:spacing w:before="240" w:after="24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4、</w:t>
      </w:r>
      <w:r>
        <w:rPr>
          <w:rFonts w:hint="eastAsia" w:ascii="仿宋" w:hAnsi="仿宋" w:eastAsia="仿宋" w:cs="仿宋"/>
          <w:color w:val="auto"/>
          <w:sz w:val="28"/>
          <w:u w:val="single"/>
          <w:lang w:val="en-US" w:eastAsia="zh-CN"/>
        </w:rPr>
        <w:t xml:space="preserve">30L户桶</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工业</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left="0" w:right="0" w:firstLine="0"/>
        <w:spacing w:before="240" w:after="24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5、</w:t>
      </w:r>
      <w:r>
        <w:rPr>
          <w:rFonts w:hint="eastAsia" w:ascii="仿宋" w:hAnsi="仿宋" w:eastAsia="仿宋" w:cs="仿宋"/>
          <w:color w:val="auto"/>
          <w:sz w:val="28"/>
          <w:u w:val="single"/>
          <w:lang w:val="en-US" w:eastAsia="zh-CN"/>
        </w:rPr>
        <w:t xml:space="preserve">240L垃圾桶</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工业</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left="0" w:right="0" w:firstLine="0"/>
        <w:spacing w:before="240" w:after="24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6</w:t>
      </w:r>
      <w:r>
        <w:rPr>
          <w:rFonts w:hint="eastAsia" w:ascii="仿宋" w:hAnsi="仿宋" w:eastAsia="仿宋" w:cs="仿宋"/>
          <w:color w:val="auto"/>
          <w:sz w:val="28"/>
        </w:rPr>
        <w:t xml:space="preserve">、</w:t>
      </w:r>
      <w:r>
        <w:rPr>
          <w:rFonts w:hint="eastAsia" w:ascii="仿宋" w:hAnsi="仿宋" w:eastAsia="仿宋" w:cs="仿宋"/>
          <w:color w:val="auto"/>
          <w:sz w:val="28"/>
          <w:u w:val="single"/>
          <w:lang w:val="en-US" w:eastAsia="zh-CN"/>
        </w:rPr>
        <w:t xml:space="preserve">垃圾分类房</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工业</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right="0"/>
        <w:spacing w:before="240" w:after="24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7</w:t>
      </w:r>
      <w:r>
        <w:rPr>
          <w:rFonts w:hint="eastAsia" w:ascii="仿宋" w:hAnsi="仿宋" w:eastAsia="仿宋" w:cs="仿宋"/>
          <w:color w:val="auto"/>
          <w:sz w:val="28"/>
        </w:rPr>
        <w:t xml:space="preserve">、</w:t>
      </w:r>
      <w:r>
        <w:rPr>
          <w:rFonts w:hint="eastAsia" w:ascii="仿宋" w:hAnsi="仿宋" w:eastAsia="仿宋" w:cs="仿宋"/>
          <w:color w:val="auto"/>
          <w:sz w:val="28"/>
          <w:u w:val="single"/>
          <w:lang w:val="en-US" w:eastAsia="zh-CN"/>
        </w:rPr>
        <w:t xml:space="preserve">大垃圾分类亭</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工业</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left="0" w:right="0" w:firstLine="280"/>
        <w:spacing w:before="240" w:after="240"/>
        <w:rPr>
          <w:rFonts w:hint="eastAsia"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8</w:t>
      </w:r>
      <w:r>
        <w:rPr>
          <w:rFonts w:hint="eastAsia" w:ascii="仿宋" w:hAnsi="仿宋" w:eastAsia="仿宋" w:cs="仿宋"/>
          <w:color w:val="auto"/>
          <w:sz w:val="28"/>
        </w:rPr>
        <w:t xml:space="preserve">、</w:t>
      </w:r>
      <w:r>
        <w:rPr>
          <w:rFonts w:hint="eastAsia" w:ascii="仿宋" w:hAnsi="仿宋" w:eastAsia="仿宋" w:cs="仿宋"/>
          <w:color w:val="auto"/>
          <w:sz w:val="28"/>
          <w:u w:val="single"/>
          <w:lang w:val="en-US" w:eastAsia="zh-CN"/>
        </w:rPr>
        <w:t xml:space="preserve">小垃圾分类亭</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工业</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left="0" w:right="0" w:firstLine="280"/>
        <w:spacing w:before="240" w:after="240"/>
        <w:rPr>
          <w:rFonts w:hint="eastAsia"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9</w:t>
      </w:r>
      <w:r>
        <w:rPr>
          <w:rFonts w:hint="eastAsia" w:ascii="仿宋" w:hAnsi="仿宋" w:eastAsia="仿宋" w:cs="仿宋"/>
          <w:color w:val="auto"/>
          <w:sz w:val="28"/>
        </w:rPr>
        <w:t xml:space="preserve">、</w:t>
      </w:r>
      <w:r>
        <w:rPr>
          <w:rFonts w:hint="eastAsia" w:ascii="仿宋" w:hAnsi="仿宋" w:eastAsia="仿宋" w:cs="仿宋"/>
          <w:color w:val="auto"/>
          <w:sz w:val="28"/>
          <w:u w:val="single"/>
          <w:lang w:val="en-US" w:eastAsia="zh-CN"/>
        </w:rPr>
        <w:t xml:space="preserve">垃圾分类点</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物业管理</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ind w:left="0" w:right="0" w:firstLine="280"/>
        <w:spacing w:before="240" w:after="240"/>
        <w:rPr>
          <w:rFonts w:hint="eastAsia"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10、</w:t>
      </w:r>
      <w:r>
        <w:rPr>
          <w:rFonts w:hint="eastAsia" w:ascii="仿宋" w:hAnsi="仿宋" w:eastAsia="仿宋" w:cs="仿宋"/>
          <w:color w:val="auto"/>
          <w:sz w:val="28"/>
          <w:u w:val="single"/>
          <w:lang w:val="en-US" w:eastAsia="zh-CN"/>
        </w:rPr>
        <w:t xml:space="preserve">垃圾分拣中心（垃圾分类区域划分）和有害垃圾暂存点</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物业管理</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pStyle w:val="913"/>
        <w:ind w:left="0" w:firstLine="0"/>
        <w:rPr>
          <w:rFonts w:hint="eastAsia" w:ascii="仿宋" w:hAnsi="仿宋" w:eastAsia="仿宋" w:cs="仿宋"/>
          <w:color w:val="auto"/>
          <w:sz w:val="28"/>
          <w:szCs w:val="28"/>
        </w:rPr>
      </w:pPr>
      <w:r>
        <w:rPr>
          <w:rFonts w:hint="eastAsia" w:ascii="仿宋" w:hAnsi="仿宋" w:eastAsia="仿宋" w:cs="仿宋"/>
          <w:color w:val="auto"/>
          <w:sz w:val="28"/>
          <w:lang w:val="en-US" w:eastAsia="zh-CN"/>
        </w:rPr>
        <w:t xml:space="preserve">11</w:t>
      </w:r>
      <w:r>
        <w:rPr>
          <w:rFonts w:hint="eastAsia" w:ascii="仿宋" w:hAnsi="仿宋" w:eastAsia="仿宋" w:cs="仿宋"/>
          <w:color w:val="auto"/>
          <w:sz w:val="28"/>
        </w:rPr>
        <w:t xml:space="preserve">、</w:t>
      </w:r>
      <w:r>
        <w:rPr>
          <w:rFonts w:hint="eastAsia" w:ascii="仿宋" w:hAnsi="仿宋" w:eastAsia="仿宋" w:cs="仿宋"/>
          <w:color w:val="auto"/>
          <w:sz w:val="28"/>
          <w:u w:val="single"/>
          <w:lang w:val="en-US" w:eastAsia="zh-CN"/>
        </w:rPr>
        <w:t xml:space="preserve">宣传发动</w:t>
      </w:r>
      <w:r>
        <w:rPr>
          <w:rFonts w:hint="eastAsia" w:ascii="仿宋" w:hAnsi="仿宋" w:eastAsia="仿宋" w:cs="仿宋"/>
          <w:color w:val="auto"/>
          <w:sz w:val="28"/>
        </w:rPr>
        <w:t xml:space="preserve">，属于（</w:t>
      </w:r>
      <w:r>
        <w:rPr>
          <w:rFonts w:hint="eastAsia" w:ascii="仿宋" w:hAnsi="仿宋" w:eastAsia="仿宋" w:cs="仿宋"/>
          <w:color w:val="auto"/>
          <w:sz w:val="28"/>
          <w:u w:val="single"/>
        </w:rPr>
        <w:t xml:space="preserve">物业管理</w:t>
      </w:r>
      <w:r>
        <w:rPr>
          <w:rFonts w:hint="eastAsia" w:ascii="仿宋" w:hAnsi="仿宋" w:eastAsia="仿宋" w:cs="仿宋"/>
          <w:color w:val="auto"/>
          <w:sz w:val="28"/>
        </w:rPr>
        <w:t xml:space="preserve">）行业；制造商为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w:t>
      </w:r>
      <w:r>
        <w:rPr>
          <w:rFonts w:hint="eastAsia" w:ascii="仿宋" w:hAnsi="仿宋" w:eastAsia="仿宋" w:cs="仿宋"/>
          <w:color w:val="auto"/>
          <w:sz w:val="28"/>
          <w:u w:val="single"/>
        </w:rPr>
        <w:t xml:space="preserve">企业名称</w:t>
      </w:r>
      <w:r>
        <w:rPr>
          <w:rFonts w:hint="eastAsia" w:ascii="仿宋" w:hAnsi="仿宋" w:eastAsia="仿宋" w:cs="仿宋"/>
          <w:color w:val="auto"/>
          <w:sz w:val="28"/>
        </w:rPr>
        <w:t xml:space="preserve">），从业人员（</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）人，营业收入为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（万元），资产总额为</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（万元），属于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（中型企业、小型企业、微型企业，请选填）；</w:t>
      </w:r>
      <w:r/>
    </w:p>
    <w:p>
      <w:pPr>
        <w:pStyle w:val="897"/>
        <w:ind w:left="0" w:firstLine="560"/>
        <w:rPr>
          <w:rFonts w:ascii="仿宋" w:hAnsi="仿宋" w:eastAsia="仿宋"/>
          <w:color w:val="auto"/>
          <w:sz w:val="28"/>
          <w:szCs w:val="28"/>
        </w:rPr>
      </w:pPr>
      <w:r>
        <w:rPr>
          <w:rFonts w:ascii="仿宋" w:hAnsi="仿宋" w:eastAsia="仿宋"/>
          <w:color w:val="auto"/>
          <w:sz w:val="28"/>
          <w:szCs w:val="28"/>
        </w:rPr>
        <w:t xml:space="preserve">......</w:t>
      </w:r>
      <w:r/>
    </w:p>
    <w:p>
      <w:pPr>
        <w:pStyle w:val="897"/>
        <w:ind w:left="0" w:firstLine="560"/>
        <w:rPr>
          <w:rFonts w:ascii="仿宋" w:hAnsi="仿宋" w:eastAsia="仿宋"/>
          <w:color w:val="auto"/>
          <w:sz w:val="28"/>
          <w:szCs w:val="28"/>
        </w:rPr>
      </w:pPr>
      <w:r>
        <w:rPr>
          <w:rFonts w:ascii="仿宋" w:hAnsi="仿宋" w:eastAsia="仿宋"/>
          <w:color w:val="auto"/>
          <w:sz w:val="28"/>
          <w:szCs w:val="28"/>
        </w:rPr>
        <w:t xml:space="preserve">以上企业，不属于大企业的分支机构，不存在控股股东为大企业的情形，也不存在与大企业的负责人为同一人的情形。</w:t>
      </w:r>
      <w:r/>
    </w:p>
    <w:p>
      <w:pPr>
        <w:pStyle w:val="889"/>
        <w:rPr>
          <w:rFonts w:ascii="仿宋" w:hAnsi="仿宋" w:eastAsia="仿宋"/>
          <w:color w:val="auto"/>
          <w:sz w:val="28"/>
          <w:szCs w:val="28"/>
        </w:rPr>
      </w:pPr>
      <w:r>
        <w:rPr>
          <w:rFonts w:ascii="仿宋" w:hAnsi="仿宋" w:eastAsia="仿宋"/>
          <w:color w:val="auto"/>
          <w:sz w:val="28"/>
          <w:szCs w:val="28"/>
        </w:rPr>
        <w:t xml:space="preserve">本企业对上述声明内容的真实性负责。如有虚假，将依法承担相应责任。</w:t>
      </w:r>
      <w:r/>
    </w:p>
    <w:p>
      <w:pPr>
        <w:pStyle w:val="877"/>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77"/>
        <w:ind w:firstLine="3513"/>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企业名称（电子签章）：</w:t>
      </w:r>
      <w:r/>
    </w:p>
    <w:p>
      <w:pPr>
        <w:pStyle w:val="877"/>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日期：</w:t>
      </w:r>
      <w:r/>
    </w:p>
    <w:p>
      <w:pPr>
        <w:pStyle w:val="877"/>
        <w:ind w:firstLine="560"/>
        <w:spacing w:line="480" w:lineRule="exact"/>
        <w:tabs>
          <w:tab w:val="left" w:pos="8188" w:leader="none"/>
        </w:tabs>
        <w:rPr>
          <w:rFonts w:hint="eastAsia" w:ascii="仿宋" w:hAnsi="仿宋" w:eastAsia="仿宋" w:cs="仿宋"/>
          <w:color w:val="auto"/>
          <w:sz w:val="28"/>
          <w:szCs w:val="28"/>
          <w:lang w:val="en-US" w:eastAsia="zh-CN"/>
        </w:rPr>
      </w:pPr>
      <w:r>
        <w:rPr>
          <w:rFonts w:hint="eastAsia" w:ascii="仿宋" w:hAnsi="仿宋" w:eastAsia="仿宋" w:cs="仿宋"/>
          <w:b/>
          <w:color w:val="auto"/>
          <w:sz w:val="28"/>
          <w:szCs w:val="28"/>
          <w:lang w:val="en-US" w:eastAsia="zh-CN"/>
        </w:rPr>
        <w:tab/>
      </w:r>
      <w:r/>
    </w:p>
    <w:p>
      <w:pPr>
        <w:pStyle w:val="877"/>
        <w:ind w:firstLine="562"/>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备注：</w:t>
      </w:r>
      <w:r/>
    </w:p>
    <w:p>
      <w:pPr>
        <w:pStyle w:val="877"/>
        <w:ind w:firstLine="562"/>
        <w:spacing w:line="48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1、从业人员、营业收入、资产总额填报上一年度数据，无上一年度数据的新成立企业可不填报。</w:t>
      </w:r>
      <w:r/>
    </w:p>
    <w:p>
      <w:pPr>
        <w:pStyle w:val="877"/>
        <w:ind w:firstLine="562"/>
        <w:spacing w:line="480" w:lineRule="exact"/>
        <w:rPr>
          <w:rFonts w:ascii="宋体" w:hAnsi="宋体"/>
          <w:b/>
          <w:color w:val="auto"/>
          <w:sz w:val="28"/>
          <w:szCs w:val="28"/>
        </w:rPr>
      </w:pPr>
      <w:r>
        <w:rPr>
          <w:rFonts w:hint="eastAsia" w:ascii="仿宋" w:hAnsi="仿宋" w:eastAsia="仿宋" w:cs="仿宋"/>
          <w:b/>
          <w:color w:val="auto"/>
          <w:sz w:val="28"/>
          <w:szCs w:val="28"/>
        </w:rPr>
        <w:t xml:space="preserve">2、《中小企业声明函》查询渠道参考工业和信息化部发布的中小企业规模自测小程序。</w:t>
      </w:r>
      <w:r/>
    </w:p>
    <w:p>
      <w:pPr>
        <w:pStyle w:val="877"/>
        <w:rPr>
          <w:rFonts w:ascii="宋体" w:hAnsi="宋体"/>
          <w:color w:val="auto"/>
          <w:sz w:val="24"/>
        </w:rPr>
      </w:pPr>
      <w:r>
        <w:rPr>
          <w:rFonts w:ascii="宋体" w:hAnsi="宋体"/>
          <w:color w:val="auto"/>
        </w:rPr>
        <w:t xml:space="preserve">                          </w:t>
      </w:r>
      <w:r>
        <w:rPr>
          <w:rFonts w:ascii="宋体" w:hAnsi="宋体"/>
          <w:color w:val="auto"/>
          <w:sz w:val="24"/>
        </w:rPr>
        <mc:AlternateContent>
          <mc:Choice Requires="wpg">
            <w:drawing>
              <wp:inline xmlns:wp="http://schemas.openxmlformats.org/drawingml/2006/wordprocessingDrawing" distT="0" distB="0" distL="0" distR="0">
                <wp:extent cx="2486025" cy="3724275"/>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2486025" cy="3724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5.8pt;height:293.2pt;mso-wrap-distance-left:0.0pt;mso-wrap-distance-top:0.0pt;mso-wrap-distance-right:0.0pt;mso-wrap-distance-bottom:0.0pt;" stroked="f">
                <v:path textboxrect="0,0,0,0"/>
                <v:imagedata r:id="rId14" o:title=""/>
              </v:shape>
            </w:pict>
          </mc:Fallback>
        </mc:AlternateContent>
      </w:r>
      <w:r/>
    </w:p>
    <w:p>
      <w:pPr>
        <w:jc w:val="both"/>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color w:val="auto"/>
        </w:rPr>
      </w:pPr>
      <w:r>
        <w:rPr>
          <w:rFonts w:hint="eastAsia"/>
          <w:color w:val="auto"/>
        </w:rPr>
      </w:r>
      <w:r/>
    </w:p>
    <w:p>
      <w:pPr>
        <w:jc w:val="center"/>
        <w:spacing w:line="480" w:lineRule="exact"/>
        <w:rPr>
          <w:rFonts w:hint="eastAsia" w:ascii="仿宋" w:hAnsi="仿宋" w:eastAsia="仿宋" w:cs="仿宋"/>
          <w:b/>
          <w:bCs/>
          <w:color w:val="auto"/>
          <w:spacing w:val="6"/>
          <w:sz w:val="28"/>
          <w:szCs w:val="28"/>
        </w:rPr>
      </w:pPr>
      <w:r>
        <w:rPr>
          <w:rFonts w:hint="eastAsia" w:ascii="仿宋" w:hAnsi="仿宋" w:eastAsia="仿宋" w:cs="仿宋"/>
          <w:b/>
          <w:bCs/>
          <w:color w:val="auto"/>
          <w:sz w:val="28"/>
          <w:szCs w:val="28"/>
        </w:rPr>
        <w:t xml:space="preserve">七、残疾人福利性单位声明函</w:t>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pStyle w:val="926"/>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项目名称：</w:t>
      </w:r>
      <w:r>
        <w:rPr>
          <w:rFonts w:hint="eastAsia" w:ascii="仿宋" w:hAnsi="仿宋" w:eastAsia="仿宋" w:cs="仿宋"/>
          <w:color w:val="auto"/>
          <w:sz w:val="28"/>
          <w:szCs w:val="28"/>
          <w:lang w:eastAsia="zh-CN"/>
        </w:rPr>
        <w:t xml:space="preserve">铜山区房村镇农村生活垃圾分类运营市场化服务项目（设备物资采购）</w:t>
      </w:r>
      <w:r/>
    </w:p>
    <w:p>
      <w:pPr>
        <w:spacing w:line="480" w:lineRule="exact"/>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lang w:eastAsia="zh-CN"/>
        </w:rPr>
        <w:t xml:space="preserve">项目编号：JSZC-320312-JSXR-G2024-0005</w:t>
      </w:r>
      <w:r/>
    </w:p>
    <w:p>
      <w:pPr>
        <w:pStyle w:val="702"/>
        <w:ind w:left="0" w:firstLine="0"/>
        <w:rPr>
          <w:rFonts w:hint="eastAsia"/>
          <w:color w:val="auto"/>
          <w:lang w:eastAsia="zh-CN"/>
        </w:rPr>
      </w:pPr>
      <w:r>
        <w:rPr>
          <w:rFonts w:hint="eastAsia"/>
          <w:color w:val="auto"/>
          <w:lang w:eastAsia="zh-CN"/>
        </w:rPr>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rPr>
        <w:t xml:space="preserve">〔2017〕 141</w:t>
      </w:r>
      <w:r>
        <w:rPr>
          <w:rFonts w:hint="eastAsia" w:ascii="仿宋" w:hAnsi="仿宋" w:eastAsia="仿宋" w:cs="仿宋"/>
          <w:color w:val="auto"/>
          <w:spacing w:val="6"/>
          <w:sz w:val="28"/>
          <w:szCs w:val="28"/>
        </w:rPr>
        <w:t xml:space="preserve">号）的规定，本单位为符合条件的残疾人福利性单位，本单位参加</w:t>
      </w:r>
      <w:r>
        <w:rPr>
          <w:rFonts w:hint="eastAsia" w:ascii="仿宋" w:hAnsi="仿宋" w:eastAsia="仿宋" w:cs="仿宋"/>
          <w:color w:val="auto"/>
          <w:sz w:val="28"/>
          <w:szCs w:val="28"/>
          <w:u w:val="single"/>
          <w:lang w:eastAsia="zh-CN"/>
        </w:rPr>
        <w:t xml:space="preserve">徐州市铜山区房村镇人民政府的铜山区房村镇农村生活垃圾分类运营市场化服务项目（设备物资采购）</w:t>
      </w:r>
      <w:r>
        <w:rPr>
          <w:rFonts w:hint="eastAsia" w:ascii="仿宋" w:hAnsi="仿宋" w:eastAsia="仿宋" w:cs="仿宋"/>
          <w:color w:val="auto"/>
          <w:spacing w:val="6"/>
          <w:sz w:val="28"/>
          <w:szCs w:val="28"/>
        </w:rPr>
        <w:t xml:space="preserve">的服务由本单位承担。</w:t>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ind w:firstLine="40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0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（签字或签章）  </w:t>
      </w:r>
      <w:r/>
    </w:p>
    <w:p>
      <w:pPr>
        <w:ind w:firstLine="3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both"/>
        <w:spacing w:line="48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jc w:val="both"/>
        <w:spacing w:line="48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八、投标人参加政府采购活动前3年内在经营活动中没有重大违法记录的书面声明</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我单位在参加</w:t>
      </w:r>
      <w:r>
        <w:rPr>
          <w:rFonts w:hint="eastAsia" w:ascii="仿宋" w:hAnsi="仿宋" w:eastAsia="仿宋" w:cs="仿宋"/>
          <w:color w:val="auto"/>
          <w:sz w:val="28"/>
          <w:szCs w:val="28"/>
          <w:lang w:eastAsia="zh-CN"/>
        </w:rPr>
        <w:t xml:space="preserve">徐州市铜山区房村镇人民政府铜山区房村镇农村生活垃圾分类运营市场化服务项目（设备物资采购））</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项目编号：JSZC-320312-JSXR-G2024-0005</w:t>
      </w:r>
      <w:r>
        <w:rPr>
          <w:rFonts w:hint="eastAsia" w:ascii="仿宋" w:hAnsi="仿宋" w:eastAsia="仿宋" w:cs="仿宋"/>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我单位对上述声明的真实性负责。如有虚假，将依法承担相应责任。</w:t>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（签字或签章）  </w:t>
      </w:r>
      <w:r/>
    </w:p>
    <w:p>
      <w:pPr>
        <w:ind w:firstLine="3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6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firstLine="600"/>
        <w:jc w:val="center"/>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九、具备履行合同所必需的设备和专业技术能力的书面声明（附证明材料扫描件）</w:t>
      </w:r>
      <w:r/>
    </w:p>
    <w:p>
      <w:pPr>
        <w:jc w:val="cente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26"/>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铜山区房村镇农村生活垃圾分类运营市场化服务项目（设备物资采购）</w:t>
      </w:r>
      <w:r>
        <w:rPr>
          <w:rFonts w:hint="eastAsia" w:ascii="仿宋" w:hAnsi="仿宋" w:eastAsia="仿宋" w:cs="仿宋"/>
          <w:color w:val="auto"/>
          <w:sz w:val="28"/>
          <w:szCs w:val="28"/>
        </w:rPr>
        <w:t xml:space="preserve"> </w:t>
      </w:r>
      <w:r/>
    </w:p>
    <w:p>
      <w:pPr>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 xml:space="preserve">项目编号：JSZC-320312-JSXR-G2024-0005</w:t>
      </w:r>
      <w:r/>
    </w:p>
    <w:p>
      <w:pPr>
        <w:pStyle w:val="926"/>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投标人郑重声明：投标人具备履行合同（项目名称：</w:t>
      </w:r>
      <w:r>
        <w:rPr>
          <w:rFonts w:hint="eastAsia" w:ascii="仿宋" w:hAnsi="仿宋" w:eastAsia="仿宋" w:cs="仿宋"/>
          <w:color w:val="auto"/>
          <w:sz w:val="28"/>
          <w:szCs w:val="28"/>
          <w:lang w:eastAsia="zh-CN"/>
        </w:rPr>
        <w:t xml:space="preserve">铜山区房村镇农村生活垃圾分类运营市场化服务项目（设备物资采购）</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 xml:space="preserve">项目编号：JSZC-320312-JSXR-G2024-0005）</w:t>
      </w:r>
      <w:r>
        <w:rPr>
          <w:rFonts w:hint="eastAsia" w:ascii="仿宋" w:hAnsi="仿宋" w:eastAsia="仿宋" w:cs="仿宋"/>
          <w:color w:val="auto"/>
          <w:sz w:val="28"/>
          <w:szCs w:val="28"/>
        </w:rPr>
        <w:t xml:space="preserve">所必需的设备和专业技术能力，具体为：</w:t>
      </w:r>
      <w:r/>
    </w:p>
    <w:p>
      <w:pPr>
        <w:pStyle w:val="877"/>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77"/>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77"/>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77"/>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（证明材料扫描件附后）</w:t>
      </w:r>
      <w:r/>
    </w:p>
    <w:p>
      <w:pPr>
        <w:pStyle w:val="877"/>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p>
      <w:pPr>
        <w:pStyle w:val="903"/>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特此声明。</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投标人对上述声明的真实性负责。如有虚假，将依法承担相应责任。</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56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投标人：（盖单位电子签章）</w:t>
      </w:r>
      <w:r/>
    </w:p>
    <w:p>
      <w:pPr>
        <w:ind w:firstLine="48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56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投标人授权代表：（签字）</w:t>
      </w:r>
      <w:r/>
    </w:p>
    <w:p>
      <w:pPr>
        <w:ind w:firstLine="312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56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r>
      <w:r/>
    </w:p>
    <w:p>
      <w:pPr>
        <w:ind w:firstLine="484"/>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十、预付款保函支付条款</w:t>
      </w:r>
      <w:r/>
    </w:p>
    <w:p>
      <w:pPr>
        <w:ind w:firstLine="484"/>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付款方式一：提交预付款保函的</w:t>
      </w:r>
      <w:r/>
    </w:p>
    <w:p>
      <w:pPr>
        <w:ind w:firstLine="48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（1）合同签订且乙方向甲方出具预付款保函后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140" w:firstLine="48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4"/>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p>
      <w:pPr>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付款方式二：不提交预付款保函的</w:t>
      </w:r>
      <w:r/>
    </w:p>
    <w:p>
      <w:pPr>
        <w:ind w:firstLine="48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140" w:firstLine="48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4"/>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p>
      <w:pPr>
        <w:ind w:left="140" w:firstLine="484"/>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ind w:left="140" w:firstLine="48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1、付款条件一中，出具预付款保函后支付的合同款应当与保函金额一致。</w:t>
      </w:r>
      <w:r/>
    </w:p>
    <w:p>
      <w:pPr>
        <w:pStyle w:val="880"/>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xml:space="preserve">2、付款条件二中，预付款比例设定应符合《关于做好政府采购支持企业发展有关事项的通知》(苏财购〔2020〕52号)要求。</w:t>
      </w:r>
      <w:r/>
    </w:p>
    <w:p>
      <w:pPr>
        <w:pStyle w:val="882"/>
        <w:rPr>
          <w:rFonts w:hint="eastAsia" w:ascii="仿宋" w:hAnsi="仿宋" w:eastAsia="仿宋" w:cs="仿宋"/>
          <w:color w:val="auto"/>
          <w:sz w:val="28"/>
          <w:szCs w:val="28"/>
        </w:rPr>
      </w:pPr>
      <w:r>
        <w:rPr>
          <w:rFonts w:hint="eastAsia" w:ascii="仿宋" w:hAnsi="仿宋" w:eastAsia="仿宋" w:cs="仿宋"/>
          <w:color w:val="auto"/>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mbria">
    <w:panose1 w:val="02040503050406030204"/>
  </w:font>
  <w:font w:name="Courier New">
    <w:panose1 w:val="02070309020205020404"/>
  </w:font>
  <w:font w:name="PMingLiU">
    <w:panose1 w:val="02020500000000000000"/>
  </w:font>
  <w:font w:name="Verdana">
    <w:panose1 w:val="020B0604030504040204"/>
  </w:font>
  <w:font w:name="黑体">
    <w:panose1 w:val="02010609060101010101"/>
  </w:font>
  <w:font w:name="仿宋_GB2312">
    <w:panose1 w:val="02010609060101010101"/>
  </w:font>
  <w:font w:name="Calibri">
    <w:panose1 w:val="020F0502020204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24"/>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25"/>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6"/>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7"/>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8"/>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9"/>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1"/>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2"/>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Body Text First Indent 2"/>
    <w:basedOn w:val="697"/>
    <w:next w:val="684"/>
    <w:uiPriority w:val="0"/>
    <w:qFormat/>
    <w:pPr>
      <w:ind w:left="200" w:firstLine="200"/>
    </w:pPr>
    <w:rPr>
      <w:sz w:val="24"/>
    </w:rPr>
  </w:style>
  <w:style w:type="paragraph" w:styleId="697">
    <w:name w:val="Body Text Indent"/>
    <w:basedOn w:val="684"/>
    <w:next w:val="698"/>
    <w:uiPriority w:val="99"/>
    <w:semiHidden/>
    <w:unhideWhenUsed/>
    <w:qFormat/>
    <w:pPr>
      <w:ind w:left="420"/>
      <w:spacing w:after="120"/>
    </w:pPr>
  </w:style>
  <w:style w:type="paragraph" w:styleId="698">
    <w:name w:val="envelope return"/>
    <w:basedOn w:val="684"/>
    <w:uiPriority w:val="0"/>
    <w:unhideWhenUsed/>
    <w:qFormat/>
    <w:rPr>
      <w:rFonts w:ascii="Arial" w:hAnsi="Arial"/>
    </w:rPr>
  </w:style>
  <w:style w:type="paragraph" w:styleId="699">
    <w:name w:val="toc 7"/>
    <w:basedOn w:val="684"/>
    <w:next w:val="684"/>
    <w:uiPriority w:val="39"/>
    <w:unhideWhenUsed/>
    <w:qFormat/>
    <w:pPr>
      <w:ind w:left="1701" w:right="0" w:firstLine="0"/>
      <w:spacing w:after="57"/>
    </w:pPr>
  </w:style>
  <w:style w:type="paragraph" w:styleId="700">
    <w:name w:val="Caption"/>
    <w:basedOn w:val="684"/>
    <w:next w:val="684"/>
    <w:uiPriority w:val="35"/>
    <w:semiHidden/>
    <w:unhideWhenUsed/>
    <w:qFormat/>
    <w:pPr>
      <w:spacing w:line="276" w:lineRule="auto"/>
    </w:pPr>
    <w:rPr>
      <w:b/>
      <w:bCs/>
      <w:color w:val="4f81bd" w:themeColor="accent1"/>
      <w:sz w:val="18"/>
      <w:szCs w:val="18"/>
    </w:rPr>
  </w:style>
  <w:style w:type="paragraph" w:styleId="701">
    <w:name w:val="Body Text"/>
    <w:basedOn w:val="684"/>
    <w:next w:val="702"/>
    <w:uiPriority w:val="99"/>
    <w:qFormat/>
    <w:pPr>
      <w:spacing w:after="120"/>
    </w:pPr>
  </w:style>
  <w:style w:type="paragraph" w:styleId="702" w:customStyle="1">
    <w:name w:val="_Style 2"/>
    <w:basedOn w:val="684"/>
    <w:next w:val="684"/>
    <w:uiPriority w:val="34"/>
    <w:qFormat/>
    <w:pPr>
      <w:ind w:firstLine="420"/>
    </w:pPr>
    <w:rPr>
      <w:szCs w:val="24"/>
    </w:rPr>
  </w:style>
  <w:style w:type="paragraph" w:styleId="703">
    <w:name w:val="toc 5"/>
    <w:basedOn w:val="684"/>
    <w:next w:val="684"/>
    <w:uiPriority w:val="39"/>
    <w:unhideWhenUsed/>
    <w:qFormat/>
    <w:pPr>
      <w:ind w:left="1134" w:right="0" w:firstLine="0"/>
      <w:spacing w:after="57"/>
    </w:pPr>
  </w:style>
  <w:style w:type="paragraph" w:styleId="704">
    <w:name w:val="toc 3"/>
    <w:basedOn w:val="684"/>
    <w:next w:val="684"/>
    <w:uiPriority w:val="39"/>
    <w:unhideWhenUsed/>
    <w:qFormat/>
    <w:pPr>
      <w:ind w:left="567" w:right="0" w:firstLine="0"/>
      <w:spacing w:after="57"/>
    </w:pPr>
  </w:style>
  <w:style w:type="paragraph" w:styleId="705">
    <w:name w:val="toc 8"/>
    <w:basedOn w:val="684"/>
    <w:next w:val="684"/>
    <w:uiPriority w:val="39"/>
    <w:unhideWhenUsed/>
    <w:qFormat/>
    <w:pPr>
      <w:ind w:left="1984" w:right="0" w:firstLine="0"/>
      <w:spacing w:after="57"/>
    </w:pPr>
  </w:style>
  <w:style w:type="paragraph" w:styleId="706">
    <w:name w:val="endnote text"/>
    <w:basedOn w:val="684"/>
    <w:link w:val="869"/>
    <w:uiPriority w:val="99"/>
    <w:semiHidden/>
    <w:unhideWhenUsed/>
    <w:qFormat/>
    <w:pPr>
      <w:spacing w:after="0" w:line="240" w:lineRule="auto"/>
    </w:pPr>
    <w:rPr>
      <w:sz w:val="20"/>
    </w:rPr>
  </w:style>
  <w:style w:type="paragraph" w:styleId="707">
    <w:name w:val="Footer"/>
    <w:basedOn w:val="684"/>
    <w:link w:val="742"/>
    <w:uiPriority w:val="99"/>
    <w:unhideWhenUsed/>
    <w:qFormat/>
    <w:pPr>
      <w:spacing w:after="0" w:line="240" w:lineRule="auto"/>
      <w:tabs>
        <w:tab w:val="center" w:pos="7143" w:leader="none"/>
        <w:tab w:val="right" w:pos="14287" w:leader="none"/>
      </w:tabs>
    </w:pPr>
  </w:style>
  <w:style w:type="paragraph" w:styleId="708">
    <w:name w:val="Header"/>
    <w:basedOn w:val="684"/>
    <w:link w:val="740"/>
    <w:uiPriority w:val="99"/>
    <w:unhideWhenUsed/>
    <w:qFormat/>
    <w:pPr>
      <w:spacing w:after="0" w:line="240" w:lineRule="auto"/>
      <w:tabs>
        <w:tab w:val="center" w:pos="7143" w:leader="none"/>
        <w:tab w:val="right" w:pos="14287" w:leader="none"/>
      </w:tabs>
    </w:pPr>
  </w:style>
  <w:style w:type="paragraph" w:styleId="709">
    <w:name w:val="toc 1"/>
    <w:basedOn w:val="684"/>
    <w:next w:val="684"/>
    <w:uiPriority w:val="39"/>
    <w:unhideWhenUsed/>
    <w:qFormat/>
    <w:pPr>
      <w:ind w:left="0" w:right="0" w:firstLine="0"/>
      <w:spacing w:after="57"/>
    </w:pPr>
  </w:style>
  <w:style w:type="paragraph" w:styleId="710">
    <w:name w:val="toc 4"/>
    <w:basedOn w:val="684"/>
    <w:next w:val="684"/>
    <w:uiPriority w:val="39"/>
    <w:unhideWhenUsed/>
    <w:qFormat/>
    <w:pPr>
      <w:ind w:left="850" w:right="0" w:firstLine="0"/>
      <w:spacing w:after="57"/>
    </w:pPr>
  </w:style>
  <w:style w:type="paragraph" w:styleId="711">
    <w:name w:val="Subtitle"/>
    <w:basedOn w:val="684"/>
    <w:next w:val="684"/>
    <w:link w:val="735"/>
    <w:uiPriority w:val="11"/>
    <w:qFormat/>
    <w:pPr>
      <w:spacing w:before="200" w:after="200"/>
    </w:pPr>
    <w:rPr>
      <w:sz w:val="24"/>
      <w:szCs w:val="24"/>
    </w:rPr>
  </w:style>
  <w:style w:type="paragraph" w:styleId="712">
    <w:name w:val="footnote text"/>
    <w:basedOn w:val="684"/>
    <w:link w:val="868"/>
    <w:uiPriority w:val="99"/>
    <w:semiHidden/>
    <w:unhideWhenUsed/>
    <w:qFormat/>
    <w:pPr>
      <w:spacing w:after="40" w:line="240" w:lineRule="auto"/>
    </w:pPr>
    <w:rPr>
      <w:sz w:val="18"/>
    </w:rPr>
  </w:style>
  <w:style w:type="paragraph" w:styleId="713">
    <w:name w:val="toc 6"/>
    <w:basedOn w:val="684"/>
    <w:next w:val="684"/>
    <w:uiPriority w:val="39"/>
    <w:unhideWhenUsed/>
    <w:qFormat/>
    <w:pPr>
      <w:ind w:left="1417" w:right="0" w:firstLine="0"/>
      <w:spacing w:after="57"/>
    </w:pPr>
  </w:style>
  <w:style w:type="paragraph" w:styleId="714">
    <w:name w:val="table of figures"/>
    <w:basedOn w:val="684"/>
    <w:next w:val="684"/>
    <w:uiPriority w:val="99"/>
    <w:unhideWhenUsed/>
    <w:qFormat/>
    <w:pPr>
      <w:spacing w:after="0" w:afterAutospacing="0"/>
    </w:pPr>
  </w:style>
  <w:style w:type="paragraph" w:styleId="715">
    <w:name w:val="toc 2"/>
    <w:basedOn w:val="684"/>
    <w:next w:val="684"/>
    <w:uiPriority w:val="39"/>
    <w:unhideWhenUsed/>
    <w:qFormat/>
    <w:pPr>
      <w:ind w:left="283" w:right="0" w:firstLine="0"/>
      <w:spacing w:after="57"/>
    </w:pPr>
  </w:style>
  <w:style w:type="paragraph" w:styleId="716">
    <w:name w:val="toc 9"/>
    <w:basedOn w:val="684"/>
    <w:next w:val="684"/>
    <w:uiPriority w:val="39"/>
    <w:unhideWhenUsed/>
    <w:qFormat/>
    <w:pPr>
      <w:ind w:left="2268" w:right="0" w:firstLine="0"/>
      <w:spacing w:after="57"/>
    </w:pPr>
  </w:style>
  <w:style w:type="paragraph" w:styleId="717">
    <w:name w:val="Normal (Web)"/>
    <w:basedOn w:val="684"/>
    <w:uiPriority w:val="0"/>
    <w:qFormat/>
    <w:pPr>
      <w:ind w:left="0" w:right="0"/>
      <w:jc w:val="left"/>
      <w:spacing w:before="0" w:beforeAutospacing="1" w:after="0" w:afterAutospacing="1"/>
    </w:pPr>
    <w:rPr>
      <w:sz w:val="24"/>
      <w:lang w:val="en-US" w:eastAsia="zh-CN" w:bidi="ar"/>
    </w:rPr>
  </w:style>
  <w:style w:type="paragraph" w:styleId="718">
    <w:name w:val="Title"/>
    <w:basedOn w:val="684"/>
    <w:next w:val="684"/>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94"/>
    <w:uiPriority w:val="0"/>
    <w:qFormat/>
    <w:rPr>
      <w:b/>
    </w:r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rPr>
  </w:style>
  <w:style w:type="character" w:styleId="723">
    <w:name w:val="footnote reference"/>
    <w:uiPriority w:val="99"/>
    <w:unhideWhenUsed/>
    <w:qFormat/>
    <w:rPr>
      <w:vertAlign w:val="superscript"/>
    </w:rPr>
  </w:style>
  <w:style w:type="character" w:styleId="724" w:customStyle="1">
    <w:name w:val="Heading 1 Char"/>
    <w:link w:val="685"/>
    <w:uiPriority w:val="9"/>
    <w:qFormat/>
    <w:rPr>
      <w:rFonts w:ascii="Arial" w:hAnsi="Arial" w:eastAsia="Arial" w:cs="Arial"/>
      <w:sz w:val="40"/>
      <w:szCs w:val="40"/>
    </w:rPr>
  </w:style>
  <w:style w:type="character" w:styleId="725" w:customStyle="1">
    <w:name w:val="Heading 2 Char"/>
    <w:link w:val="686"/>
    <w:uiPriority w:val="9"/>
    <w:qFormat/>
    <w:rPr>
      <w:rFonts w:ascii="Arial" w:hAnsi="Arial" w:eastAsia="Arial" w:cs="Arial"/>
      <w:sz w:val="34"/>
    </w:rPr>
  </w:style>
  <w:style w:type="character" w:styleId="726" w:customStyle="1">
    <w:name w:val="Heading 3 Char"/>
    <w:link w:val="687"/>
    <w:uiPriority w:val="9"/>
    <w:qFormat/>
    <w:rPr>
      <w:rFonts w:ascii="Arial" w:hAnsi="Arial" w:eastAsia="Arial" w:cs="Arial"/>
      <w:sz w:val="30"/>
      <w:szCs w:val="30"/>
    </w:rPr>
  </w:style>
  <w:style w:type="character" w:styleId="727" w:customStyle="1">
    <w:name w:val="Heading 4 Char"/>
    <w:link w:val="688"/>
    <w:uiPriority w:val="9"/>
    <w:qFormat/>
    <w:rPr>
      <w:rFonts w:ascii="Arial" w:hAnsi="Arial" w:eastAsia="Arial" w:cs="Arial"/>
      <w:b/>
      <w:bCs/>
      <w:sz w:val="26"/>
      <w:szCs w:val="26"/>
    </w:rPr>
  </w:style>
  <w:style w:type="character" w:styleId="728" w:customStyle="1">
    <w:name w:val="Heading 5 Char"/>
    <w:link w:val="689"/>
    <w:uiPriority w:val="9"/>
    <w:qFormat/>
    <w:rPr>
      <w:rFonts w:ascii="Arial" w:hAnsi="Arial" w:eastAsia="Arial" w:cs="Arial"/>
      <w:b/>
      <w:bCs/>
      <w:sz w:val="24"/>
      <w:szCs w:val="24"/>
    </w:rPr>
  </w:style>
  <w:style w:type="character" w:styleId="729" w:customStyle="1">
    <w:name w:val="Heading 6 Char"/>
    <w:link w:val="690"/>
    <w:uiPriority w:val="9"/>
    <w:qFormat/>
    <w:rPr>
      <w:rFonts w:ascii="Arial" w:hAnsi="Arial" w:eastAsia="Arial" w:cs="Arial"/>
      <w:b/>
      <w:bCs/>
      <w:sz w:val="22"/>
      <w:szCs w:val="22"/>
    </w:rPr>
  </w:style>
  <w:style w:type="character" w:styleId="730" w:customStyle="1">
    <w:name w:val="Heading 7 Char"/>
    <w:link w:val="691"/>
    <w:uiPriority w:val="9"/>
    <w:qFormat/>
    <w:rPr>
      <w:rFonts w:ascii="Arial" w:hAnsi="Arial" w:eastAsia="Arial" w:cs="Arial"/>
      <w:b/>
      <w:bCs/>
      <w:i/>
      <w:iCs/>
      <w:sz w:val="22"/>
      <w:szCs w:val="22"/>
    </w:rPr>
  </w:style>
  <w:style w:type="character" w:styleId="731" w:customStyle="1">
    <w:name w:val="Heading 8 Char"/>
    <w:link w:val="692"/>
    <w:uiPriority w:val="9"/>
    <w:qFormat/>
    <w:rPr>
      <w:rFonts w:ascii="Arial" w:hAnsi="Arial" w:eastAsia="Arial" w:cs="Arial"/>
      <w:i/>
      <w:iCs/>
      <w:sz w:val="22"/>
      <w:szCs w:val="22"/>
    </w:rPr>
  </w:style>
  <w:style w:type="character" w:styleId="732" w:customStyle="1">
    <w:name w:val="Heading 9 Char"/>
    <w:link w:val="693"/>
    <w:uiPriority w:val="9"/>
    <w:qFormat/>
    <w:rPr>
      <w:rFonts w:ascii="Arial" w:hAnsi="Arial" w:eastAsia="Arial" w:cs="Arial"/>
      <w:i/>
      <w:iCs/>
      <w:sz w:val="21"/>
      <w:szCs w:val="21"/>
    </w:r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8"/>
    <w:uiPriority w:val="10"/>
    <w:qFormat/>
    <w:rPr>
      <w:sz w:val="48"/>
      <w:szCs w:val="48"/>
    </w:rPr>
  </w:style>
  <w:style w:type="character" w:styleId="735" w:customStyle="1">
    <w:name w:val="Subtitle Char"/>
    <w:link w:val="711"/>
    <w:uiPriority w:val="11"/>
    <w:qFormat/>
    <w:rPr>
      <w:sz w:val="24"/>
      <w:szCs w:val="24"/>
    </w:rPr>
  </w:style>
  <w:style w:type="paragraph" w:styleId="736">
    <w:name w:val="Quote"/>
    <w:basedOn w:val="684"/>
    <w:next w:val="684"/>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4"/>
    <w:next w:val="684"/>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8"/>
    <w:uiPriority w:val="99"/>
    <w:qFormat/>
  </w:style>
  <w:style w:type="character" w:styleId="741" w:customStyle="1">
    <w:name w:val="Footer Char"/>
    <w:link w:val="707"/>
    <w:uiPriority w:val="99"/>
    <w:qFormat/>
  </w:style>
  <w:style w:type="character" w:styleId="742" w:customStyle="1">
    <w:name w:val="Caption Char"/>
    <w:link w:val="707"/>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2"/>
    <w:uiPriority w:val="99"/>
    <w:qFormat/>
    <w:rPr>
      <w:sz w:val="18"/>
    </w:rPr>
  </w:style>
  <w:style w:type="character" w:styleId="869" w:customStyle="1">
    <w:name w:val="Endnote Text Char"/>
    <w:link w:val="706"/>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1"/>
    <w:basedOn w:val="684"/>
    <w:next w:val="684"/>
    <w:uiPriority w:val="0"/>
    <w:qFormat/>
    <w:pPr>
      <w:jc w:val="center"/>
      <w:keepLines/>
      <w:keepNext/>
      <w:spacing w:line="578" w:lineRule="auto"/>
      <w:outlineLvl w:val="0"/>
    </w:pPr>
    <w:rPr>
      <w:rFonts w:eastAsia="新宋体"/>
      <w:b/>
      <w:bCs/>
      <w:sz w:val="30"/>
      <w:szCs w:val="44"/>
    </w:rPr>
  </w:style>
  <w:style w:type="paragraph" w:styleId="872" w:customStyle="1">
    <w:name w:val="标题 31"/>
    <w:basedOn w:val="684"/>
    <w:next w:val="684"/>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73" w:customStyle="1">
    <w:name w:val="默认段落字体1"/>
    <w:link w:val="684"/>
    <w:uiPriority w:val="0"/>
    <w:semiHidden/>
    <w:qFormat/>
  </w:style>
  <w:style w:type="table" w:styleId="874" w:customStyle="1">
    <w:name w:val="普通表格11"/>
    <w:uiPriority w:val="0"/>
    <w:semiHidden/>
    <w:qFormat/>
    <w:tblPr/>
  </w:style>
  <w:style w:type="paragraph" w:styleId="875" w:customStyle="1">
    <w:name w:val="正文缩进1"/>
    <w:basedOn w:val="684"/>
    <w:uiPriority w:val="0"/>
    <w:qFormat/>
    <w:pPr>
      <w:ind w:firstLine="420"/>
    </w:pPr>
  </w:style>
  <w:style w:type="paragraph" w:styleId="876" w:customStyle="1">
    <w:name w:val="索引 511"/>
    <w:basedOn w:val="684"/>
    <w:next w:val="877"/>
    <w:uiPriority w:val="0"/>
    <w:qFormat/>
    <w:pPr>
      <w:ind w:left="798"/>
      <w:jc w:val="left"/>
    </w:pPr>
    <w:rPr>
      <w:rFonts w:ascii="Calibri" w:hAnsi="Calibri" w:eastAsia="宋体" w:cs="Times New Roman"/>
      <w:sz w:val="21"/>
      <w:szCs w:val="24"/>
    </w:rPr>
  </w:style>
  <w:style w:type="paragraph" w:styleId="877" w:customStyle="1">
    <w:name w:val="正文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脚注文本11"/>
    <w:basedOn w:val="684"/>
    <w:next w:val="876"/>
    <w:uiPriority w:val="0"/>
    <w:qFormat/>
    <w:pPr>
      <w:jc w:val="left"/>
    </w:pPr>
    <w:rPr>
      <w:rFonts w:ascii="Calibri" w:hAnsi="Calibri" w:eastAsia="宋体" w:cs="Times New Roman"/>
      <w:sz w:val="18"/>
      <w:szCs w:val="24"/>
    </w:rPr>
  </w:style>
  <w:style w:type="paragraph" w:styleId="879" w:customStyle="1">
    <w:name w:val="正文文本12"/>
    <w:basedOn w:val="684"/>
    <w:uiPriority w:val="99"/>
    <w:qFormat/>
    <w:pPr>
      <w:spacing w:after="120"/>
    </w:pPr>
    <w:rPr>
      <w:rFonts w:ascii="Calibri" w:hAnsi="Calibri"/>
    </w:rPr>
  </w:style>
  <w:style w:type="paragraph" w:styleId="880" w:customStyle="1">
    <w:name w:val="正文文本缩进112"/>
    <w:basedOn w:val="684"/>
    <w:next w:val="881"/>
    <w:uiPriority w:val="0"/>
    <w:qFormat/>
    <w:pPr>
      <w:ind w:left="420"/>
      <w:spacing w:after="120"/>
    </w:pPr>
    <w:rPr>
      <w:rFonts w:ascii="Calibri" w:hAnsi="Calibri"/>
    </w:rPr>
  </w:style>
  <w:style w:type="paragraph" w:styleId="881" w:customStyle="1">
    <w:name w:val="寄信人地址11"/>
    <w:basedOn w:val="684"/>
    <w:uiPriority w:val="0"/>
    <w:qFormat/>
    <w:rPr>
      <w:rFonts w:ascii="Arial" w:hAnsi="Arial" w:eastAsia="宋体" w:cs="Times New Roman"/>
    </w:rPr>
  </w:style>
  <w:style w:type="paragraph" w:styleId="882" w:customStyle="1">
    <w:name w:val="文本块11"/>
    <w:basedOn w:val="883"/>
    <w:uiPriority w:val="99"/>
    <w:unhideWhenUsed/>
    <w:qFormat/>
    <w:pPr>
      <w:ind w:left="1440" w:right="1440"/>
      <w:spacing w:after="120"/>
    </w:pPr>
    <w:rPr>
      <w:sz w:val="24"/>
      <w:szCs w:val="20"/>
    </w:rPr>
  </w:style>
  <w:style w:type="paragraph" w:styleId="883" w:customStyle="1">
    <w:name w:val="正文12"/>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索引 412"/>
    <w:basedOn w:val="684"/>
    <w:next w:val="684"/>
    <w:uiPriority w:val="0"/>
    <w:qFormat/>
    <w:pPr>
      <w:ind w:left="1260"/>
    </w:pPr>
  </w:style>
  <w:style w:type="paragraph" w:styleId="885" w:customStyle="1">
    <w:name w:val="页脚11"/>
    <w:basedOn w:val="684"/>
    <w:uiPriority w:val="99"/>
    <w:qFormat/>
    <w:pPr>
      <w:jc w:val="left"/>
      <w:tabs>
        <w:tab w:val="center" w:pos="4153" w:leader="none"/>
        <w:tab w:val="right" w:pos="8306" w:leader="none"/>
      </w:tabs>
    </w:pPr>
    <w:rPr>
      <w:sz w:val="18"/>
      <w:szCs w:val="18"/>
    </w:rPr>
  </w:style>
  <w:style w:type="paragraph" w:styleId="886" w:customStyle="1">
    <w:name w:val="页眉11"/>
    <w:basedOn w:val="684"/>
    <w:uiPriority w:val="99"/>
    <w:qFormat/>
    <w:pPr>
      <w:jc w:val="center"/>
      <w:tabs>
        <w:tab w:val="center" w:pos="4153" w:leader="none"/>
        <w:tab w:val="right" w:pos="8306" w:leader="none"/>
      </w:tabs>
      <w:pBdr>
        <w:bottom w:val="single" w:color="000000" w:sz="6" w:space="1"/>
      </w:pBdr>
    </w:pPr>
    <w:rPr>
      <w:sz w:val="18"/>
      <w:szCs w:val="18"/>
    </w:rPr>
  </w:style>
  <w:style w:type="paragraph" w:styleId="887" w:customStyle="1">
    <w:name w:val="目录 1111"/>
    <w:basedOn w:val="684"/>
    <w:next w:val="684"/>
    <w:uiPriority w:val="39"/>
    <w:unhideWhenUsed/>
    <w:qFormat/>
    <w:pPr>
      <w:ind w:left="0" w:right="0" w:firstLine="0"/>
      <w:spacing w:after="57"/>
    </w:pPr>
  </w:style>
  <w:style w:type="paragraph" w:styleId="888" w:customStyle="1">
    <w:name w:val="普通(网站)1"/>
    <w:basedOn w:val="889"/>
    <w:next w:val="892"/>
    <w:uiPriority w:val="0"/>
    <w:qFormat/>
    <w:pPr>
      <w:spacing w:before="100" w:beforeAutospacing="1" w:after="100" w:afterAutospacing="1"/>
    </w:pPr>
    <w:rPr>
      <w:rFonts w:ascii="宋体" w:hAnsi="宋体"/>
      <w:sz w:val="24"/>
    </w:rPr>
  </w:style>
  <w:style w:type="paragraph" w:styleId="889" w:customStyle="1">
    <w:name w:val="正文1111"/>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正文1"/>
    <w:basedOn w:val="877"/>
    <w:next w:val="891"/>
    <w:uiPriority w:val="0"/>
    <w:qFormat/>
    <w:pPr>
      <w:jc w:val="left"/>
      <w:spacing w:line="360" w:lineRule="atLeast"/>
    </w:pPr>
    <w:rPr>
      <w:rFonts w:ascii="宋体" w:hAnsi="Calibri" w:eastAsia="宋体" w:cs="Times New Roman"/>
      <w:sz w:val="24"/>
      <w:szCs w:val="20"/>
    </w:rPr>
  </w:style>
  <w:style w:type="paragraph" w:styleId="891" w:customStyle="1">
    <w:name w:val="目录 11"/>
    <w:basedOn w:val="877"/>
    <w:next w:val="890"/>
    <w:uiPriority w:val="0"/>
    <w:qFormat/>
    <w:pPr>
      <w:jc w:val="left"/>
      <w:spacing w:before="120" w:after="120"/>
    </w:pPr>
    <w:rPr>
      <w:rFonts w:ascii="Calibri" w:hAnsi="Calibri" w:eastAsia="宋体"/>
      <w:b/>
      <w:bCs/>
      <w:caps/>
      <w:sz w:val="20"/>
      <w:szCs w:val="20"/>
    </w:rPr>
  </w:style>
  <w:style w:type="paragraph" w:styleId="892" w:customStyle="1">
    <w:name w:val="正文112"/>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文本111"/>
    <w:basedOn w:val="892"/>
    <w:next w:val="894"/>
    <w:uiPriority w:val="0"/>
    <w:qFormat/>
    <w:pPr>
      <w:spacing w:after="120"/>
    </w:pPr>
    <w:rPr>
      <w:rFonts w:ascii="Calibri" w:hAnsi="Calibri"/>
    </w:rPr>
  </w:style>
  <w:style w:type="paragraph" w:styleId="894" w:customStyle="1">
    <w:name w:val="正文首行缩进11"/>
    <w:basedOn w:val="895"/>
    <w:next w:val="896"/>
    <w:uiPriority w:val="0"/>
    <w:qFormat/>
    <w:pPr>
      <w:ind w:firstLine="420"/>
    </w:pPr>
    <w:rPr>
      <w:sz w:val="24"/>
    </w:rPr>
  </w:style>
  <w:style w:type="paragraph" w:styleId="895" w:customStyle="1">
    <w:name w:val="正文文本2"/>
    <w:basedOn w:val="889"/>
    <w:next w:val="894"/>
    <w:uiPriority w:val="0"/>
    <w:qFormat/>
    <w:pPr>
      <w:spacing w:after="120"/>
    </w:pPr>
    <w:rPr>
      <w:rFonts w:ascii="Calibri" w:hAnsi="Calibri"/>
    </w:rPr>
  </w:style>
  <w:style w:type="paragraph" w:styleId="896" w:customStyle="1">
    <w:name w:val="正文首行缩进 211"/>
    <w:basedOn w:val="897"/>
    <w:next w:val="898"/>
    <w:uiPriority w:val="0"/>
    <w:qFormat/>
    <w:pPr>
      <w:ind w:firstLine="420"/>
      <w:jc w:val="both"/>
    </w:pPr>
    <w:rPr>
      <w:lang w:val="en-US" w:eastAsia="en-US"/>
    </w:rPr>
  </w:style>
  <w:style w:type="paragraph" w:styleId="897" w:customStyle="1">
    <w:name w:val="正文文本缩进11"/>
    <w:basedOn w:val="889"/>
    <w:uiPriority w:val="0"/>
    <w:qFormat/>
    <w:pPr>
      <w:ind w:firstLine="425"/>
      <w:spacing w:line="360" w:lineRule="auto"/>
    </w:pPr>
  </w:style>
  <w:style w:type="paragraph" w:styleId="898" w:customStyle="1">
    <w:name w:val="正文121"/>
    <w:next w:val="899"/>
    <w:uiPriority w:val="0"/>
    <w:qFormat/>
    <w:rPr>
      <w:rFonts w:hint="default" w:ascii="Times New Roman" w:hAnsi="Times New Roman" w:eastAsia="宋体" w:cs="Times New Roman"/>
    </w:rPr>
  </w:style>
  <w:style w:type="paragraph" w:styleId="899" w:customStyle="1">
    <w:name w:val="BlockQuote1"/>
    <w:basedOn w:val="898"/>
    <w:uiPriority w:val="0"/>
    <w:qFormat/>
    <w:pPr>
      <w:ind w:left="256" w:right="6" w:firstLine="624"/>
    </w:pPr>
    <w:rPr>
      <w:rFonts w:eastAsia="仿宋_GB2312"/>
      <w:sz w:val="28"/>
    </w:rPr>
  </w:style>
  <w:style w:type="paragraph" w:styleId="900" w:customStyle="1">
    <w:name w:val="正文文本1"/>
    <w:basedOn w:val="890"/>
    <w:next w:val="901"/>
    <w:uiPriority w:val="0"/>
    <w:qFormat/>
    <w:pPr>
      <w:spacing w:after="120"/>
    </w:pPr>
    <w:rPr>
      <w:lang w:eastAsia="en-US"/>
    </w:rPr>
  </w:style>
  <w:style w:type="paragraph" w:styleId="901" w:customStyle="1">
    <w:name w:val="正文111"/>
    <w:next w:val="9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首行缩进"/>
    <w:basedOn w:val="883"/>
    <w:next w:val="890"/>
    <w:uiPriority w:val="0"/>
    <w:qFormat/>
    <w:pPr>
      <w:ind w:firstLine="480"/>
      <w:spacing w:line="360" w:lineRule="auto"/>
    </w:pPr>
    <w:rPr>
      <w:rFonts w:ascii="宋体" w:hAnsi="宋体"/>
      <w:sz w:val="24"/>
    </w:rPr>
  </w:style>
  <w:style w:type="paragraph" w:styleId="903" w:customStyle="1">
    <w:name w:val="文本块1"/>
    <w:basedOn w:val="890"/>
    <w:uiPriority w:val="0"/>
    <w:qFormat/>
    <w:pPr>
      <w:ind w:left="420" w:right="33"/>
      <w:jc w:val="left"/>
    </w:pPr>
    <w:rPr>
      <w:sz w:val="24"/>
      <w:szCs w:val="20"/>
    </w:rPr>
  </w:style>
  <w:style w:type="paragraph" w:styleId="904" w:customStyle="1">
    <w:name w:val="正文首行缩进12"/>
    <w:basedOn w:val="879"/>
    <w:next w:val="905"/>
    <w:uiPriority w:val="0"/>
    <w:qFormat/>
    <w:pPr>
      <w:ind w:firstLine="420"/>
    </w:pPr>
  </w:style>
  <w:style w:type="paragraph" w:styleId="905" w:customStyle="1">
    <w:name w:val="正文首行缩进 2111"/>
    <w:basedOn w:val="880"/>
    <w:next w:val="684"/>
    <w:uiPriority w:val="0"/>
    <w:qFormat/>
    <w:pPr>
      <w:ind w:firstLine="420"/>
      <w:spacing w:line="360" w:lineRule="auto"/>
    </w:pPr>
    <w:rPr>
      <w:color w:val="000000"/>
      <w:sz w:val="20"/>
    </w:rPr>
  </w:style>
  <w:style w:type="table" w:styleId="906" w:customStyle="1">
    <w:name w:val="网格型1"/>
    <w:basedOn w:val="874"/>
    <w:uiPriority w:val="39"/>
    <w:qFormat/>
    <w:tblPr/>
  </w:style>
  <w:style w:type="character" w:styleId="907" w:customStyle="1">
    <w:name w:val="页码1"/>
    <w:basedOn w:val="873"/>
    <w:link w:val="684"/>
    <w:uiPriority w:val="0"/>
    <w:qFormat/>
  </w:style>
  <w:style w:type="character" w:styleId="908" w:customStyle="1">
    <w:name w:val="超链接1"/>
    <w:basedOn w:val="873"/>
    <w:link w:val="684"/>
    <w:uiPriority w:val="99"/>
    <w:unhideWhenUsed/>
    <w:qFormat/>
    <w:rPr>
      <w:color w:val="0000ff"/>
      <w:u w:val="none"/>
    </w:rPr>
  </w:style>
  <w:style w:type="character" w:styleId="909" w:customStyle="1">
    <w:name w:val="NormalCharacter1"/>
    <w:link w:val="684"/>
    <w:uiPriority w:val="0"/>
    <w:semiHidden/>
    <w:qFormat/>
    <w:rPr>
      <w:sz w:val="28"/>
      <w:lang w:val="en-US" w:eastAsia="zh-CN" w:bidi="ar-SA"/>
    </w:rPr>
  </w:style>
  <w:style w:type="paragraph" w:styleId="910" w:customStyle="1">
    <w:name w:val="标题 21"/>
    <w:basedOn w:val="890"/>
    <w:next w:val="877"/>
    <w:uiPriority w:val="0"/>
    <w:qFormat/>
    <w:pPr>
      <w:jc w:val="left"/>
      <w:keepLines/>
      <w:keepNext/>
      <w:spacing w:before="50"/>
      <w:tabs>
        <w:tab w:val="left" w:pos="0" w:leader="none"/>
      </w:tabs>
    </w:pPr>
    <w:rPr>
      <w:rFonts w:ascii="Arial" w:hAnsi="Arial" w:eastAsia="黑体"/>
      <w:sz w:val="32"/>
      <w:szCs w:val="20"/>
    </w:rPr>
  </w:style>
  <w:style w:type="paragraph" w:styleId="911" w:customStyle="1">
    <w:name w:val="页脚1"/>
    <w:basedOn w:val="912"/>
    <w:uiPriority w:val="0"/>
    <w:qFormat/>
    <w:pPr>
      <w:jc w:val="left"/>
      <w:tabs>
        <w:tab w:val="center" w:pos="4153" w:leader="none"/>
        <w:tab w:val="right" w:pos="8306" w:leader="none"/>
      </w:tabs>
    </w:pPr>
    <w:rPr>
      <w:sz w:val="18"/>
      <w:szCs w:val="18"/>
    </w:rPr>
  </w:style>
  <w:style w:type="paragraph" w:styleId="912" w:customStyle="1">
    <w:name w:val="正文113"/>
    <w:next w:val="913"/>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13" w:customStyle="1">
    <w:name w:val="BodyText1I21"/>
    <w:basedOn w:val="914"/>
    <w:uiPriority w:val="0"/>
    <w:qFormat/>
    <w:pPr>
      <w:ind w:firstLine="420"/>
      <w:spacing w:line="240" w:lineRule="auto"/>
    </w:pPr>
    <w:rPr>
      <w:sz w:val="21"/>
    </w:rPr>
  </w:style>
  <w:style w:type="paragraph" w:styleId="914" w:customStyle="1">
    <w:name w:val="BodyTextIndent1"/>
    <w:basedOn w:val="912"/>
    <w:next w:val="915"/>
    <w:uiPriority w:val="0"/>
    <w:qFormat/>
    <w:pPr>
      <w:ind w:left="420" w:firstLine="200"/>
      <w:spacing w:after="120" w:line="360" w:lineRule="auto"/>
    </w:pPr>
    <w:rPr>
      <w:rFonts w:ascii="Verdana" w:hAnsi="Verdana"/>
      <w:sz w:val="24"/>
      <w:szCs w:val="28"/>
    </w:rPr>
  </w:style>
  <w:style w:type="paragraph" w:styleId="915" w:customStyle="1">
    <w:name w:val="EnvelopeReturn1"/>
    <w:basedOn w:val="684"/>
    <w:uiPriority w:val="0"/>
    <w:qFormat/>
    <w:pPr>
      <w:jc w:val="both"/>
    </w:pPr>
    <w:rPr>
      <w:rFonts w:ascii="Arial" w:hAnsi="Arial"/>
      <w:sz w:val="21"/>
      <w:szCs w:val="24"/>
      <w:lang w:val="en-US" w:eastAsia="zh-CN" w:bidi="ar-SA"/>
    </w:rPr>
  </w:style>
  <w:style w:type="paragraph" w:styleId="916" w:customStyle="1">
    <w:name w:val="一级条标题"/>
    <w:basedOn w:val="917"/>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basedOn w:val="892"/>
    <w:next w:val="8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8" w:customStyle="1">
    <w:name w:val="段"/>
    <w:basedOn w:val="890"/>
    <w:next w:val="890"/>
    <w:uiPriority w:val="0"/>
    <w:qFormat/>
    <w:pPr>
      <w:ind w:firstLine="200"/>
      <w:widowControl/>
    </w:pPr>
    <w:rPr>
      <w:sz w:val="20"/>
    </w:rPr>
  </w:style>
  <w:style w:type="paragraph" w:styleId="919" w:customStyle="1">
    <w:name w:val="正文文本缩进111"/>
    <w:basedOn w:val="898"/>
    <w:next w:val="920"/>
    <w:uiPriority w:val="0"/>
    <w:qFormat/>
    <w:pPr>
      <w:ind w:firstLine="538"/>
    </w:pPr>
    <w:rPr>
      <w:sz w:val="28"/>
    </w:rPr>
  </w:style>
  <w:style w:type="paragraph" w:styleId="920" w:customStyle="1">
    <w:name w:val="样式 正文文本缩进 + 首行缩进:  2 字符 行距: 1.5 倍行距"/>
    <w:basedOn w:val="921"/>
    <w:uiPriority w:val="0"/>
    <w:qFormat/>
    <w:pPr>
      <w:ind w:firstLine="645"/>
      <w:spacing w:before="156"/>
    </w:pPr>
    <w:rPr>
      <w:rFonts w:ascii="Calibri" w:hAnsi="Calibri"/>
      <w:sz w:val="28"/>
    </w:rPr>
  </w:style>
  <w:style w:type="paragraph" w:styleId="921" w:customStyle="1">
    <w:name w:val="正文文本缩进1"/>
    <w:basedOn w:val="883"/>
    <w:next w:val="922"/>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22" w:customStyle="1">
    <w:name w:val="寄信人地址1"/>
    <w:basedOn w:val="883"/>
    <w:uiPriority w:val="0"/>
    <w:qFormat/>
    <w:rPr>
      <w:rFonts w:ascii="Arial" w:hAnsi="Arial"/>
    </w:rPr>
  </w:style>
  <w:style w:type="paragraph" w:styleId="923" w:customStyle="1">
    <w:name w:val="正文首行缩进 21"/>
    <w:basedOn w:val="921"/>
    <w:next w:val="901"/>
    <w:uiPriority w:val="0"/>
    <w:qFormat/>
    <w:pPr>
      <w:ind w:firstLine="420"/>
    </w:pPr>
  </w:style>
  <w:style w:type="paragraph" w:styleId="924" w:customStyle="1">
    <w:name w:val="正文文本11"/>
    <w:basedOn w:val="877"/>
    <w:next w:val="901"/>
    <w:uiPriority w:val="0"/>
    <w:qFormat/>
    <w:pPr>
      <w:spacing w:after="120"/>
    </w:pPr>
  </w:style>
  <w:style w:type="paragraph" w:styleId="925" w:customStyle="1">
    <w:name w:val="标题 11"/>
    <w:basedOn w:val="926"/>
    <w:next w:val="926"/>
    <w:uiPriority w:val="0"/>
    <w:qFormat/>
    <w:pPr>
      <w:keepLines/>
      <w:keepNext/>
      <w:spacing w:before="340" w:after="330" w:line="578" w:lineRule="auto"/>
      <w:outlineLvl w:val="0"/>
    </w:pPr>
    <w:rPr>
      <w:b/>
      <w:bCs/>
      <w:sz w:val="44"/>
      <w:szCs w:val="44"/>
    </w:rPr>
  </w:style>
  <w:style w:type="paragraph" w:styleId="926" w:customStyle="1">
    <w:name w:val="正文13"/>
    <w:next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索引 411"/>
    <w:basedOn w:val="684"/>
    <w:next w:val="684"/>
    <w:uiPriority w:val="0"/>
    <w:qFormat/>
    <w:pPr>
      <w:ind w:left="1260"/>
    </w:pPr>
  </w:style>
  <w:style w:type="paragraph" w:styleId="928" w:customStyle="1">
    <w:name w:val="列出段落1"/>
    <w:basedOn w:val="684"/>
    <w:uiPriority w:val="34"/>
    <w:qFormat/>
    <w:pPr>
      <w:ind w:left="480"/>
      <w:jc w:val="left"/>
    </w:pPr>
    <w:rPr>
      <w:rFonts w:ascii="Calibri" w:hAnsi="Calibri" w:eastAsia="PMingLiU"/>
      <w:sz w:val="24"/>
      <w:szCs w:val="20"/>
      <w:lang w:eastAsia="zh-TW"/>
    </w:rPr>
  </w:style>
  <w:style w:type="paragraph" w:styleId="929" w:customStyle="1">
    <w:name w:val="索引 51"/>
    <w:basedOn w:val="890"/>
    <w:next w:val="890"/>
    <w:uiPriority w:val="0"/>
    <w:qFormat/>
    <w:pPr>
      <w:ind w:left="798"/>
    </w:pPr>
    <w:rPr>
      <w:rFonts w:ascii="Calibri" w:hAnsi="Calibri"/>
    </w:rPr>
  </w:style>
  <w:style w:type="paragraph" w:styleId="930" w:customStyle="1">
    <w:name w:val="正文首行缩进1"/>
    <w:basedOn w:val="924"/>
    <w:next w:val="923"/>
    <w:uiPriority w:val="0"/>
    <w:qFormat/>
    <w:pPr>
      <w:ind w:firstLine="420"/>
      <w:spacing w:after="120"/>
    </w:pPr>
    <w:rPr>
      <w:rFonts w:ascii="Times New Roman" w:eastAsia="宋体"/>
      <w:sz w:val="24"/>
      <w:szCs w:val="24"/>
    </w:rPr>
  </w:style>
  <w:style w:type="paragraph" w:styleId="931" w:customStyle="1">
    <w:name w:val="纯文本1"/>
    <w:basedOn w:val="877"/>
    <w:uiPriority w:val="0"/>
    <w:qFormat/>
    <w:rPr>
      <w:rFonts w:ascii="宋体" w:hAnsi="Courier New"/>
      <w:sz w:val="20"/>
      <w:szCs w:val="20"/>
    </w:rPr>
  </w:style>
  <w:style w:type="paragraph" w:styleId="932" w:customStyle="1">
    <w:name w:val="目录 111"/>
    <w:basedOn w:val="901"/>
    <w:next w:val="901"/>
    <w:uiPriority w:val="0"/>
    <w:qFormat/>
    <w:pPr>
      <w:jc w:val="left"/>
      <w:spacing w:after="100" w:line="259" w:lineRule="auto"/>
      <w:widowControl/>
    </w:pPr>
    <w:rPr>
      <w:rFonts w:ascii="Calibri" w:hAnsi="Calibri" w:eastAsia="宋体"/>
      <w:sz w:val="22"/>
      <w:szCs w:val="22"/>
    </w:rPr>
  </w:style>
  <w:style w:type="paragraph" w:styleId="933" w:customStyle="1">
    <w:name w:val="索引 41"/>
    <w:basedOn w:val="890"/>
    <w:next w:val="890"/>
    <w:uiPriority w:val="0"/>
    <w:qFormat/>
    <w:pPr>
      <w:ind w:left="600"/>
    </w:pPr>
    <w:rPr>
      <w:rFonts w:ascii="Calibri" w:hAnsi="Calibri"/>
      <w:sz w:val="22"/>
      <w:szCs w:val="22"/>
    </w:rPr>
  </w:style>
  <w:style w:type="paragraph" w:styleId="934" w:customStyle="1">
    <w:name w:val="脚注文本1"/>
    <w:basedOn w:val="883"/>
    <w:next w:val="929"/>
    <w:uiPriority w:val="0"/>
    <w:qFormat/>
    <w:rPr>
      <w:rFonts w:eastAsia="Times New Roman"/>
      <w:sz w:val="18"/>
      <w:szCs w:val="18"/>
    </w:rPr>
  </w:style>
  <w:style w:type="paragraph" w:styleId="935">
    <w:name w:val="List Paragraph"/>
    <w:basedOn w:val="684"/>
    <w:uiPriority w:val="34"/>
    <w:qFormat/>
    <w:pPr>
      <w:ind w:firstLine="420"/>
    </w:pPr>
  </w:style>
  <w:style w:type="paragraph" w:styleId="936" w:customStyle="1">
    <w:name w:val="纯文本11"/>
    <w:basedOn w:val="892"/>
    <w:uiPriority w:val="0"/>
    <w:qFormat/>
    <w:rPr>
      <w:rFonts w:ascii="宋体" w:hAnsi="Courier New"/>
      <w:sz w:val="20"/>
      <w:szCs w:val="20"/>
    </w:rPr>
  </w:style>
  <w:style w:type="paragraph" w:styleId="937" w:customStyle="1">
    <w:name w:val="目录 12"/>
    <w:basedOn w:val="926"/>
    <w:next w:val="926"/>
    <w:uiPriority w:val="0"/>
    <w:qFormat/>
    <w:rPr>
      <w:sz w:val="20"/>
      <w:szCs w:val="20"/>
    </w:rPr>
  </w:style>
  <w:style w:type="paragraph" w:styleId="938" w:customStyle="1">
    <w:name w:val="页眉1"/>
    <w:basedOn w:val="926"/>
    <w:uiPriority w:val="0"/>
    <w:qFormat/>
    <w:pPr>
      <w:jc w:val="center"/>
      <w:tabs>
        <w:tab w:val="center" w:pos="4153" w:leader="none"/>
        <w:tab w:val="right" w:pos="8306" w:leader="none"/>
      </w:tabs>
      <w:pBdr>
        <w:bottom w:val="single" w:color="000000" w:sz="6" w:space="1"/>
      </w:pBdr>
    </w:pPr>
    <w:rPr>
      <w:sz w:val="18"/>
      <w:szCs w:val="18"/>
    </w:rPr>
  </w:style>
  <w:style w:type="paragraph" w:styleId="939" w:customStyle="1">
    <w:name w:val="标题 41"/>
    <w:basedOn w:val="877"/>
    <w:next w:val="890"/>
    <w:uiPriority w:val="0"/>
    <w:qFormat/>
    <w:pPr>
      <w:ind w:left="864" w:hanging="864"/>
      <w:keepLines/>
      <w:keepNext/>
      <w:spacing w:before="280" w:after="290" w:line="376" w:lineRule="auto"/>
      <w:outlineLvl w:val="3"/>
    </w:pPr>
    <w:rPr>
      <w:rFonts w:ascii="Cambria" w:hAnsi="Cambria"/>
      <w:b/>
      <w:bCs/>
      <w:sz w:val="28"/>
      <w:szCs w:val="28"/>
    </w:rPr>
  </w:style>
  <w:style w:type="paragraph" w:styleId="940" w:customStyle="1">
    <w:name w:val="表格文字"/>
    <w:basedOn w:val="883"/>
    <w:next w:val="701"/>
    <w:uiPriority w:val="0"/>
    <w:qFormat/>
    <w:pPr>
      <w:jc w:val="left"/>
    </w:pPr>
    <w:rPr>
      <w:bCs/>
      <w:spacing w:val="10"/>
      <w:sz w:val="20"/>
      <w:szCs w:val="20"/>
    </w:rPr>
  </w:style>
  <w:style w:type="table" w:styleId="941" w:customStyle="1">
    <w:name w:val="网格型11"/>
    <w:basedOn w:val="942"/>
    <w:uiPriority w:val="59"/>
    <w:qFormat/>
    <w:tblPr/>
  </w:style>
  <w:style w:type="table" w:styleId="942" w:customStyle="1">
    <w:name w:val="普通表格1"/>
    <w:uiPriority w:val="99"/>
    <w:unhideWhenUsed/>
    <w:qFormat/>
    <w:tblPr/>
  </w:style>
  <w:style w:type="paragraph" w:styleId="943" w:customStyle="1">
    <w:name w:val="_HT_正文"/>
    <w:basedOn w:val="684"/>
    <w:uiPriority w:val="0"/>
    <w:qFormat/>
    <w:pPr>
      <w:ind w:firstLine="200"/>
      <w:jc w:val="both"/>
      <w:spacing w:line="360" w:lineRule="auto"/>
    </w:pPr>
    <w:rPr>
      <w:sz w:val="24"/>
    </w:rPr>
  </w:style>
  <w:style w:type="paragraph" w:styleId="944" w:customStyle="1">
    <w:name w:val="列出段落2"/>
    <w:basedOn w:val="883"/>
    <w:uiPriority w:val="0"/>
    <w:qFormat/>
    <w:pPr>
      <w:ind w:firstLine="420"/>
    </w:pPr>
    <w:rPr>
      <w:rFonts w:ascii="Arial" w:hAnsi="Arial"/>
      <w:color w:val="000000"/>
      <w:sz w:val="28"/>
      <w:szCs w:val="10"/>
    </w:rPr>
  </w:style>
  <w:style w:type="character" w:styleId="945" w:customStyle="1">
    <w:name w:val="font51"/>
    <w:basedOn w:val="694"/>
    <w:uiPriority w:val="0"/>
    <w:qFormat/>
    <w:rPr>
      <w:rFonts w:hint="eastAsia" w:ascii="宋体" w:hAnsi="宋体" w:eastAsia="宋体" w:cs="宋体"/>
      <w:color w:val="000000"/>
      <w:sz w:val="20"/>
      <w:szCs w:val="20"/>
      <w:u w:val="none"/>
    </w:rPr>
  </w:style>
  <w:style w:type="character" w:styleId="946" w:customStyle="1">
    <w:name w:val="font41"/>
    <w:basedOn w:val="694"/>
    <w:uiPriority w:val="0"/>
    <w:qFormat/>
    <w:rPr>
      <w:rFonts w:hint="eastAsia" w:ascii="宋体" w:hAnsi="宋体" w:eastAsia="宋体" w:cs="宋体"/>
      <w:color w:val="000000"/>
      <w:sz w:val="21"/>
      <w:szCs w:val="21"/>
      <w:u w:val="none"/>
    </w:rPr>
  </w:style>
  <w:style w:type="character" w:styleId="947" w:customStyle="1">
    <w:name w:val="font01"/>
    <w:basedOn w:val="694"/>
    <w:uiPriority w:val="0"/>
    <w:qFormat/>
    <w:rPr>
      <w:rFonts w:hint="eastAsia" w:ascii="宋体" w:hAnsi="宋体" w:eastAsia="宋体" w:cs="宋体"/>
      <w:color w:val="000000"/>
      <w:sz w:val="24"/>
      <w:szCs w:val="24"/>
      <w:u w:val="none"/>
    </w:rPr>
  </w:style>
  <w:style w:type="character" w:styleId="948" w:customStyle="1">
    <w:name w:val="font31"/>
    <w:basedOn w:val="694"/>
    <w:uiPriority w:val="0"/>
    <w:qFormat/>
    <w:rPr>
      <w:rFonts w:hint="default" w:ascii="Times New Roman" w:hAnsi="Times New Roman" w:cs="Times New Roman"/>
      <w:color w:val="000000"/>
      <w:sz w:val="21"/>
      <w:szCs w:val="21"/>
      <w:u w:val="none"/>
    </w:rPr>
  </w:style>
  <w:style w:type="character" w:styleId="949" w:customStyle="1">
    <w:name w:val="16"/>
    <w:basedOn w:val="694"/>
    <w:uiPriority w:val="0"/>
    <w:qFormat/>
    <w:rPr>
      <w:rFonts w:hint="default" w:ascii="Times New Roman" w:hAnsi="Times New Roman" w:cs="Times New Roman"/>
    </w:rPr>
  </w:style>
  <w:style w:type="table" w:styleId="950" w:customStyle="1">
    <w:name w:val="Table Normal"/>
    <w:uiPriority w:val="0"/>
    <w:unhideWhenUsed/>
    <w:qFormat/>
    <w:tblPr>
      <w:tblCellMar>
        <w:left w:w="0" w:type="dxa"/>
        <w:top w:w="0" w:type="dxa"/>
        <w:right w:w="0" w:type="dxa"/>
        <w:bottom w:w="0" w:type="dxa"/>
      </w:tblCellMar>
    </w:tbl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程柱</cp:lastModifiedBy>
  <cp:revision>7</cp:revision>
  <dcterms:created xsi:type="dcterms:W3CDTF">2014-10-29T12:08:00Z</dcterms:created>
  <dcterms:modified xsi:type="dcterms:W3CDTF">2024-07-22T07:47:56Z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07A1AC7BE94341A68208D589C88E219D_12</vt:lpwstr>
  </property>
</Properties>
</file>