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spacing w:before="120" w:beforeAutospacing="0" w:after="120" w:afterAutospacing="0" w:line="360" w:lineRule="auto"/>
        <w:rPr>
          <w:highlight w:val="none"/>
        </w:rPr>
      </w:pPr>
      <w:r>
        <w:rPr>
          <w:highlight w:val="none"/>
        </w:rPr>
        <w:t xml:space="preserve"> </w:t>
      </w:r>
      <w:r/>
    </w:p>
    <w:p>
      <w:pPr>
        <w:pStyle w:val="693"/>
        <w:jc w:val="center"/>
        <w:keepLines w:val="0"/>
        <w:keepNext w:val="0"/>
        <w:pageBreakBefore w:val="0"/>
        <w:spacing w:before="1801" w:beforeAutospacing="0" w:afterAutospacing="0" w:line="360" w:lineRule="auto"/>
        <w:widowControl w:val="off"/>
        <w:rPr>
          <w:highlight w:val="none"/>
        </w:rPr>
      </w:pPr>
      <w:r>
        <w:rPr>
          <w:rFonts w:ascii="Arial" w:hAnsi="Arial" w:cs="Arial"/>
          <w:b/>
          <w:color w:val="000000"/>
          <w:sz w:val="84"/>
          <w:szCs w:val="84"/>
          <w:highlight w:val="none"/>
        </w:rPr>
        <w:t xml:space="preserve">招 标 文 件</w:t>
      </w:r>
      <w:r/>
    </w:p>
    <w:p>
      <w:pPr>
        <w:pStyle w:val="693"/>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3"/>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t xml:space="preserve">                    </w:t>
      </w:r>
      <w:r/>
    </w:p>
    <w:p>
      <w:pPr>
        <w:pStyle w:val="693"/>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3"/>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3"/>
        <w:jc w:val="center"/>
        <w:keepLines w:val="0"/>
        <w:keepNext w:val="0"/>
        <w:pageBreakBefore w:val="0"/>
        <w:spacing w:beforeAutospacing="0" w:afterAutospacing="0" w:line="360" w:lineRule="auto"/>
        <w:widowControl w:val="off"/>
        <w:rPr>
          <w:rFonts w:hint="eastAsia" w:eastAsiaTheme="minorEastAsia"/>
          <w:highlight w:val="none"/>
          <w:lang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江苏省东台中学音乐美术课程基地</w:t>
      </w:r>
      <w:r/>
    </w:p>
    <w:p>
      <w:pPr>
        <w:pStyle w:val="693"/>
        <w:jc w:val="center"/>
        <w:keepLines w:val="0"/>
        <w:keepNext w:val="0"/>
        <w:pageBreakBefore w:val="0"/>
        <w:spacing w:beforeAutospacing="0" w:afterAutospacing="0" w:line="360" w:lineRule="auto"/>
        <w:widowControl w:val="off"/>
        <w:rPr>
          <w:rFonts w:hint="default" w:eastAsiaTheme="minorEastAsia"/>
          <w:highlight w:val="none"/>
          <w:lang w:val="en-US" w:eastAsia="zh-CN"/>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rPr>
        <w:t xml:space="preserve">JSZC-320981-YCCZ-G2025-0018</w:t>
      </w:r>
      <w:r/>
    </w:p>
    <w:p>
      <w:pPr>
        <w:pStyle w:val="693"/>
        <w:spacing w:beforeAutospacing="0" w:afterAutospacing="0" w:line="360" w:lineRule="auto"/>
        <w:rPr>
          <w:highlight w:val="none"/>
        </w:rPr>
      </w:pPr>
      <w:r>
        <w:rPr>
          <w:highlight w:val="none"/>
        </w:rPr>
        <w:t xml:space="preserve"> </w:t>
      </w:r>
      <w:r/>
    </w:p>
    <w:p>
      <w:pPr>
        <w:pStyle w:val="693"/>
        <w:spacing w:beforeAutospacing="0" w:afterAutospacing="0" w:line="360" w:lineRule="auto"/>
        <w:rPr>
          <w:highlight w:val="none"/>
        </w:rPr>
      </w:pPr>
      <w:r>
        <w:rPr>
          <w:highlight w:val="none"/>
        </w:rPr>
        <w:t xml:space="preserve"> </w:t>
      </w:r>
      <w:r/>
    </w:p>
    <w:p>
      <w:pPr>
        <w:pStyle w:val="693"/>
        <w:spacing w:beforeAutospacing="0" w:afterAutospacing="0" w:line="360" w:lineRule="auto"/>
        <w:rPr>
          <w:highlight w:val="none"/>
        </w:rPr>
      </w:pPr>
      <w:r>
        <w:rPr>
          <w:highlight w:val="none"/>
        </w:rPr>
        <w:t xml:space="preserve"> </w:t>
      </w:r>
      <w:r/>
    </w:p>
    <w:p>
      <w:pPr>
        <w:pStyle w:val="693"/>
        <w:spacing w:beforeAutospacing="0" w:afterAutospacing="0" w:line="360" w:lineRule="auto"/>
        <w:rPr>
          <w:highlight w:val="none"/>
        </w:rPr>
      </w:pPr>
      <w:r>
        <w:rPr>
          <w:highlight w:val="none"/>
        </w:rPr>
        <w:t xml:space="preserve"> </w:t>
      </w:r>
      <w:r/>
    </w:p>
    <w:p>
      <w:pPr>
        <w:pStyle w:val="693"/>
        <w:spacing w:beforeAutospacing="0" w:afterAutospacing="0" w:line="360" w:lineRule="auto"/>
        <w:rPr>
          <w:highlight w:val="none"/>
        </w:rPr>
      </w:pPr>
      <w:r>
        <w:rPr>
          <w:highlight w:val="none"/>
        </w:rPr>
      </w:r>
      <w:r/>
    </w:p>
    <w:p>
      <w:pPr>
        <w:pStyle w:val="693"/>
        <w:spacing w:beforeAutospacing="0" w:afterAutospacing="0" w:line="360" w:lineRule="auto"/>
        <w:rPr>
          <w:highlight w:val="none"/>
        </w:rPr>
      </w:pPr>
      <w:r>
        <w:rPr>
          <w:highlight w:val="none"/>
        </w:rPr>
        <w:t xml:space="preserve"> </w:t>
      </w:r>
      <w:r/>
    </w:p>
    <w:p>
      <w:pPr>
        <w:pStyle w:val="693"/>
        <w:spacing w:beforeAutospacing="0" w:afterAutospacing="0" w:line="360" w:lineRule="auto"/>
        <w:rPr>
          <w:highlight w:val="none"/>
        </w:rPr>
      </w:pPr>
      <w:r>
        <w:rPr>
          <w:highlight w:val="none"/>
        </w:rPr>
        <w:t xml:space="preserve"> </w:t>
      </w:r>
      <w:bookmarkStart w:id="196" w:name="_GoBack"/>
      <w:r/>
      <w:bookmarkEnd w:id="196"/>
      <w:r/>
      <w:r/>
    </w:p>
    <w:p>
      <w:pPr>
        <w:pStyle w:val="693"/>
        <w:spacing w:beforeAutospacing="0" w:afterAutospacing="0" w:line="360" w:lineRule="auto"/>
        <w:rPr>
          <w:highlight w:val="none"/>
        </w:rPr>
      </w:pPr>
      <w:r>
        <w:rPr>
          <w:highlight w:val="none"/>
        </w:rPr>
        <w:t xml:space="preserve"> </w:t>
      </w:r>
      <w:r/>
    </w:p>
    <w:p>
      <w:pPr>
        <w:pStyle w:val="693"/>
        <w:jc w:val="center"/>
        <w:spacing w:before="120" w:beforeAutospacing="0" w:after="120" w:afterAutospacing="0" w:line="360" w:lineRule="auto"/>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江苏省东台中学</w:t>
      </w:r>
      <w:r/>
    </w:p>
    <w:p>
      <w:pPr>
        <w:pStyle w:val="693"/>
        <w:jc w:val="center"/>
        <w:spacing w:before="120" w:beforeAutospacing="0" w:after="120" w:afterAutospacing="0" w:line="360" w:lineRule="auto"/>
        <w:rPr>
          <w:rFonts w:hint="default" w:eastAsiaTheme="minorEastAsia"/>
          <w:highlight w:val="none"/>
          <w:lang w:val="en-US" w:eastAsia="zh-CN"/>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9</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5日</w:t>
      </w:r>
      <w:r/>
    </w:p>
    <w:p>
      <w:pPr>
        <w:pStyle w:val="693"/>
        <w:spacing w:before="120" w:beforeAutospacing="0" w:after="120" w:afterAutospacing="0" w:line="360" w:lineRule="auto"/>
        <w:rPr>
          <w:highlight w:val="none"/>
        </w:rPr>
      </w:pPr>
      <w:r>
        <w:rPr>
          <w:rFonts w:ascii="Arial" w:hAnsi="Arial" w:cs="Arial"/>
          <w:color w:val="000000"/>
          <w:highlight w:val="none"/>
        </w:rPr>
        <w:t xml:space="preserve">                        </w:t>
      </w:r>
      <w:r/>
    </w:p>
    <w:p>
      <w:pPr>
        <w:pStyle w:val="693"/>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23127445"/>
      <w:r/>
      <w:bookmarkStart w:id="1" w:name="_Toc20823272"/>
      <w:r/>
      <w:bookmarkStart w:id="2" w:name="_Toc479757206"/>
      <w:r/>
      <w:bookmarkStart w:id="3" w:name="_Toc16938516"/>
      <w:r/>
      <w:bookmarkStart w:id="4" w:name="_Toc513029200"/>
      <w:r/>
      <w:bookmarkStart w:id="5" w:name="_Toc120614210"/>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93"/>
        <w:jc w:val="both"/>
        <w:spacing w:beforeAutospacing="0" w:afterAutospacing="0" w:line="480" w:lineRule="auto"/>
        <w:rPr>
          <w:highlight w:val="none"/>
        </w:rPr>
      </w:pPr>
      <w:r>
        <w:rPr>
          <w:highlight w:val="none"/>
        </w:rPr>
        <w:t xml:space="preserve"> </w:t>
      </w:r>
      <w:r/>
    </w:p>
    <w:p>
      <w:pPr>
        <w:pStyle w:val="69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9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9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69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9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9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center"/>
        <w:keepLines w:val="0"/>
        <w:keepNext w:val="0"/>
        <w:pageBreakBefore w:val="0"/>
        <w:spacing w:beforeAutospacing="0" w:after="181" w:afterAutospacing="0"/>
        <w:widowControl w:val="off"/>
        <w:rPr>
          <w:rFonts w:hint="default"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93"/>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93"/>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江苏省东台中学音乐美术课程基地</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2025</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28</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14</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93"/>
        <w:ind w:firstLine="482"/>
        <w:jc w:val="both"/>
        <w:keepLines/>
        <w:keepNext/>
        <w:pageBreakBefore w:val="0"/>
        <w:spacing w:beforeAutospacing="0" w:afterAutospacing="0" w:line="336" w:lineRule="auto"/>
        <w:widowControl w:val="off"/>
        <w:rPr>
          <w:rFonts w:hint="eastAsia" w:ascii="宋体" w:hAnsi="宋体" w:eastAsia="宋体" w:cs="宋体"/>
          <w:sz w:val="24"/>
          <w:szCs w:val="24"/>
          <w:highlight w:val="none"/>
        </w:rPr>
      </w:pPr>
      <w:r/>
      <w:bookmarkStart w:id="7" w:name="_Hlk24379207"/>
      <w:r/>
      <w:bookmarkStart w:id="8" w:name="_Toc28359002"/>
      <w:r/>
      <w:bookmarkStart w:id="9" w:name="_Toc35393621"/>
      <w:r/>
      <w:bookmarkStart w:id="10" w:name="_Toc35393790"/>
      <w:r/>
      <w:bookmarkStart w:id="11" w:name="_Toc38985263"/>
      <w:r/>
      <w:bookmarkStart w:id="12" w:name="_Toc28359079"/>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693"/>
        <w:ind w:firstLine="480"/>
        <w:jc w:val="both"/>
        <w:pageBreakBefore w:val="0"/>
        <w:spacing w:beforeAutospacing="0" w:afterAutospacing="0" w:line="336" w:lineRule="auto"/>
        <w:rPr>
          <w:rFonts w:hint="eastAsia" w:ascii="宋体" w:hAnsi="宋体" w:eastAsia="宋体" w:cs="宋体"/>
          <w:i w:val="0"/>
          <w:iCs w:val="0"/>
          <w:caps w:val="0"/>
          <w:color w:val="333333"/>
          <w:spacing w:val="0"/>
          <w:sz w:val="24"/>
          <w:szCs w:val="24"/>
          <w:highlight w:val="none"/>
          <w:shd w:val="clear" w:color="auto" w:fill="ffffff"/>
          <w:lang w:eastAsia="zh-CN"/>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eastAsia="宋体" w:cs="宋体"/>
          <w:color w:val="000000"/>
          <w:sz w:val="24"/>
          <w:szCs w:val="24"/>
          <w:highlight w:val="none"/>
          <w:shd w:val="clear" w:color="auto" w:fill="auto"/>
          <w:lang w:eastAsia="zh-CN"/>
        </w:rPr>
        <w:t xml:space="preserve">JSZC-320981-YCCZ-G2025-001</w:t>
      </w:r>
      <w:r>
        <w:rPr>
          <w:rFonts w:hint="eastAsia" w:ascii="宋体" w:hAnsi="宋体" w:eastAsia="宋体" w:cs="宋体"/>
          <w:color w:val="000000"/>
          <w:sz w:val="24"/>
          <w:szCs w:val="24"/>
          <w:highlight w:val="none"/>
          <w:shd w:val="clear" w:color="auto" w:fill="auto"/>
          <w:lang w:val="en-US" w:eastAsia="zh-CN"/>
        </w:rPr>
        <w:t xml:space="preserve">8</w:t>
      </w:r>
      <w:r/>
    </w:p>
    <w:p>
      <w:pPr>
        <w:pStyle w:val="693"/>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江苏省东台中学音乐美术课程基地</w:t>
      </w:r>
      <w:r/>
    </w:p>
    <w:p>
      <w:pPr>
        <w:pStyle w:val="693"/>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93"/>
        <w:ind w:firstLine="480"/>
        <w:jc w:val="both"/>
        <w:pageBreakBefore w:val="0"/>
        <w:spacing w:beforeAutospacing="0" w:afterAutospacing="0" w:line="336" w:lineRule="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180.00万元</w:t>
      </w:r>
      <w:r/>
    </w:p>
    <w:p>
      <w:pPr>
        <w:pStyle w:val="693"/>
        <w:ind w:firstLine="480"/>
        <w:jc w:val="both"/>
        <w:pageBreakBefore w:val="0"/>
        <w:spacing w:beforeAutospacing="0" w:afterAutospacing="0" w:line="336" w:lineRule="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172.80万元</w:t>
      </w:r>
      <w:r/>
    </w:p>
    <w:p>
      <w:pPr>
        <w:pStyle w:val="693"/>
        <w:ind w:firstLine="480"/>
        <w:jc w:val="both"/>
        <w:pageBreakBefore w:val="0"/>
        <w:spacing w:beforeAutospacing="0" w:afterAutospacing="0" w:line="336"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w:t>
      </w:r>
      <w:r>
        <w:rPr>
          <w:rFonts w:hint="eastAsia" w:ascii="宋体" w:hAnsi="宋体" w:eastAsia="宋体" w:cs="宋体"/>
          <w:color w:val="000000"/>
          <w:sz w:val="24"/>
          <w:szCs w:val="24"/>
          <w:highlight w:val="none"/>
          <w:shd w:val="clear" w:color="auto" w:fill="auto"/>
          <w:lang w:eastAsia="zh-CN"/>
        </w:rPr>
        <w:t xml:space="preserve">江苏省东台中学音乐美术课程基地，</w:t>
      </w:r>
      <w:r>
        <w:rPr>
          <w:rFonts w:hint="eastAsia" w:ascii="宋体" w:hAnsi="宋体" w:eastAsia="宋体" w:cs="宋体"/>
          <w:color w:val="000000"/>
          <w:sz w:val="24"/>
          <w:szCs w:val="24"/>
          <w:highlight w:val="none"/>
          <w:shd w:val="clear" w:color="auto" w:fill="auto"/>
        </w:rPr>
        <w:t xml:space="preserve">详</w:t>
      </w:r>
      <w:r>
        <w:rPr>
          <w:rFonts w:hint="eastAsia" w:ascii="宋体" w:hAnsi="宋体" w:eastAsia="宋体" w:cs="宋体"/>
          <w:color w:val="000000"/>
          <w:sz w:val="24"/>
          <w:szCs w:val="24"/>
          <w:highlight w:val="none"/>
        </w:rPr>
        <w:t xml:space="preserve">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eastAsia="zh-CN"/>
        </w:rPr>
        <w:t xml:space="preserve">。</w:t>
      </w:r>
      <w:r/>
    </w:p>
    <w:p>
      <w:pPr>
        <w:pStyle w:val="693"/>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合同签订后30日历天内完成</w:t>
      </w:r>
      <w:r>
        <w:rPr>
          <w:rFonts w:hint="eastAsia" w:ascii="宋体" w:hAnsi="宋体" w:eastAsia="宋体" w:cs="宋体"/>
          <w:color w:val="000000"/>
          <w:sz w:val="24"/>
          <w:szCs w:val="24"/>
          <w:highlight w:val="none"/>
          <w:lang w:val="en-US" w:eastAsia="zh-CN"/>
        </w:rPr>
        <w:t xml:space="preserve">全部设备的供货到场，安装、调试、验收合格后交付采购人使用。</w:t>
      </w:r>
      <w:r/>
    </w:p>
    <w:p>
      <w:pPr>
        <w:pStyle w:val="693"/>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ffff00"/>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本项目</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333333"/>
          <w:spacing w:val="0"/>
          <w:sz w:val="24"/>
          <w:szCs w:val="24"/>
          <w:highlight w:val="none"/>
          <w:shd w:val="clear" w:color="auto" w:fill="ffffff"/>
        </w:rPr>
        <w:t xml:space="preserve">接受联合体</w:t>
      </w:r>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lang w:val="en-US" w:eastAsia="zh-CN"/>
        </w:rPr>
        <w:t xml:space="preserve">招标。</w:t>
      </w:r>
      <w:r/>
    </w:p>
    <w:p>
      <w:pPr>
        <w:pStyle w:val="693"/>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bookmarkStart w:id="13" w:name="_Toc28359080"/>
      <w:r/>
      <w:bookmarkStart w:id="14" w:name="_Toc35393791"/>
      <w:r/>
      <w:bookmarkStart w:id="15" w:name="_Toc38985264"/>
      <w:r/>
      <w:bookmarkStart w:id="16" w:name="_Toc28359003"/>
      <w:r/>
      <w:bookmarkStart w:id="17" w:name="_Toc35393622"/>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693"/>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93"/>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93"/>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93"/>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93"/>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3"/>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93"/>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93"/>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3"/>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693"/>
        <w:ind w:firstLine="480"/>
        <w:jc w:val="both"/>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落实政府采购政策需满足的资格要求：无。</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default" w:ascii="宋体" w:hAnsi="宋体" w:eastAsia="宋体" w:cs="宋体"/>
          <w:i w:val="0"/>
          <w:iCs w:val="0"/>
          <w:caps w:val="0"/>
          <w:color w:val="333333"/>
          <w:spacing w:val="0"/>
          <w:sz w:val="24"/>
          <w:szCs w:val="24"/>
          <w:highlight w:val="none"/>
          <w:shd w:val="clear" w:color="auto" w:fill="auto"/>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无。</w:t>
      </w:r>
      <w:r/>
    </w:p>
    <w:p>
      <w:pPr>
        <w:pStyle w:val="693"/>
        <w:ind w:firstLine="482"/>
        <w:jc w:val="both"/>
        <w:keepLines/>
        <w:keepNext/>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8985266"/>
      <w:r/>
      <w:bookmarkStart w:id="19" w:name="_Toc35393624"/>
      <w:r/>
      <w:bookmarkStart w:id="20" w:name="_Toc28359082"/>
      <w:r/>
      <w:bookmarkStart w:id="21" w:name="_Toc35393793"/>
      <w:r/>
      <w:bookmarkStart w:id="22" w:name="_Toc28359005"/>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pageBreakBefore w:val="0"/>
        <w:spacing w:line="336"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pageBreakBefore w:val="0"/>
        <w:spacing w:line="336"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93"/>
        <w:ind w:firstLine="482"/>
        <w:jc w:val="both"/>
        <w:keepLines/>
        <w:keepNext/>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2025</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9</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28</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14时30分</w:t>
      </w:r>
      <w:r>
        <w:rPr>
          <w:rFonts w:hint="eastAsia" w:ascii="宋体" w:hAnsi="宋体" w:eastAsia="宋体" w:cs="宋体"/>
          <w:color w:val="000000"/>
          <w:sz w:val="24"/>
          <w:szCs w:val="24"/>
          <w:highlight w:val="none"/>
          <w:shd w:val="clear" w:color="auto" w:fill="auto"/>
        </w:rPr>
        <w:t xml:space="preserve">（北京时间）</w:t>
      </w:r>
      <w:r/>
    </w:p>
    <w:p>
      <w:pPr>
        <w:pStyle w:val="693"/>
        <w:ind w:firstLine="480"/>
        <w:jc w:val="both"/>
        <w:pageBreakBefore w:val="0"/>
        <w:spacing w:beforeAutospacing="0" w:afterAutospacing="0" w:line="336"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93"/>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bookmarkStart w:id="23" w:name="_Toc28359007"/>
      <w:r/>
      <w:bookmarkStart w:id="24" w:name="_Toc35393625"/>
      <w:r/>
      <w:bookmarkStart w:id="25" w:name="_Toc35393794"/>
      <w:r/>
      <w:bookmarkStart w:id="26" w:name="_Toc28359084"/>
      <w:r/>
      <w:bookmarkStart w:id="27" w:name="_Toc3898526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93"/>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63"/>
        <w:ind w:left="0" w:right="0" w:firstLine="480"/>
        <w:jc w:val="both"/>
        <w:keepLines w:val="0"/>
        <w:keepNext w:val="0"/>
        <w:pageBreakBefore w:val="0"/>
        <w:spacing w:before="0" w:beforeAutospacing="0" w:after="0" w:afterAutospacing="0" w:line="336"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称：江苏省东台中学  </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址：江苏省盐城市东台市城东新区东城大道1号  </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联系人：顾先生              </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联系方式：18205017362            </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称：盐城超卓工程咨询有限公司</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址：东台市北海西路3号聚龙双苑7幢</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联系人：邓女士                     </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18051703498       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项目联系人：顾先生</w:t>
      </w:r>
      <w:r/>
    </w:p>
    <w:p>
      <w:pPr>
        <w:pStyle w:val="693"/>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话：18205017362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
    </w:p>
    <w:p>
      <w:pPr>
        <w:pStyle w:val="693"/>
        <w:jc w:val="center"/>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20823274"/>
      <w:r/>
      <w:bookmarkStart w:id="37" w:name="_Toc513029202"/>
      <w:r/>
      <w:bookmarkStart w:id="38" w:name="_Toc120614213"/>
      <w:r/>
      <w:bookmarkStart w:id="39" w:name="_Toc16938518"/>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93"/>
        <w:ind w:firstLine="498"/>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0" w:name="_Toc513029203"/>
      <w:r/>
      <w:bookmarkStart w:id="41" w:name="_Toc20823275"/>
      <w:r/>
      <w:bookmarkStart w:id="42" w:name="_Toc16938519"/>
      <w:r/>
      <w:bookmarkStart w:id="43" w:name="_Toc120614214"/>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4" w:name="_Toc20823276"/>
      <w:r/>
      <w:bookmarkStart w:id="45" w:name="_Toc458694821"/>
      <w:r/>
      <w:bookmarkStart w:id="46" w:name="_Toc16938520"/>
      <w:r/>
      <w:bookmarkStart w:id="47" w:name="_Toc513029204"/>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9" w:name="_Toc513029205"/>
      <w:r/>
      <w:bookmarkStart w:id="50" w:name="_Toc20823277"/>
      <w:r/>
      <w:bookmarkStart w:id="51" w:name="_Toc16938521"/>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2" w:name="_Toc513029206"/>
      <w:r/>
      <w:bookmarkStart w:id="53" w:name="_Toc16938522"/>
      <w:r/>
      <w:bookmarkStart w:id="54" w:name="_Toc20823278"/>
      <w:r>
        <w:rPr>
          <w:rFonts w:hint="eastAsia" w:ascii="宋体" w:hAnsi="宋体" w:eastAsia="宋体" w:cs="宋体"/>
          <w:color w:val="000000"/>
          <w:sz w:val="24"/>
          <w:szCs w:val="24"/>
          <w:highlight w:val="none"/>
        </w:rPr>
        <w:t xml:space="preserve">3、适用法律</w:t>
      </w:r>
      <w:bookmarkEnd w:id="52"/>
      <w:r/>
      <w:bookmarkEnd w:id="53"/>
      <w:r/>
      <w:bookmarkEnd w:id="54"/>
      <w:r/>
      <w:r/>
    </w:p>
    <w:p>
      <w:pPr>
        <w:pStyle w:val="693"/>
        <w:ind w:firstLine="42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5" w:name="_Toc20823279"/>
      <w:r/>
      <w:bookmarkStart w:id="56" w:name="_Toc462564067"/>
      <w:r/>
      <w:bookmarkStart w:id="57" w:name="_Toc513029207"/>
      <w:r/>
      <w:bookmarkStart w:id="58" w:name="_Toc16938523"/>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p>
    <w:p>
      <w:pPr>
        <w:pStyle w:val="693"/>
        <w:ind w:firstLine="60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693"/>
        <w:ind w:firstLine="321"/>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9" w:name="_Toc120614215"/>
      <w:r/>
      <w:bookmarkStart w:id="60" w:name="_Toc513029209"/>
      <w:r/>
      <w:bookmarkStart w:id="61" w:name="_Toc16938525"/>
      <w:r/>
      <w:bookmarkStart w:id="62" w:name="_Toc20823281"/>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63" w:name="_Toc16938526"/>
      <w:r/>
      <w:bookmarkStart w:id="64" w:name="_Toc513029210"/>
      <w:r/>
      <w:bookmarkStart w:id="65" w:name="_Toc20823282"/>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93"/>
        <w:ind w:firstLine="360"/>
        <w:jc w:val="both"/>
        <w:pageBreakBefore w:val="0"/>
        <w:spacing w:beforeAutospacing="0" w:afterAutospacing="0"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93"/>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93"/>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93"/>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93"/>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93"/>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3"/>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66" w:name="_Toc513029211"/>
      <w:r/>
      <w:bookmarkStart w:id="67" w:name="_Toc16938527"/>
      <w:r/>
      <w:bookmarkStart w:id="68" w:name="_Toc20823283"/>
      <w:r/>
      <w:bookmarkStart w:id="69" w:name="_Toc462564070"/>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693"/>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0" w:name="_Toc462564071"/>
      <w:r/>
      <w:bookmarkStart w:id="71" w:name="_Toc20823284"/>
      <w:r/>
      <w:bookmarkStart w:id="72" w:name="_Toc16938528"/>
      <w:r/>
      <w:bookmarkStart w:id="73" w:name="_Toc513029212"/>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693"/>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4" w:name="_Toc120614216"/>
      <w:r/>
      <w:bookmarkStart w:id="75" w:name="_Toc513029213"/>
      <w:r/>
      <w:bookmarkStart w:id="76" w:name="_Toc16938529"/>
      <w:r/>
      <w:bookmarkStart w:id="77" w:name="_Toc20823285"/>
      <w:r/>
      <w:bookmarkStart w:id="78" w:name="_Toc462564072"/>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693"/>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9" w:name="_Toc20823286"/>
      <w:r/>
      <w:bookmarkStart w:id="80" w:name="_Toc513029214"/>
      <w:r/>
      <w:bookmarkStart w:id="81" w:name="_Toc462564073"/>
      <w:r/>
      <w:bookmarkStart w:id="82" w:name="_Toc16938530"/>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83" w:name="_Toc20823287"/>
      <w:r/>
      <w:bookmarkStart w:id="84" w:name="_Toc462564074"/>
      <w:r/>
      <w:bookmarkStart w:id="85" w:name="_Toc16938531"/>
      <w:r/>
      <w:bookmarkStart w:id="86" w:name="_Toc513029215"/>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87" w:name="_Toc49090507"/>
      <w:r/>
      <w:bookmarkStart w:id="88" w:name="_Toc49090508"/>
      <w:r/>
      <w:bookmarkStart w:id="89" w:name="_Toc49090509"/>
      <w:r/>
      <w:bookmarkStart w:id="90" w:name="_Toc14577354"/>
      <w:r/>
      <w:bookmarkStart w:id="91" w:name="_Toc513029219"/>
      <w:r/>
      <w:bookmarkStart w:id="92" w:name="_Toc513029216"/>
      <w:r/>
      <w:bookmarkStart w:id="93" w:name="_Toc14577355"/>
      <w:r/>
      <w:bookmarkStart w:id="94" w:name="_Toc14577357"/>
      <w:r/>
      <w:bookmarkStart w:id="95" w:name="_Hlt26668975"/>
      <w:r/>
      <w:bookmarkStart w:id="96" w:name="_Hlt26670360"/>
      <w:r/>
      <w:bookmarkStart w:id="97" w:name="_Hlt26954838"/>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93"/>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98" w:name="_Hlt26954848"/>
      <w:r/>
      <w:bookmarkStart w:id="99" w:name="_Hlt26954731"/>
      <w:r/>
      <w:bookmarkStart w:id="100" w:name="_Hlt26670486"/>
      <w:r/>
      <w:bookmarkStart w:id="101" w:name="_Hlt26670482"/>
      <w:r/>
      <w:bookmarkStart w:id="102" w:name="_Hlt26954846"/>
      <w:r>
        <w:rPr>
          <w:rFonts w:hint="eastAsia" w:ascii="宋体" w:hAnsi="宋体" w:eastAsia="宋体" w:cs="宋体"/>
          <w:color w:val="000000"/>
          <w:sz w:val="24"/>
          <w:szCs w:val="24"/>
          <w:highlight w:val="none"/>
        </w:rPr>
        <w:t xml:space="preserve">13、技术要求响应及偏离表、商务要求响应及偏离表</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投标人需根据招标文件要求提供所投标的的主要组成部分、功能设计、实现思路及关键技术等。</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3" w:name="_Toc14577359"/>
      <w:r/>
      <w:bookmarkStart w:id="104" w:name="_Toc49090510"/>
      <w:r>
        <w:rPr>
          <w:rFonts w:hint="eastAsia" w:ascii="宋体" w:hAnsi="宋体" w:eastAsia="宋体" w:cs="宋体"/>
          <w:color w:val="000000"/>
          <w:sz w:val="24"/>
          <w:szCs w:val="24"/>
          <w:highlight w:val="none"/>
        </w:rPr>
        <w:t xml:space="preserve">15、投标函和开标一览表</w:t>
      </w:r>
      <w:bookmarkEnd w:id="103"/>
      <w:r/>
      <w:bookmarkEnd w:id="104"/>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5" w:name="_Toc14577360"/>
      <w:r/>
      <w:bookmarkStart w:id="106" w:name="_Toc49090511"/>
      <w:r>
        <w:rPr>
          <w:rFonts w:hint="eastAsia" w:ascii="宋体" w:hAnsi="宋体" w:eastAsia="宋体" w:cs="宋体"/>
          <w:color w:val="000000"/>
          <w:sz w:val="24"/>
          <w:szCs w:val="24"/>
          <w:highlight w:val="none"/>
        </w:rPr>
        <w:t xml:space="preserve">16、投标有效期</w:t>
      </w:r>
      <w:bookmarkEnd w:id="105"/>
      <w:r/>
      <w:bookmarkEnd w:id="106"/>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93"/>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7" w:name="_Toc16938540"/>
      <w:r/>
      <w:bookmarkStart w:id="108" w:name="_Toc20823296"/>
      <w:r/>
      <w:bookmarkStart w:id="109" w:name="_Toc513029224"/>
      <w:r/>
      <w:bookmarkStart w:id="110" w:name="_Toc120614217"/>
      <w:r/>
      <w:bookmarkStart w:id="111" w:name="_Hlt26954739"/>
      <w:r/>
      <w:bookmarkStart w:id="112" w:name="_Hlt26954852"/>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13" w:name="_Toc462564084"/>
      <w:r/>
      <w:bookmarkStart w:id="114" w:name="_Toc20823297"/>
      <w:r/>
      <w:bookmarkStart w:id="115" w:name="_Toc16938541"/>
      <w:r/>
      <w:bookmarkStart w:id="116" w:name="_Toc513029225"/>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693"/>
        <w:ind w:left="52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693"/>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7" w:name="_Toc20823298"/>
      <w:r/>
      <w:bookmarkEnd w:id="117"/>
      <w:r/>
      <w:bookmarkStart w:id="118" w:name="_Toc16938542"/>
      <w:r/>
      <w:bookmarkEnd w:id="118"/>
      <w:r/>
      <w:bookmarkStart w:id="119" w:name="_Toc513029226"/>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0" w:name="_Toc20823299"/>
      <w:r/>
      <w:bookmarkStart w:id="121" w:name="_Toc16938543"/>
      <w:r/>
      <w:bookmarkStart w:id="122" w:name="_Toc513029227"/>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3" w:name="_Toc16938544"/>
      <w:r/>
      <w:bookmarkStart w:id="124" w:name="_Toc513029228"/>
      <w:r/>
      <w:bookmarkStart w:id="125" w:name="_Toc20823300"/>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693"/>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6" w:name="_Toc20823301"/>
      <w:r/>
      <w:bookmarkStart w:id="127" w:name="_Toc513029229"/>
      <w:r/>
      <w:bookmarkStart w:id="128" w:name="_Toc120614218"/>
      <w:r/>
      <w:bookmarkStart w:id="129" w:name="_Toc16938545"/>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0" w:name="_Toc16938546"/>
      <w:r/>
      <w:bookmarkStart w:id="131" w:name="_Toc513029230"/>
      <w:r/>
      <w:bookmarkStart w:id="132" w:name="_Toc20823302"/>
      <w:r>
        <w:rPr>
          <w:rFonts w:hint="eastAsia" w:ascii="宋体" w:hAnsi="宋体" w:eastAsia="宋体" w:cs="宋体"/>
          <w:color w:val="000000"/>
          <w:sz w:val="24"/>
          <w:szCs w:val="24"/>
          <w:highlight w:val="none"/>
        </w:rPr>
        <w:t xml:space="preserve">22、开标</w:t>
      </w:r>
      <w:bookmarkEnd w:id="130"/>
      <w:r/>
      <w:bookmarkEnd w:id="131"/>
      <w:r/>
      <w:bookmarkEnd w:id="132"/>
      <w:r/>
      <w:r/>
    </w:p>
    <w:p>
      <w:pPr>
        <w:pStyle w:val="693"/>
        <w:ind w:firstLine="36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3" w:name="_Toc20823303"/>
      <w:r/>
      <w:bookmarkStart w:id="134" w:name="_Toc513029231"/>
      <w:r/>
      <w:bookmarkStart w:id="135" w:name="_Toc16938547"/>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693"/>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693"/>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693"/>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均不得向投标人或与评标无关的其他人员透露。</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auto"/>
          <w:sz w:val="24"/>
          <w:szCs w:val="24"/>
          <w:highlight w:val="none"/>
          <w:shd w:val="clear" w:color="auto" w:fill="auto"/>
        </w:rPr>
        <w:t xml:space="preserve">办人在苏采云系统查询到中标结果公告后，再点击推送。招标文件定稿后该提醒删除）</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6" w:name="_Toc513029232"/>
      <w:r/>
      <w:bookmarkStart w:id="137" w:name="_Toc16938548"/>
      <w:r/>
      <w:bookmarkStart w:id="138" w:name="_Toc20823304"/>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39" w:name="_Toc513029233"/>
      <w:r/>
      <w:bookmarkStart w:id="140" w:name="_Toc16938549"/>
      <w:r/>
      <w:bookmarkStart w:id="141"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将不再告知未通过资格审查或符合性审查的原因。</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42" w:name="_Toc513029234"/>
      <w:r/>
      <w:bookmarkStart w:id="143" w:name="_Toc16938550"/>
      <w:r/>
      <w:bookmarkStart w:id="144" w:name="_Toc20823306"/>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3"/>
        <w:ind w:firstLine="42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693"/>
        <w:ind w:firstLine="42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r/>
    </w:p>
    <w:p>
      <w:pPr>
        <w:pStyle w:val="693"/>
        <w:ind w:firstLine="420"/>
        <w:jc w:val="both"/>
        <w:keepLines/>
        <w:keepNext/>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693"/>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bookmarkStart w:id="145" w:name="_Toc513029235"/>
      <w:r/>
      <w:bookmarkStart w:id="146" w:name="_Toc20823307"/>
      <w:r/>
      <w:bookmarkStart w:id="147" w:name="_Toc16938551"/>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693"/>
        <w:ind w:left="47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693"/>
        <w:ind w:left="47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693"/>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000000"/>
          <w:sz w:val="24"/>
          <w:szCs w:val="24"/>
          <w:highlight w:val="yellow"/>
        </w:rPr>
        <w:t xml:space="preserve">2</w:t>
      </w:r>
      <w:r>
        <w:rPr>
          <w:rFonts w:hint="eastAsia" w:ascii="宋体" w:hAnsi="宋体" w:eastAsia="宋体" w:cs="宋体"/>
          <w:color w:val="000000"/>
          <w:sz w:val="24"/>
          <w:szCs w:val="24"/>
          <w:highlight w:val="yellow"/>
          <w:lang w:val="en-US" w:eastAsia="zh-CN"/>
        </w:rPr>
        <w:t xml:space="preserve">7</w:t>
      </w:r>
      <w:r>
        <w:rPr>
          <w:rFonts w:hint="eastAsia" w:ascii="宋体" w:hAnsi="宋体" w:eastAsia="宋体" w:cs="宋体"/>
          <w:color w:val="000000"/>
          <w:sz w:val="24"/>
          <w:szCs w:val="24"/>
          <w:highlight w:val="yellow"/>
        </w:rPr>
        <w:t xml:space="preserve">.1.10</w:t>
      </w:r>
      <w:r>
        <w:rPr>
          <w:rFonts w:hint="eastAsia" w:ascii="宋体" w:hAnsi="宋体" w:eastAsia="宋体" w:cs="宋体"/>
          <w:color w:val="auto"/>
          <w:sz w:val="24"/>
          <w:szCs w:val="24"/>
          <w:highlight w:val="yellow"/>
        </w:rPr>
        <w:t xml:space="preserve">投标人不能证明其报价合理性的，评</w:t>
      </w:r>
      <w:r>
        <w:rPr>
          <w:rFonts w:hint="eastAsia" w:ascii="宋体" w:hAnsi="宋体" w:eastAsia="宋体" w:cs="宋体"/>
          <w:color w:val="auto"/>
          <w:sz w:val="24"/>
          <w:szCs w:val="24"/>
          <w:highlight w:val="yellow"/>
          <w:lang w:val="en-US" w:eastAsia="zh-CN"/>
        </w:rPr>
        <w:t xml:space="preserve">标</w:t>
      </w:r>
      <w:r>
        <w:rPr>
          <w:rFonts w:hint="eastAsia" w:ascii="宋体" w:hAnsi="宋体" w:eastAsia="宋体" w:cs="宋体"/>
          <w:color w:val="auto"/>
          <w:sz w:val="24"/>
          <w:szCs w:val="24"/>
          <w:highlight w:val="yellow"/>
        </w:rPr>
        <w:t xml:space="preserve">委员会应当将其作为无效投标处理。</w:t>
      </w:r>
      <w:r/>
    </w:p>
    <w:p>
      <w:pPr>
        <w:pStyle w:val="693"/>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（一）评审过程中出现下列情形之一的，评标委员会应当启动异常低价投标审查程序：</w:t>
      </w:r>
      <w:r/>
    </w:p>
    <w:p>
      <w:pPr>
        <w:pStyle w:val="693"/>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1.投标报价低于采购项目预算50%的，即投标报价&lt;采购项目预算×50%；</w:t>
      </w:r>
      <w:r/>
    </w:p>
    <w:p>
      <w:pPr>
        <w:pStyle w:val="693"/>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2.投标报价低于采购项目最高限价45%的，即投标报价&lt;采购项目最高限价×45%；</w:t>
      </w:r>
      <w:r/>
    </w:p>
    <w:p>
      <w:pPr>
        <w:pStyle w:val="693"/>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3.评标委员会认定的供应商报价过低、有可能影响产品质量或者不能诚信履约的其他情形。</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yellow"/>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693"/>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693"/>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93"/>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93"/>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93"/>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93"/>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693"/>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693"/>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49" w:name="_Toc20823310"/>
      <w:r/>
      <w:bookmarkStart w:id="150" w:name="_Toc16938554"/>
      <w:r/>
      <w:bookmarkStart w:id="151" w:name="_Toc513029238"/>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28.4.2向采购人行贿或者提供其他不正当利益的。</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 有下列情形之一的，视为投标人串通投标，投标无效：</w:t>
      </w:r>
      <w:bookmarkEnd w:id="152"/>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693"/>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或采购人提出质疑。上述应知其权益受到损害之日，是指：</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采购人只接收以纸质原件形式送达的质疑,采购人不接受未填写快递运单的快件。质疑接收部门</w:t>
      </w:r>
      <w:r>
        <w:rPr>
          <w:rFonts w:hint="eastAsia" w:ascii="宋体" w:hAnsi="宋体" w:eastAsia="宋体" w:cs="宋体"/>
          <w:color w:val="auto"/>
          <w:sz w:val="24"/>
          <w:szCs w:val="24"/>
          <w:highlight w:val="none"/>
          <w:lang w:val="en-US" w:eastAsia="zh-CN"/>
        </w:rPr>
        <w:t xml:space="preserve">详见招标公告采购人信息</w:t>
      </w:r>
      <w:r>
        <w:rPr>
          <w:rFonts w:hint="eastAsia" w:ascii="宋体" w:hAnsi="宋体" w:eastAsia="宋体" w:cs="宋体"/>
          <w:color w:val="auto"/>
          <w:sz w:val="24"/>
          <w:szCs w:val="24"/>
          <w:highlight w:val="none"/>
        </w:rPr>
        <w:t xml:space="preserve">。</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693"/>
        <w:ind w:firstLine="468"/>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93"/>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693"/>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693"/>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3"/>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53" w:name="_Toc20823308"/>
      <w:r/>
      <w:bookmarkStart w:id="154" w:name="_Toc16938552"/>
      <w:r/>
      <w:bookmarkStart w:id="155" w:name="_Toc513029236"/>
      <w:r/>
      <w:bookmarkStart w:id="156" w:name="_Toc120614220"/>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693"/>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57" w:name="_Toc513029237"/>
      <w:r/>
      <w:bookmarkStart w:id="158" w:name="_Toc20823309"/>
      <w:r/>
      <w:bookmarkStart w:id="159" w:name="_Toc16938553"/>
      <w:r>
        <w:rPr>
          <w:rFonts w:hint="eastAsia" w:ascii="宋体" w:hAnsi="宋体" w:eastAsia="宋体" w:cs="宋体"/>
          <w:color w:val="000000"/>
          <w:sz w:val="24"/>
          <w:szCs w:val="24"/>
          <w:highlight w:val="none"/>
        </w:rPr>
        <w:t xml:space="preserve">31. 签订合同</w:t>
      </w:r>
      <w:bookmarkEnd w:id="157"/>
      <w:r/>
      <w:bookmarkEnd w:id="158"/>
      <w:r/>
      <w:bookmarkEnd w:id="159"/>
      <w:r/>
      <w:r/>
    </w:p>
    <w:p>
      <w:pPr>
        <w:pStyle w:val="693"/>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693"/>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693"/>
        <w:ind w:firstLine="600"/>
        <w:jc w:val="both"/>
        <w:pageBreakBefore w:val="0"/>
        <w:spacing w:beforeAutospacing="0" w:afterAutospacing="0" w:line="288"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693"/>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693"/>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3"/>
        <w:numPr>
          <w:ilvl w:val="0"/>
          <w:numId w:val="0"/>
        </w:numPr>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93"/>
        <w:ind w:firstLine="480"/>
        <w:jc w:val="both"/>
        <w:keepLines/>
        <w:keepNext/>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93"/>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line="288"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854"/>
        <w:ind w:left="0" w:firstLine="560"/>
        <w:pageBreakBefore w:val="0"/>
        <w:spacing w:after="0"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854"/>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9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9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spacing w:line="360" w:lineRule="auto"/>
        <w:widowControl/>
        <w:rPr>
          <w:sz w:val="36"/>
          <w:szCs w:val="44"/>
          <w:highlight w:val="none"/>
        </w:rPr>
      </w:pPr>
      <w:r>
        <w:rPr>
          <w:sz w:val="36"/>
          <w:szCs w:val="44"/>
          <w:highlight w:val="none"/>
        </w:rPr>
      </w:r>
      <w:r/>
    </w:p>
    <w:p>
      <w:pPr>
        <w:jc w:val="center"/>
        <w:spacing w:line="360" w:lineRule="auto"/>
        <w:widowControl/>
        <w:rPr>
          <w:sz w:val="36"/>
          <w:szCs w:val="44"/>
          <w:highlight w:val="none"/>
        </w:rPr>
      </w:pPr>
      <w:r>
        <w:rPr>
          <w:sz w:val="36"/>
          <w:szCs w:val="44"/>
          <w:highlight w:val="none"/>
        </w:rPr>
      </w:r>
      <w:r/>
    </w:p>
    <w:p>
      <w:pPr>
        <w:jc w:val="center"/>
        <w:spacing w:line="360" w:lineRule="auto"/>
        <w:widowControl/>
        <w:rPr>
          <w:sz w:val="36"/>
          <w:szCs w:val="44"/>
          <w:highlight w:val="none"/>
        </w:rPr>
      </w:pPr>
      <w:r>
        <w:rPr>
          <w:sz w:val="36"/>
          <w:szCs w:val="44"/>
          <w:highlight w:val="none"/>
        </w:rPr>
      </w:r>
      <w:r/>
    </w:p>
    <w:p>
      <w:pPr>
        <w:jc w:val="center"/>
        <w:spacing w:line="360" w:lineRule="auto"/>
        <w:widowControl/>
        <w:rPr>
          <w:rFonts w:ascii="宋体" w:hAnsi="宋体" w:cs="宋体"/>
          <w:b/>
          <w:sz w:val="48"/>
          <w:szCs w:val="44"/>
          <w:highlight w:val="none"/>
        </w:rPr>
      </w:pPr>
      <w:r>
        <w:rPr>
          <w:sz w:val="36"/>
          <w:szCs w:val="44"/>
          <w:highlight w:val="none"/>
        </w:rPr>
        <w:t xml:space="preserve"> </w:t>
      </w:r>
      <w:bookmarkStart w:id="160" w:name="_Toc479757211"/>
      <w:r/>
      <w:bookmarkStart w:id="161" w:name="_Toc16938590"/>
      <w:r/>
      <w:bookmarkStart w:id="162" w:name="_Toc20823346"/>
      <w:r/>
      <w:bookmarkStart w:id="163" w:name="_Toc462564139"/>
      <w:r/>
      <w:bookmarkStart w:id="164" w:name="_Hlt16619350"/>
      <w:r/>
      <w:bookmarkStart w:id="165" w:name="_Toc120614244"/>
      <w:r/>
      <w:bookmarkStart w:id="166" w:name="_Hlt16619369"/>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67" w:name="EB6d2006462e294de090c16e672cecc3bd"/>
      <w:r/>
      <w:bookmarkEnd w:id="167"/>
      <w:r/>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bookmarkEnd w:id="168"/>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r/>
    </w:p>
    <w:p>
      <w:pPr>
        <w:ind w:left="0" w:firstLine="482"/>
        <w:jc w:val="center"/>
        <w:keepLines w:val="0"/>
        <w:keepNext w:val="0"/>
        <w:pageBreakBefore w:val="0"/>
        <w:spacing w:after="157" w:line="360" w:lineRule="auto"/>
        <w:widowControl w:val="off"/>
        <w:rPr>
          <w:rFonts w:hint="eastAsia" w:ascii="黑体" w:hAnsi="黑体" w:eastAsia="黑体"/>
          <w:sz w:val="32"/>
          <w:szCs w:val="32"/>
          <w:highlight w:val="none"/>
        </w:rPr>
      </w:pPr>
      <w:r/>
      <w:bookmarkStart w:id="169" w:name="_Toc22209"/>
      <w:r>
        <w:rPr>
          <w:rFonts w:hint="eastAsia" w:ascii="宋体" w:hAnsi="宋体"/>
          <w:b/>
          <w:color w:val="000000"/>
          <w:sz w:val="32"/>
          <w:szCs w:val="28"/>
        </w:rPr>
        <w:t xml:space="preserve">政府采购合同（货物格式）</w:t>
      </w:r>
      <w:r/>
    </w:p>
    <w:p>
      <w:pPr>
        <w:ind w:left="0" w:firstLine="480"/>
        <w:jc w:val="left"/>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u w:val="single"/>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lang w:val="en-US" w:eastAsia="zh-CN"/>
        </w:rPr>
        <w:t xml:space="preserve">                           </w:t>
      </w:r>
      <w:r/>
    </w:p>
    <w:p>
      <w:pPr>
        <w:pStyle w:val="693"/>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693"/>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numPr>
          <w:ilvl w:val="0"/>
          <w:numId w:val="0"/>
        </w:numPr>
        <w:ind w:left="479"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甲、</w:t>
      </w:r>
      <w:r>
        <w:rPr>
          <w:rFonts w:hint="eastAsia" w:ascii="宋体" w:hAnsi="宋体" w:eastAsia="宋体" w:cs="宋体"/>
          <w:color w:val="auto"/>
          <w:sz w:val="24"/>
          <w:szCs w:val="24"/>
          <w:highlight w:val="none"/>
        </w:rPr>
        <w:t xml:space="preserve">乙双方根据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公开招标的结果，签署本合同。</w:t>
      </w:r>
      <w:r/>
    </w:p>
    <w:p>
      <w:pPr>
        <w:numPr>
          <w:ilvl w:val="0"/>
          <w:numId w:val="0"/>
        </w:numPr>
        <w:ind w:left="479"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default" w:ascii="宋体" w:hAnsi="宋体" w:eastAsia="宋体" w:cs="宋体"/>
          <w:b/>
          <w:bCs/>
          <w:color w:val="000000"/>
          <w:sz w:val="24"/>
          <w:szCs w:val="24"/>
          <w:lang w:val="en-US" w:eastAsia="zh-CN" w:bidi="ar-SA"/>
        </w:rPr>
        <w:t xml:space="preserve">一、</w:t>
      </w:r>
      <w:r>
        <w:rPr>
          <w:rFonts w:hint="eastAsia" w:ascii="宋体" w:hAnsi="宋体" w:eastAsia="宋体" w:cs="宋体"/>
          <w:b/>
          <w:bCs/>
          <w:color w:val="000000"/>
          <w:sz w:val="24"/>
          <w:szCs w:val="24"/>
        </w:rPr>
        <w:t xml:space="preserve">合同价款及中标内容清单：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1.合同总价人民币（大写）：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），该费率包括（但不限于）人工、材料、运输、安装、调试、设计、车旅、驻点人员的食宿、安全、培训、售后服务、税费等全部项目的费用。</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2.中标内容清单及内容</w:t>
      </w:r>
      <w:r/>
    </w:p>
    <w:tbl>
      <w:tblPr>
        <w:tblStyle w:val="6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952"/>
        <w:gridCol w:w="1368"/>
        <w:gridCol w:w="1095"/>
        <w:gridCol w:w="1425"/>
      </w:tblGrid>
      <w:tr>
        <w:trPr>
          <w:jc w:val="center"/>
          <w:trHeight w:val="90"/>
        </w:trPr>
        <w:tc>
          <w:tcPr>
            <w:tcW w:w="144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2952"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型号规格参数</w:t>
            </w:r>
            <w:r/>
          </w:p>
        </w:tc>
        <w:tc>
          <w:tcPr>
            <w:tcW w:w="136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  量</w:t>
            </w:r>
            <w:r/>
          </w:p>
        </w:tc>
        <w:tc>
          <w:tcPr>
            <w:tcW w:w="109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  价</w:t>
            </w:r>
            <w:r/>
          </w:p>
        </w:tc>
        <w:tc>
          <w:tcPr>
            <w:tcW w:w="142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  价</w:t>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pStyle w:val="684"/>
              <w:ind w:left="0" w:firstLine="480"/>
              <w:keepLines w:val="0"/>
              <w:keepNext w:val="0"/>
              <w:pageBreakBefore w:val="0"/>
              <w:spacing w:line="240" w:lineRule="auto"/>
              <w:widowControl w:val="off"/>
              <w:tabs>
                <w:tab w:val="clear" w:pos="4153" w:leader="none"/>
                <w:tab w:val="clear" w:pos="8306" w:leader="none"/>
              </w:tabs>
              <w:rPr>
                <w:rFonts w:hint="eastAsia" w:ascii="宋体" w:hAnsi="宋体" w:eastAsia="宋体" w:cs="宋体"/>
                <w:sz w:val="24"/>
                <w:szCs w:val="24"/>
              </w:rPr>
              <w:pBdr>
                <w:bottom w:val="none" w:color="auto" w:sz="0" w:space="0"/>
              </w:pBdr>
            </w:pPr>
            <w:r>
              <w:rPr>
                <w:rFonts w:hint="eastAsia" w:ascii="宋体" w:hAnsi="宋体" w:eastAsia="宋体" w:cs="宋体"/>
                <w:sz w:val="24"/>
                <w:szCs w:val="24"/>
              </w:rPr>
            </w:r>
            <w:r/>
          </w:p>
        </w:tc>
        <w:tc>
          <w:tcPr>
            <w:tcW w:w="2952" w:type="dxa"/>
            <w:vAlign w:val="center"/>
            <w:textDirection w:val="lrTb"/>
            <w:noWrap w:val="false"/>
          </w:tcPr>
          <w:p>
            <w:pPr>
              <w:pStyle w:val="684"/>
              <w:ind w:left="0" w:firstLine="480"/>
              <w:keepLines w:val="0"/>
              <w:keepNext w:val="0"/>
              <w:pageBreakBefore w:val="0"/>
              <w:spacing w:line="240" w:lineRule="auto"/>
              <w:widowControl w:val="off"/>
              <w:tabs>
                <w:tab w:val="clear" w:pos="4153" w:leader="none"/>
                <w:tab w:val="clear" w:pos="8306" w:leader="none"/>
              </w:tabs>
              <w:rPr>
                <w:rFonts w:hint="eastAsia" w:ascii="宋体" w:hAnsi="宋体" w:eastAsia="宋体" w:cs="宋体"/>
                <w:sz w:val="24"/>
                <w:szCs w:val="24"/>
              </w:rPr>
              <w:pBdr>
                <w:bottom w:val="none" w:color="auto" w:sz="0" w:space="0"/>
              </w:pBd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84"/>
        </w:trPr>
        <w:tc>
          <w:tcPr>
            <w:gridSpan w:val="5"/>
            <w:tcW w:w="8280"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总价（大写）：</w:t>
            </w:r>
            <w:r/>
          </w:p>
        </w:tc>
      </w:tr>
    </w:tbl>
    <w:p>
      <w:pPr>
        <w:ind w:left="0"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二、供货时间、地点及验收方法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1.供货时间及地点</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合同签订后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日内全部安装调试完毕，并通过验收。</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2.质量要求：产品为全新未使用过的合格正品，产品及安装质量应符合各项技术标准和国家强制性标准，并满足招标人的实际使用需求。</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售后服务要求：</w:t>
      </w:r>
      <w:r/>
    </w:p>
    <w:p>
      <w:pPr>
        <w:ind w:left="0" w:firstLine="480"/>
        <w:keepLines w:val="0"/>
        <w:keepNext w:val="0"/>
        <w:pageBreakBefore w:val="0"/>
        <w:spacing w:line="360" w:lineRule="auto"/>
        <w:widowControl w:val="off"/>
        <w:rPr>
          <w:rFonts w:hint="eastAsia" w:ascii="宋体" w:hAnsi="宋体" w:eastAsia="宋体" w:cs="宋体"/>
          <w:color w:val="0070c0"/>
          <w:sz w:val="24"/>
          <w:szCs w:val="24"/>
          <w:u w:val="single"/>
        </w:rPr>
      </w:pPr>
      <w:r>
        <w:rPr>
          <w:rFonts w:hint="eastAsia" w:ascii="宋体" w:hAnsi="宋体" w:eastAsia="宋体" w:cs="宋体"/>
          <w:sz w:val="24"/>
          <w:szCs w:val="24"/>
        </w:rPr>
        <w:t xml:space="preserve">（1）产品的质量保证期及售后服务期为</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u w:val="none"/>
        </w:rPr>
        <w:t xml:space="preserve">年</w:t>
      </w:r>
      <w:r>
        <w:rPr>
          <w:rFonts w:hint="eastAsia" w:ascii="宋体" w:hAnsi="宋体" w:eastAsia="宋体" w:cs="宋体"/>
          <w:sz w:val="24"/>
          <w:szCs w:val="24"/>
        </w:rPr>
        <w:t xml:space="preserve">。(质保期以项目最终验收之日起算）</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（2）投标产品属于国家规定“三包”范围的，其产品的质量保证期不得低于“三包”规定。供应商的质量保证期承诺优于国家“三包”规定的，按供应商实际承诺执行；</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在质保保证期内，乙方为用户提供7*24小时电话或电子邮件服务，响应时间不超过30分钟，2小时内远程排除故障，若电话或网络中无法排除故障，维修人员须24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（4）质量保证期满后，供应商和厂家应同样提供免费电话咨询服务，并以优惠价格提供售后服务；</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（5）乙方需根据使用人员岗位的不同制定培训计划，考核内容，对各个部门进行针对性较强的培训工作，确保关键内容及关键岗位全部培训到位，能够独立运营系统,并能进行简单的故障排除。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（6）项目实施完成后，乙方需指定专门的售后服务工程师负责本项目的售后服务工作,并提供现场服务，及时检查并处理问题，并负责新进人员的培训工作。</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（7）技术资料要求：提供完整的技术资料，包括：产品验收标准（含产品合格证、验收清单等）；维修手册各一套，操作手册两套及合同中要求的其他文件资料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（8）本项目质量保证期内乙方须每月接到甲方通知后对设备设施进行一次巡查检修，保障正常稳定使用，延迟或检修不到位的按500元/天从合同余款中扣除违约金直至通过验收。</w:t>
      </w:r>
      <w:r/>
    </w:p>
    <w:p>
      <w:pPr>
        <w:ind w:left="0"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lang w:eastAsia="zh-CN"/>
        </w:rPr>
        <w:t xml:space="preserve">）竣工验收之前</w:t>
      </w:r>
      <w:r>
        <w:rPr>
          <w:rFonts w:hint="eastAsia" w:ascii="宋体" w:hAnsi="宋体" w:eastAsia="宋体" w:cs="宋体"/>
          <w:b/>
          <w:bCs/>
          <w:sz w:val="24"/>
          <w:szCs w:val="24"/>
          <w:lang w:val="en-US" w:eastAsia="zh-CN"/>
        </w:rPr>
        <w:t xml:space="preserve">乙方</w:t>
      </w:r>
      <w:r>
        <w:rPr>
          <w:rFonts w:hint="eastAsia" w:ascii="宋体" w:hAnsi="宋体" w:eastAsia="宋体" w:cs="宋体"/>
          <w:b/>
          <w:bCs/>
          <w:sz w:val="24"/>
          <w:szCs w:val="24"/>
          <w:lang w:eastAsia="zh-CN"/>
        </w:rPr>
        <w:t xml:space="preserve">须提供各功能室的环境检测报告。</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4.验收方法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硬件验收标准具体如下:</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A、产品为全新，未使用过的原装合格正品，安装质量符合各项技术标准和国家强制性标准；</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B、货物到达现场后，乙方必须在使用单位人员在场情况下当面开箱，共同清点、检查外观，作出开箱记录，双方签字确认。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Ｃ、乙方应保证货物到达甲方所在地完好无损，如有缺漏、损坏，由乙方负责调换、补齐或赔偿。</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Ｄ、乙方应提供完备的技术资料、装箱单和合格证等，验收合格条件（标准）如下：</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①设备技术参数与采购合同一致，性能指标达到规定的标准。</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②货物技术资料、装箱单、合格证等资料齐全。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③在系统试运行期间所出现的问题得到解决，并运行正常。</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④在规定时间内完成交货并验收，并经甲方确认。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Ｅ、乙方须完成甲方所有采购的软硬件产品安装调试工作，须符合甲方要求并试运行1个月后，才作为最终验收。</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Ｆ、乙方提供的货物未达到采购文件规定要求，且对甲方造成损失的，由乙方承担一切责任，并赔偿所造成的损失。</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Ｇ、甲方可邀请国家认可的质量检测机构参加验收工作。</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Ｈ、甲方需要制造商对乙方交付的产品（包括质量、技术参数等）进行确认的，乙方须无条件配合，并出具书面确认证明。</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Ｉ、产品包装材料归甲方所有。</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在安装调试完毕后的30日内，甲方对乙方所供货物的技术性能和参数等方面的问题有提出异议的权利。</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验收方法：全部货物安装调试完毕后30日内，由甲方邀请相关专业人员，按照招标文件的要求和现行技术标准、强制性标准对所供货物的技术性能、技术参数、安装质量等进行验收，并形成验收意见。</w:t>
      </w:r>
      <w:r/>
    </w:p>
    <w:p>
      <w:pPr>
        <w:ind w:left="0"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三、合同款项的支付方式及进度安排</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1、自合同签订生效之日起，收到乙方发票10个工作日内，甲方向乙方支付合同总价的30%款项作为预付款；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2、所有货物安装完毕，甲方组织初步验收，初步验收合格后收到乙方发票10个工作日内甲方向乙方支付至合同总价的80%款项；</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3、初步验收合格且项目运行满12个月后，甲方组织最终验收，最终验收合格后收到乙方发票10个工作日内甲方付清货款。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(1) 发票；</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 制造厂家出具的质量检验证书等；</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 装箱单；</w:t>
      </w:r>
      <w:r/>
    </w:p>
    <w:p>
      <w:pPr>
        <w:ind w:left="0" w:firstLine="482"/>
        <w:keepLines w:val="0"/>
        <w:keepNext w:val="0"/>
        <w:pageBreakBefore w:val="0"/>
        <w:spacing w:line="360" w:lineRule="auto"/>
        <w:widowControl w:val="off"/>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 甲方加盖公章证明交付使用合格的验收单。</w:t>
      </w:r>
      <w:r/>
    </w:p>
    <w:p>
      <w:pPr>
        <w:ind w:left="0"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四、履约保证金及售后服务承诺</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乙方交纳人民币</w:t>
      </w:r>
      <w:r>
        <w:rPr>
          <w:rFonts w:hint="eastAsia" w:ascii="宋体" w:hAnsi="宋体" w:eastAsia="宋体" w:cs="宋体"/>
          <w:sz w:val="24"/>
          <w:szCs w:val="24"/>
          <w:u w:val="single"/>
          <w:lang w:val="en-US" w:eastAsia="zh-CN"/>
        </w:rPr>
        <w:t xml:space="preserve"> 中标</w:t>
      </w:r>
      <w:r>
        <w:rPr>
          <w:rFonts w:hint="eastAsia" w:ascii="宋体" w:hAnsi="宋体" w:eastAsia="宋体" w:cs="宋体"/>
          <w:sz w:val="24"/>
          <w:szCs w:val="24"/>
          <w:u w:val="single"/>
        </w:rPr>
        <w:t xml:space="preserve">金额的10%</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元作为本合同的履约保证金。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如以履约保函（保险）形式缴纳履约保证金，供应商可通过政府采购电子履约保函（保险）平台（www.jsdzbh.com）在线申请履约保函（保险）。</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对第三方信用服务机构依据标准规范评定为AA级及以上的政府采购供应商（需在签订采购合同前提供信用管理部门备案的第三方信用报告，且信用报告通过“信用盐城网”可查实），本项目履约保证金（是/否）</w:t>
      </w:r>
      <w:r>
        <w:rPr>
          <w:rFonts w:hint="eastAsia" w:ascii="宋体" w:hAnsi="宋体" w:eastAsia="宋体" w:cs="宋体"/>
          <w:sz w:val="24"/>
          <w:szCs w:val="24"/>
          <w:u w:val="single"/>
          <w:lang w:val="en-US" w:eastAsia="zh-CN"/>
        </w:rPr>
        <w:t xml:space="preserve"> 否 </w:t>
      </w:r>
      <w:r>
        <w:rPr>
          <w:rFonts w:hint="eastAsia" w:ascii="宋体" w:hAnsi="宋体" w:eastAsia="宋体" w:cs="宋体"/>
          <w:sz w:val="24"/>
          <w:szCs w:val="24"/>
          <w:lang w:val="en-US" w:eastAsia="zh-CN"/>
        </w:rPr>
        <w:t xml:space="preserve">免收 ，降低履约保证金缴纳比例</w:t>
      </w:r>
      <w:r>
        <w:rPr>
          <w:rFonts w:hint="eastAsia" w:ascii="宋体" w:hAnsi="宋体" w:eastAsia="宋体" w:cs="宋体"/>
          <w:sz w:val="24"/>
          <w:szCs w:val="24"/>
          <w:u w:val="single"/>
          <w:lang w:val="en-US" w:eastAsia="zh-CN"/>
        </w:rPr>
        <w:t xml:space="preserve"> 100 </w:t>
      </w:r>
      <w:r>
        <w:rPr>
          <w:rFonts w:hint="eastAsia" w:ascii="宋体" w:hAnsi="宋体" w:eastAsia="宋体" w:cs="宋体"/>
          <w:sz w:val="24"/>
          <w:szCs w:val="24"/>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合同履行结束后，甲方应及时退还交纳的履约保证金。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履约保证金的退还：</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.1方式：无息退还至投标人缴纳履约保证金的账户。如为保函，在到期时自行失效。</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2时间：验收合格且采购人收到发票后30日内。</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.3条件：按合同要求全部履约完成并经采购人验收合格，且采购人收到中标人出具的发票。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.4不予退还情形：</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除不可抗力情况外，投标人出现下列情形之一的，其履约保证金，招标人将视情节决定不予退还或部分不予退还。</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（2）中标人不履行与采购人订立的合同的；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（3）中标人所供货物或服务不符合招标文件规定要求的；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（4）中标人采取欺骗、弄虚作假方式投标的或与</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投标人串通投标的；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（5）中标人将合同内容转包、违法分包的；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（6）中标人故意捏造事实或伪造证明材料，进行虚假恶意投诉或反映的。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五年维保</w:t>
      </w:r>
      <w:r>
        <w:rPr>
          <w:rFonts w:hint="eastAsia" w:ascii="宋体" w:hAnsi="宋体" w:eastAsia="宋体" w:cs="宋体"/>
          <w:sz w:val="24"/>
          <w:szCs w:val="24"/>
        </w:rPr>
        <w:t xml:space="preserve">期内所供货物发生故障时，</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须在</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小时内到场维修，无法修复时，须在</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小时内提供备用产品，否则甲方有权自行处理，其</w:t>
      </w:r>
      <w:r>
        <w:rPr>
          <w:rFonts w:hint="eastAsia" w:ascii="宋体" w:hAnsi="宋体" w:eastAsia="宋体" w:cs="宋体"/>
          <w:sz w:val="24"/>
          <w:szCs w:val="24"/>
          <w:lang w:val="en-US" w:eastAsia="zh-CN"/>
        </w:rPr>
        <w:t xml:space="preserve">维保</w:t>
      </w:r>
      <w:r>
        <w:rPr>
          <w:rFonts w:hint="eastAsia" w:ascii="宋体" w:hAnsi="宋体" w:eastAsia="宋体" w:cs="宋体"/>
          <w:sz w:val="24"/>
          <w:szCs w:val="24"/>
        </w:rPr>
        <w:t xml:space="preserve">费用在乙方</w:t>
      </w:r>
      <w:r>
        <w:rPr>
          <w:rFonts w:hint="eastAsia" w:ascii="宋体" w:hAnsi="宋体" w:eastAsia="宋体" w:cs="宋体"/>
          <w:sz w:val="24"/>
          <w:szCs w:val="24"/>
          <w:lang w:val="en-US" w:eastAsia="zh-CN"/>
        </w:rPr>
        <w:t xml:space="preserve">维保费</w:t>
      </w:r>
      <w:r>
        <w:rPr>
          <w:rFonts w:hint="eastAsia" w:ascii="宋体" w:hAnsi="宋体" w:eastAsia="宋体" w:cs="宋体"/>
          <w:sz w:val="24"/>
          <w:szCs w:val="24"/>
        </w:rPr>
        <w:t xml:space="preserve">中扣除。</w:t>
      </w:r>
      <w:r>
        <w:rPr>
          <w:rFonts w:hint="eastAsia" w:ascii="宋体" w:hAnsi="宋体" w:eastAsia="宋体" w:cs="宋体"/>
          <w:sz w:val="24"/>
          <w:szCs w:val="24"/>
          <w:lang w:val="en-US" w:eastAsia="zh-CN"/>
        </w:rPr>
        <w:t xml:space="preserve">维保期内达三次不到场的甲方有权扣除当年维保费用。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3.7</w:t>
      </w:r>
      <w:r>
        <w:rPr>
          <w:rFonts w:hint="eastAsia" w:ascii="宋体" w:hAnsi="宋体" w:eastAsia="宋体" w:cs="宋体"/>
          <w:sz w:val="24"/>
          <w:szCs w:val="24"/>
        </w:rPr>
        <w:t xml:space="preserve">所有货物免费送达甲方指定地点，货物的托运、安装及预装常用软件（如需要）等，均不需另行付费。</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w:t>
      </w:r>
      <w:r>
        <w:rPr>
          <w:rFonts w:hint="eastAsia" w:ascii="宋体" w:hAnsi="宋体" w:eastAsia="宋体" w:cs="宋体"/>
          <w:sz w:val="24"/>
          <w:szCs w:val="24"/>
        </w:rPr>
        <w:t xml:space="preserve">根据厂方的规定对所供货物进行保修，在质量保证期内，乙方不得收取任何费用；质量保证期满后，乙方对用户货物的维修，只收成本费，并提供终生技术服务。</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如</w:t>
      </w:r>
      <w:r>
        <w:rPr>
          <w:rFonts w:hint="eastAsia" w:ascii="宋体" w:hAnsi="宋体" w:eastAsia="宋体" w:cs="宋体"/>
          <w:sz w:val="24"/>
          <w:szCs w:val="24"/>
          <w:lang w:val="en-US" w:eastAsia="zh-CN"/>
        </w:rPr>
        <w:t xml:space="preserve">因</w:t>
      </w:r>
      <w:r>
        <w:rPr>
          <w:rFonts w:hint="eastAsia" w:ascii="宋体" w:hAnsi="宋体" w:eastAsia="宋体" w:cs="宋体"/>
          <w:sz w:val="24"/>
          <w:szCs w:val="24"/>
        </w:rPr>
        <w:t xml:space="preserve">使用不当造成货物的毁损，乙方有义务协助维修。</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五、违约责任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甲乙双方必须遵守本合同并执行合同中的各项约定，保证本合同的正常履行。</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 如因甲方未能按合同规定履行经费支付，造成乙方难以正常开展服务活动，由甲方承担责任。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5.3在服务过程中，因乙方造成重大社会影响、安全事故或合同内容未完成的，由乙方承担责任。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 发生合同纠纷，双方协商解决，协商不成的，依法向甲方所在地人民法院提起诉讼。</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六、其他条款：</w:t>
      </w:r>
      <w:r/>
    </w:p>
    <w:p>
      <w:pPr>
        <w:ind w:left="0" w:firstLine="480"/>
        <w:keepLines w:val="0"/>
        <w:keepNext w:val="0"/>
        <w:pageBreakBefore w:val="0"/>
        <w:spacing w:line="360" w:lineRule="auto"/>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本项目不得转包、分包，否则甲方有权单方面解除合同，乙方须无条件撤出</w:t>
      </w:r>
      <w:r>
        <w:rPr>
          <w:rFonts w:hint="eastAsia" w:ascii="宋体" w:hAnsi="宋体" w:eastAsia="宋体" w:cs="宋体"/>
          <w:color w:val="000000"/>
          <w:sz w:val="24"/>
          <w:szCs w:val="24"/>
          <w:u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u w:val="none"/>
          <w:lang w:val="en-US" w:eastAsia="zh-CN"/>
        </w:rPr>
        <w:t xml:space="preserve">2.</w:t>
      </w:r>
      <w:r>
        <w:rPr>
          <w:rFonts w:hint="eastAsia" w:ascii="宋体" w:hAnsi="宋体" w:eastAsia="宋体" w:cs="宋体"/>
          <w:color w:val="000000"/>
          <w:sz w:val="24"/>
          <w:szCs w:val="24"/>
          <w:u w:val="single"/>
        </w:rPr>
        <w:t xml:space="preserve">供应商应按照甲方</w:t>
      </w:r>
      <w:r>
        <w:rPr>
          <w:rFonts w:hint="eastAsia" w:ascii="宋体" w:hAnsi="宋体" w:eastAsia="宋体" w:cs="宋体"/>
          <w:color w:val="000000"/>
          <w:sz w:val="24"/>
          <w:szCs w:val="24"/>
          <w:u w:val="single"/>
          <w:lang w:val="en-US" w:eastAsia="zh-CN"/>
        </w:rPr>
        <w:t xml:space="preserve">要求</w:t>
      </w:r>
      <w:r>
        <w:rPr>
          <w:rFonts w:hint="eastAsia" w:ascii="宋体" w:hAnsi="宋体" w:eastAsia="宋体" w:cs="宋体"/>
          <w:color w:val="000000"/>
          <w:sz w:val="24"/>
          <w:szCs w:val="24"/>
          <w:u w:val="single"/>
        </w:rPr>
        <w:t xml:space="preserve">，对甲方指定的原有</w:t>
      </w:r>
      <w:r>
        <w:rPr>
          <w:rFonts w:hint="eastAsia" w:ascii="宋体" w:hAnsi="宋体" w:eastAsia="宋体" w:cs="宋体"/>
          <w:color w:val="000000"/>
          <w:sz w:val="24"/>
          <w:szCs w:val="24"/>
          <w:u w:val="single"/>
          <w:lang w:val="en-US" w:eastAsia="zh-CN"/>
        </w:rPr>
        <w:t xml:space="preserve">场地</w:t>
      </w:r>
      <w:r>
        <w:rPr>
          <w:rFonts w:hint="eastAsia" w:ascii="宋体" w:hAnsi="宋体" w:eastAsia="宋体" w:cs="宋体"/>
          <w:color w:val="000000"/>
          <w:sz w:val="24"/>
          <w:szCs w:val="24"/>
          <w:u w:val="single"/>
        </w:rPr>
        <w:t xml:space="preserve">货物搬运</w:t>
      </w:r>
      <w:r>
        <w:rPr>
          <w:rFonts w:hint="eastAsia" w:ascii="宋体" w:hAnsi="宋体" w:eastAsia="宋体" w:cs="宋体"/>
          <w:color w:val="000000"/>
          <w:sz w:val="24"/>
          <w:szCs w:val="24"/>
          <w:u w:val="single"/>
          <w:lang w:val="en-US" w:eastAsia="zh-CN"/>
        </w:rPr>
        <w:t xml:space="preserve">至甲方指定地点</w:t>
      </w:r>
      <w:r>
        <w:rPr>
          <w:rFonts w:hint="eastAsia" w:ascii="宋体" w:hAnsi="宋体" w:eastAsia="宋体" w:cs="宋体"/>
          <w:color w:val="000000"/>
          <w:sz w:val="24"/>
          <w:szCs w:val="24"/>
          <w:u w:val="none"/>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七、</w:t>
      </w:r>
      <w:r>
        <w:rPr>
          <w:rFonts w:hint="eastAsia" w:ascii="宋体" w:hAnsi="宋体" w:eastAsia="宋体" w:cs="宋体"/>
          <w:b/>
          <w:color w:val="000000"/>
          <w:sz w:val="24"/>
          <w:szCs w:val="24"/>
        </w:rPr>
        <w:t xml:space="preserve">本合</w:t>
      </w:r>
      <w:r>
        <w:rPr>
          <w:rFonts w:hint="eastAsia" w:ascii="宋体" w:hAnsi="宋体" w:eastAsia="宋体" w:cs="宋体"/>
          <w:b/>
          <w:sz w:val="24"/>
          <w:szCs w:val="24"/>
        </w:rPr>
        <w:t xml:space="preserve">同由下列文件共同构成：</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1.本合同书；</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2.中标通知书；</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3.采购人的招标文件及其补充（答疑）资料；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4.中标人的投标文件及其补充（澄清）资料。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、本合同未尽事宜，由甲、乙双方依据招标文件、中标人的投标文件另行协商解决。</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肆 </w:t>
      </w:r>
      <w:r>
        <w:rPr>
          <w:rFonts w:hint="eastAsia" w:ascii="宋体" w:hAnsi="宋体" w:eastAsia="宋体" w:cs="宋体"/>
          <w:sz w:val="24"/>
          <w:szCs w:val="24"/>
        </w:rPr>
        <w:t xml:space="preserve">份，甲乙双方各执一份，其余用于相关单位存档。</w:t>
      </w:r>
      <w:r/>
    </w:p>
    <w:p>
      <w:pPr>
        <w:ind w:left="0" w:firstLine="480"/>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sz w:val="24"/>
          <w:szCs w:val="24"/>
        </w:rPr>
        <w:t xml:space="preserve">十、采购人或其委托的代理机构应当自政府采购合同签订之日起</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个工作日内，将政府采购合同的扫描件（PDF格式）传送政府采购交易执行系统实施网上备案，经东台市财政局审核后，网上公示。</w:t>
      </w:r>
      <w:r/>
    </w:p>
    <w:p>
      <w:pPr>
        <w:spacing w:line="360" w:lineRule="auto"/>
        <w:rPr>
          <w:rFonts w:ascii="楷体_GB2312" w:eastAsia="楷体_GB2312"/>
        </w:rPr>
      </w:pPr>
      <w:r>
        <w:rPr>
          <w:rFonts w:ascii="楷体_GB2312" w:eastAsia="楷体_GB2312"/>
        </w:rPr>
      </w:r>
      <w:r/>
    </w:p>
    <w:p>
      <w:pPr>
        <w:pStyle w:val="693"/>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693"/>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693"/>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693"/>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spacing w:line="480" w:lineRule="auto"/>
        <w:rPr>
          <w:rFonts w:hint="eastAsia" w:ascii="黑体" w:hAnsi="黑体" w:eastAsia="黑体"/>
          <w:sz w:val="28"/>
          <w:szCs w:val="28"/>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p>
    <w:p>
      <w:pPr>
        <w:spacing w:line="360" w:lineRule="auto"/>
        <w:rPr>
          <w:rFonts w:hint="eastAsia" w:ascii="黑体" w:hAnsi="黑体" w:eastAsia="黑体"/>
          <w:sz w:val="28"/>
          <w:szCs w:val="28"/>
          <w:highlight w:val="none"/>
        </w:rPr>
      </w:pPr>
      <w:r>
        <w:rPr>
          <w:rFonts w:hint="eastAsia" w:ascii="黑体" w:hAnsi="黑体" w:eastAsia="黑体"/>
          <w:sz w:val="28"/>
          <w:szCs w:val="28"/>
          <w:highlight w:val="none"/>
        </w:rPr>
        <w:br w:type="page" w:clear="all"/>
      </w:r>
      <w:bookmarkEnd w:id="169"/>
      <w:r/>
      <w:r/>
    </w:p>
    <w:p>
      <w:pPr>
        <w:pStyle w:val="693"/>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693"/>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70" w:name="_Toc26554093"/>
      <w:r/>
      <w:bookmarkStart w:id="171" w:name="_Toc49090575"/>
      <w:r>
        <w:rPr>
          <w:rFonts w:hint="eastAsia" w:ascii="宋体" w:hAnsi="宋体" w:eastAsia="宋体" w:cs="宋体"/>
          <w:color w:val="auto"/>
          <w:sz w:val="24"/>
          <w:szCs w:val="24"/>
          <w:highlight w:val="none"/>
        </w:rPr>
        <w:t xml:space="preserve">项目属性:货物类项目</w:t>
      </w:r>
      <w:r>
        <w:rPr>
          <w:rFonts w:hint="eastAsia" w:ascii="宋体" w:hAnsi="宋体" w:eastAsia="宋体" w:cs="宋体"/>
          <w:color w:val="auto"/>
          <w:sz w:val="24"/>
          <w:szCs w:val="24"/>
          <w:highlight w:val="none"/>
          <w:shd w:val="clear" w:color="auto" w:fill="auto"/>
        </w:rPr>
        <w:t xml:space="preserve">。</w:t>
      </w:r>
      <w:bookmarkEnd w:id="170"/>
      <w:r/>
      <w:bookmarkEnd w:id="171"/>
      <w:r/>
      <w:r/>
    </w:p>
    <w:p>
      <w:pPr>
        <w:pStyle w:val="693"/>
        <w:jc w:val="both"/>
        <w:spacing w:beforeAutospacing="0" w:afterAutospacing="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eastAsia="zh-CN"/>
        </w:rPr>
        <w:t xml:space="preserve">产品名称：</w:t>
      </w:r>
      <w:r>
        <w:rPr>
          <w:rFonts w:hint="eastAsia" w:ascii="宋体" w:hAnsi="宋体" w:eastAsia="宋体" w:cs="宋体"/>
          <w:b/>
          <w:bCs/>
          <w:color w:val="auto"/>
          <w:sz w:val="24"/>
          <w:szCs w:val="24"/>
          <w:highlight w:val="none"/>
          <w:lang w:val="en-US" w:eastAsia="zh-CN"/>
        </w:rPr>
        <w:t xml:space="preserve">数字音乐教学软件</w:t>
      </w:r>
      <w:r/>
    </w:p>
    <w:p>
      <w:pPr>
        <w:pStyle w:val="693"/>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采购需求包括拟采购的标的及其需要满足的技术、商务要求。</w:t>
      </w:r>
      <w:r/>
    </w:p>
    <w:p>
      <w:pPr>
        <w:pStyle w:val="693"/>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（一）技术要求是指对采购标的功能和质量要求，包括性能、材料、结构、外观、安全，或者服务内容和标准等。</w:t>
      </w:r>
      <w:r/>
    </w:p>
    <w:p>
      <w:pPr>
        <w:pStyle w:val="693"/>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p>
    <w:p>
      <w:pPr>
        <w:pStyle w:val="693"/>
        <w:jc w:val="both"/>
        <w:spacing w:beforeAutospacing="0" w:afterAutospacing="0"/>
        <w:rPr>
          <w:rFonts w:hint="eastAsia" w:ascii="宋体" w:hAnsi="宋体" w:eastAsia="宋体" w:cs="宋体"/>
          <w:b/>
          <w:bCs/>
          <w:i/>
          <w:iCs w:val="0"/>
          <w:color w:val="auto"/>
          <w:sz w:val="24"/>
          <w:szCs w:val="24"/>
          <w:highlight w:val="none"/>
          <w:u w:val="none"/>
          <w:shd w:val="clear" w:color="auto" w:fill="auto"/>
          <w:lang w:val="en-US" w:eastAsia="zh-CN"/>
        </w:rPr>
      </w:pPr>
      <w:r>
        <w:rPr>
          <w:rFonts w:hint="eastAsia" w:ascii="宋体" w:hAnsi="宋体" w:eastAsia="宋体" w:cs="宋体"/>
          <w:b/>
          <w:bCs/>
          <w:i/>
          <w:iCs w:val="0"/>
          <w:color w:val="auto"/>
          <w:sz w:val="24"/>
          <w:szCs w:val="24"/>
          <w:highlight w:val="none"/>
          <w:u w:val="none"/>
          <w:shd w:val="clear" w:color="auto" w:fill="auto"/>
          <w:lang w:val="en-US" w:eastAsia="zh-CN"/>
        </w:rPr>
        <w:t xml:space="preserve">（三）招标内容功能要求</w:t>
      </w:r>
      <w:r/>
    </w:p>
    <w:tbl>
      <w:tblPr>
        <w:tblStyle w:val="672"/>
        <w:tblW w:w="8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3"/>
        <w:gridCol w:w="1115"/>
        <w:gridCol w:w="5401"/>
        <w:gridCol w:w="736"/>
        <w:gridCol w:w="804"/>
      </w:tblGrid>
      <w:tr>
        <w:trPr>
          <w:jc w:val="center"/>
          <w:trHeight w:val="702"/>
        </w:trPr>
        <w:tc>
          <w:tcPr>
            <w:shd w:val="clear" w:color="auto" w:fill="ffffff"/>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序号</w:t>
            </w:r>
            <w:r/>
          </w:p>
        </w:tc>
        <w:tc>
          <w:tcPr>
            <w:shd w:val="clear" w:color="auto" w:fill="ffffff"/>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项目名称</w:t>
            </w:r>
            <w:r/>
          </w:p>
        </w:tc>
        <w:tc>
          <w:tcPr>
            <w:shd w:val="clear" w:color="auto" w:fill="ffffff"/>
            <w:tcW w:w="5401"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相关信息及参数说明</w:t>
            </w:r>
            <w:r/>
          </w:p>
        </w:tc>
        <w:tc>
          <w:tcPr>
            <w:shd w:val="clear" w:color="auto" w:fill="ffffff"/>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单位</w:t>
            </w:r>
            <w:r/>
          </w:p>
        </w:tc>
        <w:tc>
          <w:tcPr>
            <w:shd w:val="clear" w:color="auto" w:fill="ffffff"/>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数量</w:t>
            </w:r>
            <w:r/>
          </w:p>
        </w:tc>
      </w:tr>
      <w:tr>
        <w:trPr>
          <w:jc w:val="center"/>
          <w:trHeight w:val="387"/>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剧院钢木舞台</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整体规格14000mm×1200mm×250mm（长×宽×高），误差≤±2mm，承重能力：静态载荷≥200kg/m²，动态载荷≥50kg/m²（含人员走动、设备移动）。连接方式：模块化榫卯拼接，8组M12不锈钢连接件固定（抗拉强度≥50kN）。</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框架结构：冷轧钢框架，壁厚≥1.8mm，表面磷化防锈处理。</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台面材质：面层为18mm厚多层实木复合板，表面覆三聚氰胺饰面，耐磨转数≥4000转，防滑系数≥0.5，边缘加厚至25mm并采用PVC封边条热熔包覆，平整度误差≤0.5mm/m。</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连接配件：配套DTC铰链及两节导轨（耐久性≥5万次），T型铝合金压条（宽度40mm）拼接缝隙≤1mm，自攻螺丝间距≤300mm固定。</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性能参数：防火等级B1级（氧指数≥32%），甲醛释放量≤0.05mg/m³（E0级），台面耐酸碱、耐冲击（落球测试无凹陷），底部可调脚支撑（高度调节范围±30mm）。</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支撑结构：纵向主梁间距≤400mm，横向加强筋间距≤300mm。</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接地保护：整体接地电阻≤4Ω（防静电测试报告）</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稳定性：整体倾斜度≤1/1000，抗倾覆系数≥1.5（依据GB 50017-2017钢结构设计规范）。</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隔声量：空气声隔声≥45dB（符合GB/T 19889.3-2005第二类声环境标准）。</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吸声系数：表面平均吸声系数α≥0.3（125-4000Hz频段，按GB/T 20247-2020检测）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共振控制：基频≥80Hz。冷轧钢板技术要求：检测依据参照:</w:t>
            </w:r>
            <w:r>
              <w:rPr>
                <w:rFonts w:hint="eastAsia" w:asciiTheme="majorEastAsia" w:hAnsiTheme="majorEastAsia" w:eastAsiaTheme="majorEastAsia" w:cstheme="majorEastAsia"/>
                <w:color w:val="ff0000"/>
                <w:sz w:val="22"/>
                <w:szCs w:val="22"/>
                <w:u w:val="none"/>
                <w:lang w:val="en-US" w:eastAsia="zh-CN" w:bidi="ar"/>
              </w:rPr>
              <w:t xml:space="preserve">GB/T3325-2024</w:t>
            </w:r>
            <w:r>
              <w:rPr>
                <w:rFonts w:hint="eastAsia" w:asciiTheme="majorEastAsia" w:hAnsiTheme="majorEastAsia" w:eastAsiaTheme="majorEastAsia" w:cstheme="majorEastAsia"/>
                <w:color w:val="000000"/>
                <w:sz w:val="22"/>
                <w:szCs w:val="22"/>
                <w:u w:val="none"/>
                <w:lang w:val="en-US" w:eastAsia="zh-CN" w:bidi="ar"/>
              </w:rPr>
              <w:t xml:space="preserve">《金属家具通用技术条件》QB/T 3832-1999《轻工产品金属镀层腐蚀试验结果的评价》QB/T 3827-19</w:t>
            </w:r>
            <w:r>
              <w:rPr>
                <w:rFonts w:hint="eastAsia" w:asciiTheme="majorEastAsia" w:hAnsiTheme="majorEastAsia" w:eastAsiaTheme="majorEastAsia" w:cstheme="majorEastAsia"/>
                <w:color w:val="000000"/>
                <w:sz w:val="22"/>
                <w:szCs w:val="22"/>
                <w:u w:val="none"/>
                <w:lang w:val="en-US" w:eastAsia="zh-CN" w:bidi="ar"/>
              </w:rPr>
              <w:t xml:space="preserve">99《轻工产品金属镀层和化学处理层的耐腐蚀试验方法乙酸盐雾试验(ASS)法》GB/T 10125-2021《人造气氛腐蚀试验 盐雾试验》产品外观性能要求检测中金属件喷涂层，涂层应无漏喷、锈蚀和脱色、掉色现象，涂层应光滑均匀，色泽一致，应无流挂、疙瘩、皱皮、飞漆等缺陷。在产品表面涂饰层/覆面材料理化性能，金属喷漆(塑)涂层检测中硬度≥H,冲击强度中，冲击高度400mm，应无剥落、裂纹、皱纹。耐腐蚀100h内，观察在溶液中样板上划道两侧3mm以外，应无鼓泡产生，100h后，检查划道两侧3mm外，应无锈迹、剥落、</w:t>
            </w:r>
            <w:r>
              <w:rPr>
                <w:rFonts w:hint="eastAsia" w:asciiTheme="majorEastAsia" w:hAnsiTheme="majorEastAsia" w:eastAsiaTheme="majorEastAsia" w:cstheme="majorEastAsia"/>
                <w:color w:val="000000"/>
                <w:sz w:val="22"/>
                <w:szCs w:val="22"/>
                <w:u w:val="none"/>
                <w:lang w:val="en-US" w:eastAsia="zh-CN" w:bidi="ar"/>
              </w:rPr>
              <w:t xml:space="preserve">起皱、变色和失光等现象，附着力应不低于2级，金属电镀层抗盐雾检测中18h，直径1.5mm以下锈点≤20点/d㎡，其中直径≧1.0mm锈点不超过5点(距边缘棱角2mm以内的不计)，金属表面耐腐蚀中乙酸盐雾委托方要求连续喷雾 240 小时)，涂层本身的耐腐蚀等级:10级最好，0级最差，涂层对基体的保护等级:10级最好，0级最差 ★投标文件中提供由国家行政管理部门认定的省级及省级以上国家检测机构出具的（具有CMA、CNAS等标识）完整的冷轧钢板检测报告，测试内容需完全符合参数要求，不得缺项、漏项，否则视为负偏离。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405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剧院内部灯光维修升级</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维修范围：对现有灯光系统中局部损坏的配件（如光源、电器元件、控制模块、线缆及灯具结构件等）进行检测，针对可修复的部件（如灯珠损坏、线缆破皮、支架锈蚀）采用更换零件、焊接修复、清洁氧化层等方式恢复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2、换新内容：对无法维修或维修成本较高的配件（如灯丝熔断的灯泡、短路的驱动电源、破裂的灯具外壳）进行整体更换，换新配件需匹配原系统参数（功率、电压、接口类型等），确保与原有灯具兼容。</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3、核心工作流程：</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现场勘察：统计损坏配件类型、数量及损坏程度；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配件选型：根据原灯具参数确定换新配件的规格（如 LED 灯泡色温、镇流器适配功率）；</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实施维修 / 更换：采用专业工具进行拆卸、维修或安装，重点处理防水、绝缘及信号连接等技术细节；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调试验收：更换后测试灯光系统运行状态，确保亮度、色温、控制信号等参数正常</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项</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剧院内廊顶部艺术装配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17657-2022标准）。局部定制实木配色铝方通饰面。</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防火性能：整体系统需通过小室燃烧法测试（燃烧性能等级A1级），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环保指标：挥发性有机物（TVOC）释放量≤0.3mg/m³（密闭空间72小时检测），重金属含量符合GB 18584-2001标准（铅、镉、铬等六项指标均≤90mg/kg）。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功能性验证：承重测试：静态载荷≥350kg/m²持续24小时，形变率≤0.5%。</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抗震性能：通过GB 50981-2014标准模拟测试（地震加速度0.2g工况下无结构性位移）。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声学性能：500Hz频段混响时间≤1.2秒（依据GB/T 50076-2013实测）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配套辅材：吊顶悬挂组件：直径≥8mm镀锌钢索（破断拉力≥15kN）</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防震组件：邵氏硬度60±5的EPDM橡胶垫片（压缩永久变形≤15%）</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密封材料：硅酮耐候胶（拉伸模量≥0.4MPa，符合GB/T 14683-2017标准）                                                            </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石膏板相关技术要求：依据GB/T 9775-2008、GB 65</w:t>
            </w:r>
            <w:r>
              <w:rPr>
                <w:rFonts w:hint="eastAsia" w:asciiTheme="majorEastAsia" w:hAnsiTheme="majorEastAsia" w:eastAsiaTheme="majorEastAsia" w:cstheme="majorEastAsia"/>
                <w:color w:val="000000"/>
                <w:sz w:val="22"/>
                <w:szCs w:val="22"/>
                <w:u w:val="none"/>
                <w:lang w:val="en-US" w:eastAsia="zh-CN" w:bidi="ar"/>
              </w:rPr>
              <w:t xml:space="preserve">66-2010，检测内容中外观质量要求纸面石膏板板面平整，不应有影响使用的波纹、沟槽、亏料、漏料和划伤、破损、污痕等缺陷，尺寸偏差中长度偏差-6到0mm,宽度偏差-5到0mm,厚度偏差±0.5mm,对角线长度差≤5，楔形棱边断面尺寸：楔形棱边宽度30-80mm，楔形棱边深度0.6-1.9mm，面密度≤9.5kg/㎡，断裂荷载纵向平均值≥400N，最小值≥360N,横向平均值≥160N，最小值≥140N，硬度中端头硬度≥70N，棱边硬度≥70N，抗冲击性经冲击后，板材背面应无径向裂纹，护面纸与芯材粘结性中护面</w:t>
            </w:r>
            <w:r>
              <w:rPr>
                <w:rFonts w:hint="eastAsia" w:asciiTheme="majorEastAsia" w:hAnsiTheme="majorEastAsia" w:eastAsiaTheme="majorEastAsia" w:cstheme="majorEastAsia"/>
                <w:color w:val="000000"/>
                <w:sz w:val="22"/>
                <w:szCs w:val="22"/>
                <w:u w:val="none"/>
                <w:lang w:val="en-US" w:eastAsia="zh-CN" w:bidi="ar"/>
              </w:rPr>
              <w:t xml:space="preserve">纸与芯材应不剥离，放射性核素限量中内照射指数IRa≤1.0，Ir≤1.3。★投标文件中提供由国家行政管理部门认定的省级及省级以上国家检测机构出具的（具有CMA、CNAS标识）完整的石膏板检测报告，测试内容需完全符合参数要求，不得缺项、漏项，否则视为负偏离。       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r>
      <w:tr>
        <w:trPr>
          <w:jc w:val="center"/>
          <w:trHeight w:val="9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剧院内廊灯光系统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超薄嵌入式光源体8W/㎡，光通量：≥3200lm，色温：4000K（自然光色）。显色指数：Ra≥92，防护等级：IP20。特性：低压24V供电，铝合金散热背板。安装方式：嵌入式。LED嵌入式筒灯6W/㎡，光通量：≥3200lm，色温：4000K（自然光色）。安装方式：嵌入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   </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50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剧院卫生间顶部艺术装配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1、信息参数：主体结构组件采用AA3003系列铝合金基材，表面经阳极氧化处理形成厚度≥15μm的氧化膜（GB/T 5237.1-2017），配套支撑框架为镀锌钢制龙骨（基材厚度≥1.0mm，镀锌层≥80μm），连接节点配置不锈钢防锈卡扣件（规格M5×20mm）。铝扣板采用3003铝锰合金基材（厚度0.5mm，符合</w:t>
            </w:r>
            <w:r>
              <w:rPr>
                <w:rFonts w:hint="eastAsia" w:asciiTheme="majorEastAsia" w:hAnsiTheme="majorEastAsia" w:eastAsiaTheme="majorEastAsia" w:cstheme="majorEastAsia"/>
                <w:i w:val="0"/>
                <w:iCs w:val="0"/>
                <w:color w:val="ff0000"/>
                <w:sz w:val="22"/>
                <w:szCs w:val="22"/>
                <w:u w:val="none"/>
                <w:lang w:val="en-US" w:eastAsia="zh-CN" w:bidi="ar"/>
              </w:rPr>
              <w:t xml:space="preserve">GB/T3880.3-2024</w:t>
            </w:r>
            <w:r>
              <w:rPr>
                <w:rFonts w:hint="eastAsia" w:asciiTheme="majorEastAsia" w:hAnsiTheme="majorEastAsia" w:eastAsiaTheme="majorEastAsia" w:cstheme="majorEastAsia"/>
                <w:i w:val="0"/>
                <w:iCs w:val="0"/>
                <w:color w:val="000000"/>
                <w:sz w:val="22"/>
                <w:szCs w:val="22"/>
                <w:u w:val="none"/>
                <w:lang w:val="en-US" w:eastAsia="zh-CN" w:bidi="ar"/>
              </w:rPr>
              <w:t xml:space="preserve">标准），表面辊涂哑光纯色涂层（白色或浅灰），涂层附着力达1级，甲醛释放量≤0.05mg/m</w:t>
            </w:r>
            <w:r>
              <w:rPr>
                <w:rFonts w:hint="eastAsia" w:asciiTheme="majorEastAsia" w:hAnsiTheme="majorEastAsia" w:eastAsiaTheme="majorEastAsia" w:cstheme="majorEastAsia"/>
                <w:color w:val="000000"/>
                <w:sz w:val="22"/>
                <w:szCs w:val="22"/>
                <w:u w:val="none"/>
                <w:lang w:val="en-US" w:eastAsia="zh-CN" w:bidi="ar"/>
              </w:rPr>
              <w:t xml:space="preserve">³（E0级环保）；背面无防锈涂层以降低成本，基材含铝量≥95%，密度2.73kg/m³。2.规格与结构：标准300×300mm方形板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表面处理系统：覆盖层为纳米级陶瓷涂层（膜厚≥60μm，铅笔硬度≥3H），色差ΔE≤1.5（CIE Lab标准）。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边缘处理采用R3mm圆角工艺，接缝处嵌入EPDM减震条（压缩永久变形≤15%）</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w:t>
            </w:r>
            <w:r/>
          </w:p>
        </w:tc>
      </w:tr>
      <w:tr>
        <w:trPr>
          <w:jc w:val="center"/>
          <w:trHeight w:val="9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剧院卫生间两侧更衣柜</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1、信息参数：1600*2000*400mm，基材标准：主体框架：采用E0级橡胶实木拼接板（符合GB/T 3324-2017），含水率8-12%，甲醛释放量≤0.05mg/L。</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面板材质：一级柚木贴皮（厚度≥0.6mm，GB/T 15036.2标准），耐磨转数≥3000转（依据GB/T 17657-2022）。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防潮处理：真空加压注入ACQ防腐剂（载药量≥6.5kg/m</w:t>
            </w:r>
            <w:r>
              <w:rPr>
                <w:rFonts w:hint="eastAsia" w:asciiTheme="majorEastAsia" w:hAnsiTheme="majorEastAsia" w:eastAsiaTheme="majorEastAsia" w:cstheme="majorEastAsia"/>
                <w:color w:val="000000"/>
                <w:sz w:val="22"/>
                <w:szCs w:val="22"/>
                <w:u w:val="none"/>
                <w:lang w:val="en-US" w:eastAsia="zh-CN" w:bidi="ar"/>
              </w:rPr>
              <w:t xml:space="preserve">³，符合LY/T 1636-2017）</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结构组件：</w:t>
            </w:r>
            <w:r>
              <w:rPr>
                <w:rFonts w:hint="eastAsia" w:asciiTheme="majorEastAsia" w:hAnsiTheme="majorEastAsia" w:eastAsiaTheme="majorEastAsia" w:cstheme="majorEastAsia"/>
                <w:color w:val="ff0000"/>
                <w:sz w:val="22"/>
                <w:szCs w:val="22"/>
                <w:u w:val="none"/>
                <w:lang w:val="en-US" w:eastAsia="zh-CN" w:bidi="ar"/>
              </w:rPr>
              <w:t xml:space="preserve">三合一连接件</w:t>
            </w:r>
            <w:r>
              <w:rPr>
                <w:rFonts w:hint="eastAsia" w:asciiTheme="majorEastAsia" w:hAnsiTheme="majorEastAsia" w:eastAsiaTheme="majorEastAsia" w:cstheme="majorEastAsia"/>
                <w:color w:val="000000"/>
                <w:sz w:val="22"/>
                <w:szCs w:val="22"/>
                <w:u w:val="none"/>
                <w:lang w:val="en-US" w:eastAsia="zh-CN" w:bidi="ar"/>
              </w:rPr>
              <w:t xml:space="preserve">（抗拉强度≥1200N，盐雾测试≥2000小时），液压缓冲铰链（开合寿命≥5万次，噪音≤35dB），隐藏式滑轨（承重≥50kg，</w:t>
            </w:r>
            <w:r>
              <w:rPr>
                <w:rFonts w:hint="eastAsia" w:asciiTheme="majorEastAsia" w:hAnsiTheme="majorEastAsia" w:eastAsiaTheme="majorEastAsia" w:cstheme="majorEastAsia"/>
                <w:color w:val="ff0000"/>
                <w:sz w:val="22"/>
                <w:szCs w:val="22"/>
                <w:u w:val="none"/>
                <w:lang w:val="en-US" w:eastAsia="zh-CN" w:bidi="ar"/>
              </w:rPr>
              <w:t xml:space="preserve">抽拉摩擦力≤10N</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静态承重：单层货架≥80kg（依据QB/T 2530-2011测试方法），抗倾覆系数：≥1.5（满载状态下倾斜角≤10°不倾倒）。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隔板挠度：≤1.5mm/m（加载50kg持续24小时，依据</w:t>
            </w:r>
            <w:r>
              <w:rPr>
                <w:rFonts w:hint="eastAsia" w:asciiTheme="majorEastAsia" w:hAnsiTheme="majorEastAsia" w:eastAsiaTheme="majorEastAsia" w:cstheme="majorEastAsia"/>
                <w:color w:val="ff0000"/>
                <w:sz w:val="22"/>
                <w:szCs w:val="22"/>
                <w:u w:val="none"/>
                <w:lang w:val="en-US" w:eastAsia="zh-CN" w:bidi="ar"/>
              </w:rPr>
              <w:t xml:space="preserve">GB/T 10357.4-2023《家具力学性能试验 第4部分：柜类稳定性》</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尺寸公差：长度/宽度误差≤±1.5mm，高度误差≤±2mm（激光定位切割）</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直角度：边角垂直度≤0.8mm/m（水平仪检测）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封边质量：PVC封边条贴合度≤0.3mm缝隙。</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97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剧院卫生间灯光系统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超薄铝合金平板灯8W/㎡，光通量：≥3200lm，色温：4000K（自然光色）。显色指数：Ra≥92，防护等级：IP20。特性：低压24V供电，铝合金散热背板。多光谱柔性灯带系统，2835贴片，功率：14.4W/m，色温范围：2700K-6000K（三色调光），显色指数：Ra≥90，防水等级：IP65防护结构：3M背胶+卡扣式固定，特性：支持渐变调色，抗UV老化。</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                                                                </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462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剧院舞台音响系统维修改造</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一、设备主体保持原有不变</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二、话筒升级（无线话筒*4）</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频率范围：516-558MHz（UHF），多个可选频点</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动态范围：≥105dB，信噪比 </w:t>
            </w:r>
            <w:r>
              <w:rPr>
                <w:rFonts w:hint="eastAsia" w:asciiTheme="majorEastAsia" w:hAnsiTheme="majorEastAsia" w:eastAsiaTheme="majorEastAsia" w:cstheme="majorEastAsia"/>
                <w:color w:val="000000"/>
                <w:sz w:val="22"/>
                <w:szCs w:val="22"/>
                <w:u w:val="none"/>
                <w:lang w:val="en-US" w:eastAsia="zh-CN" w:bidi="ar"/>
              </w:rPr>
              <w:t xml:space="preserve">​**&gt;110dB**​</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传输距离：无遮挡环境 ​100米​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ff0000"/>
                <w:sz w:val="22"/>
                <w:szCs w:val="22"/>
                <w:u w:val="none"/>
                <w:lang w:val="en-US" w:eastAsia="zh-CN" w:bidi="ar"/>
              </w:rPr>
              <w:t xml:space="preserve">话筒头：灵敏度 ​1.5mV/Pa</w:t>
            </w:r>
            <w:r>
              <w:rPr>
                <w:rFonts w:hint="eastAsia" w:asciiTheme="majorEastAsia" w:hAnsiTheme="majorEastAsia" w:eastAsiaTheme="majorEastAsia" w:cstheme="majorEastAsia"/>
                <w:color w:val="ff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功能​：实时频率扫描，自动匹配最佳信道</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适用场景​：移动式演讲、互动环节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拾音设备：麦克风（话筒）本体，负责声电转换。</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信号处理设备：前置放大器、混音器、音频处理器（如均衡器、压缩器）等。</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传输链路：有线线缆（如 XLR、TRS）或无线发射 / 接收模块。</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终端设备：功率放大器、音箱、录音设备或音频接口（连接电脑 / 控制台）。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项</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接待室顶部艺术装配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17657-2022标准）。局部定制实木配色铝方通饰面。</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接待室灯光系统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超薄嵌入式光源体8W/㎡，光通量：≥3200lm，色温：4000K（自然光色）。显色指数：Ra≥92，防护等级：IP20。特性：低压24V供电，铝合金散热背板。安装方式：嵌入式。LED嵌入式筒灯6W/㎡，光通量：≥3200lm，色温：4000K（自然光色）。安装方式：嵌入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   </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52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接待室空调系统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9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音乐教室1木制艺术造型展览板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1、信息参数：2600*1400mm，主体结构组件采用18mm实木多层基材，表面采用环保油漆，喷漆时需保持无尘空间，每道工序需充分干燥(通常24小时，含水率≤8%），（甲醛释放量≤0.025mg/m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³，气候箱法检测），木质复合面板（基材厚度≥0.5mm，表面涂层铅笔硬度≥3H），高分子装饰层（厚度≥3</w:t>
            </w:r>
            <w:r>
              <w:rPr>
                <w:rFonts w:hint="eastAsia" w:asciiTheme="majorEastAsia" w:hAnsiTheme="majorEastAsia" w:eastAsiaTheme="majorEastAsia" w:cstheme="majorEastAsia"/>
                <w:color w:val="000000"/>
                <w:sz w:val="22"/>
                <w:szCs w:val="22"/>
                <w:u w:val="none"/>
                <w:lang w:val="en-US" w:eastAsia="zh-CN" w:bidi="ar"/>
              </w:rPr>
              <w:t xml:space="preserve">mm，邵氏硬度60±5）。静态承重≥200kg/m²（持续24小时形变率≤0.3%）。抗弯强度≥100MPa（依据GB/T 17657-2022三点弯曲试验）。剥离强度≥120N/cm（纵向，GB/T 2791-1995标准）。异形艺术雕刻。水性面漆相应技术要求，检测依据GB 18581-2020《木器涂料中有害物质限量》、GB/T23991-2009《涂料中可溶性有害元素含量的测定》、GB/T23993-2009《水性涂料中甲醛含量的测定 乙酰丙酮分光光度法》、HJ2537-2014《环境标志产品技术要求</w:t>
            </w:r>
            <w:r>
              <w:rPr>
                <w:rFonts w:hint="eastAsia" w:asciiTheme="majorEastAsia" w:hAnsiTheme="majorEastAsia" w:eastAsiaTheme="majorEastAsia" w:cstheme="majorEastAsia"/>
                <w:color w:val="000000"/>
                <w:sz w:val="22"/>
                <w:szCs w:val="22"/>
                <w:u w:val="none"/>
                <w:lang w:val="en-US" w:eastAsia="zh-CN" w:bidi="ar"/>
              </w:rPr>
              <w:t xml:space="preserve">水性涂料》、GB/T23999-2009《室内装饰装修用水性木器涂料》，VOC 含量/(g/L),甲醛含量/(mg/kg),总铅(Pb)含量/(mgkg)(限色漆、腻子和醇酸清漆),可溶性重金属含量/(mg/kg)(限色漆、腻子和醇酸清漆)中镉(Cd)含量,铬(Cr)含量,汞(Hg)含量，乙二醇醚及醚酯总和含量/(mg/kg)，苯系物总和含量/(mgkg)[限苯、甲苯、二甲苯(含乙苯)]，烷基酚聚氧乙烯醚总和含量/(mg/kg)，挥发性有机化合物(VoC)/(g/L),乙二醇醚及其酯类的总量(乙二醇甲醚、乙</w:t>
            </w:r>
            <w:r>
              <w:rPr>
                <w:rFonts w:hint="eastAsia" w:asciiTheme="majorEastAsia" w:hAnsiTheme="majorEastAsia" w:eastAsiaTheme="majorEastAsia" w:cstheme="majorEastAsia"/>
                <w:color w:val="000000"/>
                <w:sz w:val="22"/>
                <w:szCs w:val="22"/>
                <w:u w:val="none"/>
                <w:lang w:val="en-US" w:eastAsia="zh-CN" w:bidi="ar"/>
              </w:rPr>
              <w:t xml:space="preserve">二醇甲醚醋酸酯、乙二醇乙醚、乙二醇乙醚醋酸酯、二乙二醇丁醚醋酸酯)/(mg/kg),游离甲醛/(mg/kg),苯、甲苯、二甲苯、乙苯的总量/(mg/kg),可溶性重金属含量/(mg/kg)中可溶性铅(mg/kg)，可溶性镉(mg/kg)，可溶性铬(mg/kg),可溶性汞(mg/kg),卤代烃(以二氯甲烷计) 检测结果均未检出。★投标文件中提供由国家行政管理部门认定的省级及省级以上国家检测机构出具的（具有CMA、CNAS标识）完整的水性面漆检测报告，测试内容需完全符合参数要求，不得缺项、漏项，否则视为负偏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音乐教室1木制艺术造型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1、信息参数：5800*2800mm，主体结构组件采用18mm实木多层基材，表面采用环保油漆，喷漆时需保持无尘空间，每道工序需充分干燥(通常24小时，含水率≤8%），（甲醛释放量≤0.025mg/m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³，气候箱法检测），定制木质复合饰面板，高分子装饰层。静态承重≥200kg/m²（持续24小时形变率≤0.3%）。抗弯强度≥100MPa（依据GB/T 17657-2022三点弯曲试验）。剥离强度≥120N/cm（纵向，GB/T 2791-1995标准）。聚酯纤维吸音板饰面。定制异形艺术雕刻部件。定制成品浮雕纹油画饰面板。环保木质地脚围板。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照明及电气线路系统;定制LED光源装饰带，带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音乐教室1音响系统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一、主扩声音箱</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频响范围：60Hz-20kHz（±3dB），低频延伸至45Hz（-6dB）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灵敏度：98dB（1W/1m），最大声压级 </w:t>
            </w:r>
            <w:r>
              <w:rPr>
                <w:rFonts w:hint="eastAsia" w:asciiTheme="majorEastAsia" w:hAnsiTheme="majorEastAsia" w:eastAsiaTheme="majorEastAsia" w:cstheme="majorEastAsia"/>
                <w:color w:val="000000"/>
                <w:sz w:val="22"/>
                <w:szCs w:val="22"/>
                <w:u w:val="none"/>
                <w:lang w:val="en-US" w:eastAsia="zh-CN" w:bidi="ar"/>
              </w:rPr>
              <w:t xml:space="preserve">132dB（峰值）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单元配置：低音：1×15英寸双磁低音单元。中高音：1×6.5英寸聚丙烯中音 + 1×1英寸丝膜高音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覆盖角度：90°×50°（可调号角）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功率处理：连续功率1000W（RMS），峰值4000W接口：XLR平衡输入 + NL4MP音箱线连接</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防护等级：IP55防尘防水</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适用场景：大报告厅主扩声，覆盖半径30米，支持多只串联实现立体声场</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二、无线话筒*4</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频率范围：516-558MHz（UHF），多个可选频点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动态范围：≥105dB，信噪比 ​**&gt;110dB**​</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传输距离：无遮挡环境 ​100米​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ff0000"/>
                <w:sz w:val="22"/>
                <w:szCs w:val="22"/>
                <w:u w:val="none"/>
                <w:lang w:val="en-US" w:eastAsia="zh-CN" w:bidi="ar"/>
              </w:rPr>
              <w:t xml:space="preserve">话筒头：灵敏度 ​1.5mV/Pa</w:t>
            </w:r>
            <w:r>
              <w:rPr>
                <w:rFonts w:hint="eastAsia" w:asciiTheme="majorEastAsia" w:hAnsiTheme="majorEastAsia" w:eastAsiaTheme="majorEastAsia" w:cstheme="majorEastAsia"/>
                <w:color w:val="ff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功能​：实时频率扫描，自动匹配最佳信道</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适用场景​：移动式演讲、互动环节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三、调音台（音频处理核心）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通道数：10输入+2母线输出，支持立体声混音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动态范围：≥110dB（A计权）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均衡调节：每通道15段EQ（高中低频独立调节）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效果器：内置16种DSP效果（混响、延迟、压缩等）</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接口：XLR/TRS混合输入，USB音频接口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功能：支持Dante网络音频传输，可连接远程监听</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适用场景：多路信号混合处理，实时调音与效果添加</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四、数字音频处理器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输入/输出：12输入+4输出（XLR/TRS可选）</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处理能力：多段EQ、动态压缩、噪声门、反馈抑制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采样率：24bit/96kHz，低延迟处理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功能：预设场景存储（会议/演出/音乐模式）</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接口：USB音频直录，支持远程控制APP</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适用场景​：啸叫抑制、声场优化、多设备联动控制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五、功率放大器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输出功率：4×3500W（8Ω），峰值14kW​</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总谐波失真：&lt;0.05%（20Hz-20kHz）</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散热系统：智能温控风扇，支持热插拔模块</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接口：XLR平衡输入 + NL4MP音箱输出</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保护功能：短路/过载/过热/直流偏移保护</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适用场景：驱动主扩声+低音+返听全系统，保障高功率需求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686"/>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音乐智慧黑板一体机焕新</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1、屏幕显示尺寸≥75英寸，红外触控技术，图像分辨率≥3840*2160，显示比例16:9，表面采用不低于莫氏7级高透防爆钢化玻璃，具有防眩光效果。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2、采用零贴合工艺技术，玻璃和显示屏之间没有间隙，有效提升显示效果。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3、前置非转接接口：双通道USB≥2个，TYPEC≥1个，HDMI in≥1个，USBTOUCH≥1个，USB接口均支持在安卓和Windows双系统下识别，无需区分。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4、后置接口：VGA ≥1个，VGA Audio ≥1个，Earphone ≥1个，RS232 ≥1个，HDMI In≥1个，USBTOUCH≥1个，USB≥2个，TF卡槽≥1个。</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5、整机内置嵌入式安卓系统，采用不低于12核驱动芯片，系统版本不低于安卓14.0，内存不低于4G RAM，存储不低于32G ROM。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6、支持全通道批注功能，可在任意通道下实现批注功能。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7、支持有线和无线连接，支持2.4G&amp;5G双频WIFI和热点功能。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8、屏幕底部具有磁吸设计，可以吸附触控笔。</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9、安卓系统下具有云盘网盘功能，支持在安卓联网下直接点击客户端应用程序运行打开，直接对接Windows 教学白板的云端课件，云端课件既可以在Windows 下使用又可以在安卓系统下使用。                                                                                                    1、采用标准80针OPS-C模块化电脑方案，非企业自定义接口。</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2、不低于Intel Core I5  CPU</w:t>
            </w:r>
            <w:r>
              <w:rPr>
                <w:rFonts w:hint="eastAsia" w:asciiTheme="majorEastAsia" w:hAnsiTheme="majorEastAsia" w:eastAsiaTheme="majorEastAsia" w:cstheme="majorEastAsia"/>
                <w:i w:val="0"/>
                <w:iCs w:val="0"/>
                <w:color w:val="ff0000"/>
                <w:sz w:val="22"/>
                <w:szCs w:val="22"/>
                <w:u w:val="none"/>
                <w:lang w:val="en-US" w:eastAsia="zh-CN" w:bidi="ar"/>
              </w:rPr>
              <w:t xml:space="preserve">（其他处理器亦可，性能不低于Intel Core I5即可）</w:t>
            </w:r>
            <w:r>
              <w:rPr>
                <w:rFonts w:hint="eastAsia" w:asciiTheme="majorEastAsia" w:hAnsiTheme="majorEastAsia" w:eastAsiaTheme="majorEastAsia" w:cstheme="majorEastAsia"/>
                <w:i w:val="0"/>
                <w:iCs w:val="0"/>
                <w:color w:val="000000"/>
                <w:sz w:val="22"/>
                <w:szCs w:val="22"/>
                <w:u w:val="none"/>
                <w:lang w:val="en-US" w:eastAsia="zh-CN" w:bidi="ar"/>
              </w:rPr>
              <w:t xml:space="preserve">，内存不低于8GB DDR4，固态硬盘不低于256GB SSD。具有不少于5个独立非外扩展的电脑USB接口。</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3、具有视频输出接口：至少1路HDMI接口。                                                                                            一、教学白板功能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软件应用模块的入口均在统一界面上，可整合互动应用软件，集中管理，方便老师在各软件之间的切换和使用，包括备课、授课、录屏、云课件、投屏、网盘、国家云平台、意见反馈等。支持精简显示模式和标准显示模式切换。</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2、支持手机号码注册，无需做任何任务注册即可获取不低于50G个人云空间。支持多种登录方式：账号登录，短信登录，钉钉登录，微信登录、U盘登录。支持离线使用部分功能模块。</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3、录屏功能：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1）无需额外安装其他软件即可在白板软件首页一键打开录屏功能。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2）支持选择和切换全屏录制，区域录制、应用窗口录制方式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① 全屏录制∶可对整个桌面进行一键录制;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② 区域录制∶可使用矩形拉取方式选择任意一部分桌面内容进行录制;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③应用窗口录制∶可选择桌面上任意一个应用程序进行界面录制，录制的画面只显示该应用界面区域∶</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3）支持选择使用录制倒计时功能，可随意设置录制时间。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4）支持查看录制视频的文件名，时间，文件大小。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5）录制的视频自动生成视频到表，并可在列表内点击播放，查看文件位置。以及删除操作。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4、支持备课功能，对在线资源进行搜索，预览，打开操作；课件打开后可直接编辑，并可以直接上传保存在老师个人课件中；或者一键进入授课模式，直接进行教学。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5、支持教师资源分享、支持从备课资源中获取已有资源；支持用户从本地上传资源至云端，教师个人资源云盘存储，同时支持教师将分享的资源、备课资源中的资源收藏至教师个人资源夹中。</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6、分享者可将课件、视频、文档等各类云资源精准推送至指定人员，可设定分享提取码，提取码可随机生成也可自定义；为确保时效性，分享资源可设定有效期。</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支持插入数学几何图形，可以对图形样式、颜色填充、边框、阴影、倒影、透明度等进行设计，根据需要可以对图形进行任意推动进行拉伸或压缩；图形排版，设置层级、旋转和对齐；文本动画，提供出现、动作和消失等动画模式，并可对动画开始的时间、顺序进行设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二、投屏互动教学功能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1、支持多类型设备连接：支持IOS、MAC镜像投屏、安卓移动端（Android6.0及以上）与一体机互投、Windows客户端与一体机端互投。</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2、支持多种方式连接：同一局域网内支持扫码连接和智能搜索设备名称连接。</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3、支持密码管理，首次连接需要输入密码，获得连接权限。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4、支持鼠标双击、单击功能；支持键盘功能，可远程编辑文字；支持画笔功能可批注内容；支持手势放大缩小画面。</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5、支持课件演示功能：移动端设备可自动识别到一体机端打开的PPT课件，支持缩略图放映功能，可翻页、批注和擦除。也可上传移动端的PPT文件至服务端播放，移动端可控制播放和批注，方便老师操控。</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6、具备实物展台功能：可将手机摄像头画面和麦克风声音直播至PC服务端，或将学生作业、试卷、课本等资料拍照上传至一体机端。</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7、支持一键录屏功能，可直接打开录屏软件，录 Windows 桌面。支持一键打开白板功能，关联自有软件，操作方便快捷。★投标文件中需提供由国家行政管理部门认定的检测机构出具的（带有CMA、CNAS标识）的检测报告，测试内容需完全符合参数要求，不得缺项、漏项，否则视为负偏离。</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支持手机内音视频文件直接播放，无需等待上传，方便快捷分享音视频，大文件分享更加快捷（传输文件大小≥2GB）。★投标文件中需提供由国家行政管理部门认定的检测机构出具的（带有CMA、CNAS标识）的检测报告，测试内容需完全符合参数要求，不得缺项、漏项，否则视为负偏离。</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三、集中管控功能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1、平台采用B/S和C/S混合架构设计，可在Windows、Android、iOS等多种不同的操作系统上通过网页浏览器登陆控制一体机。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2、支持两种管理员账号，包括学校管理员账号和老师管理员账号，老师管理员账号由学校管理员创建，并支持设置老师管理员的权限，包括可管理的设备列表权限和可管理的功能菜单权限。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3、支持推送视频、图片、ppt、word等文件到指定一体机,支持单个文件上传和批量上传，支持依据文件的重要性进行状态设定，可设置是否下载后自动打开。</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4、支持开启和关闭倒计日，可设定倒计日期和事项。开启倒计日功能时，一体机系统桌面显示倒计日卡片，倒计日结束后，卡片自动关闭。</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5、支持图文公告推送，支持富文本，可嵌入文字、图片等富文本材料，支持设定公告开始和结束时间。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6、支持图片展播功能，可向一体机发送不低于10张图片，设备端将进行轮播展示，可设定轮播时长和速度。</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557"/>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w:t>
            </w:r>
            <w:r/>
          </w:p>
        </w:tc>
        <w:tc>
          <w:tcPr>
            <w:shd w:val="clear" w:color="auto" w:fill="auto"/>
            <w:tcW w:w="1115"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数字音乐教学软件</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自开通之日起使用期5年，技术概述: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 系统架构:整个系统的设计分为C/S、B/S 架构，两套架构是为了满足不同场景下硬件的使用。例如考试系统为了做到足够安全，会考虑使用C/S架构。同时整体服务采用了阿里云，使用了秒级切换服务。如果服务器、数据库、缓存宕机，能做到业务无感知的情况下切换服务。同时通过阿里云强大的防火墙、waf防护服务，避免业务被恶意攻击和勒索。更大程度的保证业务鲁棒性。</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 数据库:使用 MySQL 作为数据库管理平台，MySQL使用主从架构，从业务端做了严格的读写分离。同时后台的图标数据使用了单独的adb分析型数据库，提高了查询效率，同时也不会影响线上业务。使用memcache作为平台数据二级缓存，提升检索速度和效率，同时也更大程度上保证热数据的安全性;使用redis作为一级数据缓存。提升了整个系统的吞吐能力。后端通过服务异步落地MySQL。保证了高峰期业务数据不会丢。</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1.3系统部署:后端各个服务采用 Docker进行部署，为了服务鲁棒性，做了整个业务docker集群的可伸缩性，业务高峰期可以无感扩容业务服务，低峰期可以缩容，降级业务成本。同时也可以防止大流量带来的扩容难的问题。</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1.4数据安全方面，针对用户核心数据，数据做了加密。同时在数据在业务端和服务器端交互也实现了加密传输。避免被恶意盗走数据。</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1.5服务稳定性方面，除了依托于阿里云的防护服务外，做了多层业务级别、数据级别、服务级别的全方位监控、和报警机制（报警机制包含电话、短信、企微、钉钉消息提醒），出现问题工程师能及时响应处理故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功能概述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一、授课教学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1.电子教材：满足与当地教学同步的电子教材，整体内容涵盖应不低于7个主流出版社。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2.曲谱播放：可链接自动演奏钢琴，进行钢琴自动演奏，播放设置可以变调、变速(播放过程中即可)。</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3.教唱模式：谱曲播放教学、男生唱名播放、女生唱名播放、真人唱名、伴奏+旋律、范唱播放、伴唱播放、男声节奏、女声节奏、女声试唱十种播放模式。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4.音色设置：播放过程中即可改变播放音色，具备钢琴、小提琴、单簧管、古筝、颤音琴五个音色快捷键。</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5.对应课件：对应课件包含教学参考、示例课件且支持编辑模式和教学模式，设有巩固训练，更好的实现课堂互动。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6.最近使用功能：最近使用功能，切换其他功能模块后，可直接返回当时的教学内容，依然保留板书及各项设置。</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7.一键编辑：支持教学课件一键编辑模式，包含曲谱中谱号、调号、速度、音符、节拍、歌词等二次创编；图片、音频、视频、文字、图形等素材插入。</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8.文件管理：打开文件、插入文件，支持系统格式和MIDI格式；课件可另存为图片及系统格式。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9.播放功能：可以选择单音播放、范围播放、任意位置双击播放、可选择歌词播放。范围播放：可以跨框选曲谱、歌词范围进行播放，任意位置双击播放，默认播放。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10.单音播放：可以单击某个音符，该音符高亮显示，并发音。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11.停止播放：可以点击任意位置或点击停止按钮，可停止音频的播放。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12.循环播放：可以整曲、圈选范围可以进行循环播放方便教师授课。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13.节拍器：可以跟随曲谱的节拍、速度进行播放；也可通过节拍机进行自定义节拍设置改变歌曲播放速度和节拍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14.速度播放：可以五线谱、简谱课件的播放速度通过滑动速度条进行速度调节40-208,其中含5种直选键：0.5、0.75、1(还原)、1.25、1.5倍速可调。</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15.音调设置：可以五线谱、简谱课件可以进行移调选择15种调式，其中含5种直选键：降全音、降半音、原调(还原)、升半音、升全音。（★投标文件中需提供该项功能截图并加以证明）</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16.音量设置：可以对于合唱教学、乐队总谱等多声部曲谱，可进行选择性播放，以及对每个声部进行不同音量的比例调节；支持总音量一键重置，各声部一键静音。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17（曲谱转换）功能按键：包含简线双谱、节奏谱、唱名标注、音名标注、手势图、歌词显隐、歌词标注、竖笛、箫、葫芦丝、陶笛等功能按键。（★投标文件中需提供该项功能截图并加以证明）</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18一键生成唱名、音名：支持五线谱、简谱曲谱一键生成唱名、音名与曲谱音符上下对照排列。</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19（曲谱转换）一键生成：支持五线谱、简谱曲谱一键生成科尔文手势图与曲</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20.科尔文手势：谱音符上下对照排列。</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21.一键生成歌词拼音：支持五线谱、简谱曲谱显隐歌词， 一键生成歌词拼音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22.一键转换：支持五线谱乐谱转成简谱或简谱转成五线谱，转换后的乐谱可直接播放并伴有音符高亮颜色显示播放进度，不单独生成对照谱</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23.（课堂互动）幸运大转盘：工具包-课堂互动中,含有大转盘,可进行编辑、抽奖等功能。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二、音乐理论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1.虚拟键盘：具有一组大谱表、88键/61键/实体键/三种可选的虚拟键盘。</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2.高亮显示：弹奏外接设备的同时，虚拟键盘、谱表及简谱窗口同时高亮显示。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3.三位一体同步功能：具备键盘、谱表和简谱窗口三位一体同步功能。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4.同步转换：虚拟键盘支持一键在对应琴键上显隐音名、唱名，调式转换后对应键位，音名、唱名会同步转换。</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5.无限延伸漫游功能：该功能可保留音符在谱表上的位置，且谱表具有无限延伸漫游功能，所呈现内容可左右拖动，进行标注笔迹且与谱表同步移动。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6.讲解功能：支持15种调式、支持15度音程尺讲解功能；支持32组和弦对照讲解功能。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7.五度调式循环图：外圈调号、中圈大调、内圈小调，点击调号可直接更改谱表调式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8.显隐组功能：支持88键/61键/实体键/三种虚拟键盘组的显示，包含大字组、小字组、小字一组、小字二组等。分别有不同颜色区分区分键盘组。（★投标文件中需提供该项功能截图并加以证明）</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9.钢琴自动演奏：点击谱表或虚拟键盘，可通过钢琴自动演奏进行发声。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5、四种谱表模式教学：界面五线谱谱表或简谱谱表与虚拟键盘组成，支持简谱、五线谱、高低音谱表、大谱表四种模式教学。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6、谱表编辑播放：五线谱谱表或简谱谱表支持四小节到八小节的编辑和输入教学，编辑后可进行播放。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10. 音符设置：五线谱谱表或简谱谱表输入音符时，音符可通过上下拖动改变音高。点击音符符杆可添加变音记号和符杠。</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11.音符属性：五线谱谱表或简谱谱表输入音符时可选择时值、音符及休止符，谱表小节自动识别时值。</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12.四种拍号：可设置4种拍号，包含：四二拍、四三拍、四四拍、八六拍。</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三、动感乐器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架子鼓：</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1.具有12个彩色立体按键：按键包含：底鼓、军鼓、军鼓边、踩镲合、踩镲开、吊镲、高、中、低嗵鼓、拍手、沙锤、串铃等，敲击对应按键发出对应音色。</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2.可插入音频配乐，演奏音色和配乐同时发声，配乐可显示时常、播放进度，播放进度可通过进度条拖动。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3.具有音频录制功能，可将演奏过程以音频方式录制，录制时显示录制时间，音频保存路径可自行选择。</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电子鼓机：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1.界面具有不同的按键对应不同音色，也可添加音轨。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2.类型选择：基本节奏、八六拍、流行、切分节奏、巴萨诺瓦、华尔兹、浩室音乐、深箱、现代模拟等可选。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3.编辑后的节奏可进行另存为，可通过系统文件管理打开为曲谱，支持播放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4.可选择播放和循环播放，速度40-240可选，四四拍、四三拍、八六拍三种拍号可选。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吉他：</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1.虚拟吉他和虚拟键盘均可进行弹奏，弹奏虚拟键盘单音与和弦对应吉他弦位、品格同步高亮显示。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2.具有26个吉他品格图：点击吉他品格图，虚拟键盘、虚拟吉他对应弦位、品格同步高亮显示。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3.可以通过弹奏键盘显示吉他对应位置。</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竖笛：</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1、弹奏虚拟键盘对应竖笛孔位同步高亮显示。竖笛类型可选择：8孔C调、8孔F调、6孔C调、6孔F调四种可选。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2.具有竖笛谱曲：演奏时谱表，虚拟键盘、竖笛孔位同步高亮显示。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3.播放速度可选择：0.5、0.75、1、1.25、1.5倍速调节。五线谱谱表、简谱谱表可一键互转。</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4.可打开指法对照按键，对应谱表自动生成竖笛指法参照，竖笛指法与音符上下排列。</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5.具有竖笛教学视频：内容为曲谱结合演奏示范，视频中曲谱和演奏孔位同步显示。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6.音调设置：五线谱、简谱曲谱可以进行移调选择15种调式，其中含5种直选键：降全音、降半音、原调（还原）、升半音、升全音。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口琴：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1.弹奏虚拟键盘对应口琴孔位同步高亮显示。具有吹奏提示，点开后对应显示吸、吹提示。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2.具有口琴曲谱，播放时虚拟键盘键位、曲谱、口琴同步高亮显示对应键位。</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3.具有口琴视频教程，视频中曲谱和演奏孔位同步显示。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4.口琴演奏时谱表、虚拟键盘、口琴孔位同步高亮显示，播放速度可选择：0.5、0.75、1（还原）、1.25、1.5倍速调节。五线谱谱表、简谱谱表可一键互转。</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5.音调设置：五线谱、简谱课件可以进行移调选择15种调式，其中含5种直选键：降全音、降半音、原调（还原）、升半音、升全音。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葫芦丝：</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1.具有葫芦丝曲谱：演奏时谱表，虚拟键盘、竖笛孔位同步高亮显示，播放速度可选择：0.5、0.75、1、1.25、1.5倍速调节。五线谱谱表、简谱谱表可一键互转。</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2.可打开指法对照按键，对应谱表自动生成葫芦丝指法参照，葫芦丝指法与音符上下排列。</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3.具有葫芦丝教学视频：内容为曲谱结合演奏示范，视频中曲谱和演奏孔位同步显示。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4.音调设置：五线谱、简谱课件可以进行移调选择15种调式，其中含5种直选键：降全音、降半音、原调（还原）、升半音、升全音。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四、鉴赏拓展</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1.中国音乐：中国音乐不低于190种拓展知识、包括中国乐器、中国歌唱家、中国作词作曲家、中国舞蹈、中国戏曲、中国话剧、中国戏曲等。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2.西方音乐：不低于190种拓展知识、包括西洋乐器、西方音乐家、西方歌剧、西方指挥家、西方舞蹈、西方乐团等。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3.其他音乐：不低于20种拓展知识。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4.音乐周边：不低于20种拓展知识。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5.鉴赏拓展：内容支持一键文字播放，可进行音量调节。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6.白板笔功能：支持使用铅笔、荧光笔书写，可对笔的颜色、粗细进行调节，具有橡皮</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擦除与全部擦除功能。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7.文件支持：可支持PPT、Word、视频、及系统曲谱等文件进行教学，方便教师直接用PPT进行授课。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8.白板功能：PPT教学时支持白板书写进行圈画，支持截屏、录屏，节拍机，识谱图，和虚拟键盘配合教师教学使用。</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72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MIDI键盘控制器</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1.88键全尺寸速度敏感、力度感应MIDI键盘</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2.USB、MIDI接口连接控制音乐制作、录音软件等等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3.控制器功能可以控制你的DAW，代替鼠标移动控制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4.音高、调制轮，音量/控制推子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5.即插即用的USB接口、踏板接口、MIDI输出接口触发外部设备</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6.支持iOS设备的连接、兼容Mac OSX和Windows</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7.USB供电或9 VDC电源适配器（另购）</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ff0000"/>
                <w:sz w:val="22"/>
                <w:szCs w:val="22"/>
                <w:u w:val="none"/>
                <w:lang w:val="en-US" w:eastAsia="zh-CN" w:bidi="ar"/>
              </w:rPr>
              <w:t xml:space="preserve">8.附送音乐制作软件、钢琴音源</w:t>
            </w:r>
            <w:r>
              <w:rPr>
                <w:rFonts w:hint="eastAsia" w:asciiTheme="majorEastAsia" w:hAnsiTheme="majorEastAsia" w:eastAsiaTheme="majorEastAsia" w:cstheme="majorEastAsia"/>
                <w:i w:val="0"/>
                <w:iCs w:val="0"/>
                <w:color w:val="ff0000"/>
                <w:sz w:val="22"/>
                <w:szCs w:val="22"/>
                <w:u w:val="none"/>
                <w:lang w:val="en-US" w:eastAsia="zh-CN" w:bidi="ar"/>
              </w:rPr>
              <w:br/>
            </w:r>
            <w:r>
              <w:rPr>
                <w:rFonts w:hint="eastAsia" w:asciiTheme="majorEastAsia" w:hAnsiTheme="majorEastAsia" w:eastAsiaTheme="majorEastAsia" w:cstheme="majorEastAsia"/>
                <w:i w:val="0"/>
                <w:iCs w:val="0"/>
                <w:color w:val="ff0000"/>
                <w:sz w:val="22"/>
                <w:szCs w:val="22"/>
                <w:u w:val="none"/>
                <w:lang w:val="en-US" w:eastAsia="zh-CN" w:bidi="ar"/>
              </w:rPr>
              <w:t xml:space="preserve">9.一体化音乐工作站</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10.产品尺寸：长1368mm*宽250mm*高92mm</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五线谱电教板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1、键盘：88键电钢琴键盘，体验真正的电钢琴力度。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双拉尺演示、包括两组音阶推拉尺。和弦演示尺，具有调名调号七升七降对照演示表。直观的让学生了解调名、调号、键盘、谱表之间的关系。了解调名调号与音程音阶之间的对照关系。了解不同和线之间的关系。能够完成全部乐理知识的对照讲解。</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3、五线谱表：一组可书写的大谱表,采用白色书写面板（采用紫外线光固化生产工艺有效保证板面的书写擦拭）。</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4、音色：128种GM音色+61种打击乐器音色。</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5、节奏：内置节奏100种。</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6、示范曲：内置歌曲608首。</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7、变调：五线谱12种变调。</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8、调号转换：电教鞭上具有升调“#”、降调“b”转换功能键。</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9、和弦方式：可演示任意和旋，两组和弦记忆，进行和弦对照演示。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10、伴奏：具单指和弦、多指和弦伴奏。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11、录音：具有录音功能。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12、节拍速度：可在40－280/每分钟范围可调。</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13、显示：控制面板上采用4.3寸彩色液晶屏显示。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14、接口：MIDI输入、输出接口，音频输入、输出接口。</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15、音量控制：电子电位器控制、分主音量和伴奏音量控制。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16、拓展功能：具有USB2.0接口，支持用户U盘，可读取u盘中的MP3文件和MIDI乐曲文件。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17、外接接口：通用USB2.0输入；线路输入输出。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18、该示教板以键盘为核心，配合乐理符号丝网印刷，方便乐理知识的教学，将键盘、谱表、调名、调号巧妙的联系到一起，乐理演示简捷直观，乐理解析清晰易懂。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19、具有键位与五线谱对应的双色LED指示灯，可对照键盘与五线谱相应的位置。</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20、具有7寸超大简谱显示窗口，在电子教鞭演示五线谱过程中可直接显示相对应的简谱、升降号，唱名显示功能。</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音乐教室2木制艺术造型展览板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1、信息参数：1800*1200mm，主体结构组件采用18mm实木多层基材，表面采用环保油漆，喷漆时需保持无尘空间，每道工序需充分干燥(通常24小时，含水率≤8%），（甲醛释放量≤0.025mg/m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³，气候箱法检测），定制木质复合面板，高分子装饰层。静态承重≥200kg/m²（持续24小时形变率≤0.3%）。抗弯强度≥100MPa（依据GB/T 17657-2022三点弯曲试验）。剥离强度≥120N/cm（纵向，GB/T 2791-1995标准）。异形艺术雕刻装饰。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9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音乐教室2木制艺术造型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1、信息参数：5800*2800mm，主体结构组件采用18mm实木多层基材，表面采用环保油漆，喷漆时需保持无尘空间，每道工序需充分干燥(通常24小时，含水率≤8%），（甲醛释放量≤0.025mg/m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³，气候箱法检测），定制木质复合饰面板，高分子装饰层。静态承重≥200kg/m²（持续24小时形变率≤0.3%）。抗弯强度≥100MPa（依据GB/T 17657-2022三点弯曲试验）。剥离强度≥120N/cm（纵向，GB/T 2791-1995标准）。聚酯纤维吸音板饰面。定制异形艺术雕刻部件。定制成品浮雕纹油画饰面板。环保木质地脚围板。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照明及电气线路系统;定制LED光源装饰带，带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音乐教室2音响系统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一、主扩声音箱</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频响范围：60Hz-20kHz（±3dB），低频延伸至45Hz（-6dB）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灵敏度：98dB（1W/1m），最大声压级</w:t>
            </w:r>
            <w:r>
              <w:rPr>
                <w:rFonts w:hint="eastAsia" w:asciiTheme="majorEastAsia" w:hAnsiTheme="majorEastAsia" w:eastAsiaTheme="majorEastAsia" w:cstheme="majorEastAsia"/>
                <w:color w:val="000000"/>
                <w:sz w:val="22"/>
                <w:szCs w:val="22"/>
                <w:u w:val="none"/>
                <w:lang w:val="en-US" w:eastAsia="zh-CN" w:bidi="ar"/>
              </w:rPr>
              <w:t xml:space="preserve">132dB（峰值）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单元配置：低音：1×15英寸双磁低音单元。中高音：1×6.5英寸聚丙烯中音 + 1×1英寸丝膜高音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覆盖角度：90°×50°（可调号角）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功率处理：连续功率 ​1000W​（RMS），峰值 ​4000W接口：XLR平衡输入 + NL4MP音箱线连接</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防护等级：IP55防尘防水</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适用场景：大报告厅主扩声，覆盖半径30米，支持多只串联实现立体声场</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二、无线话筒*4</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频率范围：516-558MHz（UHF），多个可选频点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动态范围：≥105dB，信噪比 ​**&gt;110dB**​</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传输距离：无遮挡环境 ​100米​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ff0000"/>
                <w:sz w:val="22"/>
                <w:szCs w:val="22"/>
                <w:u w:val="none"/>
                <w:lang w:val="en-US" w:eastAsia="zh-CN" w:bidi="ar"/>
              </w:rPr>
              <w:t xml:space="preserve">话筒头：灵敏度 ​1.5mV/Pa功能​</w:t>
            </w:r>
            <w:r>
              <w:rPr>
                <w:rFonts w:hint="eastAsia" w:asciiTheme="majorEastAsia" w:hAnsiTheme="majorEastAsia" w:eastAsiaTheme="majorEastAsia" w:cstheme="majorEastAsia"/>
                <w:color w:val="000000"/>
                <w:sz w:val="22"/>
                <w:szCs w:val="22"/>
                <w:u w:val="none"/>
                <w:lang w:val="en-US" w:eastAsia="zh-CN" w:bidi="ar"/>
              </w:rPr>
              <w:t xml:space="preserve">：实时频率扫描，自动匹配最佳信道</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适用场景​：移动式演讲、互动环节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三、调音台（音频处理核心）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通道数：10输入+2母线输出，支持立体声混音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动态范围：≥110dB（A计权）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均衡调节：每通道15段EQ（高中低频独立调节）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效果器：内置16种DSP效果（混响、延迟、压缩等）</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接口：XLR/TRS混合输入，USB音频接口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功能：支持Dante网络音频传输，可连接远程监听</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适用场景：多路信号混合处理，实时调音与效果添加</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四、数字音频处理器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输入/输出：12输入+4输出（XLR/TRS可选）</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处理能力：多段EQ、动态压缩、噪声门、反馈抑制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采样率：24bit/96kHz，低延迟处理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功能：预设场景存储（会议/演出/音乐模式）</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接口：USB音频直录，支持远程控制APP</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适用场景​：啸叫抑制、声场优化、多设备联动控制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五、功率放大器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核心参数：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输出功率：4×3500W（8Ω），峰值14kW​</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总谐波失真：&lt;0.05%（20Hz-20kHz）</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散热系统：智能温控风扇，支持热插拔模块</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接口：XLR平衡输入 + NL4MP音箱输出</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保护功能：短路/过载/过热/直流偏移保护</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适用场景：驱动主扩声+低音+返听全系统，保障高功率需求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音乐教室2定制乐谱架</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适合所有乐器配套使用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材料：铁、铝合金、塑料</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普板尺寸：约485*340mm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整体高度：约730-1400mm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外表处理工艺：静电喷粉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净重：1.85kg</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个</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37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音乐教室3顶部装配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17657-2022标准）。局部定制实木及纯白配色铝方通饰面。</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音乐教室3照明系统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超薄LDE光源体8W/㎡，光通量：≥3200lm，色温：4000K（自然光色）。显色指数：Ra≥92，防护等级：IP20。特性：低压24V供电，铝合金散热背板。LED嵌入式筒灯6W/㎡，光通量：≥3200lm，色温：4000K（自然光色）。安装方式：嵌入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3、动感照明系统驱动电源需为恒流驱动，电源有外壳并可靠固定。 </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4、功率＜45W，色温4300K-5300K，显色指数Ra＞90、R9＞50，满足6000小时光通维持率＞92%，以保证产品质量和灯具使用寿命。      5、动感照明护眼灯至少依据《GB/T 31275》、《GB/T 17743》标准经灯具电源端传导骚扰电压（或电源接口骚扰电压）、辐射骚扰、感应电流密度测试，检测结果皆为合格（或通过或符合或判定为P）。</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★投标文件中需提供由国家行政管理部门认定的检测机构出具的（具有CMA、CNAS标识）完整的护眼灯检测报告，测试内容需完全符合参数3-5项要求，不得缺项、漏项，否则视为负偏离。   </w:t>
            </w:r>
            <w:r>
              <w:rPr>
                <w:rFonts w:hint="eastAsia" w:asciiTheme="majorEastAsia" w:hAnsiTheme="majorEastAsia" w:eastAsiaTheme="majorEastAsia" w:cstheme="majorEastAsia"/>
                <w:color w:val="000000"/>
                <w:sz w:val="22"/>
                <w:szCs w:val="22"/>
                <w:u w:val="none"/>
                <w:lang w:val="en-US" w:eastAsia="zh-CN" w:bidi="ar"/>
              </w:rPr>
              <w:t xml:space="preserve">                                                                                6、动感照明护眼灯经严酷自然环境实地测试，分别在极热环境：大气压力≤100kPa，平均湿度≤50%RH、极值空气温度≥37℃及相对温差≥28℃与在极寒环境：大气压力≥100kPa，平均湿度≥50%RH、极值空气温度≤-20℃及相对温差≥34℃均至少持续运行300小时后，至少依据《GB/T9468》标准均满足光通量的实测值与初始值的偏差不超过-10%。</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7、动感照明护眼灯经严酷自然环境实地测试，分别在极热环境：大气压力≤100kPa，平均湿度≤50%RH、极值空气温度≥37℃及相对温差≥28℃与在极寒环境：大气压力≥100kPa，平均湿度≥50%RH、极值空气温度≤-20℃及相对温差≥34℃均至少持续运行300小时后，至少依据《GB/T36979》标准均满足空间颜色非均匀性△u’v’≤0.007。</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8、LED护眼灯经严酷自然环境实地测试，分别在极热环境：大气压力≤100kPa，平均湿度≤50%RH、极值空气温度≥37℃及相对温差≥28℃与在极寒环境：大气压力≥100kPa，平均湿度≥50%RH、极值空气温度≤-20℃及相对温差≥34℃均至少持续运行300小时后，至少依据《GB/T9468》标准满足光束角C0-C180及C90-C270的实测值与初始值偏差均不超过±10%。</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9、LED护眼灯经严酷自然环境实地测试，分别在极热环境：大气压力≤100kPa，平均湿度≤50%RH、极值空气温度≥37℃及相对温差≥28℃与在极寒环境：大气压力≥100kPa，平均湿度≥50%RH、极值空气温度≤-20℃及相对温差≥34℃均至少持续运行300小时后，至少依据《GB/T 18595》标准均满足浪涌性能达到C或以上等级。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10、LED护眼灯经严酷自然环境实地测试，分别在极热环境：大气压力≤100kPa，平均湿度≤50%RH、极值空气温度≥37℃及相对温差≥28℃与在极寒环境：大气压力≥100kPa，平均湿度≥50%RH、极值空气温度≤-20℃及相对温差≥34℃</w:t>
            </w:r>
            <w:r>
              <w:rPr>
                <w:rFonts w:hint="eastAsia" w:asciiTheme="majorEastAsia" w:hAnsiTheme="majorEastAsia" w:eastAsiaTheme="majorEastAsia" w:cstheme="majorEastAsia"/>
                <w:color w:val="000000"/>
                <w:sz w:val="22"/>
                <w:szCs w:val="22"/>
                <w:u w:val="none"/>
                <w:lang w:val="en-US" w:eastAsia="zh-CN" w:bidi="ar"/>
              </w:rPr>
              <w:t xml:space="preserve">均至少持续运行300小时后，至少依据《GB/T6882》标准均满足噪声≤25dB（A）。★投标文件中参数中6-10须提供由国家行政管理部门认定的检测机构出具的认证证书及全国认证认可信息公共服务平台证书状态为“有效”查询证明复印件（证书与查询证明文件上均须同时体现产品型号及认证标准；若有要求严酷自然环境实地测试条件的，证书上须体现“实地验证检测方式”）。                                                                               </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11、包含货物生产、运输、安装、调试。                                                                                          12、所有制作参照效果图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音乐教室3木制艺术造型展览板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1、信息参数：6000*2800mm，主体结构组件采用18mm实木多层基材，表面采用环保油漆，喷漆时需保持无尘空间，每道工序需充分干燥(通常24小时，含水率≤8%），（甲醛释放量≤0.025mg/m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³，气候箱法检测），定制木质复合面板，高分子装饰层（厚度≥3mm，邵氏硬度60±5）。静态承重≥200kg/m²（持续24小时形变率≤0.3%）。抗弯强度≥100MPa（依据GB/T 17657-2022三点弯曲试验）。剥离强度≥120N/cm（纵向，GB/T 2791-1995标准）定制艺术写真装饰。异形艺术雕刻。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音乐教室3木制艺术造型A</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1、信息参数：5800*2800mm，主体结构组件采用18mm实木多层基材，表面采用环保油漆，喷漆时需保持无尘空间，每道工序需充分干燥(通常24小时，含水率≤8%），（甲醛释放量≤0.025mg/m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³，气候箱法检测），定制木质复合饰面板，高分子装饰层。静态承重≥200kg/m²（持续24小时形变率≤0.3%）。抗弯强度≥100MPa（依据GB/T 17657-2022三点弯曲试验）。剥离强度≥120N/cm（纵向，GB/T 2791-1995标准）。聚酯纤维吸音板饰面。定制异形艺术雕刻部件。定制成品浮雕纹油画饰面板。环保木质地脚围板。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照明及电气线路系统;定制LED造型灯饰，带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9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音乐教室3木制艺术造型B</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1、信息参数：5800*2800mm，主体结构组件采用18mm实木多层基材，表面采用环保油漆，喷漆时需保持无尘空间，每道工序需充分干燥(通常24小时，含水率≤8%），（甲醛释放量≤0.025mg/m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³，气候箱法检测），定制木质复合饰面板，高分子装饰层。静态承重≥200kg/m²（持续24小时形变率≤0.3%）。抗弯强度≥100MPa（依据GB/T 17657-2022三点弯曲试验）。剥离强度≥120N/cm（纵向，GB/T 2791-1995标准）。定制异形艺术雕刻部件。UV艺术造型。环保木质地脚围板。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照明及电气线路系统;定制LED光源装饰带，带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音乐教室3功放音响设备</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功放：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基础性能</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输出功率：双通道独立输出，每通道额定功率 ​300W（8Ω连续）​，峰值功率600W（4Ω瞬时）​，支持定压/定阻双模式切换（定压输出范围：70V/100V）。</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频响范围：20Hz-20kHz（±1dB），全频段覆盖人耳听觉范围，满足音乐、语音双重需求。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信噪比（S/N）：≥92dB（A计权），有效抑制背景噪声，确保纯净音质。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总谐波失真（THD）：≤0.05%（1kHz，1/3额定功率），失真度低，音色还原精准。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功能特性​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输入接口：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主通道：2路XLR平衡输入（支持高阻/低阻切换）+ 2路RCA非平衡输入。</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辅助通道：1路RCA AUX输入 + 1路OPTICAL光纤输入（支持24bit/96kHz无损传输）。</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2路XLR平衡输出（带Link输出功能）+ 2路NEUTRIK SpeakON NL4MP音箱接口。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音效调节​：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高/低音独立调节（±12dB），支持多频段EQ（100Hz-15kHz可调）。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内置数字混响/回声效果器，支持啸叫抑制（Auto Feedback Canceller）。</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智能控制​：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支持蓝牙5.0无线连接，可接收手机/平板音频信号。</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配备LCD显示屏，实时显示输入信号电平、温度状态及保护状态。</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保护与安全​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多重保护机制​：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过载保护（OPP）、短路保护（SCP）、过热保护（OTP）、瞬时峰值保护（SPiKe™）。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直流偏移保护（DC Offset ≤±1V），防止设备损坏。</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散热系统​：</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智能温控风扇，根据温度自动调节转速，确保长时间高负载运行稳定性。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音响：</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声学性能​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频响范围​：20Hz-20kHz（±3dB），低频延伸至40Hz（-6dB），适合人声、器乐及背景音乐扩声。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灵敏度：92dB（1W/1m），高效率设计，降低功放负载需求。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额定功率：连续功率 ​100W（4Ω）​，峰值功率 ​200W（短时）​。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最大声压级：≥108dB（1m，粉红噪声），覆盖半径15-20米。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单元配置​</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低音单元​：8英寸（200mm）复合盆低音，90磁路设计，频响宽广，失真率≤1%。</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高音单元​：1英寸（25mm）丝膜球顶高音，指向性精准，高频延伸至20kHz。</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分频设计​：二阶分频（1.8kHz），相位对齐技术，确保频响平滑过渡。</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箱体与结构​</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箱体材质​：18mm厚高密度桦木板，内部填充吸音棉，减少驻波干扰。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覆盖角度​：水平90°×垂直60°，梯形箱体设计，优化声场覆盖。</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安装方式​：壁挂式（标配M8不锈钢吊挂件）或支架式（可旋转调节角度）。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防护等级​：IP54防尘防水，适用于教室、礼堂等复杂环境。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接口与扩展​</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输入接口：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1路XLR平衡输入 + 1路RCA非平衡输入。</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支持48V幻象电源供电（用于连接无线话筒接收器）。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输出接口​：1路XLR平衡输出（Link输出），支持多音箱串联。</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8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音乐教室3桌椅套装</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一、桌椅规格：</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桌：长1205mm*宽455mm*厚21mm，高760mm</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椅：坐板：长400mm*宽355mm*厚18mm，靠背：长405mm*宽217*厚18mm，高420mm ，一桌两椅</w:t>
            </w:r>
            <w:r>
              <w:rPr>
                <w:rFonts w:hint="eastAsia" w:asciiTheme="majorEastAsia" w:hAnsiTheme="majorEastAsia" w:eastAsiaTheme="majorEastAsia" w:cstheme="majorEastAsia"/>
                <w:sz w:val="22"/>
                <w:szCs w:val="22"/>
                <w:lang w:val="en-US" w:eastAsia="zh-CN"/>
              </w:rPr>
              <w:t xml:space="preserve">为</w:t>
            </w:r>
            <w:r>
              <w:rPr>
                <w:rFonts w:hint="eastAsia" w:asciiTheme="majorEastAsia" w:hAnsiTheme="majorEastAsia" w:eastAsiaTheme="majorEastAsia" w:cstheme="majorEastAsia"/>
                <w:sz w:val="22"/>
                <w:szCs w:val="22"/>
              </w:rPr>
              <w:t xml:space="preserve">两人位。</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二、升降课桌技术要求：</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1、桌面材质尺寸：长1205mm*宽455mm*厚21mm，采用E1级环保中纤板（表层采用三聚氰胺板贴面）采用优质PP工程塑料一次性注塑封边，无接头，整块桌面四周边沿往里倾斜设计，增加抗压、耐磨、耐冲击，身体正前方封边面带有波浪形设计最大幅度宽15mm，增加美观性，桌面上方带有2个笔槽长278mm*宽13mm，笔槽正下带有刻度标尺数字，笔槽一侧带有凸起隔档，防止掉落（笔槽与封边为一体成型），符合人体工效学及人性化设计，便于学生阅读，保护视力,桌面与书箱之间用自攻螺丝固定。</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2、课桌管材：要求采用20*50（mm）椭圆管，壁厚≥0.9mm（去漆层净厚度）；两腿落地采用20*50（mm）椭圆管，壁厚≥0.9mm（去漆层净厚度）。</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3、桌升降片材质尺寸：升降片采用0.8mm 厚冷轧钢板，斗板0.6mm厚冷轧钢板，单层桌斗板均设臵折边加强筋，总高300mm，上宽360 mm，桌斗开口高200mm，桌斗里高230mm，下宽230mm，升降片必须具有两列调节升降方孔，两列孔间距150mm，不得修补与拼接，无任何焊点，一次冲压成型，敲打无效！升降片开口处需卷边处理，卷边处理以防孩子在玩耍、使用中带来的安全保护作用，并符合人体工效学及人性化设计。</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三、升降椅技术要求：</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1、椅面材质尺寸：采用E1级环保密度板（表层采用三聚氰胺板贴面）经优质PP工程塑料一次性注塑封边，无接头，抗压、耐磨、耐冲击。规格：坐板长400mm*宽355mm*厚18mm，靠背长405mm*宽217mm*厚18mm，靠背带有手提握把设计，符合人体工效学及人性化设计，便于学生阅读，保护视力,</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2、椅管材：采用20*50（mm）椭圆管，壁厚≥0.9mm（去漆层净厚度），两腿落地采用20*50（mm）椭圆管，壁厚≥0.9mm（去漆层净厚度），靠背弯采用20mm方管，壁厚0.9mm。</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3、课椅升降片：采用0.9mm 厚冷轧板，总高180mm，上宽214 mm，下宽185mm，升降片必须具有两列调节升降孔，两列孔间距100mm，不得修补与拼接，无任何焊点，一次冲压成型，敲打无效！升降片开口处需折边处理，使用中带来的安全保护作用，并符合人体工程学及人性化设计。</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四、工艺要求：</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1、采用灰色烤漆，型材表面经除油，去锈，磷化静电喷粉高温固化而成，热固性粉末喷塑。</w:t>
            </w:r>
            <w:r/>
          </w:p>
          <w:p>
            <w:pPr>
              <w:jc w:val="left"/>
              <w:keepLines w:val="0"/>
              <w:keepNext w:val="0"/>
              <w:widowControl/>
              <w:rPr>
                <w:rFonts w:hint="eastAsia" w:asciiTheme="majorEastAsia" w:hAnsiTheme="majorEastAsia" w:eastAsiaTheme="majorEastAsia" w:cstheme="majorEastAsia"/>
                <w:sz w:val="22"/>
                <w:szCs w:val="22"/>
              </w:rPr>
              <w:suppressLineNumbers w:val="0"/>
            </w:pPr>
            <w:r>
              <w:rPr>
                <w:rFonts w:hint="eastAsia" w:asciiTheme="majorEastAsia" w:hAnsiTheme="majorEastAsia" w:eastAsiaTheme="majorEastAsia" w:cstheme="majorEastAsia"/>
                <w:sz w:val="22"/>
                <w:szCs w:val="22"/>
              </w:rPr>
              <w:t xml:space="preserve">2、所有材质（含塑粉、板材等）均需达到环保要求。</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sz w:val="22"/>
                <w:szCs w:val="22"/>
              </w:rPr>
              <w:t xml:space="preserve">3、塑料脚套规格材质：采用一次性PP塑料注塑成型，长50mm*宽22mm*高60mm，脚套落地耐磨厚度9mm，开口处带有凹凸波浪设计，增加美观、牢固性，耐用防生锈，PP塑料（原材料为聚丙烯），环保，硬度高，韧性强，表面耐磨、耐划伤、抗污抗老化、抗压抗冲击。</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位</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r>
      <w:tr>
        <w:trPr>
          <w:jc w:val="center"/>
          <w:trHeight w:val="9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音乐教室1、2、3地面艺术处理</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1.信息参数：移除地面所有物品，使用扫帚、吸尘器清除表面灰尘、杂物，地面打磨工序，首先粗磨找平，启动设备，以 5-8m/min 速度匀速打磨，打磨 2-3 遍，直至地面高低差消除，残留胶渍完全去除，边打磨边加水湿润，打磨过程中控制设备匀速移动，为抛光做准备，安装百洁垫到抛光机，先以 1500r/min 低速开蜡，再以 2000r/min 高速上光，采用十字交又法抛光，重叠区域 30%，抛光 2-3 遍。抛光完成后 24 小时内禁止人员通行，地面在干燥环境下养护 3-7天，期间做好防护，避免污染。</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项</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9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小提琴</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1、声学品质：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1.1律制：采用十二平均律；</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1.2标准音：小字一组a音为440HZ；</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1.3定弦音高：g、d1、a1、e2；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1.4音准误差：-15～+10；</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1.5音质：清晰度、柔和度、明亮度、丰满度、圆润度、平衡度、谐和性、穿透力均符合QB/T 2167-2013要求。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2、主要部位尺寸：</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2.1琴身长度355～360mm；琴身上宽度165～170mm；琴身中宽度107～112mm；琴身下宽度206～213mm；侧板上高度29～30mm；侧板下高度29～30mm；琴颈上厚度19～20mm；琴颈下厚度20～21mm；琴颈长度128.5～129.5mm；有效弦长326～328mm；指板面距面板高度26.5～27.5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2.2弦轴   轴辊长：34～36mm；大端直径8.0～8.3mm；锥度1:30；</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2.3琴马   上宽48～50mm；下宽41～43mm；高35～37mm；上厚2.0～2.5mm；下厚4.7～5.0mm；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2.4指板   长度268～272mm；上宽24～26mm；下宽41～43mm；全厚（指板最下端上表面至指板下表面厚度）10～12mm；下厚（指板最下端侧厚）5.0～6.0mm；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2.5弦     总长度110～115mm；总宽度41～43mm。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3、外观工艺：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琴体无裂缝，无磕伤、划伤；胶合部位严密，无开胶；琴体造型优美，比例匀称，线条流畅，琴头、琴颈、指板应平直、不偏斜；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琴型及音孔位置左右对称，边缘修饰整洁；涂饰着色匀净，色泽自然，漆膜透明；</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弦轴与轴孔配合严密，松紧适宜，转动灵活，弦轴缠弦不与槽底摩擦，弦槽内弦轴不相互挤压；</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琴马处弦距4/4: 34.0~35.0mm（琴马处一至四弦直线距离）；弦枕处弦距4/4: 16.0~17.0mm（弦枕处一至四弦直线距离）；</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琴马脚与面板吻合，四弦间距均等。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4、主要原材料：</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4.1面板：纹理基本正直，疏密分布合理，无腐朽、虫蛀；</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4.2背板、侧板、琴头：无腐朽、虫蛀和严重的变色；</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材料：面板采用云杉树种或材质相似的其他树种，背板、侧板及琴头使用槭木树种或材质相似的其他树种，木材均宜径切；</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4.3琴配件：使用乌木、黄杨木、枣木、槭木或材质相似的其他硬质木材，琴马用械木树种或材质相似的其他木材，宜径切；</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4.4弦总用械木树种或材质相似的其他木材，也可用符合国家环保要求的塑料或金属材料。</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把</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1556"/>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中提琴</w:t>
            </w:r>
            <w:r/>
          </w:p>
        </w:tc>
        <w:tc>
          <w:tcPr>
            <w:shd w:val="clear" w:color="auto" w:fill="auto"/>
            <w:tcW w:w="5401" w:type="dxa"/>
            <w:vAlign w:val="center"/>
            <w:textDirection w:val="lrTb"/>
            <w:noWrap w:val="false"/>
          </w:tcPr>
          <w:p>
            <w:pPr>
              <w:jc w:val="both"/>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1、材质：实木云杉面板，枫木底板、侧板，枫木琴头，红木染黑指板；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2、颜色：亮光/哑光；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3、尺寸：14寸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4、配件：琴弓，松香</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把</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152"/>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大提琴</w:t>
            </w:r>
            <w:r/>
          </w:p>
        </w:tc>
        <w:tc>
          <w:tcPr>
            <w:shd w:val="clear" w:color="auto" w:fill="auto"/>
            <w:tcW w:w="5401" w:type="dxa"/>
            <w:vAlign w:val="center"/>
            <w:textDirection w:val="lrTb"/>
            <w:noWrap w:val="false"/>
          </w:tcPr>
          <w:p>
            <w:pPr>
              <w:jc w:val="both"/>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1、材质：面板白松， 背侧板枫木， 指板乌木， 拉板乌木， 弦钮乌木；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2、颜色：亮光/哑光；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3、尺寸：弓杆760 ，4/4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4、配件：包袋、弓杆、松香、微调。</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把</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1323"/>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长笛</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1、声学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1.1采用十二平均律，标准音440HZ～443.83HZ,C调。</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1.2各音误差：-20～+35音分，最大误差≤40音分。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1.3音质纯净，高音区音色明亮、穿透力强，中音区音色纯净柔和，低音区音色丰美醇。</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2、演奏性能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2.1发音灵敏，吹奏通畅，能充分表现强、弱音和富有表现力。</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2.2手感舒适，便于演奏，按键自如，无明显金属撞击声，演奏时无滞留现象和机械噪音。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2.3符合QB/T1658.2-2012检测标准。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2.3调音管、附管滑动流畅，操作方便。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3、装配及工艺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3.1吹口与主体管 ≥35mm；主体管与尾部 ≥10mm；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3.2各节插接不错位，按键安装准确，当外力去除时回复到原位，不粘滞。</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3.3管体气密性：长笛、短笛气压损失量≤0.5KPa，中音长笛、低音长笛气压损失量≤0.75KPa。</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3.4键管与键柱端面最大间隙≤0.15mm，键棍与键柱端面最大间隙 ≤0.20mm；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3.5按键垫与音孔盖合严密，顶尖螺钉不随按键转动，节箍不松动，主体管内壁光滑平整。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4、外观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4.1按键外表面完整，焊接严密整洁，按键垫、软木粘合牢固、整洁，管体表面光滑、光亮，无明显加工痕迹合其它伤痕。</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4.2镀层表面光亮均匀、牢固，色泽一致，没有变色脱落的现象。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五、材质：白铜，表面工艺：镀镍</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支</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027"/>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双簧管</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1、调性： C调 ，22键，半自动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2、管体：胶木，黑色管体，白铜按键镀银，配手套，螺丝刀、清洁布、皮盒，配单肩背包。</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支</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单簧管</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1、声学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1.1采用十二平均律，标准音440HZ～443.83HZ,降B调。</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1.2各音音准误差：-10～+25音分，最大误差≤30音分，相邻两音误差≤9音分。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1.3音质纯净，高音区音色高亢、嘹亮，中音区音色优美、壮丽、低音区音色丰厚饱满。符合QB/T1658.3-2012检测标准。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2、演奏性能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1发音灵敏，吹奏通畅，能充分表现强、弱音和富有表现力。</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2手感舒适，便于演奏，伸缩管运动灵敏，演奏时无滞留现象和机械噪音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3调音管、附管滑动流畅，操作方便。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3、装配及工艺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3.1插接长度≥15mm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3.2按键安装准确，当外力去除时回复到原味，不粘滞。</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3.3管体气密性≤0.75MPa。</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3.4键管与键柱/键棍与键柱端面最大间隙≤0.20mm。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3.5螺钉/节箍不松动，主体管内壁光滑平整。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4、外观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音键外表面完整、焊接严密、整洁，管体表面光滑明亮、无明显加工痕迹和其它伤痕；漆层光亮、均匀、牢固，色泽一致，无变色、脱落现象。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五、材质：硬质胶木管体。6环键，镀镍，高档垫片。</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支</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小号</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1、声学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1.1采用十二平均律，标准音440HZ～443.10HZ,降B调。</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1.2最大误差≤13音分，各音误差：+7～+20音分，相邻两音误差≤20音分。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1.3音质纯净，高音区音色高亢、嘹亮，中音区音色优美、壮丽、低音区音色丰厚、坚实。</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2、演奏性能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2.1阀键启动负荷/阀键到底负荷 ≥0.9N  ≤2.8N。</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2.2各阀键之间按动到底最低负荷差/阀件耐久性≤0.1N。</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2.3发音灵敏，吹奏通畅，能充分表现强、弱音和富有表现力。</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2.4手感舒适，便于演奏，阀键运动灵敏，快速演奏时无滞留现象和机械噪音，阀件除去外力时，能迅速复位。</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2.5调音管、附管滑动流畅，操作方便。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2.6符合QB/T1657.2-2012检测标准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3、装配及工艺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3.1阀键轴孔配合间隙 ≤0.055 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3.2管体气密性：气压损失量≥0.04MPa。</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3.3调音管/附管内外配合最大间隙﹤0.07mm。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4、外观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4.1号嘴表面无砂眼、气孔、蜂窝；管体表面光滑、光亮，无明显加工痕迹和其它伤痕；镀层光亮、均匀、牢固，色泽一致，无变色、脱落现象。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4.2表面粗糙度≤0.55μm。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5、材质：黄铜管体，不锈钢活塞，表面漆金。</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支</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长号</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1、声学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1.1采用十二平均律，标准音440HZ～443.80H，降B调。</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1.2各音误差：+3～+25音分，最大误差≤21音分，相邻两音误差≤12音分。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1.3音质纯净，高音区音色高亢、嘹亮，中音区音色优美、壮丽、低音区音色丰厚饱满。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1.4符合QB/T1657.4-2012检测标准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2、演奏性能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2.1发音灵敏，吹奏通畅，能充分表现强、弱音和富有表现力。</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2.2手感舒适，便于演奏，伸缩管运动灵敏，演奏时无滞留现象和机械噪音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2.3调音管、附管滑动流畅，操作方便。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3.号口材质：黄铜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4.号口直径：200mm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5.内管直径：13.4mm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6.放水键子皮垫：软木</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7.降E调；主体管用黄铜材质，伸缩管外管黄铜、里管白铜镀铭表面喷漆工艺。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8.配专用箱包、手套、擦拭布 。</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支</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音乐教室4木制艺术造型展览板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1、信息参数：2400*2800mm，主体结构组件采用18mm实木多层基材，表面采用环保油漆，喷漆时需保持无尘空间，每道工序需充分干燥(通常24小时，含水率≤8%），（甲醛释放量≤0.025mg/m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³，气候箱法检测），定制木质复合面板，高分子装饰层。定制艺术写真装饰。异形艺术雕刻装饰。木质喷漆精工艺术字。</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音乐教室4木制艺术造型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1、信息参数：5800*2800mm，主体结构组件采用18mm实木多层基材，表面采用环保油漆，喷漆时需保持无尘空间，每道工序需充分干燥(通常24小时，含水率≤8%），（甲醛释放量≤0.025mg/m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³，气候箱法检测），定制木质复合饰面板，高分子装饰层。静态承重≥200kg/m²（持续24小时形变率≤0.3%）。抗弯强度≥100MPa（依据GB/T 17657-2022三点弯曲试验）。剥离强度≥120N/cm（纵向，GB/T 2791-1995标准）。异形艺术雕刻装饰。环保木质地脚围板。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照明及电气线路系统;定制LED光源装饰带，带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648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音乐教室4顶部装配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³，依据气候箱法检测）造型，表面覆盖复合纸面基材（内结合强度≥0.40MPa，符合GB/T 17657-2022标准）。大白乳胶漆三遍。</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防火性能：整体系统需通过小室燃烧法测试（燃烧性能等级A1级）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环保指标：挥发性有机物（TVOC）释放量≤0.3mg/m³（密闭空间72小时检测），重金属含量符合GB 18584-2001标准（铅、镉、铬等六项指标均≤90mg/kg）。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功能性验证：承重测试：静态载荷≥350kg/m²持续24小时，形变率≤0.5%。</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抗震性能：通过GB 50981-2014标准模拟测试（地震加速度0.2g工况下无结构性位移）。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声学性能：500Hz频段混响时间≤1.2秒（依据GB/T 50076-2013实测）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配套辅材：吊顶悬挂组件：直径≥8mm镀锌钢索（破断拉力≥15kN）</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防震组件：邵氏硬度60±5的EPDM橡胶垫片（压缩永久变形≤15%）</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密封材料：硅酮耐候胶（拉伸模量≥0.4MPa，符合GB/T 14683-2017标准）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音乐教室4照明系统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圆形内嵌式LDE光源体8W/㎡，光通量：≥3200lm，色温：4000K（自然光色）。显色指数：Ra≥92，防护等级：IP20。特性：低压24V供电，铝合金散热背板。LED嵌入式筒灯6W/㎡，光通量：≥3200lm，色温：4000K（自然光色）。安装方式：嵌入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音乐教室4音响功放系统</w:t>
            </w:r>
            <w:r/>
          </w:p>
        </w:tc>
        <w:tc>
          <w:tcPr>
            <w:shd w:val="clear" w:color="auto" w:fill="auto"/>
            <w:tcW w:w="5401" w:type="dxa"/>
            <w:vAlign w:val="center"/>
            <w:textDirection w:val="lrTb"/>
            <w:noWrap w:val="false"/>
          </w:tcPr>
          <w:p>
            <w:pPr>
              <w:numPr>
                <w:ilvl w:val="0"/>
                <w:numId w:val="1"/>
              </w:numPr>
              <w:jc w:val="left"/>
              <w:keepLines w:val="0"/>
              <w:keepNext w:val="0"/>
              <w:widowControl/>
              <w:rPr>
                <w:rFonts w:hint="eastAsia" w:asciiTheme="majorEastAsia" w:hAnsiTheme="majorEastAsia" w:eastAsiaTheme="majorEastAsia" w:cstheme="majorEastAsia"/>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功放：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基础性能</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输出功率：双通道独立输出，每通道额定功率300W（8Ω连续），峰值功率600W（4Ω瞬时），支持定压/定阻双模式切换（定压输出范围：70V/100V）。</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频响范围：20Hz-20kHz（±1dB），全频段覆盖人耳听觉范围，满足音乐、语音双重需求。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信噪比（S/N）：≥92dB（A计权），有效抑制背景噪声，确保纯净音质。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总谐波失真（THD）：≤0.05%（1kHz，1/3额定功率），失真度低，音色还原精准。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功能特性</w:t>
            </w:r>
            <w:r/>
          </w:p>
          <w:p>
            <w:pPr>
              <w:numPr>
                <w:ilvl w:val="0"/>
                <w:numId w:val="1"/>
              </w:num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color w:val="000000"/>
                <w:sz w:val="22"/>
                <w:szCs w:val="22"/>
                <w:u w:val="none"/>
                <w:lang w:val="en-US" w:eastAsia="zh-CN" w:bidi="ar"/>
              </w:rPr>
              <w:t xml:space="preserve">输入接口：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主通道：2路XLR平衡输入（支持高阻/低阻切换）+ 2路RCA非平衡输入。</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辅助通道：1路RCA AUX输入 + 1路OPTICAL光纤输入（支持24bit/96kHz无损传输）。</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2路XLR平衡输出（带Link输出功能）+ 2路NEUTRIK SpeakON NL4MP音箱接口。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音效调节：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高/低音独立调节（±12dB），支持多频段EQ（100Hz-15kHz可调）。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内置数字混响/回声效果器，支持啸叫抑制（Auto Feedback Canceller）。</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智能控制：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支持蓝牙5.0无线连接，可接收手机/平板音频信号。</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配备LCD显示屏，实时显示输入信号电平、温度状态及保护状态。</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保护与安全​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多重保护机制：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过载保护（OPP）、短路保护（SCP）、过热保护（OTP）、瞬时峰值保护（SPiKe™）。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直流偏移保护（DC Offset ≤±1V），防止设备损坏。</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散热系统：</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智能温控风扇，根据温度自动调节转速，确保长时间高负载运行稳定性。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音响：</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声学性能​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频响范围：20Hz-20kHz（±3dB），低频延伸至40Hz（-6dB），适合人声、器乐及背景音乐扩声。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灵敏度：92dB（1W/1m），高效率设计，降低功放负载需求。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额定功率：连续功率 ​100W（4Ω）​，峰值功率 ​200W（短时）​。</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最大声压级：≥108dB（1m，粉红噪声），覆盖半径15-20米。</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单元配置​</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低音单元：8英寸（200mm）复合盆低音，90磁路设计，频响宽广，失真率≤1%。</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高音单元：1英寸（25mm）丝膜球顶高音，指向性精准，高频延伸至20kHz。</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分频设计：二阶分频（1.8kHz），相位对齐技术，确保频响平滑过渡。</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箱体与结构​</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箱体材质：18mm厚高密度桦木板，内部填充吸音棉，减少驻波干扰。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覆盖角度：水平90°×垂直60°，梯形箱体设计，优化声场覆盖。</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安装方式​：壁挂式（标配M8不锈钢吊挂件）或支架式（可旋转调节角度）。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防护等级：IP54防尘防水，适用于教室、礼堂等复杂环境。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接口与扩展​</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输入接口：</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1路XLR平衡输入 + 1路RCA非平衡输入。</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支持48V幻象电源供电（用于连接无线话筒接收器）。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输出接口：1路XLR平衡输出（Link输出），支持多音箱串联。</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303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1447"/>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音乐教室4培训椅子</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材质说明：                                                                                                                             1)椅背：采用高品质PP胶椅背，内富含高比例玻璃纤维超结实，表面手感顺滑，耐磨耐刮。而曲线的轮廓按照人体健康工程学设计。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2)五金架：采用高品质喷黑漆五金架，电镀层厚可更强效防刮、防生锈、耐强酸碱，加厚管壁超结实，可承受1100KG重压，重点可以随意折叠</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3)座海绵：采用高品质一次成型纯海绵，超柔软富有弹性，座感超舒服，透气性超强。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木板：采用高品质10片层高温高压一次定型双木板结构，可承受1100KG重压，超结实很安心。★投标文件中提供由国家行政管理部门认定的省级及省级以上国家检测机构出具的（具有CMA、CNAS等标识）完整的培训椅（塑料材质）检测报告，抽样基数≥50，检测项目：塑料部件外观，金属部件外观，软包部件外观，喷涂件，面料色牢度，面料有害物质，尺寸极限偏差，安全要求，力学性能，形状和位置公差符合要求，甲醛释放量≤0.12mg/㎡h，TVOC≤0.5mg/㎡h。测试内容需完全符合参数要求，不得缺项、漏项，否则视为负偏离。</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r>
      <w:tr>
        <w:trPr>
          <w:jc w:val="center"/>
          <w:trHeight w:val="594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音乐教室4地面地塑</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1、规格：21000*5600mm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一、产品概述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2.0mm多层复合结构卷材地板材质为聚氯乙烯：产品结构自上而下分为五层：UV涂层、印花彩膜层、0.45mm耐磨层、玻璃纤维稳定层、1.65mm密实层。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二、产品规格</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产品为2.0mm厚度，卷材，宽幅2米，长度20米，克重3.3±0.5千克每平方米。                                                       三、性能要点</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1、外观质量：无裂纹、分层、断裂，无折皱、气泡、漏印、缺膜、图案变形，无明显套印偏差、色差、污染等缺陷；</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w:t>
            </w:r>
            <w:r>
              <w:rPr>
                <w:rFonts w:hint="eastAsia" w:asciiTheme="majorEastAsia" w:hAnsiTheme="majorEastAsia" w:eastAsiaTheme="majorEastAsia" w:cstheme="majorEastAsia"/>
                <w:i w:val="0"/>
                <w:iCs w:val="0"/>
                <w:color w:val="ff0000"/>
                <w:sz w:val="22"/>
                <w:szCs w:val="22"/>
                <w:u w:val="none"/>
                <w:lang w:val="en-US" w:eastAsia="zh-CN" w:bidi="ar"/>
              </w:rPr>
              <w:t xml:space="preserve">加热尺寸变化率：纵向≤0.40%；横向≤0.40%</w:t>
            </w:r>
            <w:r>
              <w:rPr>
                <w:rFonts w:hint="eastAsia" w:asciiTheme="majorEastAsia" w:hAnsiTheme="majorEastAsia" w:eastAsiaTheme="majorEastAsia" w:cstheme="majorEastAsia"/>
                <w:i w:val="0"/>
                <w:iCs w:val="0"/>
                <w:color w:val="000000"/>
                <w:sz w:val="22"/>
                <w:szCs w:val="22"/>
                <w:u w:val="none"/>
                <w:lang w:val="en-US" w:eastAsia="zh-CN" w:bidi="ar"/>
              </w:rPr>
              <w:t xml:space="preserve">；</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★3、PVC地板隔声性能≥24dB；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★4、PVC地板铅笔硬度≥3B；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★5、急性吸入毒性试验，试验结果对ICR小鼠的急性吸入LC50＞2000mg/ m</w:t>
            </w:r>
            <w:r>
              <w:rPr>
                <w:rFonts w:hint="eastAsia" w:asciiTheme="majorEastAsia" w:hAnsiTheme="majorEastAsia" w:eastAsiaTheme="majorEastAsia" w:cstheme="majorEastAsia"/>
                <w:color w:val="000000"/>
                <w:sz w:val="22"/>
                <w:szCs w:val="22"/>
                <w:u w:val="none"/>
                <w:lang w:val="en-US" w:eastAsia="zh-CN" w:bidi="ar"/>
              </w:rPr>
              <w:t xml:space="preserve">³。依据毒性分级，产品属于低毒级；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★6、</w:t>
            </w:r>
            <w:r>
              <w:rPr>
                <w:rFonts w:hint="eastAsia" w:asciiTheme="majorEastAsia" w:hAnsiTheme="majorEastAsia" w:eastAsiaTheme="majorEastAsia" w:cstheme="majorEastAsia"/>
                <w:color w:val="ff0000"/>
                <w:sz w:val="22"/>
                <w:szCs w:val="22"/>
                <w:u w:val="none"/>
                <w:lang w:val="en-US" w:eastAsia="zh-CN" w:bidi="ar"/>
              </w:rPr>
              <w:t xml:space="preserve">PVC地板焊接强度≥240N/50mm</w:t>
            </w:r>
            <w:r>
              <w:rPr>
                <w:rFonts w:hint="eastAsia" w:asciiTheme="majorEastAsia" w:hAnsiTheme="majorEastAsia" w:eastAsiaTheme="majorEastAsia" w:cstheme="majorEastAsia"/>
                <w:color w:val="000000"/>
                <w:sz w:val="22"/>
                <w:szCs w:val="22"/>
                <w:u w:val="none"/>
                <w:lang w:val="en-US" w:eastAsia="zh-CN" w:bidi="ar"/>
              </w:rPr>
              <w:t xml:space="preserve">；★（投标文件中提供由国家行政管理部门认定的省级及省级以上国家检测机构出具的（具有CMA、CNAS标识）出具的完整的PVC地板检测报告，测试内容需完全符合参数要求，不得缺项、漏项，否则视为负偏离。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7、铺装，含成品环保生态踢脚线。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8、包含货物生产、运输、安装。</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器乐兼排练室顶部装配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17657-2022标准）。大白乳胶漆三遍。</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器乐兼排练室照明系统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超薄LDE光源体8W/㎡，光通量：≥3200lm，色温：4000K（自然光色）。显色指数：Ra≥92，防护等级：IP20。特性：低压24V供电，铝合金散热背板。LED嵌入式筒灯6W/㎡，光通量：≥3200lm，色温：4000K（自然光色）。安装方式：嵌入式。LED虚光灯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器乐兼排练室金属艺术造型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1、信息参数：4000*2800mm，主体结构组件采用18mm实木多层基材，表面采用环保油漆，喷漆时需保持无尘空间，每道工序需充分干燥(通常24小时，含水率≤8%），（甲醛释放量≤0.025mg/m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³，气候箱法检测），静态承重≥200kg/m²（持续24小时形变率≤0.3%）。抗弯强度≥100MPa（依据GB/T 17657-2022三点弯曲试验）。剥离强度≥120N/cm（纵向，GB/T 2791-1995标准）。金属定制悬浮造型，激光雕刻圆边处理，生态木质吸音板饰面，定制12mm烤漆浮法玻璃面层，丝网印金属镂空艺术造型装饰。异形艺术雕刻。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器乐兼排练室木质艺术展览板A</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1、信息参数：5500*2800mm，主体结构组件采用18mm实木多层基材，表面采用环保油漆，喷漆时需保持无尘空间，每道工序需充分干燥(通常24小时，含水率≤8%），（甲醛释放量≤0.025mg/m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³，气候箱法检测），定制木质复合饰面板，高分子装饰层。静态承重≥200kg/m²（持续24小时形变率≤0.3%）。抗弯强度≥100MPa（依据GB/T 17657-2022三点弯曲试验）。剥离强度≥120N/cm（纵向，GB/T 2791-1995标准）。定制异形艺术雕刻部件。环保木质地脚围板。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1026"/>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器乐兼排练室木质艺术展览板A</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1、信息参数：2000*1400mm，定制异形艺术雕刻。</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器乐兼排练室储物柜</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1、信息参数：1200*1600*800mm（长x高x深），基材标准：主体框架：采用E0级实木颗粒板（符合GB/T 3324-2017），含水率8-12%，甲醛释放量≤0.05mg/L。</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面板材质：一级柚木贴皮（厚度≥0.6mm，GB/T 15036.2标准），耐磨转数≥3000转（依据GB/T 17657-2022）。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防潮处理：真空加压注入ACQ防腐剂（载药量≥6.5kg/m</w:t>
            </w:r>
            <w:r>
              <w:rPr>
                <w:rFonts w:hint="eastAsia" w:asciiTheme="majorEastAsia" w:hAnsiTheme="majorEastAsia" w:eastAsiaTheme="majorEastAsia" w:cstheme="majorEastAsia"/>
                <w:color w:val="000000"/>
                <w:sz w:val="22"/>
                <w:szCs w:val="22"/>
                <w:u w:val="none"/>
                <w:lang w:val="en-US" w:eastAsia="zh-CN" w:bidi="ar"/>
              </w:rPr>
              <w:t xml:space="preserve">³，符合LY/T 1636-2017）</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结构组件：</w:t>
            </w:r>
            <w:r>
              <w:rPr>
                <w:rFonts w:hint="eastAsia" w:asciiTheme="majorEastAsia" w:hAnsiTheme="majorEastAsia" w:eastAsiaTheme="majorEastAsia" w:cstheme="majorEastAsia"/>
                <w:color w:val="ff0000"/>
                <w:sz w:val="22"/>
                <w:szCs w:val="22"/>
                <w:u w:val="none"/>
                <w:lang w:val="en-US" w:eastAsia="zh-CN" w:bidi="ar"/>
              </w:rPr>
              <w:t xml:space="preserve">三合一连接件</w:t>
            </w:r>
            <w:r>
              <w:rPr>
                <w:rFonts w:hint="eastAsia" w:asciiTheme="majorEastAsia" w:hAnsiTheme="majorEastAsia" w:eastAsiaTheme="majorEastAsia" w:cstheme="majorEastAsia"/>
                <w:color w:val="000000"/>
                <w:sz w:val="22"/>
                <w:szCs w:val="22"/>
                <w:u w:val="none"/>
                <w:lang w:val="en-US" w:eastAsia="zh-CN" w:bidi="ar"/>
              </w:rPr>
              <w:t xml:space="preserve">（抗拉强度≥1200N，盐雾测试≥2000小时），液压缓冲铰链（开合寿命≥5万次，噪音≤35dB），隐藏式滑轨（承重≥50kg，</w:t>
            </w:r>
            <w:r>
              <w:rPr>
                <w:rFonts w:hint="eastAsia" w:asciiTheme="majorEastAsia" w:hAnsiTheme="majorEastAsia" w:eastAsiaTheme="majorEastAsia" w:cstheme="majorEastAsia"/>
                <w:color w:val="ff0000"/>
                <w:sz w:val="22"/>
                <w:szCs w:val="22"/>
                <w:u w:val="none"/>
                <w:lang w:val="en-US" w:eastAsia="zh-CN" w:bidi="ar"/>
              </w:rPr>
              <w:t xml:space="preserve">抽拉摩擦力≤10N</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静态承重：单层货架≥80kg（依据QB/T 2530-2011测试方法），抗倾覆系数：≥1.5（满载状态下倾斜角≤10°不倾倒）。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隔板挠度：≤1.5mm/m（加载50kg持续24小时，依据</w:t>
            </w:r>
            <w:r>
              <w:rPr>
                <w:rFonts w:hint="eastAsia" w:asciiTheme="majorEastAsia" w:hAnsiTheme="majorEastAsia" w:eastAsiaTheme="majorEastAsia" w:cstheme="majorEastAsia"/>
                <w:color w:val="ff0000"/>
                <w:sz w:val="22"/>
                <w:szCs w:val="22"/>
                <w:u w:val="none"/>
                <w:lang w:val="en-US" w:eastAsia="zh-CN" w:bidi="ar"/>
              </w:rPr>
              <w:t xml:space="preserve">GB/T 10357.4-2023《家具力学性能试验 第4部分：柜类稳定性》</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尺寸公差：长度/宽度误差≤±1.5mm，高度误差≤±2mm（激光定位切割）</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直角度：边角垂直度≤0.8mm/m（水平仪检测）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封边质量：PVC封边条贴合度≤0.3mm缝隙。储物柜相关技术要求：依据GB/T 3324-2017《木家具通用技术条件》、GB 18584-2001《室内装饰装修材料 木家具中有害物质限量》、GB/T 35607-2017《绿色产品评价 家具》、QB/T 2530-2011《木制柜》，检测内容中：净深≥245，层间净高≥330，产品外形尺寸偏差中产品外形宽、深、高尺寸的极限偏差为±5，配套或组合产品的极限偏差应同取正值或负值，面板、框架对角线长度≥1</w:t>
            </w:r>
            <w:r>
              <w:rPr>
                <w:rFonts w:hint="eastAsia" w:asciiTheme="majorEastAsia" w:hAnsiTheme="majorEastAsia" w:eastAsiaTheme="majorEastAsia" w:cstheme="majorEastAsia"/>
                <w:color w:val="000000"/>
                <w:sz w:val="22"/>
                <w:szCs w:val="22"/>
                <w:u w:val="none"/>
                <w:lang w:val="en-US" w:eastAsia="zh-CN" w:bidi="ar"/>
              </w:rPr>
              <w:t xml:space="preserve">000mm的检测中，要求≤3.0，面板、正视面板件对角线长度(700,1400)，要求≤2.0，面板、正视面板件对角线长度≤700，要求≤1.0，平整度面板、正视面板件:≤0.20mm.位差度(mm)中,门与框架、门与门相邻表面、抽屉与框架、抽屉与门、抽屉与抽屉相邻两表面间的距离偏差(非设计要求的距离)≤2.0mm，分缝(mm)中，所有分缝(非设计要求时)≤2.00mm,底脚平稳性(mm)≤2.0,表面理化性能要求-漆膜,耐液性(级),10%碳酸钠溶液，24h;10%乙酸溶液，24h应不低于3级。耐湿热(级</w:t>
            </w:r>
            <w:r>
              <w:rPr>
                <w:rFonts w:hint="eastAsia" w:asciiTheme="majorEastAsia" w:hAnsiTheme="majorEastAsia" w:eastAsiaTheme="majorEastAsia" w:cstheme="majorEastAsia"/>
                <w:color w:val="000000"/>
                <w:sz w:val="22"/>
                <w:szCs w:val="22"/>
                <w:u w:val="none"/>
                <w:lang w:val="en-US" w:eastAsia="zh-CN" w:bidi="ar"/>
              </w:rPr>
              <w:t xml:space="preserve">),20min，70℃。应不低于3级。耐干热(级)20min，70℃。应不低于3级。附着力(级)涂层交叉切割法。应不低于3级，耐冷热温差，高温(40+2)℃，相对湿度(95+3)%，1h。低温(-20+2)℃，1h。3周期。应无鼓泡裂缝和明显失光。耐磨性(级)1000转。应不低于3级。抗冲击(级)冲击高度50mm。应不低于3级。★投标文件中提供由国家行政管理部门认定的省级及省级以上国家检测机构出具的（具有CMA、CNAS标识）完整的储物柜检测报告，测试内容需完全符合参数要求，不得缺项、漏项，否则视为负偏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w:t>
            </w:r>
            <w:r/>
          </w:p>
        </w:tc>
      </w:tr>
      <w:tr>
        <w:trPr>
          <w:jc w:val="center"/>
          <w:trHeight w:val="324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衣服架子</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1、材质相关参数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金属种类：不锈钢具有良好的耐腐蚀性、防锈性，常用于潮湿环境；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2、尺寸相关参数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长度：在 40-60 厘米左右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宽度：一般在 15-30 厘米左右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高度：普通挂在衣柜中的衣架高度则相对较短，约 30-50 厘米。</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3、表面处理相关参数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涂层类型：常见的有粉末喷涂、环氧涂层等。粉末喷涂可以提供多种颜色选择，涂层均匀、耐磨、耐腐蚀；环氧涂层则具有良好的防锈、防腐性能，能有效保护金属衣架在潮湿环境中不生锈。</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光泽度：分为哑光和亮光等不同效果。哑光表面给人一种低调、柔和的感觉，亮光表面则更加亮丽、显眼，可根据个人喜好和使用场景选择。</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个</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200</w:t>
            </w:r>
            <w:r/>
          </w:p>
        </w:tc>
      </w:tr>
      <w:tr>
        <w:trPr>
          <w:jc w:val="center"/>
          <w:trHeight w:val="555"/>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美术作品兼仓库室功能储物造型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1、信息参数：4000*2800*400mm，基材标准：主体框架：采用E0级橡胶实木拼接板（符合GB/T 3324-2017），含水率8-12%，甲醛释放量≤0.05mg/L。</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面板材质：一级柚木贴皮（厚度≥0.6mm，GB/T 15036.2标准），耐磨转数≥3000转（依据GB/T 17657-2022）。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防潮处理：真空加压注入ACQ防腐剂（载药量≥6.5kg/m</w:t>
            </w:r>
            <w:r>
              <w:rPr>
                <w:rFonts w:hint="eastAsia" w:asciiTheme="majorEastAsia" w:hAnsiTheme="majorEastAsia" w:eastAsiaTheme="majorEastAsia" w:cstheme="majorEastAsia"/>
                <w:color w:val="000000"/>
                <w:sz w:val="22"/>
                <w:szCs w:val="22"/>
                <w:u w:val="none"/>
                <w:lang w:val="en-US" w:eastAsia="zh-CN" w:bidi="ar"/>
              </w:rPr>
              <w:t xml:space="preserve">³，符合LY/T 1636-2017）</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结构组件：</w:t>
            </w:r>
            <w:r>
              <w:rPr>
                <w:rFonts w:hint="eastAsia" w:asciiTheme="majorEastAsia" w:hAnsiTheme="majorEastAsia" w:eastAsiaTheme="majorEastAsia" w:cstheme="majorEastAsia"/>
                <w:color w:val="ff0000"/>
                <w:sz w:val="22"/>
                <w:szCs w:val="22"/>
                <w:u w:val="none"/>
                <w:lang w:val="en-US" w:eastAsia="zh-CN" w:bidi="ar"/>
              </w:rPr>
              <w:t xml:space="preserve">三合一连接件</w:t>
            </w:r>
            <w:r>
              <w:rPr>
                <w:rFonts w:hint="eastAsia" w:asciiTheme="majorEastAsia" w:hAnsiTheme="majorEastAsia" w:eastAsiaTheme="majorEastAsia" w:cstheme="majorEastAsia"/>
                <w:color w:val="000000"/>
                <w:sz w:val="22"/>
                <w:szCs w:val="22"/>
                <w:u w:val="none"/>
                <w:lang w:val="en-US" w:eastAsia="zh-CN" w:bidi="ar"/>
              </w:rPr>
              <w:t xml:space="preserve">（抗拉强度≥1200N，盐雾测试≥2000小时），液压缓冲铰链（开合寿命≥5万次，噪音≤35dB），隐藏式滑轨（承重≥50kg，</w:t>
            </w:r>
            <w:r>
              <w:rPr>
                <w:rFonts w:hint="eastAsia" w:asciiTheme="majorEastAsia" w:hAnsiTheme="majorEastAsia" w:eastAsiaTheme="majorEastAsia" w:cstheme="majorEastAsia"/>
                <w:color w:val="ff0000"/>
                <w:sz w:val="22"/>
                <w:szCs w:val="22"/>
                <w:u w:val="none"/>
                <w:lang w:val="en-US" w:eastAsia="zh-CN" w:bidi="ar"/>
              </w:rPr>
              <w:t xml:space="preserve">抽拉摩擦力≤10N</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静态承重：单层货架≥80kg（依据QB/T 2530-2011测试方法），抗倾覆系数：≥1.5（满载状态下倾斜角≤10°不倾倒）。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隔板挠度：≤1.5mm/m（加载50kg持续24小时，依据</w:t>
            </w:r>
            <w:r>
              <w:rPr>
                <w:rFonts w:hint="eastAsia" w:asciiTheme="majorEastAsia" w:hAnsiTheme="majorEastAsia" w:eastAsiaTheme="majorEastAsia" w:cstheme="majorEastAsia"/>
                <w:color w:val="ff0000"/>
                <w:sz w:val="22"/>
                <w:szCs w:val="22"/>
                <w:u w:val="none"/>
                <w:lang w:val="en-US" w:eastAsia="zh-CN" w:bidi="ar"/>
              </w:rPr>
              <w:t xml:space="preserve">GB/T 10357.4-2023《家具力学性能试验 第4部分：柜类稳定性》</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尺寸公差：长度/宽度误差≤±1.5mm，高度误差≤±2mm（激光定位切割）</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直角度：边角垂直度≤0.8mm/m（水平仪检测）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封边质量：PVC封边条贴合度≤0.3mm缝隙。</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定制艺术雕刻装饰，木质精工雕刻喷漆艺术字。</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美术作品兼仓库室功能储物矮柜</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1、信息参数：4000*800*400mm，基材标准：主体框架：采用E0级橡胶实木拼接板（符合GB/T 3324-2017），含水率8-12%，甲醛释放量≤0.05mg/L。</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面板材质：一级柚木贴皮（厚度≥0.6mm，GB/T 15036.2标准），耐磨转数≥3000转（依据GB/T 17657-2022）。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防潮处理：真空加压注入ACQ防腐剂（载药量≥6.5kg/m</w:t>
            </w:r>
            <w:r>
              <w:rPr>
                <w:rFonts w:hint="eastAsia" w:asciiTheme="majorEastAsia" w:hAnsiTheme="majorEastAsia" w:eastAsiaTheme="majorEastAsia" w:cstheme="majorEastAsia"/>
                <w:color w:val="000000"/>
                <w:sz w:val="22"/>
                <w:szCs w:val="22"/>
                <w:u w:val="none"/>
                <w:lang w:val="en-US" w:eastAsia="zh-CN" w:bidi="ar"/>
              </w:rPr>
              <w:t xml:space="preserve">³，符合LY/T 1636-2017）</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结构组件：</w:t>
            </w:r>
            <w:r>
              <w:rPr>
                <w:rFonts w:hint="eastAsia" w:asciiTheme="majorEastAsia" w:hAnsiTheme="majorEastAsia" w:eastAsiaTheme="majorEastAsia" w:cstheme="majorEastAsia"/>
                <w:color w:val="ff0000"/>
                <w:sz w:val="22"/>
                <w:szCs w:val="22"/>
                <w:u w:val="none"/>
                <w:lang w:val="en-US" w:eastAsia="zh-CN" w:bidi="ar"/>
              </w:rPr>
              <w:t xml:space="preserve">三合一连接件</w:t>
            </w:r>
            <w:r>
              <w:rPr>
                <w:rFonts w:hint="eastAsia" w:asciiTheme="majorEastAsia" w:hAnsiTheme="majorEastAsia" w:eastAsiaTheme="majorEastAsia" w:cstheme="majorEastAsia"/>
                <w:color w:val="000000"/>
                <w:sz w:val="22"/>
                <w:szCs w:val="22"/>
                <w:u w:val="none"/>
                <w:lang w:val="en-US" w:eastAsia="zh-CN" w:bidi="ar"/>
              </w:rPr>
              <w:t xml:space="preserve">（抗拉强度≥1200N，盐雾测试≥2000小时），液压缓冲铰链（开合寿命≥5万次，噪音≤35dB），隐藏式滑轨（承重≥50kg，</w:t>
            </w:r>
            <w:r>
              <w:rPr>
                <w:rFonts w:hint="eastAsia" w:asciiTheme="majorEastAsia" w:hAnsiTheme="majorEastAsia" w:eastAsiaTheme="majorEastAsia" w:cstheme="majorEastAsia"/>
                <w:color w:val="ff0000"/>
                <w:sz w:val="22"/>
                <w:szCs w:val="22"/>
                <w:u w:val="none"/>
                <w:lang w:val="en-US" w:eastAsia="zh-CN" w:bidi="ar"/>
              </w:rPr>
              <w:t xml:space="preserve">抽拉摩擦力≤10N</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静态承重：单层货架≥80kg（依据QB/T 2530-2011测试方法），抗倾覆系数：≥1.5（满载状态下倾斜角≤10°不倾倒）。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隔板挠度：≤1.5mm/m（加载50kg持续24小时，依据</w:t>
            </w:r>
            <w:r>
              <w:rPr>
                <w:rFonts w:hint="eastAsia" w:asciiTheme="majorEastAsia" w:hAnsiTheme="majorEastAsia" w:eastAsiaTheme="majorEastAsia" w:cstheme="majorEastAsia"/>
                <w:color w:val="ff0000"/>
                <w:sz w:val="22"/>
                <w:szCs w:val="22"/>
                <w:u w:val="none"/>
                <w:lang w:val="en-US" w:eastAsia="zh-CN" w:bidi="ar"/>
              </w:rPr>
              <w:t xml:space="preserve">GB/T 10357.4-2023《家具力学性能试验 第4部分：柜类稳定性》</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尺寸公差：长度/宽度误差≤±1.5mm，高度误差≤±2mm（激光定位切割）</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直角度：边角垂直度≤0.8mm/m（水平仪检测）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封边质量：PVC封边条贴合度≤0.3mm缝隙。</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美术作品兼仓库室木制艺术展览板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1、信息参数：5500*1600mm，主体结构组件采用18mm实木多层基材，表面采用环保油漆，喷漆时需保持无尘空间，每道工序需充分干燥(通常24小时，含水率≤8%），（甲醛释放量≤0.025mg/m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³，气候箱法检测），静态承重≥200kg/m²（持续24小时形变率≤0.3%）。抗弯强度≥100MPa（依据GB/T 17657-2022三点弯曲试验）。剥离强度≥120N/cm（纵向，GB/T 2791-1995标准）。异形木质艺术叠级雕刻装饰。定制自办展示版面部件，饰面类型：三聚氰胺纸/木皮/喷绘布，压纹工艺：条纹（3cm/5cm宽）、方格、竹纹（误差≤±0.5mm），邵氏硬度：≥60 HA（GB/T 531.1），热压成型：温度180-220℃，压力≥8MPa。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9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写生教具2（几何形体）</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1.信息参数：1、六棱柱：高235mm，棱长65mm；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2、圆柱体：高235mm，底面直径120mm；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3、长方体：100*100*235mm；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4、正方体：边长160mm；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5、圆球体：直径190mm；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6、圆锥体：高230mm，底部直径160mm；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7、方锥体：高不小于230mm，底部棱长150mm；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材质：热固性树脂，环保，表面光滑、无异味。棱角分明，线条清晰，强度高，抗磨、抗摔，耐脏，可水洗，使用年限长。写生教具2（几何形体）相应的技术要求，检测依据：QB/T 4071-2021《课桌椅》GB/T2577-2005《玻璃纤维增强塑料树脂含量试验方法》塑料件外观检测中应无裂纹、明显变形、缩水、针孔，检测结果为无裂纹、</w:t>
            </w:r>
            <w:r>
              <w:rPr>
                <w:rFonts w:hint="eastAsia" w:asciiTheme="majorEastAsia" w:hAnsiTheme="majorEastAsia" w:eastAsiaTheme="majorEastAsia" w:cstheme="majorEastAsia"/>
                <w:i w:val="0"/>
                <w:iCs w:val="0"/>
                <w:color w:val="000000"/>
                <w:sz w:val="22"/>
                <w:szCs w:val="22"/>
                <w:u w:val="none"/>
                <w:lang w:val="en-US" w:eastAsia="zh-CN" w:bidi="ar"/>
              </w:rPr>
              <w:t xml:space="preserve">明显变形、缩水、针孔。塑料件中有害物质限量（邻苯二甲酸酯（DBP、BBP、DEHP、DNOP、DINP和DIDP的总量）应要求≤0.1%，检测结果未检出。在重金属(mg/kg)检测中，可溶性铅≤90，检测结果未检出。可溶性镉≤75，检测结果未检出。可溶性铬≤60，检测结果未检出。可溶性汞≤60，检测结果未检出。★投标文件中提供由国家行政管理部门认定的省级及省级以上国家检测机构出具的（具有CMA、CNAS标识）的完整的写生教具2（几何形体）检测报告，测试内容需完全符合参数要求，不得缺项、漏项，否则视为负偏离。</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r>
      <w:tr>
        <w:trPr>
          <w:jc w:val="center"/>
          <w:trHeight w:val="459"/>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静物台衬布</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规格：1000×2000mm，材质：棉、绒</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r>
      <w:tr>
        <w:trPr>
          <w:jc w:val="center"/>
          <w:trHeight w:val="94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定制写生教具套装</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配置：彩陶2件（200mm）、瓷器2件(200mm)、木质关节人1件、仿真水果4件、塑料花1件</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r>
      <w:tr>
        <w:trPr>
          <w:jc w:val="center"/>
          <w:trHeight w:val="1037"/>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美术清洁工具套装</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1.信息参数：包含定画液喷雾、可塑橡皮、除尘毛刷、溶剂清洁布等。</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2.包含货物生产、运输、安装。</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r>
      <w:tr>
        <w:trPr>
          <w:jc w:val="center"/>
          <w:trHeight w:val="362"/>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美术作品兼仓库室顶部装配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17657-2022标准）。定制16mm盒体造型装饰，半嵌入式固定。</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LED造型光源体7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17657-2022标准）。定制木质艺术造型吸顶式安装。LED嵌入式筒灯6W/㎡，光通量：≥3200lm，色温：4000K（自然光色）。安装方式：嵌入式。LED虚光灯带。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大白乳胶漆三遍。</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艺术UV造型灯箱12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木制艺术造型展览板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1、信息参数：6000*2800mm，3200*2800mm。主体结构组件采用18mm实木多层基材，定制木质复合饰面板，高分子装饰层（厚度≥3mm，邵氏硬度60±5）。静态承重≥200kg/m</w:t>
            </w:r>
            <w:r>
              <w:rPr>
                <w:rFonts w:hint="eastAsia" w:asciiTheme="majorEastAsia" w:hAnsiTheme="majorEastAsia" w:eastAsiaTheme="majorEastAsia" w:cstheme="majorEastAsia"/>
                <w:color w:val="000000"/>
                <w:sz w:val="22"/>
                <w:szCs w:val="22"/>
                <w:u w:val="none"/>
                <w:lang w:val="en-US" w:eastAsia="zh-CN" w:bidi="ar"/>
              </w:rPr>
              <w:t xml:space="preserve">²（持续24小时形变率≤0.3%）。抗弯强度≥100MPa（依据GB/T 17657-2022三点弯曲试验）。剥离强度≥120N/cm（纵向，GB/T 2791-1995标准）定制艺术写真装饰。异形艺术雕刻。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木制艺术造型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1、信息参数：5500*2800mm，主体结构组件采用18mm实木多层基材，表面采用环保油漆，喷漆时需保持无尘空间，每道工序需充分干燥(通常24小时，含水率≤8%），（甲醛释放量≤0.025mg/m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w:t>
            </w:r>
            <w:r>
              <w:rPr>
                <w:rFonts w:hint="eastAsia" w:asciiTheme="majorEastAsia" w:hAnsiTheme="majorEastAsia" w:eastAsiaTheme="majorEastAsia" w:cstheme="majorEastAsia"/>
                <w:color w:val="000000"/>
                <w:sz w:val="22"/>
                <w:szCs w:val="22"/>
                <w:u w:val="none"/>
                <w:lang w:val="en-US" w:eastAsia="zh-CN" w:bidi="ar"/>
              </w:rPr>
              <w:t xml:space="preserve">合面板，高分子装饰层（厚度≥3mm，邵氏硬度60±5）。静态承重≥200kg/m²（持续24小时形变率≤0.3%）。抗弯强度≥100MPa（依据GB/T 17657-2022三点弯曲试验）。剥离强度≥120N/cm（纵向，GB/T 2791-1995标准）定制艺术写真装饰。异形艺术雕刻。定制自办展示版面部件，饰面类型：三聚氰胺纸/木皮/喷绘布，压纹工艺：条纹（3cm/5cm宽）、方格、竹纹（误差≤±0.5mm），邵氏硬度：≥60 HA（GB/T 531.1），热压成型：温度180-220℃，压力≥8MPa。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调色板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1、信息参数：食品级PP树脂（耐温范围-20℃~120℃，符合GB 4806.7-2016），厚度：≥3.5mm（抗压强度≥15MPa，ASTM D648）。分区设计：冷/暖色区划分（误差≤±2mm，符合美术行业标准）。保色时长：丙烯颜料干燥后不粘连（时间≥24小时）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r>
      <w:tr>
        <w:trPr>
          <w:jc w:val="center"/>
          <w:trHeight w:val="497"/>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数位屏绘画系统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操作系统OS Win10</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处理器 CPU I7-12700H</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内存  RAM 16GB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硬盘  SSD 512GB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显卡 Graphics NVIDIA GeForce GTX 1060 (4G)</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内置蓝牙 Built-in BT Bluetooth5.0</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局域网 LAN 10/100/1000Mbps</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无线局域网 W-LAN WIFI 6  AX200 </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屏幕尺寸 LCM size 21.5</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分辨率 Resolution     1920*1080</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屏幕比例 Ratio 16:09</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触摸 Touch 10点触控 全贴合工艺,AF+AG防指纹处理防眩光 G+G 10-point touch full-fit technology, AF+AG</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手写方式 原笔迹电磁手写</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压感级别 8192级</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麦克风 MIC  数字麦克风</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扬声器 Speaker 4Ω/3W*2  BOX</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音频端口 Audio  I/O 1*1</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USB I/O 3*USB-A 3.1    1*USB-C</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电源 Power I/O 1*1</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HDMI 1*1 2.0</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RJ45 1*1</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COM 1*1</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美术智慧黑板一体机焕新</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1、屏幕显示尺寸≥75英寸，红外触控技术，图像分辨率≥3840*2160，显示比例16:9，表面采用不低于莫氏7级高透防爆钢化玻璃，具有防眩光效果。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2、采用零贴合工艺技术，玻璃和显示屏之间没有间隙，有效提升显示效果。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3、前置非转接接口：双通道USB≥2个，TYPEC≥1个，HDMI in≥1个，USBTOUCH≥1个，USB接口均支持在安卓和Windows双系统下识别，无需区分。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4、后置接口：VGA ≥1个，VGA Audio ≥1个，Earphone ≥1个，RS232 ≥1个，HDMI In≥1个，USBTOUCH≥1个，USB≥2个，TF卡槽≥1个。</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5、整机内置嵌入式安卓系统，采用不低于12核驱动芯片，系统版本不低于安卓14.0，内存不低于4G RAM，存储不低于32G ROM。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6、支持全通道批注功能，可在任意通道下实现批注功能。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7、支持有线和无线连接，支持2.4G&amp;5G双频WIFI和热点功能。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8、屏幕底部具有磁吸设计，可以吸附触控笔。</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9、安卓系统下具有云盘网盘功能，支持在安卓联网下直接点击客户端应用程序运行打开，直接对接Windows 教学白板的云端课件，云端课件既可以在Windows 下使用又可以在安卓系统下使用。                                                                                                    1、采用标准80针OPS-C模块化电脑方案，非企业自定义接口。</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2、不低于Intel Core I5  CPU，内存不低于8GB DDR4，固态硬盘不低于256GB SSD。具有不少于5个独立非外扩展的电脑USB接口。</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3、具有视频输出接口：至少1路HDMI接口。                                                                                            一、教学白板功能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软件应用模块的入口均在统一界面上，可整合互动应用软件，集中管理，方便老师在各软件之间的切换和使用，包括备课、授课、录屏、云课件、投屏、网盘、国家云平台、意见反馈等。支持精简显示模式和标准显示模式切换。</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2、支持手机号码注册，无需做任何任务注册即可获取不低于50G个人云空间。支持多种登录方式：账号登录，短信登录，钉钉登录，微信登录、U盘登录。支持离线使用部分功能模块。</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3、录屏功能：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1）无需额外安装其他软件即可在白板软件首页一键打开录屏功能。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2）支持选择和切换全屏录制，区域录制、应用窗口录制方式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① 全屏录制∶可对整个桌面进行一键录制;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② 区域录制∶可使用矩形拉取方式选择任意一部分桌面内容进行录制;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③应用窗口录制∶可选择桌面上任意一个应用程序进行界面录制，录制的画面只显示该应用界面区域∶</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3）支持选择使用录制倒计时功能，可随意设置录制时间。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4）支持查看录制视频的文件名，时间，文件大小。</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5）录制的视频自动生成视频到表，并可在列表内点击播放，查看文件位置。以及删除操作。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4、支持备课功能，对在线资源进行搜索，预览，打开操作；课件打开后可直接编辑，并可以直接上传保存在老师个人课件中；或者一键进入授课模式，直接进行教学。</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5、支持教师资源分享、支持从备课资源中获取已有资源；支持用户从本地上传资源至云端，教师个人资源云盘存储，同时支持教师将分享的资源、备课资源中的资源收藏至教师个人资源夹中。</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6、分享者可将课件、视频、文档等各类云资源精准推送至指定人员，可设定分享提取码，提取码可随机生成也可自定义；为确保时效性，分享资源可设定有效期。</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支持插入数学几何图形，可以对图形样式、颜色填充、边框、阴影、倒影、透明度等进行设计，根据需要可以对图形进行任意推动进行拉伸或压缩；图形排版，设置层级、旋转和对齐；文本动画，提供出现、动作和消失等动画模式，并可对动画开始的时间、顺序进行设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二、投屏互动教学功能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1、支持多类型设备连接：支持IOS、MAC镜像投屏、安卓移动端（Android6.0及以上）与一体机互投、Windows客户端与一体机端互投。</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2、支持多种方式连接：同一局域网内支持扫码连接和智能搜索设备名称连接。</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3、支持密码管理，首次连接需要输入密码，获得连接权限。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4、支持鼠标双击、单击功能；支持键盘功能，可远程编辑文字；支持画笔功能可批注内容；支持手势放大缩小画面。</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5、支持课件演示功能：移动端设备可自动识别到一体机端打开的PPT课件，支持缩略图放映功能，可翻页、批注和擦除。也可上传移动端的PPT文件至服务端播放，移动端可控制播放和批注，方便老师操控。</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6、具备实物展台功能：可将手机摄像头画面和麦克风声音直播至PC服务端，或将学生作业、试卷、课本等资料拍照上传至一体机端。</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7、支持一键录屏功能，可直接打开录屏软件，录 Windows 桌面。支持一键打开白板功能，关联自有软件，操作方便快捷。</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8、支持手机内音视频文件直接播放，无需等待上传，方便快捷分享音视频，大文件分享更加快捷（传输文件大小≥2GB）。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三、集中管控功能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1、平台采用B/S和C/S混合架构设计，可在Windows、Android、iOS等多种不同的操作系统上通过网页浏览器登陆控制一体机。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2、支持两种管理员账号，包括学校管理员账号和老师管理员账号，老师管理员账号由学校管理员创建，并支持设置老师管理员的权限，包括可管理的设备列表权限和可管理的功能菜单权限。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3、支持推送视频、图片、ppt、word等文件到指定一体机,支持单个文件上传和批量上传，支持依据文件的重要性进行状态设定，可设置是否下载后自动打开。</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4、支持开启和关闭倒计日，可设定倒计日期和事项。开启倒计日功能时，一体机系统桌面显示倒计日卡片，倒计日结束后，卡片自动关闭。</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5、支持图文公告推送，支持富文本，可嵌入文字、图片等富文本材料，支持设定公告开始和结束时间。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6、支持图片展播功能，可向一体机发送不低于10张图片，设备端将进行轮播展示，可设定轮播时长和速度。</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美术教学软件</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仿真画笔功能：具备铅笔、钢笔、喷笔、油画笔、水彩笔、麦克笔、毛笔、刻刀、特制笔、蜡笔等不少于50种仿真画笔（软件自带，无需用户自行添加），具备橡皮擦和一键清除图层功能；（★投标文件中需提供该项功能截图并加以证明）</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软硬橡皮功能：可通过拖拽调节橡皮大小，具备软硬两种橡皮模式，可以自由曲线和直线两种方式清除笔迹。</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图像处理功能：不少于20项图像编辑功能，可对图像进行模糊渐变、添加阴影、风格化设置、前景背景互换、明亮度调节、透明度调节、黑白转换、灰阶调节、反向模式、色彩度调节、色彩互换等后期处理。（★投标文件中需提供该项功能截图并加以证明）</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选区抠图功能：不少于8种选框模板，支持矩形连线选取和自由套索选取，具备魔棒工具。</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插入素材功能：包含不少于800个图片、动画、相框等素材的美术图库，可直接拖拽到图层使用，支持对素材进行拉伸、缩放、旋转、羽化等操作。</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图片输入功能：可通过扫描仪、数码相机将作品拍摄导入到图层，支持选取本地图片导入，具备通过输入图片网址直接在线导入功能。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图片导出功能：支持将图片直接设为桌面、通过邮件发送和打印功能。</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图片保存功能：支持7种常用格式图片保存，可对原文件进行二次编辑。</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文字录入功能：可设置文字字体、颜色、大小、透明度，支持横坚两种版式，内置9种字体效果以供快速切换。</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设计测量功能：具备数字化设计稿纸和尺寸测量工具，支持自由拖拽、自动测距、单位切换、数值调整。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动画制作功能：支持通过拖调节动画播放速度，可将动画保存为GIF动态图片或AVI视频。</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微课制作功能：可同步录屏、录音，支持将录制内容保存为MP4格式微课。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记录过程功能：可同步记录存储书写过程，支持录制内容反复播放。</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提交作品功能：学生可将作品提交至局域网管理端，并查看自己上传的作品。</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班级展厅功能：学生可查看班级其它成员提交的作品，可以将自己的作品调用到画布进行二次编辑。</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教师管理端功能：拥有独立的教师管理端软件，支持不低于50个点的学生端；可分配师生帐号，支持批量导入；可分配班级、支持自由设定班级名称，自动记录教学内容；可查看学生作品、对通过系统预设的评语模板对学生作品进行一键点评；可向学生下发图片素材作为教学课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三维模型功能：软件内置不低于50种3D模型，可将绘画作品实时为3D模型贴图，具备推拉摇移等多方位预览作品并可一键输出多角度图形文件。</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美术教室1桌子</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桌子尺寸规格：1200×600×750mm</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材采用橡胶木实木，木材含水率8%～16%，甲醛释放量≤0.01mg/m³，木材硬度端面≥6500N，弦面≥6300N，径面≥6100N，抗弯弹性模量≥11300MPa，抑菌率≥99.9%，防霉菌等级均为0级，符合GB/T3324-2017、GB/T35607-2017、GB18580-2017、QB/T4371-2012、JC/T 2039-2010、GB/T 1927.10-2021检测标准。</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2、油漆：采用环保水性底漆、面漆，VOC含量≤2g/L，甲醛含量≤5mg/kg，总铅含量未检出，可溶性重金属含量镉、铬、汞均</w:t>
            </w:r>
            <w:r>
              <w:rPr>
                <w:rFonts w:hint="eastAsia" w:asciiTheme="majorEastAsia" w:hAnsiTheme="majorEastAsia" w:eastAsiaTheme="majorEastAsia" w:cstheme="majorEastAsia"/>
                <w:i w:val="0"/>
                <w:iCs w:val="0"/>
                <w:color w:val="ff0000"/>
                <w:sz w:val="22"/>
                <w:szCs w:val="22"/>
                <w:u w:val="none"/>
                <w:lang w:val="en-US" w:eastAsia="zh-CN" w:bidi="ar"/>
              </w:rPr>
              <w:t xml:space="preserve">＜检出限</w:t>
            </w:r>
            <w:r>
              <w:rPr>
                <w:rFonts w:hint="eastAsia" w:asciiTheme="majorEastAsia" w:hAnsiTheme="majorEastAsia" w:eastAsiaTheme="majorEastAsia" w:cstheme="majorEastAsia"/>
                <w:i w:val="0"/>
                <w:iCs w:val="0"/>
                <w:color w:val="000000"/>
                <w:sz w:val="22"/>
                <w:szCs w:val="22"/>
                <w:u w:val="none"/>
                <w:lang w:val="en-US" w:eastAsia="zh-CN" w:bidi="ar"/>
              </w:rPr>
              <w:t xml:space="preserve">，乙二醇醚及醚酯总和含量</w:t>
            </w:r>
            <w:r>
              <w:rPr>
                <w:rFonts w:hint="eastAsia" w:asciiTheme="majorEastAsia" w:hAnsiTheme="majorEastAsia" w:eastAsiaTheme="majorEastAsia" w:cstheme="majorEastAsia"/>
                <w:i w:val="0"/>
                <w:iCs w:val="0"/>
                <w:color w:val="ff0000"/>
                <w:sz w:val="22"/>
                <w:szCs w:val="22"/>
                <w:u w:val="none"/>
                <w:lang w:val="en-US" w:eastAsia="zh-CN" w:bidi="ar"/>
              </w:rPr>
              <w:t xml:space="preserve">＜检出限</w:t>
            </w:r>
            <w:r>
              <w:rPr>
                <w:rFonts w:hint="eastAsia" w:asciiTheme="majorEastAsia" w:hAnsiTheme="majorEastAsia" w:eastAsiaTheme="majorEastAsia" w:cstheme="majorEastAsia"/>
                <w:i w:val="0"/>
                <w:iCs w:val="0"/>
                <w:color w:val="000000"/>
                <w:sz w:val="22"/>
                <w:szCs w:val="22"/>
                <w:u w:val="none"/>
                <w:lang w:val="en-US" w:eastAsia="zh-CN" w:bidi="ar"/>
              </w:rPr>
              <w:t xml:space="preserve">，苯系物总和含量</w:t>
            </w:r>
            <w:r>
              <w:rPr>
                <w:rFonts w:hint="eastAsia" w:asciiTheme="majorEastAsia" w:hAnsiTheme="majorEastAsia" w:eastAsiaTheme="majorEastAsia" w:cstheme="majorEastAsia"/>
                <w:i w:val="0"/>
                <w:iCs w:val="0"/>
                <w:color w:val="ff0000"/>
                <w:sz w:val="22"/>
                <w:szCs w:val="22"/>
                <w:u w:val="none"/>
                <w:lang w:val="en-US" w:eastAsia="zh-CN" w:bidi="ar"/>
              </w:rPr>
              <w:t xml:space="preserve">＜检出限</w:t>
            </w:r>
            <w:r>
              <w:rPr>
                <w:rFonts w:hint="eastAsia" w:asciiTheme="majorEastAsia" w:hAnsiTheme="majorEastAsia" w:eastAsiaTheme="majorEastAsia" w:cstheme="majorEastAsia"/>
                <w:i w:val="0"/>
                <w:iCs w:val="0"/>
                <w:color w:val="000000"/>
                <w:sz w:val="22"/>
                <w:szCs w:val="22"/>
                <w:u w:val="none"/>
                <w:lang w:val="en-US" w:eastAsia="zh-CN" w:bidi="ar"/>
              </w:rPr>
              <w:t xml:space="preserve">，烷基酚聚氧乙烯醚总和含量</w:t>
            </w:r>
            <w:r>
              <w:rPr>
                <w:rFonts w:hint="eastAsia" w:asciiTheme="majorEastAsia" w:hAnsiTheme="majorEastAsia" w:eastAsiaTheme="majorEastAsia" w:cstheme="majorEastAsia"/>
                <w:i w:val="0"/>
                <w:iCs w:val="0"/>
                <w:color w:val="ff0000"/>
                <w:sz w:val="22"/>
                <w:szCs w:val="22"/>
                <w:u w:val="none"/>
                <w:lang w:val="en-US" w:eastAsia="zh-CN" w:bidi="ar"/>
              </w:rPr>
              <w:t xml:space="preserve">＜检出限</w:t>
            </w:r>
            <w:r>
              <w:rPr>
                <w:rFonts w:hint="eastAsia" w:asciiTheme="majorEastAsia" w:hAnsiTheme="majorEastAsia" w:eastAsiaTheme="majorEastAsia" w:cstheme="majorEastAsia"/>
                <w:i w:val="0"/>
                <w:iCs w:val="0"/>
                <w:color w:val="000000"/>
                <w:sz w:val="22"/>
                <w:szCs w:val="22"/>
                <w:u w:val="none"/>
                <w:lang w:val="en-US" w:eastAsia="zh-CN" w:bidi="ar"/>
              </w:rPr>
              <w:t xml:space="preserve">，涂料中可溶性有害元素含量（锑(Sb)、砷(As)、钡(Ba)、镉(Cd)、铬(Cr)、铅(Pb)、汞(Hg)、硒(Se)）均</w:t>
            </w:r>
            <w:r>
              <w:rPr>
                <w:rFonts w:hint="eastAsia" w:asciiTheme="majorEastAsia" w:hAnsiTheme="majorEastAsia" w:eastAsiaTheme="majorEastAsia" w:cstheme="majorEastAsia"/>
                <w:i w:val="0"/>
                <w:iCs w:val="0"/>
                <w:color w:val="ff0000"/>
                <w:sz w:val="22"/>
                <w:szCs w:val="22"/>
                <w:u w:val="none"/>
                <w:lang w:val="en-US" w:eastAsia="zh-CN" w:bidi="ar"/>
              </w:rPr>
              <w:t xml:space="preserve">＜检出限</w:t>
            </w:r>
            <w:r>
              <w:rPr>
                <w:rFonts w:hint="eastAsia" w:asciiTheme="majorEastAsia" w:hAnsiTheme="majorEastAsia" w:eastAsiaTheme="majorEastAsia" w:cstheme="majorEastAsia"/>
                <w:i w:val="0"/>
                <w:iCs w:val="0"/>
                <w:color w:val="000000"/>
                <w:sz w:val="22"/>
                <w:szCs w:val="22"/>
                <w:u w:val="none"/>
                <w:lang w:val="en-US" w:eastAsia="zh-CN" w:bidi="ar"/>
              </w:rPr>
              <w:t xml:space="preserve">，抗细菌性能抑菌率≥99.9%，耐霉菌性能等级均为0级，漆膜硬度≥5H，符合GB 18581-2020、GB/T 23999-2009、HJ 2537-2014、GB/T 35602-2017、HG/T 3950-2007、GB/T 21866-2008、GB/T6739-2022、GB/T 1741-2020检测标准。</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rPr>
              <w:suppressLineNumbers w:val="0"/>
            </w:pPr>
            <w:r>
              <w:rPr>
                <w:rFonts w:hint="eastAsia" w:asciiTheme="majorEastAsia" w:hAnsiTheme="majorEastAsia" w:eastAsiaTheme="majorEastAsia" w:cstheme="majorEastAsia"/>
                <w:i w:val="0"/>
                <w:iCs w:val="0"/>
                <w:color w:val="000000"/>
                <w:sz w:val="22"/>
                <w:szCs w:val="22"/>
                <w:u w:val="none"/>
                <w:lang w:val="en-US" w:eastAsia="zh-CN"/>
              </w:rPr>
              <w:t xml:space="preserve">位</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w:t>
            </w:r>
            <w:r/>
          </w:p>
        </w:tc>
      </w:tr>
      <w:tr>
        <w:trPr>
          <w:jc w:val="center"/>
          <w:trHeight w:val="1123"/>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美术教室1椅子</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1、覆面材料：超纤皮面料，防污防水</w:t>
            </w:r>
            <w:r/>
          </w:p>
          <w:p>
            <w:pPr>
              <w:jc w:val="left"/>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2、海绵：通用软质聚氨酯泡沫塑料，密度≥40kg/m3                   3、椅框架脚：采用白蜡木实木，环保水溶性漆。</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把</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大白乳胶漆三遍。轻钢龙骨相关技术要求：依据GB/T 11981-2008建筑用轻钢龙骨，检测项目中外观质量中覆面龙骨外形要求平整，棱角清晰，切口不应有毛刺和变形,镀锌层应无起皮、起瘤、脱落等缺陷无影响使用的腐蚀、损伤、麻点,每米长度内面积不大于1C㎡的黑斑不多于3处,涂层应无气泡、划伤、漏涂、颜色不均等影响使用的缺陷,长度L偏差±5,断面尺寸A偏差≤1.0,断面尺寸B偏差偏差≤0.5,断面尺寸C≥5.0,断面尺寸D≥3.0,厚度0.5</w:t>
            </w:r>
            <w:r>
              <w:rPr>
                <w:rFonts w:hint="eastAsia" w:asciiTheme="majorEastAsia" w:hAnsiTheme="majorEastAsia" w:eastAsiaTheme="majorEastAsia" w:cstheme="majorEastAsia"/>
                <w:color w:val="000000"/>
                <w:sz w:val="22"/>
                <w:szCs w:val="22"/>
                <w:u w:val="none"/>
                <w:lang w:val="en-US" w:eastAsia="zh-CN" w:bidi="ar"/>
              </w:rPr>
              <w:t xml:space="preserve">t±0.04t,平直度mm/1000mm,侧面≤1.5,底面≤1.5，角度偏差1°30’，表面防锈双面镀锌量 g/㎡≥100,力学性能静载试验，加载挠度不大于5.0，残余变形量不大于1.0，在收边龙骨中，断面尺寸A偏差≤0.5，B1偏差≤1.0,B2偏差≤1.0,厚度0.5t±0.04t,表面防锈双面镀锌量 g/㎡≥100,★投标文件中提供由国家行政管理部门认定的省级及省级以上国家检测机构出具的（具有CMA、CNAS标识）的完整的轻钢龙骨检测报告，测试内容需完全符合参数要求，不得缺项、漏项，否则视为负偏离。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78</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LED造型光源体7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美术教室2木制艺术造型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1、信息参数：5500*2800mm，主体结构组件采用18mm实木多层基材，表面采用环保油漆，喷漆时需保持无尘空间，每道工序需充分干燥(通常24小时，含水率≤8%）（甲醛释放量≤0.025mg/m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³，气候箱法检测），定制木质复合面板，高分子装饰层（厚度≥3mm，邵氏硬度60±5）。静态承重≥200kg/m²（持续24小时形变率≤0.3%）。抗弯强度≥100MPa（依据GB/T 17657-2022三点弯曲试验）。剥离强度≥120N/cm（纵向，GB/T 2791-1995标准）定制艺术写真装饰背景。异形艺术雕刻。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照明及电气线路系统;定制LED光源装饰带，带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木制艺术展览板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1、信息参数：4000*2800mm，2400*2800mm。主体结构组件采用18mm实木多层基材，表面采用环保油漆，喷漆时需保持无尘空间，每道工序需充分干燥(通常24小时，含水率≤8%），（甲醛释放量≤0.025mg/m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³，气候箱法检测），定制木质复合面板，高分子装饰层（厚度≥3mm，邵氏硬度60±5）。静态承重≥200kg/m²（持续24小时形变率≤0.3%）。抗弯强度≥100MPa（依据GB/T 17657-2022三点弯曲试验）。</w:t>
            </w:r>
            <w:r>
              <w:rPr>
                <w:rFonts w:hint="eastAsia" w:asciiTheme="majorEastAsia" w:hAnsiTheme="majorEastAsia" w:eastAsiaTheme="majorEastAsia" w:cstheme="majorEastAsia"/>
                <w:color w:val="000000"/>
                <w:sz w:val="22"/>
                <w:szCs w:val="22"/>
                <w:u w:val="none"/>
                <w:lang w:val="en-US" w:eastAsia="zh-CN" w:bidi="ar"/>
              </w:rPr>
              <w:t xml:space="preserve">剥离强度≥120N/cm（纵向，GB/T 2791-1995标准）。9.5mm厚高密度纤维装饰板材（甲醛释放量≤0.05mg/m³，依据气候箱法检测），表面覆盖复合纸面基材（内结合强度≥0.40MPa，符合GB/T 17657-2022标准）。大白乳胶漆。定制艺术写真装饰。异形艺术雕刻。定制自办展示版面部件，饰面类型：三聚氰胺纸/木皮/喷绘布，压纹工艺：条纹（3cm/5cm宽）、方格、竹纹（误差≤±0.5mm），邵氏硬度：≥60 HA（GB/T 531.1），热压成型：温度180-220℃，压力≥8MPa。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美术教室2功能储物柜</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1、信息参数：1200*2400*400mm（宽*高*厚）。主体框架：采用E0级实木颗粒板（符合GB/T 3324-2017），含水率8-12%，甲醛释放量≤0.05mg/L。</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面板材质：一级柚木贴皮（厚度≥0.6mm，GB/T 15036.2标准），耐磨转数≥3000转（依据GB/T 17657-2022）。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防潮处理：真空加压注入ACQ防腐剂（载药量≥6.5kg/m</w:t>
            </w:r>
            <w:r>
              <w:rPr>
                <w:rFonts w:hint="eastAsia" w:asciiTheme="majorEastAsia" w:hAnsiTheme="majorEastAsia" w:eastAsiaTheme="majorEastAsia" w:cstheme="majorEastAsia"/>
                <w:color w:val="000000"/>
                <w:sz w:val="22"/>
                <w:szCs w:val="22"/>
                <w:u w:val="none"/>
                <w:lang w:val="en-US" w:eastAsia="zh-CN" w:bidi="ar"/>
              </w:rPr>
              <w:t xml:space="preserve">³，符合LY/T 1636-2017）</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结构组件：</w:t>
            </w:r>
            <w:r>
              <w:rPr>
                <w:rFonts w:hint="eastAsia" w:asciiTheme="majorEastAsia" w:hAnsiTheme="majorEastAsia" w:eastAsiaTheme="majorEastAsia" w:cstheme="majorEastAsia"/>
                <w:color w:val="ff0000"/>
                <w:sz w:val="22"/>
                <w:szCs w:val="22"/>
                <w:u w:val="none"/>
                <w:lang w:val="en-US" w:eastAsia="zh-CN" w:bidi="ar"/>
              </w:rPr>
              <w:t xml:space="preserve">三合一连接件</w:t>
            </w:r>
            <w:r>
              <w:rPr>
                <w:rFonts w:hint="eastAsia" w:asciiTheme="majorEastAsia" w:hAnsiTheme="majorEastAsia" w:eastAsiaTheme="majorEastAsia" w:cstheme="majorEastAsia"/>
                <w:color w:val="000000"/>
                <w:sz w:val="22"/>
                <w:szCs w:val="22"/>
                <w:u w:val="none"/>
                <w:lang w:val="en-US" w:eastAsia="zh-CN" w:bidi="ar"/>
              </w:rPr>
              <w:t xml:space="preserve">（抗拉强度≥1200N，盐雾测试≥2000小时），液压缓冲铰链（开合寿命≥5万次，噪音≤35dB），隐藏式滑轨（承重≥50kg，</w:t>
            </w:r>
            <w:r>
              <w:rPr>
                <w:rFonts w:hint="eastAsia" w:asciiTheme="majorEastAsia" w:hAnsiTheme="majorEastAsia" w:eastAsiaTheme="majorEastAsia" w:cstheme="majorEastAsia"/>
                <w:color w:val="ff0000"/>
                <w:sz w:val="22"/>
                <w:szCs w:val="22"/>
                <w:u w:val="none"/>
                <w:lang w:val="en-US" w:eastAsia="zh-CN" w:bidi="ar"/>
              </w:rPr>
              <w:t xml:space="preserve">抽拉摩擦力≤10N</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静态承重：单层货架≥80kg（依据QB/T 2530-2011测试方法），抗倾覆系数：≥1.5（满载状态下倾斜角≤10°不倾倒）。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隔板挠度：≤1.5mm/m（加载50kg持续24小时，依据</w:t>
            </w:r>
            <w:r>
              <w:rPr>
                <w:rFonts w:hint="eastAsia" w:asciiTheme="majorEastAsia" w:hAnsiTheme="majorEastAsia" w:eastAsiaTheme="majorEastAsia" w:cstheme="majorEastAsia"/>
                <w:color w:val="ff0000"/>
                <w:sz w:val="22"/>
                <w:szCs w:val="22"/>
                <w:u w:val="none"/>
                <w:lang w:val="en-US" w:eastAsia="zh-CN" w:bidi="ar"/>
              </w:rPr>
              <w:t xml:space="preserve">GB/T 10357.4-2023《家具力学性能试验 第4部分：柜类稳定性》</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尺寸公差：长度/宽度误差≤±1.5mm，高度误差≤±2mm（激光定位切割）</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直角度：边角垂直度≤0.8mm/m（水平仪检测）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封边质量：PVC封边条贴合度≤0.3mm缝隙。</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rPr>
              <w:suppressLineNumbers w:val="0"/>
            </w:pPr>
            <w:r>
              <w:rPr>
                <w:rFonts w:hint="eastAsia" w:asciiTheme="majorEastAsia" w:hAnsiTheme="majorEastAsia" w:eastAsiaTheme="majorEastAsia" w:cstheme="majorEastAsia"/>
                <w:i w:val="0"/>
                <w:iCs w:val="0"/>
                <w:color w:val="000000"/>
                <w:sz w:val="22"/>
                <w:szCs w:val="22"/>
                <w:u w:val="none"/>
                <w:lang w:val="en-US" w:eastAsia="zh-CN"/>
              </w:rPr>
              <w:t xml:space="preserve">90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画架</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尺寸：58*60*170-235cm,材质：榉木；最大夹画高度：125cm；T型后支撑杆，画盒设计，实现收纳；特点：可前倾，作画方便，视线垂直画板，作画准确，拉环升降，齿条阶梯逐级调节，组装式，可折叠收纳，不占空间，表面光滑、无毛刺、无弯曲，接缝无开裂，整体无疤痕无弯曲，表面环保烤漆处理。</w:t>
            </w:r>
            <w:r/>
          </w:p>
        </w:tc>
        <w:tc>
          <w:tcPr>
            <w:shd w:val="clear" w:color="auto" w:fill="auto"/>
            <w:tcW w:w="73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个</w:t>
            </w:r>
            <w:r/>
          </w:p>
        </w:tc>
        <w:tc>
          <w:tcPr>
            <w:shd w:val="clear" w:color="auto" w:fill="auto"/>
            <w:tcW w:w="804"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r>
      <w:tr>
        <w:trPr>
          <w:jc w:val="center"/>
          <w:trHeight w:val="834"/>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水彩颜料套装</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1.信息参数：24色管装，含钛白、群青等基础色，耐光性≥5级（ASTM标准）。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2.包含货物生产、运输、安装。</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w:t>
            </w:r>
            <w:r/>
          </w:p>
        </w:tc>
      </w:tr>
      <w:tr>
        <w:trPr>
          <w:jc w:val="center"/>
          <w:trHeight w:val="863"/>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彩铅教学套装</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1.信息参数：24色彩铅套装。</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2.包含货物生产、运输、安装。</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w:t>
            </w:r>
            <w:r/>
          </w:p>
        </w:tc>
      </w:tr>
      <w:tr>
        <w:trPr>
          <w:jc w:val="center"/>
          <w:trHeight w:val="386"/>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美术教室2桌子</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1)尺寸：2400mm*1200mm*750mm，</w:t>
            </w:r>
            <w:r>
              <w:rPr>
                <w:rFonts w:hint="eastAsia" w:asciiTheme="majorEastAsia" w:hAnsiTheme="majorEastAsia" w:eastAsiaTheme="majorEastAsia" w:cstheme="majorEastAsia"/>
                <w:i w:val="0"/>
                <w:iCs w:val="0"/>
                <w:color w:val="ff0000"/>
                <w:sz w:val="22"/>
                <w:szCs w:val="22"/>
                <w:u w:val="none"/>
                <w:lang w:val="en-US" w:eastAsia="zh-CN" w:bidi="ar"/>
              </w:rPr>
              <w:t xml:space="preserve">防火饰面板:面材采用装饰原纸</w:t>
            </w:r>
            <w:r>
              <w:rPr>
                <w:rFonts w:hint="eastAsia" w:asciiTheme="majorEastAsia" w:hAnsiTheme="majorEastAsia" w:eastAsiaTheme="majorEastAsia" w:cstheme="majorEastAsia"/>
                <w:i w:val="0"/>
                <w:iCs w:val="0"/>
                <w:color w:val="000000"/>
                <w:sz w:val="22"/>
                <w:szCs w:val="22"/>
                <w:u w:val="none"/>
                <w:lang w:val="en-US" w:eastAsia="zh-CN" w:bidi="ar"/>
              </w:rPr>
              <w:t xml:space="preserve">,选用优质三聚氰胺浸胶工艺,使表面稳定性更好,层次感更优,耐污抗磨性更强,通过GB/T 15102浸渍胶膜纸饰面人造板表面理化性能要求;基材采用优质品牌E0级刨花板,通过GB/T 39600-2021要求,甲醛释放量≤0.013mg/m</w:t>
            </w:r>
            <w:r>
              <w:rPr>
                <w:rFonts w:hint="eastAsia" w:asciiTheme="majorEastAsia" w:hAnsiTheme="majorEastAsia" w:eastAsiaTheme="majorEastAsia" w:cstheme="majorEastAsia"/>
                <w:color w:val="000000"/>
                <w:sz w:val="22"/>
                <w:szCs w:val="22"/>
                <w:u w:val="none"/>
                <w:lang w:val="en-US" w:eastAsia="zh-CN" w:bidi="ar"/>
              </w:rPr>
              <w:t xml:space="preserve">³，  台面厚度≥25mm。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2)ABS封边条:表面耐光色牢度≥4级;表面耐龟裂性≥2级;表面耐磨性能30r;通过QB/T4463-2013  《家具用封边条技术要求》理化性能检测要求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3)钢架:耐腐蚀</w:t>
            </w:r>
            <w:r>
              <w:rPr>
                <w:rFonts w:hint="eastAsia" w:asciiTheme="majorEastAsia" w:hAnsiTheme="majorEastAsia" w:eastAsiaTheme="majorEastAsia" w:cstheme="majorEastAsia"/>
                <w:color w:val="ff0000"/>
                <w:sz w:val="22"/>
                <w:szCs w:val="22"/>
                <w:u w:val="none"/>
                <w:lang w:val="en-US" w:eastAsia="zh-CN" w:bidi="ar"/>
              </w:rPr>
              <w:t xml:space="preserve">中性盐雾测试</w:t>
            </w:r>
            <w:r>
              <w:rPr>
                <w:rFonts w:hint="eastAsia" w:asciiTheme="majorEastAsia" w:hAnsiTheme="majorEastAsia" w:eastAsiaTheme="majorEastAsia" w:cstheme="majorEastAsia"/>
                <w:color w:val="000000"/>
                <w:sz w:val="22"/>
                <w:szCs w:val="22"/>
                <w:u w:val="none"/>
                <w:lang w:val="en-US" w:eastAsia="zh-CN" w:bidi="ar"/>
              </w:rPr>
              <w:t xml:space="preserve">100h内，观察在溶剂中样板上滑道两侧3mm以外，应无气泡产生，100h后，检查滑道两侧3mm以外无锈迹、剥落、起皱、变色和失光等现象；附着力≥2级；通过</w:t>
            </w:r>
            <w:r>
              <w:rPr>
                <w:rFonts w:hint="eastAsia" w:asciiTheme="majorEastAsia" w:hAnsiTheme="majorEastAsia" w:eastAsiaTheme="majorEastAsia" w:cstheme="majorEastAsia"/>
                <w:color w:val="ff0000"/>
                <w:sz w:val="22"/>
                <w:szCs w:val="22"/>
                <w:u w:val="none"/>
                <w:lang w:val="en-US" w:eastAsia="zh-CN" w:bidi="ar"/>
              </w:rPr>
              <w:t xml:space="preserve">GB/T 3325-2024</w:t>
            </w:r>
            <w:r>
              <w:rPr>
                <w:rFonts w:hint="eastAsia" w:asciiTheme="majorEastAsia" w:hAnsiTheme="majorEastAsia" w:eastAsiaTheme="majorEastAsia" w:cstheme="majorEastAsia"/>
                <w:color w:val="000000"/>
                <w:sz w:val="22"/>
                <w:szCs w:val="22"/>
                <w:u w:val="none"/>
                <w:lang w:val="en-US" w:eastAsia="zh-CN" w:bidi="ar"/>
              </w:rPr>
              <w:t xml:space="preserve">《金属家具通用技术条件》理化性能检测要求。</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4)钢脚:表面耐腐蚀中性盐雾测试100h后无锈蚀、剥落、起皱;表面附着力不低于2级;升降/折叠/伸缩耐久性测定20000次后,零部件</w:t>
            </w:r>
            <w:r>
              <w:rPr>
                <w:rFonts w:hint="eastAsia" w:asciiTheme="majorEastAsia" w:hAnsiTheme="majorEastAsia" w:eastAsiaTheme="majorEastAsia" w:cstheme="majorEastAsia"/>
                <w:color w:val="ff0000"/>
                <w:sz w:val="22"/>
                <w:szCs w:val="22"/>
                <w:u w:val="none"/>
                <w:lang w:val="en-US" w:eastAsia="zh-CN" w:bidi="ar"/>
              </w:rPr>
              <w:t xml:space="preserve">无断裂、弯曲、变形、磨损</w:t>
            </w:r>
            <w:r>
              <w:rPr>
                <w:rFonts w:hint="eastAsia" w:asciiTheme="majorEastAsia" w:hAnsiTheme="majorEastAsia" w:eastAsiaTheme="majorEastAsia" w:cstheme="majorEastAsia"/>
                <w:color w:val="000000"/>
                <w:sz w:val="22"/>
                <w:szCs w:val="22"/>
                <w:u w:val="none"/>
                <w:lang w:val="en-US" w:eastAsia="zh-CN" w:bidi="ar"/>
              </w:rPr>
              <w:t xml:space="preserve">;通过《</w:t>
            </w:r>
            <w:r>
              <w:rPr>
                <w:rFonts w:hint="eastAsia" w:asciiTheme="majorEastAsia" w:hAnsiTheme="majorEastAsia" w:eastAsiaTheme="majorEastAsia" w:cstheme="majorEastAsia"/>
                <w:color w:val="ff0000"/>
                <w:sz w:val="22"/>
                <w:szCs w:val="22"/>
                <w:u w:val="none"/>
                <w:lang w:val="en-US" w:eastAsia="zh-CN" w:bidi="ar"/>
              </w:rPr>
              <w:t xml:space="preserve">GB/T3325-2024</w:t>
            </w:r>
            <w:r>
              <w:rPr>
                <w:rFonts w:hint="eastAsia" w:asciiTheme="majorEastAsia" w:hAnsiTheme="majorEastAsia" w:eastAsiaTheme="majorEastAsia" w:cstheme="majorEastAsia"/>
                <w:color w:val="000000"/>
                <w:sz w:val="22"/>
                <w:szCs w:val="22"/>
                <w:u w:val="none"/>
                <w:lang w:val="en-US" w:eastAsia="zh-CN" w:bidi="ar"/>
              </w:rPr>
              <w:t xml:space="preserve">金属家具通用技术条件》理化性能检测要求，壁厚≥2mm。</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美术教室2培训椅</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材质说明：                                                                                                                             1)椅背：采用高品质PP胶椅背，内富含高比例玻璃纤维超结实，表面手感顺滑，耐磨耐刮。而曲线的轮廓按照人体健康工程学设计。</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2)五金架：采用高品质喷黑漆五金架，电镀层厚可更强效防刮、防生锈、耐强酸碱，加厚管壁超结实，可承受1100KG重压，重点可以随意折叠</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3)座海绵：采用高品质一次成型纯海绵，超柔软富有弹性，座感超舒服，透气性超强。</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4)木板：采用高品质10片层高温高压一次定型双木板结构，可承受1100KG重压，超结实很安心。</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把</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定制艺术写真油画饰面装饰。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65</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定制LED造型光源体7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47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木制艺术造型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1、信息参数：5500*2800mm，主体结构组件采用18mm实木多层基材，定制木质复合面板，高分子装饰层（厚度≥3mm，邵氏硬度60±5）。静态承重≥200kg/m</w:t>
            </w:r>
            <w:r>
              <w:rPr>
                <w:rFonts w:hint="eastAsia" w:asciiTheme="majorEastAsia" w:hAnsiTheme="majorEastAsia" w:eastAsiaTheme="majorEastAsia" w:cstheme="majorEastAsia"/>
                <w:color w:val="000000"/>
                <w:sz w:val="22"/>
                <w:szCs w:val="22"/>
                <w:u w:val="none"/>
                <w:lang w:val="en-US" w:eastAsia="zh-CN" w:bidi="ar"/>
              </w:rPr>
              <w:t xml:space="preserve">²（持续24小时形变率≤0.3%）。抗弯强度≥100MPa（依据GB/T 17657-2022三点弯曲试验）。剥离强度≥120N/cm（纵向，GB/T 2791-1995标准）定制艺术写真装饰背景。异形艺术雕刻。</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照明及电气线路系统;定制LED光源装饰带，带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rPr>
              <w:suppressLineNumbers w:val="0"/>
            </w:pPr>
            <w:r>
              <w:rPr>
                <w:rFonts w:hint="eastAsia" w:asciiTheme="majorEastAsia" w:hAnsiTheme="majorEastAsia" w:eastAsiaTheme="majorEastAsia" w:cstheme="majorEastAsia"/>
                <w:i w:val="0"/>
                <w:iCs w:val="0"/>
                <w:color w:val="000000"/>
                <w:sz w:val="22"/>
                <w:szCs w:val="22"/>
                <w:u w:val="none"/>
                <w:lang w:val="en-US" w:eastAsia="zh-CN"/>
              </w:rPr>
              <w:t xml:space="preserve">100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木制艺术展览板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1、信息参数：4000*2800mm。主体结构组件采用18mm实木多层基材，定制木质复合面板，高分子装饰层。抗弯强度≥100MPa（依据GB/T 17657-2022三点弯曲试验）。剥离强度≥120N/cm（纵向，GB/T 2791-1995标准）。9.5mm厚高密度纤维装饰板材（甲醛释放量≤0.05mg/m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17657-2022标准）。大白乳胶漆。定制自办展示版面部件，饰面类型：三聚氰胺纸/木皮/喷绘布，压纹工艺：条纹（3cm/5cm宽）、方格、竹纹（误差≤±0.5mm），邵氏硬度：≥60 HA（GB/T 531.1），热压成型：温度180-220℃，压力≥8MPa。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387"/>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美术教室3功能储物矮柜</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1、信息参数：3000*800*400mm，基材标准：主体框架：采用E0级橡胶实木拼接板（符合GB/T 3324-2017），含水率8-12%，甲醛释放量≤0.05mg/L。</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面板材质：一级柚木贴皮（厚度≥0.6mm，GB/T 15036.2标准），耐磨转数≥3000转（依据GB/T 17657-2022）。</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防潮处理：真空加压注入ACQ防腐剂（载药量≥6.5kg/m</w:t>
            </w:r>
            <w:r>
              <w:rPr>
                <w:rFonts w:hint="eastAsia" w:asciiTheme="majorEastAsia" w:hAnsiTheme="majorEastAsia" w:eastAsiaTheme="majorEastAsia" w:cstheme="majorEastAsia"/>
                <w:color w:val="000000"/>
                <w:sz w:val="22"/>
                <w:szCs w:val="22"/>
                <w:u w:val="none"/>
                <w:lang w:val="en-US" w:eastAsia="zh-CN" w:bidi="ar"/>
              </w:rPr>
              <w:t xml:space="preserve">³，符合LY/T 1636-2017）</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结构组件：</w:t>
            </w:r>
            <w:r>
              <w:rPr>
                <w:rFonts w:hint="eastAsia" w:asciiTheme="majorEastAsia" w:hAnsiTheme="majorEastAsia" w:eastAsiaTheme="majorEastAsia" w:cstheme="majorEastAsia"/>
                <w:color w:val="ff0000"/>
                <w:sz w:val="22"/>
                <w:szCs w:val="22"/>
                <w:u w:val="none"/>
                <w:lang w:val="en-US" w:eastAsia="zh-CN" w:bidi="ar"/>
              </w:rPr>
              <w:t xml:space="preserve">三合一连接件</w:t>
            </w:r>
            <w:r>
              <w:rPr>
                <w:rFonts w:hint="eastAsia" w:asciiTheme="majorEastAsia" w:hAnsiTheme="majorEastAsia" w:eastAsiaTheme="majorEastAsia" w:cstheme="majorEastAsia"/>
                <w:color w:val="000000"/>
                <w:sz w:val="22"/>
                <w:szCs w:val="22"/>
                <w:u w:val="none"/>
                <w:lang w:val="en-US" w:eastAsia="zh-CN" w:bidi="ar"/>
              </w:rPr>
              <w:t xml:space="preserve">（抗拉强度≥1200N，盐雾测试≥2000小时），液压缓冲铰链（开合寿命≥5万次，噪音≤35dB），隐藏式滑轨（承重≥50kg，</w:t>
            </w:r>
            <w:r>
              <w:rPr>
                <w:rFonts w:hint="eastAsia" w:asciiTheme="majorEastAsia" w:hAnsiTheme="majorEastAsia" w:eastAsiaTheme="majorEastAsia" w:cstheme="majorEastAsia"/>
                <w:color w:val="ff0000"/>
                <w:sz w:val="22"/>
                <w:szCs w:val="22"/>
                <w:u w:val="none"/>
                <w:lang w:val="en-US" w:eastAsia="zh-CN" w:bidi="ar"/>
              </w:rPr>
              <w:t xml:space="preserve">抽拉顺滑度≤10N摩擦力</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静态承重：单层货架≥80kg（依据QB/T 2530-2011测试方法），抗倾覆系数：≥1.5（满载状态下倾斜角≤10°不倾倒）。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隔板挠度：≤1.5mm/m（加载50kg持续24小时，依据</w:t>
            </w:r>
            <w:r>
              <w:rPr>
                <w:rFonts w:hint="eastAsia" w:asciiTheme="majorEastAsia" w:hAnsiTheme="majorEastAsia" w:eastAsiaTheme="majorEastAsia" w:cstheme="majorEastAsia"/>
                <w:color w:val="ff0000"/>
                <w:sz w:val="22"/>
                <w:szCs w:val="22"/>
                <w:u w:val="none"/>
                <w:lang w:val="en-US" w:eastAsia="zh-CN" w:bidi="ar"/>
              </w:rPr>
              <w:t xml:space="preserve">GB/T 10357.4-2023《家具力学性能试验 第4部分：柜类稳定性》</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尺寸公差：长度/宽度误差≤±1.5mm，高度误差≤±2mm（激光定位切割）</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直角度：边角垂直度≤0.8mm/m（水平仪检测）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封边质量：PVC封边条贴合度≤0.3mm缝隙。</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画时电子绘画板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产品尺寸（长*宽*厚）：335*203*7.1mm；※电磁笔类型：无源无线电磁压感笔；※压感级别：8192级压感；※读取速率/报点率：266点/秒；EMR分辨率：0.01毫米 （2540 ppi）</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书写感应高度：1.0厘米；绘画区域：254×158.75毫米 ；LED状态灯：有；笔是否需要充电：否；自定义快捷键：10个，笔侧按键2个；系统要求：Android 设备 (Android 4.3 或更新并支持OTG连接), 电脑USB接口支持USB2.0及以上；连接：USB数据连接；★投标文件中提供由国家行政管理部门认定的省级及省级以上国家检测机构出具的（具有CMA、CNAS等标识）完整的画时电子绘画板检测报告，测试内容需完全符合参数要求，不得缺项、漏项，否则视为负偏离。</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r>
      <w:tr>
        <w:trPr>
          <w:jc w:val="center"/>
          <w:trHeight w:val="892"/>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定制作品展示画框</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1.规格：定制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2.参数：铝合金边框，厚度2cm，适配40×60cm画作，带磁吸锁扣</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3.包含货物生产、运输、安装。</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r>
      <w:tr>
        <w:trPr>
          <w:jc w:val="center"/>
          <w:trHeight w:val="9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1、基础参数：3P变频冷暖机型，制冷量7200W（±5%），制热量8900W（±5%），能效等级三级（APF≥3.5），符合GB21455-2019标准。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核心部件：单转子压缩机（排量22-24cc），双排冷凝器（铜管外径7mm），无电子膨胀阀以降低成本，使用R32环保冷媒。</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性能指标：制冷功率≤2350W，制热功率≤2950W，循环风量≥1200m</w:t>
            </w:r>
            <w:r>
              <w:rPr>
                <w:rFonts w:hint="eastAsia" w:asciiTheme="majorEastAsia" w:hAnsiTheme="majorEastAsia" w:eastAsiaTheme="majorEastAsia" w:cstheme="majorEastAsia"/>
                <w:color w:val="000000"/>
                <w:sz w:val="22"/>
                <w:szCs w:val="22"/>
                <w:u w:val="none"/>
                <w:lang w:val="en-US" w:eastAsia="zh-CN" w:bidi="ar"/>
              </w:rPr>
              <w:t xml:space="preserve">³/h，内机噪音≤45dB(A)，外机噪音≤56dB(A)，支持上下扫风但无左右自动扫风功能。</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基础LED显示+遥控操作，配备简易滤网，采用ABS面板，内机重量≤18kg，外机重量≤45kg。</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美术办公室兼作品展室</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木制艺术展览板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1、信息参数：3000*1000mm，主体结构组件采用18mm实木多层基材，高分子装饰层（厚度≥3mm，邵氏硬度60±5）。静态承重≥200kg/m</w:t>
            </w:r>
            <w:r>
              <w:rPr>
                <w:rFonts w:hint="eastAsia" w:asciiTheme="majorEastAsia" w:hAnsiTheme="majorEastAsia" w:eastAsiaTheme="majorEastAsia" w:cstheme="majorEastAsia"/>
                <w:color w:val="000000"/>
                <w:sz w:val="22"/>
                <w:szCs w:val="22"/>
                <w:u w:val="none"/>
                <w:lang w:val="en-US" w:eastAsia="zh-CN" w:bidi="ar"/>
              </w:rPr>
              <w:t xml:space="preserve">²（持续24小时形变率≤0.3%）。抗弯强度≥100MPa（依据GB/T 17657-2022三点弯曲试验）。剥离强度≥120N/cm（纵向，GB/T 2791-1995标准），定制自办展示版面部件，饰面类型：三聚氰胺纸/木皮/喷绘布，压纹工艺。木质孔板饰面板。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美术办公室室兼作品展室</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1、信息参数：矿棉板（矿物纤维含量≥60%），厚度12mm，密度≤350kg/m</w:t>
            </w:r>
            <w:r>
              <w:rPr>
                <w:rFonts w:hint="eastAsia" w:asciiTheme="majorEastAsia" w:hAnsiTheme="majorEastAsia" w:eastAsiaTheme="majorEastAsia" w:cstheme="majorEastAsia"/>
                <w:color w:val="000000"/>
                <w:sz w:val="22"/>
                <w:szCs w:val="22"/>
                <w:u w:val="none"/>
                <w:lang w:val="en-US" w:eastAsia="zh-CN" w:bidi="ar"/>
              </w:rPr>
              <w:t xml:space="preserve">³，表面为</w:t>
            </w:r>
            <w:r>
              <w:rPr>
                <w:rFonts w:hint="eastAsia" w:asciiTheme="majorEastAsia" w:hAnsiTheme="majorEastAsia" w:eastAsiaTheme="majorEastAsia" w:cstheme="majorEastAsia"/>
                <w:color w:val="000000"/>
                <w:sz w:val="22"/>
                <w:szCs w:val="22"/>
                <w:u w:val="none"/>
                <w:lang w:val="en-US" w:eastAsia="zh-CN" w:bidi="ar"/>
              </w:rPr>
              <w:t xml:space="preserve">哑光滚花处理（无覆膜），基材添加少量淀粉粘合剂以降低成本，防火等级B1级（氧指数≥32%），甲醛释放量≤0.05mg/m³（E0级）。标准600×600mm方形板，边缘为平口设计（无跌级或暗架槽），适配明架T型龙骨（热镀锌钢板，双面镀锌量≥80g/㎡，厚度0.3mm），主龙骨间距1200mm，次龙骨间距600mm，吊杆采用φ6mm镀锌丝杆（间距≤1200mm）。吸音系数NRC 0.5-0.6，隔声量≥20dB，防潮等级RH85（非高湿环境适用），抗弯强度≥0.35MPa，导热系数≤0.045W/(m·K)。</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78</w:t>
            </w:r>
            <w:r/>
          </w:p>
        </w:tc>
      </w:tr>
      <w:tr>
        <w:trPr>
          <w:jc w:val="center"/>
          <w:trHeight w:val="1123"/>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美术办公室兼作品展室</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LED平板灯12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9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美术办公室兼作品展室空调系统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一、基础参数</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类型：壁挂式定频冷暖空调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匹数：2匹（制冷量3500W，制热量3850W+800W电辅热）</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适用面积：单台覆盖15-22㎡</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电源规格：220V单相电，50Hz，额定功率1.04kW</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循环风量：600m³/h</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噪音值：内机24-39dB(A)，外机51dB(A)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冷媒类型：R22</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外壳材质：镀锌钢板+防锈涂层，耐酸碱腐蚀，适应高粉尘、高湿度环境。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散热系统：全铜管冷凝器，翅片间距加密（3.2mm），散热效率提升20%。</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防护等级：IPX4防水防尘，支持户外安装（需加装防雨罩）。</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冷媒配管：最大配管长度12米，室内外机最大落差8米，支持多台串联。</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遥控操作：支持有线遥控器、调节模式、设定定时任务。</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127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木制艺术造型展览板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1、信息参数：3200*2000mm，主体结构组件定制自办展示版面部件，饰面类型：三聚氰胺纸/木皮/喷绘布，压纹工艺。木质烤漆雕刻线条装饰，定制木质烤漆艺术字。</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装饰层基材：9.5mm厚高密度纤维装饰板材（甲醛释放量≤0.05mg/m</w:t>
            </w:r>
            <w:r>
              <w:rPr>
                <w:rFonts w:hint="eastAsia" w:asciiTheme="majorEastAsia" w:hAnsiTheme="majorEastAsia" w:eastAsiaTheme="majorEastAsia" w:cstheme="majorEastAsia"/>
                <w:color w:val="000000"/>
                <w:sz w:val="22"/>
                <w:szCs w:val="22"/>
                <w:u w:val="none"/>
                <w:lang w:val="en-US" w:eastAsia="zh-CN" w:bidi="ar"/>
              </w:rPr>
              <w:t xml:space="preserve">³，依据气候箱法检测），表面覆盖复合纸面基材（内结合强度≥0.40MPa，符合GB/T 17657-2022标准）。定制木色铝方通。</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90</w:t>
            </w:r>
            <w:r/>
          </w:p>
        </w:tc>
      </w:tr>
      <w:tr>
        <w:trPr>
          <w:jc w:val="center"/>
          <w:trHeight w:val="285"/>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超薄长条灯8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一、基础参数</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类型：壁挂式定频冷暖空调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匹数：2匹（制冷量3500W，制热量3850W+800W电辅热）</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适用面积：单台覆盖15-22㎡</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电源规格：220V单相电，50Hz，额定功率1.04kW</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循环风量：600m³/h</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噪音值：内机24-39dB(A)，外机51dB(A)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冷媒类型：R22</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外壳材质：镀锌钢板+防锈涂层，耐酸碱腐蚀，适应高粉尘、高湿度环境。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散热系统：全铜管冷凝器，翅片间距加密（3.2mm），散热效率提升20%。</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防护等级：IPX4防水防尘，支持户外安装（需加装防雨罩）。</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冷媒配管：最大配管长度12米，室内外机最大落差8米，支持多台串联。</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遥控操作：支持有线遥控器、调节模式、设定定时任务。</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115</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116</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琴房木制隔断造型</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14000*3000mm，采用Q50型竖龙骨（50mm×50mm×0.6mm厚度），冷镀锌工艺（镀锌量≥60g/㎡），长度3米，主龙骨间距≤1200mm，副龙骨间距≤600mm，边龙骨厚度0.4mm。内置50mm厚低密度吸音岩棉。双面覆盖12mm厚石膏板（2400mm×1200mm）。环保生态木质吸音板，厚度：≥15mm（梯度密度结构，表层密度≥800kg/m</w:t>
            </w:r>
            <w:r>
              <w:rPr>
                <w:rFonts w:hint="eastAsia" w:asciiTheme="majorEastAsia" w:hAnsiTheme="majorEastAsia" w:eastAsiaTheme="majorEastAsia" w:cstheme="majorEastAsia"/>
                <w:color w:val="000000"/>
                <w:sz w:val="22"/>
                <w:szCs w:val="22"/>
                <w:u w:val="none"/>
                <w:lang w:val="en-US" w:eastAsia="zh-CN" w:bidi="ar"/>
              </w:rPr>
              <w:t xml:space="preserve">³）吸声系数：NRC≥0.80（125-4000Hz全频段，GB/T 19889.3），降噪系数（NRC）≥0.90（后空腔100mm），防火等级：B1级（GB 8624-2012，燃烧性能通过单体燃烧试验）。结构设计：​背面处理：开孔率≥25%（孔径Φ3-5mm，正六边形阵列），防潮处理：材料表面涂覆纳米疏水涂层（接触角≥110°）。</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117</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琴房定制木制艺术造型展览板</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1、信息参数：2000*2600mm，主体结构组件采用18mm实木多层基材，表面采用环保油漆，喷漆时需保持无尘空间，每道工序需充分干燥(通常24小时，含水率≤8%），（甲醛释放量≤0.025mg/m</w:t>
            </w:r>
            <w:r>
              <w:rPr>
                <w:rFonts w:hint="eastAsia" w:asciiTheme="majorEastAsia" w:hAnsiTheme="majorEastAsia" w:eastAsiaTheme="majorEastAsia" w:cstheme="majorEastAsia"/>
                <w:color w:val="000000"/>
                <w:sz w:val="22"/>
                <w:szCs w:val="22"/>
                <w:u w:val="none"/>
                <w:lang w:val="en-US" w:eastAsia="zh-CN" w:bidi="ar"/>
              </w:rPr>
              <w:t xml:space="preserve">³，气候箱法检测），定制木质复合面板，高分子装饰层，异形艺术雕刻装饰。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组</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118</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琴房空调系统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一、基础参数</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类型：壁挂式定频冷暖空调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匹数：2匹（制冷量3500W，制热量3850W+800W电辅热）</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适用面积：单台覆盖15-22㎡</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电源规格：220V单相电，50Hz，额定功率1.04kW</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循环风量：600m³/h</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噪音值：内机24-39dB(A)，外机51dB(A)</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冷媒类型：R22</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外壳材质：镀锌钢板+防锈涂层，耐酸碱腐蚀，适应高粉尘、高湿度环境。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散热系统：全铜管冷凝器，翅片间距加密（3.2mm），散热效率提升20%。</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防护等级：IPX4防水防尘，支持户外安装（需加装防雨罩）。</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冷媒配管：最大配管长度12米，室内外机最大落差8米，支持多台串联。</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遥控操作：支持有线遥控器、调节模式、设定定时任务。</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包含空调系统电气线路敷设：</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S200系列或施耐德Acti9），并建议加装30mA漏电保护器（如正泰NXB-63）。线路走向需避开水源和高温区域，水平布线离地≥1.5m（棚面至墙面需要埋暗线处理，墙体刨沟恢复），垂直布线距墙角≥100mm。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插座与开关参数：</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预留开关配置单极16A墙壁开关，额定电流16A，通断能力≥4000次，触点材质为银合金，面板阻燃等级UL94 V0，安装高度1.3m，与插座水平间距≥200mm。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台</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r>
      <w:tr>
        <w:trPr>
          <w:jc w:val="center"/>
          <w:trHeight w:val="3038"/>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119</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 类型</w:t>
            </w:r>
            <w:r>
              <w:rPr>
                <w:rFonts w:hint="eastAsia" w:asciiTheme="majorEastAsia" w:hAnsiTheme="majorEastAsia" w:eastAsiaTheme="majorEastAsia" w:cstheme="majorEastAsia"/>
                <w:color w:val="000000"/>
                <w:sz w:val="22"/>
                <w:szCs w:val="22"/>
                <w:u w:val="none"/>
                <w:lang w:val="en-US" w:eastAsia="zh-CN" w:bidi="ar"/>
              </w:rPr>
              <w:t xml:space="preserve">：聚酯纤维涂层遮光卷帘</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尺寸规格：</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标准幅宽：150cm/180cm/200cm（支持定制至300cm）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高度范围：200-300cm（含10cm包边）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遮光率：50%-80%（根据涂层密度可调）</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颜色：基础款为灰白色、深灰色（可选素色或简单条纹）</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材质：</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面料：100%聚酯纤维，表面覆PVC涂层（厚度0.3-0.5mm）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辅料：铝合金静音轨道（壁厚1.2mm）、POM塑料拉珠、棉质布带</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音乐美术区卫生间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顶部艺术装配</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1、信息参数：主体结构组件采用AA3003系列铝合金基材，表面经阳极氧化处理形成厚度≥15μm的氧化膜（GB/T 5237.1-2017），配套支撑框架为镀锌钢制龙骨（基材厚度≥1.0mm，镀锌层≥80μm），连接节点配置不锈钢防锈卡扣件（规格M5×20mm）。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表面处理系统：覆盖层为铝制纳米级陶瓷涂层板（膜厚≥60μm，铅笔硬度≥3H），色差ΔE≤1.5（CIE Lab标准）。</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边缘处理采用R3mm圆角工艺，接缝处嵌入EPDM减震条（压缩永久变形≤15%）</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结构性能参数：静态承重≥300kg/m</w:t>
            </w:r>
            <w:r>
              <w:rPr>
                <w:rFonts w:hint="eastAsia" w:asciiTheme="majorEastAsia" w:hAnsiTheme="majorEastAsia" w:eastAsiaTheme="majorEastAsia" w:cstheme="majorEastAsia"/>
                <w:color w:val="000000"/>
                <w:sz w:val="22"/>
                <w:szCs w:val="22"/>
                <w:u w:val="none"/>
                <w:lang w:val="en-US" w:eastAsia="zh-CN" w:bidi="ar"/>
              </w:rPr>
              <w:t xml:space="preserve">²（持续24小时形变率≤0.3%）</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抗风压性能≥1.5kPa（依据GB/T 31433-2015）</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耐盐雾腐蚀≥2000小时（GB/T 10125-2021中性盐雾试验）</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环保与安全指标：甲醛释放量≤0.03mg/m³（气候箱法GB/T 31106-2014）。</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阻燃等级B1级（GB 8624-2012小室燃烧法）。</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TVOC释放量≤0.2mg/m³（密闭空间72小时检测）。</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r>
      <w:tr>
        <w:trPr>
          <w:jc w:val="center"/>
          <w:trHeight w:val="200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121</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音乐美术区卫生间</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灯光系统</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超薄铝合金平板灯8W/㎡，光通量：≥3200lm，色温：4000K（自然光色）。显色指数：Ra≥92，防护等级：IP20。特性：低压24V供电，铝合金散热背板。多光谱柔性灯带系统，2835贴片，功率：14.4W/m，色温范围：2700K-6000K（三色调光），显色指数：Ra≥90，防水等级：IP65防护结构：3M背胶+卡扣式固定，特性：支持渐变调色，抗UV老化。</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隐蔽式线管系统：PVC线管：Φ20mm（阻燃级），电线规格：BV-2.5mm</w:t>
            </w:r>
            <w:r>
              <w:rPr>
                <w:rFonts w:hint="eastAsia" w:asciiTheme="majorEastAsia" w:hAnsiTheme="majorEastAsia" w:eastAsiaTheme="majorEastAsia" w:cstheme="majorEastAsia"/>
                <w:color w:val="000000"/>
                <w:sz w:val="22"/>
                <w:szCs w:val="22"/>
                <w:u w:val="none"/>
                <w:lang w:val="en-US" w:eastAsia="zh-CN" w:bidi="ar"/>
              </w:rPr>
              <w:t xml:space="preserve">²（国标），</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接线盒：86型暗装（防水型），固定卡扣：尼龙材质（间距≤800mm）。</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2、包含货物生产、运输、安装、调试。                                                                                            3、所有制作参照效果图</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套</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r>
      <w:tr>
        <w:trPr>
          <w:jc w:val="center"/>
          <w:trHeight w:val="216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122</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卫生间装潢改造</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1、信息参数：卫生间墙面装饰拆除、垃圾清运；天花吊顶灯具拆除、垃圾清运；地面地砖拆除、垃圾清运。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墙面修补找平、涂刷防水、墙面贴砖；</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地面修补找平、涂刷防水、地面贴砖；</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天花吊顶轻钢龙骨安装，铝扣板，灯具安装，电路改造。</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2、卫生洁具：原有破损洁具拆除，更换与原有款式一致洁具。</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3、隔断：富美家抗倍特隔断板，厚度：12-18mm；密度：≥1400kg/m</w:t>
            </w:r>
            <w:r>
              <w:rPr>
                <w:rFonts w:hint="eastAsia" w:asciiTheme="majorEastAsia" w:hAnsiTheme="majorEastAsia" w:eastAsiaTheme="majorEastAsia" w:cstheme="majorEastAsia"/>
                <w:color w:val="000000"/>
                <w:sz w:val="22"/>
                <w:szCs w:val="22"/>
                <w:u w:val="none"/>
                <w:lang w:val="en-US" w:eastAsia="zh-CN" w:bidi="ar"/>
              </w:rPr>
              <w:t xml:space="preserve">³；防水等级：浸泡 24h 膨胀率≤0.5%；防火等级：B1 级。</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间</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w:t>
            </w:r>
            <w:r/>
          </w:p>
        </w:tc>
      </w:tr>
      <w:tr>
        <w:trPr>
          <w:jc w:val="center"/>
          <w:trHeight w:val="135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123</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公共区域装饰改造</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1、信息参数：公共区域墙面装饰拆除、垃圾清运；天花吊顶灯具拆除、垃圾清运；地面清理、垃圾清运。</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墙面修补找平、涂刷乳胶漆+定制文化宣传装饰；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地面修补找平、铺贴地胶；</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天花灯光系统安装，电路改造，更换开关插座灯。</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项</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r>
      <w:tr>
        <w:trPr>
          <w:jc w:val="center"/>
          <w:trHeight w:val="4140"/>
        </w:trPr>
        <w:tc>
          <w:tcPr>
            <w:shd w:val="clear" w:color="auto" w:fill="auto"/>
            <w:tcW w:w="703"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124</w:t>
            </w:r>
            <w:r/>
          </w:p>
        </w:tc>
        <w:tc>
          <w:tcPr>
            <w:shd w:val="clear" w:color="auto" w:fill="auto"/>
            <w:tcW w:w="111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教室、办公室地塑</w:t>
            </w:r>
            <w:r/>
          </w:p>
        </w:tc>
        <w:tc>
          <w:tcPr>
            <w:shd w:val="clear" w:color="auto" w:fill="auto"/>
            <w:tcW w:w="5401"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1、规格：21000*5600mm</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一、产品概述</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2.0mm多层复合结构卷材地板材质为聚氯乙烯：产品结构自上而下分为五层：UV涂层、印花彩膜层、0.45mm耐磨层、玻璃纤维稳定层、1.65mm密实层。</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二、产品规格</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产品为2.0mm厚度，卷材，宽幅2米，长度20米，克重3.3±0.5千克每平方米。                                                       三、性能要点</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1、外观质量：无裂纹、分层、断裂，无折皱、气泡、漏印、缺膜、图案变形，无明显套印偏差、色差、污染等缺陷；</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2、</w:t>
            </w:r>
            <w:r>
              <w:rPr>
                <w:rFonts w:hint="eastAsia" w:asciiTheme="majorEastAsia" w:hAnsiTheme="majorEastAsia" w:eastAsiaTheme="majorEastAsia" w:cstheme="majorEastAsia"/>
                <w:i w:val="0"/>
                <w:iCs w:val="0"/>
                <w:color w:val="ff0000"/>
                <w:sz w:val="22"/>
                <w:szCs w:val="22"/>
                <w:u w:val="none"/>
                <w:lang w:val="en-US" w:eastAsia="zh-CN" w:bidi="ar"/>
              </w:rPr>
              <w:t xml:space="preserve">加热尺寸变化率：纵向≤0.40%；横向≤0.40%</w:t>
            </w:r>
            <w:r>
              <w:rPr>
                <w:rFonts w:hint="eastAsia" w:asciiTheme="majorEastAsia" w:hAnsiTheme="majorEastAsia" w:eastAsiaTheme="majorEastAsia" w:cstheme="majorEastAsia"/>
                <w:i w:val="0"/>
                <w:iCs w:val="0"/>
                <w:color w:val="000000"/>
                <w:sz w:val="22"/>
                <w:szCs w:val="22"/>
                <w:u w:val="none"/>
                <w:lang w:val="en-US" w:eastAsia="zh-CN" w:bidi="ar"/>
              </w:rPr>
              <w:t xml:space="preserve">；</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3、PVC地板隔声性能≥24dB；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4、PVC地板铅笔硬度≥3B；</w:t>
            </w:r>
            <w:r>
              <w:rPr>
                <w:rFonts w:hint="eastAsia" w:asciiTheme="majorEastAsia" w:hAnsiTheme="majorEastAsia" w:eastAsiaTheme="majorEastAsia" w:cstheme="majorEastAsia"/>
                <w:i w:val="0"/>
                <w:iCs w:val="0"/>
                <w:color w:val="000000"/>
                <w:sz w:val="22"/>
                <w:szCs w:val="22"/>
                <w:u w:val="none"/>
                <w:lang w:val="en-US" w:eastAsia="zh-CN" w:bidi="ar"/>
              </w:rPr>
              <w:br/>
            </w:r>
            <w:r>
              <w:rPr>
                <w:rFonts w:hint="eastAsia" w:asciiTheme="majorEastAsia" w:hAnsiTheme="majorEastAsia" w:eastAsiaTheme="majorEastAsia" w:cstheme="majorEastAsia"/>
                <w:i w:val="0"/>
                <w:iCs w:val="0"/>
                <w:color w:val="000000"/>
                <w:sz w:val="22"/>
                <w:szCs w:val="22"/>
                <w:u w:val="none"/>
                <w:lang w:val="en-US" w:eastAsia="zh-CN" w:bidi="ar"/>
              </w:rPr>
              <w:t xml:space="preserve">5、急性吸入毒性试验，试验结果对ICR小鼠的急性吸入LC50＞2000mg/ m</w:t>
            </w:r>
            <w:r>
              <w:rPr>
                <w:rFonts w:hint="eastAsia" w:asciiTheme="majorEastAsia" w:hAnsiTheme="majorEastAsia" w:eastAsiaTheme="majorEastAsia" w:cstheme="majorEastAsia"/>
                <w:color w:val="000000"/>
                <w:sz w:val="22"/>
                <w:szCs w:val="22"/>
                <w:u w:val="none"/>
                <w:lang w:val="en-US" w:eastAsia="zh-CN" w:bidi="ar"/>
              </w:rPr>
              <w:t xml:space="preserve">³。依据毒性分级，产品属于低毒级；</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6、</w:t>
            </w:r>
            <w:r>
              <w:rPr>
                <w:rFonts w:hint="eastAsia" w:asciiTheme="majorEastAsia" w:hAnsiTheme="majorEastAsia" w:eastAsiaTheme="majorEastAsia" w:cstheme="majorEastAsia"/>
                <w:color w:val="ff0000"/>
                <w:sz w:val="22"/>
                <w:szCs w:val="22"/>
                <w:u w:val="none"/>
                <w:lang w:val="en-US" w:eastAsia="zh-CN" w:bidi="ar"/>
              </w:rPr>
              <w:t xml:space="preserve">PVC地板焊接强度≥240N/50mm</w:t>
            </w:r>
            <w:r>
              <w:rPr>
                <w:rFonts w:hint="eastAsia" w:asciiTheme="majorEastAsia" w:hAnsiTheme="majorEastAsia" w:eastAsiaTheme="majorEastAsia" w:cstheme="majorEastAsia"/>
                <w:color w:val="000000"/>
                <w:sz w:val="22"/>
                <w:szCs w:val="22"/>
                <w:u w:val="none"/>
                <w:lang w:val="en-US" w:eastAsia="zh-CN" w:bidi="ar"/>
              </w:rPr>
              <w:t xml:space="preserve">；</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7、铺装，含成品环保生态踢脚线。</w:t>
            </w:r>
            <w:r>
              <w:rPr>
                <w:rFonts w:hint="eastAsia" w:asciiTheme="majorEastAsia" w:hAnsiTheme="majorEastAsia" w:eastAsiaTheme="majorEastAsia" w:cstheme="majorEastAsia"/>
                <w:color w:val="000000"/>
                <w:sz w:val="22"/>
                <w:szCs w:val="22"/>
                <w:u w:val="none"/>
                <w:lang w:val="en-US" w:eastAsia="zh-CN" w:bidi="ar"/>
              </w:rPr>
              <w:br/>
            </w:r>
            <w:r>
              <w:rPr>
                <w:rFonts w:hint="eastAsia" w:asciiTheme="majorEastAsia" w:hAnsiTheme="majorEastAsia" w:eastAsiaTheme="majorEastAsia" w:cstheme="majorEastAsia"/>
                <w:color w:val="000000"/>
                <w:sz w:val="22"/>
                <w:szCs w:val="22"/>
                <w:u w:val="none"/>
                <w:lang w:val="en-US" w:eastAsia="zh-CN" w:bidi="ar"/>
              </w:rPr>
              <w:t xml:space="preserve">8、包含货物生产、运输、安装。</w:t>
            </w:r>
            <w:r/>
          </w:p>
        </w:tc>
        <w:tc>
          <w:tcPr>
            <w:shd w:val="clear" w:color="auto" w:fill="auto"/>
            <w:tcW w:w="73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平</w:t>
            </w:r>
            <w:r/>
          </w:p>
        </w:tc>
        <w:tc>
          <w:tcPr>
            <w:shd w:val="clear" w:color="auto" w:fill="auto"/>
            <w:tcW w:w="804"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200</w:t>
            </w:r>
            <w:r/>
          </w:p>
        </w:tc>
      </w:tr>
    </w:tbl>
    <w:p>
      <w:pPr>
        <w:pStyle w:val="693"/>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lang w:eastAsia="zh-CN"/>
        </w:rPr>
        <w:t xml:space="preserve">（</w:t>
      </w:r>
      <w:r>
        <w:rPr>
          <w:rFonts w:hint="eastAsia" w:ascii="宋体" w:hAnsi="宋体" w:eastAsia="宋体" w:cs="宋体"/>
          <w:i/>
          <w:color w:val="auto"/>
          <w:sz w:val="24"/>
          <w:szCs w:val="24"/>
          <w:highlight w:val="none"/>
          <w:u w:val="single"/>
          <w:shd w:val="clear" w:color="auto" w:fill="auto"/>
          <w:lang w:val="en-US" w:eastAsia="zh-CN"/>
        </w:rPr>
        <w:t xml:space="preserve">四</w:t>
      </w:r>
      <w:r>
        <w:rPr>
          <w:rFonts w:hint="eastAsia" w:ascii="宋体" w:hAnsi="宋体" w:eastAsia="宋体" w:cs="宋体"/>
          <w:i/>
          <w:color w:val="auto"/>
          <w:sz w:val="24"/>
          <w:szCs w:val="24"/>
          <w:highlight w:val="none"/>
          <w:u w:val="single"/>
          <w:shd w:val="clear" w:color="auto" w:fill="auto"/>
          <w:lang w:eastAsia="zh-CN"/>
        </w:rPr>
        <w:t xml:space="preserve">）</w:t>
      </w:r>
      <w:r>
        <w:rPr>
          <w:rFonts w:hint="eastAsia" w:ascii="宋体" w:hAnsi="宋体" w:eastAsia="宋体" w:cs="宋体"/>
          <w:i/>
          <w:color w:val="auto"/>
          <w:sz w:val="24"/>
          <w:szCs w:val="24"/>
          <w:highlight w:val="none"/>
          <w:u w:val="single"/>
          <w:shd w:val="clear" w:color="auto" w:fill="auto"/>
        </w:rPr>
        <w:t xml:space="preserve">本项目</w:t>
      </w:r>
      <w:r>
        <w:rPr>
          <w:rFonts w:hint="eastAsia" w:ascii="宋体" w:hAnsi="宋体" w:eastAsia="宋体" w:cs="宋体"/>
          <w:i/>
          <w:color w:val="auto"/>
          <w:sz w:val="24"/>
          <w:szCs w:val="24"/>
          <w:highlight w:val="none"/>
          <w:u w:val="single"/>
          <w:shd w:val="clear" w:color="auto" w:fill="auto"/>
          <w:lang w:val="en-US" w:eastAsia="zh-CN"/>
        </w:rPr>
        <w:t xml:space="preserve">不接受</w:t>
      </w:r>
      <w:r>
        <w:rPr>
          <w:rFonts w:hint="eastAsia" w:ascii="宋体" w:hAnsi="宋体" w:eastAsia="宋体" w:cs="宋体"/>
          <w:i/>
          <w:color w:val="auto"/>
          <w:sz w:val="24"/>
          <w:szCs w:val="24"/>
          <w:highlight w:val="none"/>
          <w:u w:val="single"/>
          <w:shd w:val="clear" w:color="auto" w:fill="auto"/>
        </w:rPr>
        <w:t xml:space="preserve">进口产品投标</w:t>
      </w:r>
      <w:r/>
    </w:p>
    <w:p>
      <w:pPr>
        <w:pStyle w:val="693"/>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五</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采购标的对应的中小企业划分标准所属行业一览表</w:t>
      </w:r>
      <w:r/>
    </w:p>
    <w:tbl>
      <w:tblPr>
        <w:tblStyle w:val="672"/>
        <w:tblW w:w="867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4052"/>
        <w:gridCol w:w="3643"/>
      </w:tblGrid>
      <w:tr>
        <w:trPr>
          <w:jc w:val="center"/>
          <w:tblCellSpacing w:w="0" w:type="dxa"/>
        </w:trPr>
        <w:tc>
          <w:tcPr>
            <w:shd w:val="clear" w:color="auto" w:fill="auto"/>
            <w:tcW w:w="976" w:type="dxa"/>
            <w:vAlign w:val="center"/>
            <w:textDirection w:val="lrTb"/>
            <w:noWrap w:val="false"/>
          </w:tcPr>
          <w:p>
            <w:pPr>
              <w:pStyle w:val="693"/>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序号</w:t>
            </w:r>
            <w:r/>
          </w:p>
        </w:tc>
        <w:tc>
          <w:tcPr>
            <w:shd w:val="clear" w:color="auto" w:fill="auto"/>
            <w:tcW w:w="4052" w:type="dxa"/>
            <w:vAlign w:val="center"/>
            <w:textDirection w:val="lrTb"/>
            <w:noWrap w:val="false"/>
          </w:tcPr>
          <w:p>
            <w:pPr>
              <w:pStyle w:val="693"/>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采购标的</w:t>
            </w:r>
            <w:r/>
          </w:p>
        </w:tc>
        <w:tc>
          <w:tcPr>
            <w:shd w:val="clear" w:color="auto" w:fill="auto"/>
            <w:tcW w:w="3643" w:type="dxa"/>
            <w:vAlign w:val="center"/>
            <w:textDirection w:val="lrTb"/>
            <w:noWrap w:val="false"/>
          </w:tcPr>
          <w:p>
            <w:pPr>
              <w:pStyle w:val="693"/>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对应中小企业划分标准所属行业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剧院钢木舞台</w:t>
            </w:r>
            <w:r/>
          </w:p>
        </w:tc>
        <w:tc>
          <w:tcPr>
            <w:shd w:val="clear" w:color="auto" w:fill="auto"/>
            <w:tcW w:w="3643"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lang w:val="en-US" w:eastAsia="zh-CN"/>
              </w:rPr>
              <w:suppressLineNumbers w:val="0"/>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剧院内部灯光维修升级</w:t>
            </w:r>
            <w:r/>
          </w:p>
        </w:tc>
        <w:tc>
          <w:tcPr>
            <w:shd w:val="clear" w:color="auto" w:fill="auto"/>
            <w:tcW w:w="3643"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lang w:val="en-US" w:eastAsia="zh-CN"/>
              </w:rPr>
              <w:suppressLineNumbers w:val="0"/>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剧院内廊顶部艺术装配</w:t>
            </w:r>
            <w:r/>
          </w:p>
        </w:tc>
        <w:tc>
          <w:tcPr>
            <w:shd w:val="clear" w:color="auto" w:fill="auto"/>
            <w:tcW w:w="3643" w:type="dxa"/>
            <w:vAlign w:val="center"/>
            <w:textDirection w:val="lrTb"/>
            <w:noWrap w:val="false"/>
          </w:tcPr>
          <w:p>
            <w:pPr>
              <w:pStyle w:val="693"/>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剧院内廊灯光系统</w:t>
            </w:r>
            <w:r/>
          </w:p>
        </w:tc>
        <w:tc>
          <w:tcPr>
            <w:shd w:val="clear" w:color="auto" w:fill="auto"/>
            <w:tcW w:w="3643" w:type="dxa"/>
            <w:vAlign w:val="center"/>
            <w:textDirection w:val="lrTb"/>
            <w:noWrap w:val="false"/>
          </w:tcPr>
          <w:p>
            <w:pPr>
              <w:pStyle w:val="693"/>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剧院卫生间顶部艺术装配</w:t>
            </w:r>
            <w:r/>
          </w:p>
        </w:tc>
        <w:tc>
          <w:tcPr>
            <w:shd w:val="clear" w:color="auto" w:fill="auto"/>
            <w:tcW w:w="3643" w:type="dxa"/>
            <w:vAlign w:val="center"/>
            <w:textDirection w:val="lrTb"/>
            <w:noWrap w:val="false"/>
          </w:tcPr>
          <w:p>
            <w:pPr>
              <w:pStyle w:val="693"/>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剧院卫生间两侧更衣柜</w:t>
            </w:r>
            <w:r/>
          </w:p>
        </w:tc>
        <w:tc>
          <w:tcPr>
            <w:shd w:val="clear" w:color="auto" w:fill="auto"/>
            <w:tcW w:w="3643" w:type="dxa"/>
            <w:vAlign w:val="center"/>
            <w:textDirection w:val="lrTb"/>
            <w:noWrap w:val="false"/>
          </w:tcPr>
          <w:p>
            <w:pPr>
              <w:pStyle w:val="693"/>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剧院卫生间灯光系统</w:t>
            </w:r>
            <w:r/>
          </w:p>
        </w:tc>
        <w:tc>
          <w:tcPr>
            <w:shd w:val="clear" w:color="auto" w:fill="auto"/>
            <w:tcW w:w="3643" w:type="dxa"/>
            <w:vAlign w:val="center"/>
            <w:textDirection w:val="lrTb"/>
            <w:noWrap w:val="false"/>
          </w:tcPr>
          <w:p>
            <w:pPr>
              <w:pStyle w:val="693"/>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剧院舞台音响系统维修改造</w:t>
            </w:r>
            <w:r/>
          </w:p>
        </w:tc>
        <w:tc>
          <w:tcPr>
            <w:shd w:val="clear" w:color="auto" w:fill="auto"/>
            <w:tcW w:w="3643" w:type="dxa"/>
            <w:vAlign w:val="center"/>
            <w:textDirection w:val="lrTb"/>
            <w:noWrap w:val="false"/>
          </w:tcPr>
          <w:p>
            <w:pPr>
              <w:pStyle w:val="693"/>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接待室顶部艺术装配</w:t>
            </w:r>
            <w:r/>
          </w:p>
        </w:tc>
        <w:tc>
          <w:tcPr>
            <w:shd w:val="clear" w:color="auto" w:fill="auto"/>
            <w:tcW w:w="3643" w:type="dxa"/>
            <w:vAlign w:val="center"/>
            <w:textDirection w:val="lrTb"/>
            <w:noWrap w:val="false"/>
          </w:tcPr>
          <w:p>
            <w:pPr>
              <w:pStyle w:val="693"/>
              <w:jc w:val="center"/>
              <w:keepLines w:val="0"/>
              <w:keepNext w:val="0"/>
              <w:pageBreakBefore w:val="0"/>
              <w:spacing w:beforeAutospacing="0" w:afterAutospacing="0" w:line="240" w:lineRule="auto"/>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接待室灯光系统</w:t>
            </w:r>
            <w:r/>
          </w:p>
        </w:tc>
        <w:tc>
          <w:tcPr>
            <w:shd w:val="clear" w:color="auto" w:fill="auto"/>
            <w:tcW w:w="3643" w:type="dxa"/>
            <w:vAlign w:val="center"/>
            <w:textDirection w:val="lrTb"/>
            <w:noWrap w:val="false"/>
          </w:tcPr>
          <w:p>
            <w:pPr>
              <w:pStyle w:val="693"/>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接待室空调系统</w:t>
            </w:r>
            <w:r/>
          </w:p>
        </w:tc>
        <w:tc>
          <w:tcPr>
            <w:shd w:val="clear" w:color="auto" w:fill="auto"/>
            <w:tcW w:w="3643" w:type="dxa"/>
            <w:vAlign w:val="center"/>
            <w:textDirection w:val="lrTb"/>
            <w:noWrap w:val="false"/>
          </w:tcPr>
          <w:p>
            <w:pPr>
              <w:pStyle w:val="693"/>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室内遮光帘</w:t>
            </w:r>
            <w:r/>
          </w:p>
        </w:tc>
        <w:tc>
          <w:tcPr>
            <w:shd w:val="clear" w:color="auto" w:fill="auto"/>
            <w:tcW w:w="3643" w:type="dxa"/>
            <w:vAlign w:val="center"/>
            <w:textDirection w:val="lrTb"/>
            <w:noWrap w:val="false"/>
          </w:tcPr>
          <w:p>
            <w:pPr>
              <w:pStyle w:val="693"/>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35"/>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音乐教室1木制艺术造型展览板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音乐教室1木制艺术造型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bookmarkStart w:id="172" w:name="_Toc120614281"/>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音乐教室1音响系统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音乐智慧黑板一体机焕新</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4052"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数字音乐教学软件</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MIDI键盘控制器</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五线谱电教板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音乐教室2木制艺术造型展览板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音乐教室2木制艺术造型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音乐教室2音响系统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音乐教室2定制乐谱架</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音乐教室2空调系统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音乐教室3顶部装配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音乐教室3照明系统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音乐教室3木制艺术造型展览板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音乐教室3木制艺术造型A</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音乐教室3木制艺术造型B</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音乐教室3功放音响设备</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音乐教室3桌椅套装</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音乐教室1、2、3地面艺术处理</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小提琴</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中提琴</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大提琴</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长笛</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双簧管</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单簧管</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小号</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长号</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音乐教室3空调系统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音乐教室4木制艺术造型展览板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音乐教室4木制艺术造型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音乐教室4顶部装配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音乐教室4照明系统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音乐教室4音响功放系统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音乐教室4培训椅子</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音乐教室4地面地塑</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器乐兼排练室顶部装配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器乐兼排练室照明系统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器乐兼排练室金属艺术造型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器乐兼排练室木质艺术展览板A</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器乐兼排练室木质艺术展览板A</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器乐兼排练室储物柜</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衣服架子</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器乐兼排练室空调系统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美术作品兼仓库室功能储物造型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美术作品兼仓库室功能储物矮柜</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美术作品兼仓库室木制艺术展览板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写生教具2（几何形体）</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静物台衬布</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定制写生教具套装</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美术清洁工具套装</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美术作品兼仓库室顶部装配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美术作品兼仓库室灯光系统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美术教室1顶部艺术装配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美术教室1灯光系统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美术教室1木制艺术造型展览板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美术教室1木制艺术造型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调色板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数位屏绘画系统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i w:val="0"/>
                <w:iCs w:val="0"/>
                <w:caps w:val="0"/>
                <w:spacing w:val="0"/>
                <w:sz w:val="22"/>
                <w:szCs w:val="22"/>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美术智慧黑板一体机焕新</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美术教学软件</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i w:val="0"/>
                <w:iCs w:val="0"/>
                <w:caps w:val="0"/>
                <w:spacing w:val="0"/>
                <w:sz w:val="22"/>
                <w:szCs w:val="22"/>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美术教室1桌子</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美术教室1椅子</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美术教室2顶部艺术装配</w:t>
            </w:r>
            <w:r/>
          </w:p>
        </w:tc>
        <w:tc>
          <w:tcPr>
            <w:shd w:val="clear" w:color="auto" w:fill="auto"/>
            <w:tcW w:w="3643" w:type="dxa"/>
            <w:vAlign w:val="center"/>
            <w:textDirection w:val="lrTb"/>
            <w:noWrap w:val="false"/>
          </w:tcPr>
          <w:p>
            <w:pPr>
              <w:jc w:val="center"/>
              <w:spacing w:beforeAutospacing="0" w:afterAutospacing="0" w:line="0" w:lineRule="atLeast"/>
              <w:rPr>
                <w:rFonts w:hint="default"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美术教室2灯光系统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美术教室2木制艺术造型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美术教室2木制艺术展览板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美术教室2功能储物柜</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画架</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美术教室2水彩颜料套装</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美术教室2彩铅教学套装</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美术教室2桌子</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美术教室2培训椅</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美术教室2空调系统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美术教室3顶部艺术装配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美术教室3灯光系统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美术教室3木制艺术造型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美术教室3木制艺术展览板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美术教室3功能储物矮柜</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画时电子绘画板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定制作品展示画框</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美术教室3空调系统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美术办公室兼作品展室木制艺术展览板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美术办公室室兼作品展室顶部艺术装配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美术办公室兼作品展室灯光系统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美术办公室兼作品展室空调系统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音乐办公室兼琴房木制艺术造型展览板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音乐办公室兼琴房顶部艺术装配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音乐办公室兼琴房灯光系统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音乐办公室兼琴房空调系统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琴房木制隔断造型</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琴房定制木制艺术造型展览板</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琴房空调系统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音乐美术区卫生间顶部艺术装配</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音乐美术区卫生间灯光系统</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卫生间装潢改造</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公共区域装饰改造</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W w:w="4052"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教室、办公室地塑</w:t>
            </w:r>
            <w:r/>
          </w:p>
        </w:tc>
        <w:tc>
          <w:tcPr>
            <w:shd w:val="clear" w:color="auto" w:fill="auto"/>
            <w:tcW w:w="3643"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bl>
    <w:p>
      <w:pPr>
        <w:pStyle w:val="693"/>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3"/>
        <w:ind w:firstLine="602"/>
        <w:jc w:val="both"/>
        <w:spacing w:beforeAutospacing="0" w:afterAutospacing="0"/>
        <w:rPr>
          <w:highlight w:val="none"/>
        </w:rPr>
      </w:pPr>
      <w:r>
        <w:rPr>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93"/>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93"/>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93"/>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853"/>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693"/>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693"/>
        <w:ind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853"/>
        <w:ind w:firstLine="36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注：本项目为货物类项目，货物应当全部由中小企业制造且使用该中小企业商号或者注册商标，方可享受中小企业扶持政策，不对其中涉及的工程承建商作出要求。</w:t>
      </w:r>
      <w:r/>
    </w:p>
    <w:p>
      <w:pPr>
        <w:pStyle w:val="693"/>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693"/>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93"/>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693"/>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693"/>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693"/>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93"/>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3"/>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693"/>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693"/>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pStyle w:val="693"/>
        <w:ind w:firstLine="480"/>
        <w:spacing w:before="120" w:beforeAutospacing="0" w:after="120" w:afterAutospacing="0"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000000"/>
          <w:sz w:val="24"/>
          <w:szCs w:val="24"/>
          <w:highlight w:val="none"/>
        </w:rPr>
        <w:t xml:space="preserve">6、联合体各方均为小型、微型企业（残疾人福利单位、监狱企业）的，联合</w:t>
      </w:r>
      <w:r>
        <w:rPr>
          <w:rFonts w:hint="eastAsia" w:ascii="宋体" w:hAnsi="宋体" w:eastAsia="宋体" w:cs="宋体"/>
          <w:color w:val="auto"/>
          <w:sz w:val="24"/>
          <w:szCs w:val="24"/>
          <w:highlight w:val="none"/>
        </w:rPr>
        <w:t xml:space="preserve">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93"/>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672"/>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236"/>
        <w:gridCol w:w="1495"/>
        <w:gridCol w:w="993"/>
        <w:gridCol w:w="4838"/>
      </w:tblGrid>
      <w:tr>
        <w:trPr>
          <w:jc w:val="center"/>
          <w:trHeight w:val="574"/>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t xml:space="preserve">序</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t xml:space="preserve">打分要求</w:t>
            </w:r>
            <w:r/>
          </w:p>
        </w:tc>
      </w:tr>
      <w:tr>
        <w:trPr>
          <w:jc w:val="center"/>
          <w:trHeight w:val="867"/>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t xml:space="preserve">价格部分</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lang w:val="en-US" w:eastAsia="zh-CN"/>
              </w:rPr>
              <w:t xml:space="preserve">投标</w:t>
            </w:r>
            <w:r>
              <w:rPr>
                <w:rFonts w:hint="eastAsia" w:asciiTheme="majorEastAsia" w:hAnsiTheme="majorEastAsia" w:eastAsiaTheme="majorEastAsia" w:cstheme="majorEastAsia"/>
                <w:b w:val="0"/>
                <w:bCs w:val="0"/>
                <w:color w:val="000000"/>
                <w:sz w:val="21"/>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rPr>
            </w:pPr>
            <w:r>
              <w:rPr>
                <w:rFonts w:hint="eastAsia" w:asciiTheme="majorEastAsia" w:hAnsiTheme="majorEastAsia" w:eastAsiaTheme="majorEastAsia" w:cstheme="majorEastAsia"/>
                <w:b w:val="0"/>
                <w:bCs w:val="0"/>
                <w:color w:val="000000"/>
                <w:sz w:val="21"/>
                <w:szCs w:val="21"/>
                <w:highlight w:val="none"/>
                <w:lang w:val="en-US" w:eastAsia="zh-CN"/>
              </w:rPr>
              <w:t xml:space="preserve">30分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lang w:val="en-US" w:eastAsia="zh-CN"/>
              </w:rPr>
              <w:t xml:space="preserve">满足招标文件要求且投标价格最低的投标报价为基准价，其价格分为满分。报价得分=(评标基准价/投标报价)×30。</w:t>
            </w:r>
            <w:r/>
          </w:p>
        </w:tc>
      </w:tr>
      <w:tr>
        <w:trPr>
          <w:jc w:val="center"/>
          <w:trHeight w:val="1503"/>
        </w:trPr>
        <w:tc>
          <w:tcPr>
            <w:tcBorders>
              <w:top w:val="single" w:color="auto" w:sz="4" w:space="0"/>
              <w:left w:val="single" w:color="auto" w:sz="4" w:space="0"/>
              <w:right w:val="single" w:color="auto" w:sz="4" w:space="0"/>
            </w:tcBorders>
            <w:tcW w:w="635" w:type="dxa"/>
            <w:vAlign w:val="center"/>
            <w:vMerge w:val="restart"/>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二</w:t>
            </w:r>
            <w:r/>
          </w:p>
        </w:tc>
        <w:tc>
          <w:tcPr>
            <w:tcBorders>
              <w:top w:val="single" w:color="auto" w:sz="4" w:space="0"/>
              <w:left w:val="single" w:color="auto" w:sz="4" w:space="0"/>
              <w:right w:val="single" w:color="auto" w:sz="4" w:space="0"/>
            </w:tcBorders>
            <w:tcW w:w="1236" w:type="dxa"/>
            <w:vAlign w:val="center"/>
            <w:vMerge w:val="restart"/>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技术部分</w:t>
            </w:r>
            <w:r/>
          </w:p>
        </w:tc>
        <w:tc>
          <w:tcPr>
            <w:shd w:val="clear" w:color="auto" w:fill="auto"/>
            <w:tcBorders>
              <w:top w:val="single" w:color="auto" w:sz="4" w:space="0"/>
              <w:left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技术参数</w:t>
            </w:r>
            <w:r/>
          </w:p>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bidi="ar-SA"/>
              </w:rPr>
            </w:pPr>
            <w:r>
              <w:rPr>
                <w:rFonts w:hint="eastAsia" w:asciiTheme="majorEastAsia" w:hAnsiTheme="majorEastAsia" w:eastAsiaTheme="majorEastAsia" w:cstheme="majorEastAsia"/>
                <w:b w:val="0"/>
                <w:bCs w:val="0"/>
                <w:color w:val="000000"/>
                <w:sz w:val="21"/>
                <w:szCs w:val="21"/>
                <w:highlight w:val="none"/>
                <w:lang w:val="en-US" w:eastAsia="zh-CN"/>
              </w:rPr>
              <w:t xml:space="preserve">响应情况</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bidi="ar-SA"/>
              </w:rPr>
            </w:pPr>
            <w:r>
              <w:rPr>
                <w:rFonts w:hint="eastAsia" w:asciiTheme="majorEastAsia" w:hAnsiTheme="majorEastAsia" w:eastAsiaTheme="majorEastAsia" w:cstheme="majorEastAsia"/>
                <w:b w:val="0"/>
                <w:bCs w:val="0"/>
                <w:color w:val="000000"/>
                <w:sz w:val="21"/>
                <w:szCs w:val="21"/>
                <w:highlight w:val="none"/>
                <w:lang w:val="en-US" w:eastAsia="zh-CN"/>
              </w:rPr>
              <w:t xml:space="preserve">36分</w:t>
            </w:r>
            <w:r/>
          </w:p>
        </w:tc>
        <w:tc>
          <w:tcPr>
            <w:tcBorders>
              <w:top w:val="single" w:color="auto" w:sz="4" w:space="0"/>
              <w:left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对招标需求书的要求进行评审（基础分36分），完全满足招标文件要求的不扣分；</w:t>
            </w:r>
            <w:r/>
          </w:p>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其中：标“★”指标为重点响应项，每发现一处负偏离扣2分，扣完为止。</w:t>
            </w:r>
            <w:r/>
          </w:p>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注：对于采购文件中需提供证明材料作为佐证的参数，供应商应按要求提供，否则视为负偏离。</w:t>
            </w:r>
            <w:r/>
          </w:p>
        </w:tc>
      </w:tr>
      <w:tr>
        <w:trPr>
          <w:jc w:val="center"/>
          <w:trHeight w:val="665"/>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售后服务</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对投标人提供售后服务人员社保、售后服务计划、售后服务响应时间、售后服务方式方面进行综合评审，无任何缺项得8分，有任意一缺项扣2分。</w:t>
            </w:r>
            <w:r/>
          </w:p>
        </w:tc>
      </w:tr>
      <w:tr>
        <w:trPr>
          <w:jc w:val="center"/>
          <w:trHeight w:val="781"/>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           技术服务方案</w:t>
            </w:r>
            <w:r/>
          </w:p>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10"/>
              <w:jc w:val="both"/>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numPr>
                <w:ilvl w:val="0"/>
                <w:numId w:val="0"/>
              </w:num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投标人提供的方案，需</w:t>
            </w:r>
            <w:r>
              <w:rPr>
                <w:rFonts w:hint="eastAsia" w:asciiTheme="majorEastAsia" w:hAnsiTheme="majorEastAsia" w:eastAsiaTheme="majorEastAsia" w:cstheme="majorEastAsia"/>
                <w:b w:val="0"/>
                <w:bCs w:val="0"/>
                <w:sz w:val="21"/>
                <w:szCs w:val="21"/>
              </w:rPr>
              <w:t xml:space="preserve">全面涵盖项目需求分析、服务内容规划、服务流程设计、资源保障、进度管理、质量管理</w:t>
            </w:r>
            <w:r>
              <w:rPr>
                <w:rFonts w:hint="eastAsia" w:asciiTheme="majorEastAsia" w:hAnsiTheme="majorEastAsia" w:eastAsiaTheme="majorEastAsia" w:cstheme="majorEastAsia"/>
                <w:b w:val="0"/>
                <w:bCs w:val="0"/>
                <w:sz w:val="21"/>
                <w:szCs w:val="21"/>
                <w:lang w:eastAsia="zh-CN"/>
              </w:rPr>
              <w:t xml:space="preserve">，</w:t>
            </w:r>
            <w:r>
              <w:rPr>
                <w:rFonts w:hint="eastAsia" w:asciiTheme="majorEastAsia" w:hAnsiTheme="majorEastAsia" w:eastAsiaTheme="majorEastAsia" w:cstheme="majorEastAsia"/>
                <w:b w:val="0"/>
                <w:bCs w:val="0"/>
                <w:sz w:val="21"/>
                <w:szCs w:val="21"/>
                <w:lang w:val="en-US" w:eastAsia="zh-CN"/>
              </w:rPr>
              <w:t xml:space="preserve">全面涵盖得6分，有任意一缺项扣1分。</w:t>
            </w:r>
            <w:r/>
          </w:p>
        </w:tc>
      </w:tr>
      <w:tr>
        <w:trPr>
          <w:jc w:val="center"/>
          <w:trHeight w:val="516"/>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rPr>
            </w:pPr>
            <w:r>
              <w:rPr>
                <w:rFonts w:hint="eastAsia" w:asciiTheme="majorEastAsia" w:hAnsiTheme="majorEastAsia" w:eastAsiaTheme="majorEastAsia" w:cstheme="majorEastAsia"/>
                <w:b w:val="0"/>
                <w:bCs w:val="0"/>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项目实施方案</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（1）提供对于物流环节和货物到达现场后分配环节的控制方案得2分，不提供不得分。</w:t>
            </w:r>
            <w:r/>
          </w:p>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（2）对照招标文件内的清单，提供相应产品的安装说明和使用说明得2分，不提供不得分</w:t>
            </w:r>
            <w:r/>
          </w:p>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（3）根据项目实际情况，结合本次采购产品清单，为采购人推荐有效的安装布置方案得2分，不提供不得分。</w:t>
            </w:r>
            <w:r/>
          </w:p>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（4）针对本项目的产品，制定确保安装、调试、验收环节的质量保证措施的方案得2分，不提供不得分。</w:t>
            </w:r>
            <w:r/>
          </w:p>
        </w:tc>
      </w:tr>
      <w:tr>
        <w:trPr>
          <w:jc w:val="center"/>
          <w:trHeight w:val="336"/>
        </w:trPr>
        <w:tc>
          <w:tcPr>
            <w:tcBorders>
              <w:left w:val="single" w:color="auto" w:sz="4" w:space="0"/>
              <w:right w:val="single" w:color="auto" w:sz="4" w:space="0"/>
            </w:tcBorders>
            <w:tcW w:w="635" w:type="dxa"/>
            <w:vAlign w:val="center"/>
            <w:vMerge w:val="restart"/>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三</w:t>
            </w:r>
            <w:r/>
          </w:p>
        </w:tc>
        <w:tc>
          <w:tcPr>
            <w:tcBorders>
              <w:left w:val="single" w:color="auto" w:sz="4" w:space="0"/>
              <w:right w:val="single" w:color="auto" w:sz="4" w:space="0"/>
            </w:tcBorders>
            <w:tcW w:w="1236" w:type="dxa"/>
            <w:vAlign w:val="center"/>
            <w:vMerge w:val="restart"/>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商务部分</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功能演示</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数字音乐教学软件功能演示：</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（1）AI演唱评分功能：歌曲支持演唱模式演唱过程中具有音频伴奏、音高线提示、音高时值实时显示分值、演唱完成后显示演唱得分，音准、节奏、完成度等百分比。支持音频回放、重新演唱。（1分）</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（2）音色设置：播放过程中即可改变播放音色，具备钢琴、小提琴、单簧管、古筝、颤音琴五个音色快捷键。（1分）</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（3）速度播放：可以五线谱、简谱课件的播放速度通过滑动速度条进行速度调节40-208,其中含5种直选键：0.5、0.75、1(还原)、1.25、1.5倍速可调。（1分）</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（4）课堂互动：工具包-课堂互动中,含有大转盘,可进行编辑、抽奖等功能。工具包中含有指挥视频,可进行指挥视频的学习。（1分）</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（5）音调设置：五线谱、简谱课件可以进行移调选择15种调式，其中含5种直选键：降全音、降半音、原调（还原）、升半音、升全音。（1分）</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数字美术教学软件功能演示：</w:t>
            </w:r>
            <w:r/>
          </w:p>
          <w:p>
            <w:pPr>
              <w:jc w:val="left"/>
              <w:keepLines w:val="0"/>
              <w:keepNext w:val="0"/>
              <w:widowControl/>
              <w:rPr>
                <w:rFonts w:hint="eastAsia" w:asciiTheme="majorEastAsia" w:hAnsiTheme="majorEastAsia" w:eastAsiaTheme="majorEastAsia" w:cstheme="majorEastAsia"/>
                <w:b w:val="0"/>
                <w:bCs w:val="0"/>
                <w:sz w:val="21"/>
                <w:szCs w:val="21"/>
                <w:lang w:val="en-US" w:eastAsia="zh-CN"/>
              </w:rPr>
              <w:suppressLineNumbers w:val="0"/>
            </w:pPr>
            <w:r>
              <w:rPr>
                <w:rFonts w:hint="eastAsia" w:asciiTheme="majorEastAsia" w:hAnsiTheme="majorEastAsia" w:eastAsiaTheme="majorEastAsia" w:cstheme="majorEastAsia"/>
                <w:b w:val="0"/>
                <w:bCs w:val="0"/>
                <w:sz w:val="21"/>
                <w:szCs w:val="21"/>
                <w:lang w:val="en-US" w:eastAsia="zh-CN"/>
              </w:rPr>
              <w:t xml:space="preserve">（1）记录过程功能：可同步记录存储书写过程，支持录制内容反复播放。</w:t>
            </w: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（1分）</w:t>
            </w:r>
            <w:r/>
          </w:p>
          <w:p>
            <w:pPr>
              <w:jc w:val="left"/>
              <w:keepLines w:val="0"/>
              <w:keepNext w:val="0"/>
              <w:widowControl/>
              <w:rPr>
                <w:rFonts w:hint="eastAsia" w:asciiTheme="majorEastAsia" w:hAnsiTheme="majorEastAsia" w:eastAsiaTheme="majorEastAsia" w:cstheme="majorEastAsia"/>
                <w:b w:val="0"/>
                <w:bCs w:val="0"/>
                <w:sz w:val="21"/>
                <w:szCs w:val="21"/>
                <w:lang w:val="en-US" w:eastAsia="zh-CN"/>
              </w:rPr>
              <w:suppressLineNumbers w:val="0"/>
            </w:pPr>
            <w:r>
              <w:rPr>
                <w:rFonts w:hint="eastAsia" w:asciiTheme="majorEastAsia" w:hAnsiTheme="majorEastAsia" w:eastAsiaTheme="majorEastAsia" w:cstheme="majorEastAsia"/>
                <w:b w:val="0"/>
                <w:bCs w:val="0"/>
                <w:sz w:val="21"/>
                <w:szCs w:val="21"/>
                <w:lang w:val="en-US" w:eastAsia="zh-CN"/>
              </w:rPr>
              <w:t xml:space="preserve">（2）提交作品功能：学生可将作品提交至局域网管理端，并查看自己上传的作品。</w:t>
            </w: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（1分）</w:t>
            </w:r>
            <w:r/>
          </w:p>
          <w:p>
            <w:pPr>
              <w:jc w:val="left"/>
              <w:keepLines w:val="0"/>
              <w:keepNext w:val="0"/>
              <w:widowControl/>
              <w:rPr>
                <w:rFonts w:hint="eastAsia" w:asciiTheme="majorEastAsia" w:hAnsiTheme="majorEastAsia" w:eastAsiaTheme="majorEastAsia" w:cstheme="majorEastAsia"/>
                <w:b w:val="0"/>
                <w:bCs w:val="0"/>
                <w:sz w:val="21"/>
                <w:szCs w:val="21"/>
                <w:lang w:val="en-US" w:eastAsia="zh-CN"/>
              </w:rPr>
              <w:suppressLineNumbers w:val="0"/>
            </w:pPr>
            <w:r>
              <w:rPr>
                <w:rFonts w:hint="eastAsia" w:asciiTheme="majorEastAsia" w:hAnsiTheme="majorEastAsia" w:eastAsiaTheme="majorEastAsia" w:cstheme="majorEastAsia"/>
                <w:b w:val="0"/>
                <w:bCs w:val="0"/>
                <w:sz w:val="21"/>
                <w:szCs w:val="21"/>
                <w:lang w:val="en-US" w:eastAsia="zh-CN"/>
              </w:rPr>
              <w:t xml:space="preserve">（3）班级展厅功能：学生可查看班级其它成员提交的作品，可以将自己的作品调用到画布进行二次编辑。</w:t>
            </w: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（1分）</w:t>
            </w:r>
            <w:r/>
          </w:p>
          <w:p>
            <w:pPr>
              <w:jc w:val="left"/>
              <w:keepLines w:val="0"/>
              <w:keepNext w:val="0"/>
              <w:widowControl/>
              <w:rPr>
                <w:rFonts w:hint="eastAsia" w:asciiTheme="majorEastAsia" w:hAnsiTheme="majorEastAsia" w:eastAsiaTheme="majorEastAsia" w:cstheme="majorEastAsia"/>
                <w:b w:val="0"/>
                <w:bCs w:val="0"/>
                <w:sz w:val="21"/>
                <w:szCs w:val="21"/>
                <w:lang w:val="en-US" w:eastAsia="zh-CN"/>
              </w:rPr>
              <w:suppressLineNumbers w:val="0"/>
            </w:pPr>
            <w:r>
              <w:rPr>
                <w:rFonts w:hint="eastAsia" w:asciiTheme="majorEastAsia" w:hAnsiTheme="majorEastAsia" w:eastAsiaTheme="majorEastAsia" w:cstheme="majorEastAsia"/>
                <w:b w:val="0"/>
                <w:bCs w:val="0"/>
                <w:sz w:val="21"/>
                <w:szCs w:val="21"/>
                <w:lang w:val="en-US" w:eastAsia="zh-CN"/>
              </w:rPr>
              <w:t xml:space="preserve">（4）教师管理端功能：拥有独立的教师管理端软件，支持不低于50个点的学生端；可分配师生帐号，支持批量导入；可分配班级、支持自由设定班级名称，自动记录教学内容；可查看学生作品、对通过系统预设的评语模板对学生作品进行一键点评；可向学生下发图片素材作为教学课件。</w:t>
            </w: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（1分）</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sz w:val="21"/>
                <w:szCs w:val="21"/>
                <w:lang w:val="en-US" w:eastAsia="zh-CN"/>
              </w:rPr>
              <w:t xml:space="preserve">（5）三维模型功能：软件内置不低于50种3D模型，可将绘画作品实时为3D模型贴图，具备推拉摇移等多方位预览作品并可一键输出多角度图形文件。</w:t>
            </w: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（1分）</w:t>
            </w:r>
            <w:r/>
          </w:p>
          <w:p>
            <w:pPr>
              <w:jc w:val="left"/>
              <w:keepLines w:val="0"/>
              <w:keepNext w:val="0"/>
              <w:widowControl/>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b w:val="0"/>
                <w:bCs w:val="0"/>
                <w:i w:val="0"/>
                <w:iCs w:val="0"/>
                <w:color w:val="000000"/>
                <w:sz w:val="21"/>
                <w:szCs w:val="21"/>
                <w:highlight w:val="none"/>
                <w:u w:val="none"/>
                <w:lang w:val="en-US" w:eastAsia="zh-CN" w:bidi="ar"/>
              </w:rPr>
              <w:t xml:space="preserve">注：禁止使用多个软件叠加实现以上功能。</w:t>
            </w:r>
            <w:r/>
          </w:p>
          <w:p>
            <w:pPr>
              <w:jc w:val="left"/>
              <w:keepLines w:val="0"/>
              <w:keepNext w:val="0"/>
              <w:widowControl/>
              <w:rPr>
                <w:rFonts w:hint="eastAsia"/>
                <w:lang w:val="en-US" w:eastAsia="zh-CN"/>
              </w:rPr>
              <w:suppressLineNumbers w:val="0"/>
            </w:pPr>
            <w:r>
              <w:rPr>
                <w:rFonts w:hint="eastAsia" w:asciiTheme="majorEastAsia" w:hAnsiTheme="majorEastAsia" w:eastAsiaTheme="majorEastAsia" w:cstheme="majorEastAsia"/>
                <w:b w:val="0"/>
                <w:bCs w:val="0"/>
                <w:sz w:val="21"/>
                <w:szCs w:val="21"/>
                <w:lang w:val="en-US" w:eastAsia="zh-CN"/>
              </w:rPr>
              <w:t xml:space="preserve">功能演示文件单个视频大小及格式符合系统要求。演示视频时间控制在10分钟以内。</w:t>
            </w:r>
            <w:r/>
          </w:p>
        </w:tc>
      </w:tr>
      <w:tr>
        <w:trPr>
          <w:jc w:val="center"/>
          <w:trHeight w:val="827"/>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Theme="majorEastAsia" w:hAnsiTheme="majorEastAsia" w:eastAsiaTheme="majorEastAsia" w:cstheme="majorEastAsia"/>
                <w:b w:val="0"/>
                <w:bCs w:val="0"/>
                <w:color w:val="000000"/>
                <w:sz w:val="21"/>
                <w:szCs w:val="21"/>
                <w:highlight w:val="none"/>
                <w:lang w:val="en-US" w:eastAsia="zh-CN"/>
              </w:rPr>
            </w:pPr>
            <w:r>
              <w:rPr>
                <w:rFonts w:hint="eastAsia" w:asciiTheme="majorEastAsia" w:hAnsiTheme="majorEastAsia" w:eastAsiaTheme="majorEastAsia" w:cstheme="majorEastAsia"/>
                <w:b w:val="0"/>
                <w:bCs w:val="0"/>
                <w:color w:val="000000"/>
                <w:sz w:val="21"/>
                <w:szCs w:val="21"/>
                <w:highlight w:val="none"/>
                <w:lang w:bidi="ar"/>
              </w:rPr>
              <w:t xml:space="preserve">投标人提供</w:t>
            </w:r>
            <w:r>
              <w:rPr>
                <w:rFonts w:hint="eastAsia" w:asciiTheme="majorEastAsia" w:hAnsiTheme="majorEastAsia" w:eastAsiaTheme="majorEastAsia" w:cstheme="majorEastAsia"/>
                <w:b w:val="0"/>
                <w:bCs w:val="0"/>
                <w:color w:val="000000"/>
                <w:sz w:val="21"/>
                <w:szCs w:val="21"/>
                <w:highlight w:val="none"/>
                <w:lang w:val="en-US" w:eastAsia="zh-CN" w:bidi="ar"/>
              </w:rPr>
              <w:t xml:space="preserve">从</w:t>
            </w:r>
            <w:r>
              <w:rPr>
                <w:rFonts w:hint="eastAsia" w:asciiTheme="majorEastAsia" w:hAnsiTheme="majorEastAsia" w:eastAsiaTheme="majorEastAsia" w:cstheme="majorEastAsia"/>
                <w:b w:val="0"/>
                <w:bCs w:val="0"/>
                <w:color w:val="000000"/>
                <w:sz w:val="21"/>
                <w:szCs w:val="21"/>
                <w:highlight w:val="none"/>
                <w:lang w:bidi="ar"/>
              </w:rPr>
              <w:t xml:space="preserve">202</w:t>
            </w:r>
            <w:r>
              <w:rPr>
                <w:rFonts w:hint="eastAsia" w:asciiTheme="majorEastAsia" w:hAnsiTheme="majorEastAsia" w:eastAsiaTheme="majorEastAsia" w:cstheme="majorEastAsia"/>
                <w:b w:val="0"/>
                <w:bCs w:val="0"/>
                <w:color w:val="000000"/>
                <w:sz w:val="21"/>
                <w:szCs w:val="21"/>
                <w:highlight w:val="none"/>
                <w:lang w:val="en-US" w:eastAsia="zh-CN" w:bidi="ar"/>
              </w:rPr>
              <w:t xml:space="preserve">2</w:t>
            </w:r>
            <w:r>
              <w:rPr>
                <w:rFonts w:hint="eastAsia" w:asciiTheme="majorEastAsia" w:hAnsiTheme="majorEastAsia" w:eastAsiaTheme="majorEastAsia" w:cstheme="majorEastAsia"/>
                <w:b w:val="0"/>
                <w:bCs w:val="0"/>
                <w:color w:val="000000"/>
                <w:sz w:val="21"/>
                <w:szCs w:val="21"/>
                <w:highlight w:val="none"/>
                <w:lang w:bidi="ar"/>
              </w:rPr>
              <w:t xml:space="preserve">年1月1日至今实施</w:t>
            </w:r>
            <w:r>
              <w:rPr>
                <w:rFonts w:hint="eastAsia" w:asciiTheme="majorEastAsia" w:hAnsiTheme="majorEastAsia" w:eastAsiaTheme="majorEastAsia" w:cstheme="majorEastAsia"/>
                <w:b w:val="0"/>
                <w:bCs w:val="0"/>
                <w:color w:val="000000"/>
                <w:sz w:val="21"/>
                <w:szCs w:val="21"/>
                <w:highlight w:val="none"/>
                <w:lang w:val="en-US" w:eastAsia="zh-CN" w:bidi="ar"/>
              </w:rPr>
              <w:t xml:space="preserve">过</w:t>
            </w:r>
            <w:r>
              <w:rPr>
                <w:rFonts w:hint="eastAsia" w:asciiTheme="majorEastAsia" w:hAnsiTheme="majorEastAsia" w:eastAsiaTheme="majorEastAsia" w:cstheme="majorEastAsia"/>
                <w:b w:val="0"/>
                <w:bCs w:val="0"/>
                <w:color w:val="000000"/>
                <w:sz w:val="21"/>
                <w:szCs w:val="21"/>
                <w:highlight w:val="none"/>
                <w:lang w:bidi="ar"/>
              </w:rPr>
              <w:t xml:space="preserve">的类似</w:t>
            </w:r>
            <w:r>
              <w:rPr>
                <w:rFonts w:hint="eastAsia" w:asciiTheme="majorEastAsia" w:hAnsiTheme="majorEastAsia" w:eastAsiaTheme="majorEastAsia" w:cstheme="majorEastAsia"/>
                <w:b w:val="0"/>
                <w:bCs w:val="0"/>
                <w:color w:val="000000"/>
                <w:sz w:val="21"/>
                <w:szCs w:val="21"/>
                <w:highlight w:val="none"/>
                <w:lang w:val="en-US" w:eastAsia="zh-CN" w:bidi="ar"/>
              </w:rPr>
              <w:t xml:space="preserve">课程基地</w:t>
            </w:r>
            <w:r>
              <w:rPr>
                <w:rFonts w:hint="eastAsia" w:asciiTheme="majorEastAsia" w:hAnsiTheme="majorEastAsia" w:eastAsiaTheme="majorEastAsia" w:cstheme="majorEastAsia"/>
                <w:b w:val="0"/>
                <w:bCs w:val="0"/>
                <w:color w:val="000000"/>
                <w:sz w:val="21"/>
                <w:szCs w:val="21"/>
                <w:highlight w:val="none"/>
                <w:lang w:bidi="ar"/>
              </w:rPr>
              <w:t xml:space="preserve">项目业绩</w:t>
            </w:r>
            <w:r>
              <w:rPr>
                <w:rFonts w:hint="eastAsia" w:asciiTheme="majorEastAsia" w:hAnsiTheme="majorEastAsia" w:eastAsiaTheme="majorEastAsia" w:cstheme="majorEastAsia"/>
                <w:b w:val="0"/>
                <w:bCs w:val="0"/>
                <w:color w:val="000000"/>
                <w:sz w:val="21"/>
                <w:szCs w:val="21"/>
                <w:highlight w:val="none"/>
                <w:lang w:eastAsia="zh-CN" w:bidi="ar"/>
              </w:rPr>
              <w:t xml:space="preserve">（</w:t>
            </w:r>
            <w:r>
              <w:rPr>
                <w:rFonts w:hint="eastAsia" w:asciiTheme="majorEastAsia" w:hAnsiTheme="majorEastAsia" w:eastAsiaTheme="majorEastAsia" w:cstheme="majorEastAsia"/>
                <w:b w:val="0"/>
                <w:bCs w:val="0"/>
                <w:color w:val="000000"/>
                <w:sz w:val="21"/>
                <w:szCs w:val="21"/>
                <w:highlight w:val="none"/>
                <w:lang w:val="en-US" w:eastAsia="zh-CN" w:bidi="ar"/>
              </w:rPr>
              <w:t xml:space="preserve">或者学校功能室业绩</w:t>
            </w:r>
            <w:r>
              <w:rPr>
                <w:rFonts w:hint="eastAsia" w:asciiTheme="majorEastAsia" w:hAnsiTheme="majorEastAsia" w:eastAsiaTheme="majorEastAsia" w:cstheme="majorEastAsia"/>
                <w:b w:val="0"/>
                <w:bCs w:val="0"/>
                <w:color w:val="000000"/>
                <w:sz w:val="21"/>
                <w:szCs w:val="21"/>
                <w:highlight w:val="none"/>
                <w:lang w:eastAsia="zh-CN" w:bidi="ar"/>
              </w:rPr>
              <w:t xml:space="preserve">）</w:t>
            </w:r>
            <w:r>
              <w:rPr>
                <w:rFonts w:hint="eastAsia" w:asciiTheme="majorEastAsia" w:hAnsiTheme="majorEastAsia" w:eastAsiaTheme="majorEastAsia" w:cstheme="majorEastAsia"/>
                <w:b w:val="0"/>
                <w:bCs w:val="0"/>
                <w:color w:val="000000"/>
                <w:sz w:val="21"/>
                <w:szCs w:val="21"/>
                <w:highlight w:val="none"/>
                <w:lang w:bidi="ar"/>
              </w:rPr>
              <w:t xml:space="preserve">情况进行评定，</w:t>
            </w:r>
            <w:r>
              <w:rPr>
                <w:rFonts w:hint="eastAsia" w:asciiTheme="majorEastAsia" w:hAnsiTheme="majorEastAsia" w:eastAsiaTheme="majorEastAsia" w:cstheme="majorEastAsia"/>
                <w:b w:val="0"/>
                <w:bCs w:val="0"/>
                <w:color w:val="000000"/>
                <w:sz w:val="21"/>
                <w:szCs w:val="21"/>
                <w:highlight w:val="none"/>
                <w:lang w:val="en-US" w:eastAsia="zh-CN" w:bidi="ar"/>
              </w:rPr>
              <w:t xml:space="preserve">符合情况的</w:t>
            </w:r>
            <w:r>
              <w:rPr>
                <w:rFonts w:hint="eastAsia" w:asciiTheme="majorEastAsia" w:hAnsiTheme="majorEastAsia" w:eastAsiaTheme="majorEastAsia" w:cstheme="majorEastAsia"/>
                <w:b w:val="0"/>
                <w:bCs w:val="0"/>
                <w:color w:val="000000"/>
                <w:sz w:val="21"/>
                <w:szCs w:val="21"/>
                <w:highlight w:val="none"/>
                <w:lang w:bidi="ar"/>
              </w:rPr>
              <w:t xml:space="preserve">得2分。</w:t>
            </w:r>
            <w:r>
              <w:rPr>
                <w:rFonts w:hint="eastAsia" w:asciiTheme="majorEastAsia" w:hAnsiTheme="majorEastAsia" w:eastAsiaTheme="majorEastAsia" w:cstheme="majorEastAsia"/>
                <w:b w:val="0"/>
                <w:bCs w:val="0"/>
                <w:color w:val="000000"/>
                <w:sz w:val="21"/>
                <w:szCs w:val="21"/>
                <w:highlight w:val="none"/>
                <w:lang w:bidi="ar"/>
              </w:rPr>
              <w:br/>
            </w:r>
            <w:r>
              <w:rPr>
                <w:rFonts w:hint="eastAsia" w:asciiTheme="majorEastAsia" w:hAnsiTheme="majorEastAsia" w:eastAsiaTheme="majorEastAsia" w:cstheme="majorEastAsia"/>
                <w:b w:val="0"/>
                <w:bCs w:val="0"/>
                <w:color w:val="000000"/>
                <w:sz w:val="21"/>
                <w:szCs w:val="21"/>
                <w:highlight w:val="none"/>
                <w:lang w:bidi="ar"/>
              </w:rPr>
              <w:t xml:space="preserve">注：需在投标文件中提供业绩合同</w:t>
            </w:r>
            <w:r>
              <w:rPr>
                <w:rFonts w:hint="eastAsia" w:asciiTheme="majorEastAsia" w:hAnsiTheme="majorEastAsia" w:eastAsiaTheme="majorEastAsia" w:cstheme="majorEastAsia"/>
                <w:b w:val="0"/>
                <w:bCs w:val="0"/>
                <w:color w:val="000000"/>
                <w:sz w:val="21"/>
                <w:szCs w:val="21"/>
                <w:highlight w:val="none"/>
                <w:lang w:val="en-US" w:eastAsia="zh-CN" w:bidi="ar"/>
              </w:rPr>
              <w:t xml:space="preserve">、</w:t>
            </w:r>
            <w:r>
              <w:rPr>
                <w:rFonts w:hint="eastAsia" w:asciiTheme="majorEastAsia" w:hAnsiTheme="majorEastAsia" w:eastAsiaTheme="majorEastAsia" w:cstheme="majorEastAsia"/>
                <w:b w:val="0"/>
                <w:bCs w:val="0"/>
                <w:color w:val="000000"/>
                <w:sz w:val="21"/>
                <w:szCs w:val="21"/>
                <w:highlight w:val="none"/>
                <w:lang w:bidi="ar"/>
              </w:rPr>
              <w:t xml:space="preserve">验收单复印件，未提供或提供不全或提供的证明材料无法佐证的，该业绩不计入本项评分。</w:t>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693"/>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3"/>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3"/>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693"/>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3"/>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3"/>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3"/>
        <w:jc w:val="center"/>
        <w:keepLines w:val="0"/>
        <w:keepNext/>
        <w:pageBreakBefore w:val="0"/>
        <w:spacing w:beforeAutospacing="0" w:after="313" w:afterAutospacing="0"/>
        <w:widowControl w:val="off"/>
        <w:rPr>
          <w:highlight w:val="none"/>
        </w:rPr>
      </w:pPr>
      <w:r>
        <w:rPr>
          <w:rFonts w:hint="eastAsia" w:ascii="黑体" w:hAnsi="宋体" w:eastAsia="黑体" w:cs="黑体"/>
          <w:color w:val="000000"/>
          <w:sz w:val="44"/>
          <w:szCs w:val="44"/>
          <w:highlight w:val="none"/>
        </w:rPr>
        <w:t xml:space="preserve"> </w:t>
      </w:r>
      <w:r/>
    </w:p>
    <w:p>
      <w:pPr>
        <w:pStyle w:val="693"/>
        <w:jc w:val="center"/>
        <w:spacing w:beforeAutospacing="0" w:afterAutospacing="0"/>
        <w:rPr>
          <w:highlight w:val="none"/>
        </w:rPr>
      </w:pPr>
      <w:r/>
      <w:bookmarkStart w:id="173" w:name="_Toc49090576"/>
      <w:r/>
      <w:bookmarkEnd w:id="173"/>
      <w:r/>
      <w:bookmarkStart w:id="174" w:name="_Toc120614282"/>
      <w:r/>
      <w:bookmarkEnd w:id="174"/>
      <w:r/>
      <w:bookmarkStart w:id="175" w:name="_Hlt26955039"/>
      <w:r/>
      <w:bookmarkStart w:id="176" w:name="_Toc26554094"/>
      <w:r/>
      <w:bookmarkStart w:id="177" w:name="_Hlt26671244"/>
      <w:r>
        <w:rPr>
          <w:rFonts w:hint="eastAsia" w:ascii="宋体" w:hAnsi="宋体" w:eastAsia="宋体" w:cs="宋体"/>
          <w:b/>
          <w:color w:val="000000"/>
          <w:sz w:val="72"/>
          <w:szCs w:val="72"/>
          <w:highlight w:val="none"/>
        </w:rPr>
        <w:t xml:space="preserve">投  标  文  件</w:t>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highlight w:val="none"/>
        </w:rPr>
        <w:t xml:space="preserve"> </w:t>
      </w:r>
      <w:r/>
    </w:p>
    <w:p>
      <w:pPr>
        <w:pStyle w:val="69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69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693"/>
        <w:jc w:val="both"/>
        <w:spacing w:beforeAutospacing="0" w:afterAutospacing="0"/>
        <w:rPr>
          <w:rFonts w:hint="default" w:eastAsia="宋体"/>
          <w:highlight w:val="none"/>
          <w:lang w:val="en-US" w:eastAsia="zh-CN"/>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b/>
          <w:color w:val="000000"/>
          <w:sz w:val="36"/>
          <w:szCs w:val="36"/>
          <w:highlight w:val="none"/>
          <w:u w:val="single"/>
          <w:lang w:val="en-US" w:eastAsia="zh-CN"/>
        </w:rPr>
        <w:t xml:space="preserve">      </w:t>
      </w:r>
      <w:r/>
    </w:p>
    <w:p>
      <w:pPr>
        <w:pStyle w:val="693"/>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93"/>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93"/>
        <w:jc w:val="center"/>
        <w:spacing w:beforeAutospacing="0" w:afterAutospacing="0" w:line="0" w:lineRule="atLeast"/>
        <w:rPr>
          <w:highlight w:val="none"/>
        </w:rPr>
      </w:pPr>
      <w:r>
        <w:rPr>
          <w:highlight w:val="none"/>
        </w:rPr>
        <w:t xml:space="preserve"> </w:t>
      </w:r>
      <w:r/>
    </w:p>
    <w:p>
      <w:pPr>
        <w:pStyle w:val="693"/>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left="0" w:firstLine="480"/>
        <w:jc w:val="left"/>
        <w:keepLines w:val="0"/>
        <w:keepNext w:val="0"/>
        <w:pageBreakBefore w:val="0"/>
        <w:spacing w:line="360" w:lineRule="auto"/>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二、上一年度的财务状况报告（至少提供资产负债表、利润表、现金流量表，投标人成立不满一年无需提供</w:t>
      </w:r>
      <w:r>
        <w:rPr>
          <w:rFonts w:hint="eastAsia" w:ascii="宋体" w:hAnsi="宋体" w:eastAsia="宋体" w:cs="宋体"/>
          <w:i w:val="0"/>
          <w:iCs/>
          <w:color w:val="000000"/>
          <w:highlight w:val="none"/>
          <w:u w:val="none"/>
        </w:rPr>
        <w:t xml:space="preserve">）</w:t>
      </w:r>
      <w:r/>
    </w:p>
    <w:p>
      <w:pPr>
        <w:pStyle w:val="693"/>
        <w:ind w:left="0"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93"/>
        <w:ind w:left="0"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3"/>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93"/>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93"/>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693"/>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八、投标函</w:t>
      </w:r>
      <w:r/>
    </w:p>
    <w:p>
      <w:pPr>
        <w:pStyle w:val="693"/>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93"/>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93"/>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十一、投标分项报价表</w:t>
      </w:r>
      <w:r/>
    </w:p>
    <w:p>
      <w:pPr>
        <w:pStyle w:val="693"/>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693"/>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693"/>
        <w:ind w:left="0" w:firstLine="480"/>
        <w:jc w:val="both"/>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ind w:left="0" w:firstLine="480"/>
        <w:keepLines w:val="0"/>
        <w:keepNext w:val="0"/>
        <w:pageBreakBefore w:val="0"/>
        <w:spacing w:line="360" w:lineRule="auto"/>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、技术方案、服务承诺、培训承诺等</w:t>
      </w:r>
      <w:r/>
    </w:p>
    <w:p>
      <w:pPr>
        <w:pStyle w:val="693"/>
        <w:ind w:left="0" w:firstLine="480"/>
        <w:jc w:val="both"/>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、盐城市政府采购事前信用承诺书</w:t>
      </w:r>
      <w:r/>
    </w:p>
    <w:p>
      <w:pPr>
        <w:pStyle w:val="693"/>
        <w:ind w:firstLine="480"/>
        <w:jc w:val="both"/>
        <w:spacing w:beforeAutospacing="0" w:afterAutospacing="0" w:line="0" w:lineRule="atLeast"/>
        <w:rPr>
          <w:highlight w:val="none"/>
        </w:rPr>
      </w:pPr>
      <w:r>
        <w:rPr>
          <w:highlight w:val="none"/>
        </w:rPr>
        <w:t xml:space="preserve"> </w:t>
      </w:r>
      <w:r/>
    </w:p>
    <w:p>
      <w:pPr>
        <w:pStyle w:val="693"/>
        <w:ind w:firstLine="480"/>
        <w:jc w:val="both"/>
        <w:spacing w:beforeAutospacing="0" w:afterAutospacing="0" w:line="0" w:lineRule="atLeast"/>
        <w:rPr>
          <w:highlight w:val="none"/>
        </w:rPr>
      </w:pPr>
      <w:r>
        <w:rPr>
          <w:highlight w:val="none"/>
        </w:rPr>
        <w:t xml:space="preserve"> </w:t>
      </w:r>
      <w:r/>
    </w:p>
    <w:p>
      <w:pPr>
        <w:pStyle w:val="693"/>
        <w:ind w:firstLine="480"/>
        <w:jc w:val="both"/>
        <w:spacing w:beforeAutospacing="0" w:afterAutospacing="0" w:line="0" w:lineRule="atLeast"/>
        <w:rPr>
          <w:highlight w:val="none"/>
        </w:rPr>
      </w:pPr>
      <w:r>
        <w:rPr>
          <w:highlight w:val="none"/>
        </w:rPr>
        <w:t xml:space="preserve"> </w:t>
      </w:r>
      <w:r/>
    </w:p>
    <w:p>
      <w:pPr>
        <w:pStyle w:val="693"/>
        <w:ind w:firstLine="480"/>
        <w:jc w:val="both"/>
        <w:spacing w:beforeAutospacing="0" w:afterAutospacing="0" w:line="0" w:lineRule="atLeast"/>
        <w:rPr>
          <w:highlight w:val="none"/>
        </w:rPr>
      </w:pPr>
      <w:r>
        <w:rPr>
          <w:highlight w:val="none"/>
        </w:rPr>
        <w:t xml:space="preserve"> </w:t>
      </w:r>
      <w:r/>
    </w:p>
    <w:p>
      <w:pPr>
        <w:pStyle w:val="693"/>
        <w:ind w:firstLine="480"/>
        <w:jc w:val="both"/>
        <w:spacing w:beforeAutospacing="0" w:afterAutospacing="0" w:line="0" w:lineRule="atLeast"/>
        <w:rPr>
          <w:highlight w:val="none"/>
        </w:rPr>
      </w:pPr>
      <w:r>
        <w:rPr>
          <w:highlight w:val="none"/>
        </w:rPr>
        <w:t xml:space="preserve"> </w:t>
      </w:r>
      <w:r/>
    </w:p>
    <w:p>
      <w:pPr>
        <w:pStyle w:val="693"/>
        <w:ind w:firstLine="480"/>
        <w:jc w:val="both"/>
        <w:spacing w:beforeAutospacing="0" w:afterAutospacing="0" w:line="0" w:lineRule="atLeast"/>
        <w:rPr>
          <w:highlight w:val="none"/>
        </w:rPr>
      </w:pPr>
      <w:r>
        <w:rPr>
          <w:highlight w:val="none"/>
        </w:rPr>
        <w:t xml:space="preserve"> </w:t>
      </w:r>
      <w:r/>
    </w:p>
    <w:p>
      <w:pPr>
        <w:pStyle w:val="693"/>
        <w:ind w:firstLine="480"/>
        <w:jc w:val="both"/>
        <w:spacing w:beforeAutospacing="0" w:afterAutospacing="0" w:line="0" w:lineRule="atLeast"/>
        <w:rPr>
          <w:highlight w:val="none"/>
        </w:rPr>
      </w:pPr>
      <w:r>
        <w:rPr>
          <w:highlight w:val="none"/>
        </w:rPr>
        <w:t xml:space="preserve"> </w:t>
      </w:r>
      <w:r/>
    </w:p>
    <w:p>
      <w:pPr>
        <w:pStyle w:val="693"/>
        <w:ind w:firstLine="480"/>
        <w:jc w:val="both"/>
        <w:spacing w:beforeAutospacing="0" w:afterAutospacing="0" w:line="0" w:lineRule="atLeast"/>
        <w:rPr>
          <w:highlight w:val="none"/>
        </w:rPr>
      </w:pPr>
      <w:r>
        <w:rPr>
          <w:highlight w:val="none"/>
        </w:rPr>
        <w:t xml:space="preserve"> </w:t>
      </w:r>
      <w:r/>
    </w:p>
    <w:p>
      <w:pPr>
        <w:pStyle w:val="693"/>
        <w:ind w:firstLine="480"/>
        <w:jc w:val="both"/>
        <w:spacing w:beforeAutospacing="0" w:afterAutospacing="0" w:line="0" w:lineRule="atLeast"/>
        <w:rPr>
          <w:highlight w:val="none"/>
        </w:rPr>
      </w:pPr>
      <w:r>
        <w:rPr>
          <w:highlight w:val="none"/>
        </w:rPr>
      </w:r>
      <w:r/>
    </w:p>
    <w:p>
      <w:pPr>
        <w:pStyle w:val="693"/>
        <w:ind w:firstLine="480"/>
        <w:jc w:val="both"/>
        <w:spacing w:beforeAutospacing="0" w:afterAutospacing="0" w:line="0" w:lineRule="atLeast"/>
        <w:rPr>
          <w:highlight w:val="none"/>
        </w:rPr>
      </w:pPr>
      <w:r>
        <w:rPr>
          <w:highlight w:val="none"/>
        </w:rPr>
      </w:r>
      <w:r/>
    </w:p>
    <w:p>
      <w:pPr>
        <w:pStyle w:val="693"/>
        <w:ind w:firstLine="480"/>
        <w:jc w:val="both"/>
        <w:spacing w:beforeAutospacing="0" w:afterAutospacing="0" w:line="0" w:lineRule="atLeast"/>
        <w:rPr>
          <w:highlight w:val="none"/>
        </w:rPr>
      </w:pPr>
      <w:r>
        <w:rPr>
          <w:highlight w:val="none"/>
        </w:rPr>
      </w:r>
      <w:r/>
    </w:p>
    <w:p>
      <w:pPr>
        <w:pStyle w:val="693"/>
        <w:ind w:firstLine="480"/>
        <w:jc w:val="both"/>
        <w:spacing w:beforeAutospacing="0" w:afterAutospacing="0" w:line="0" w:lineRule="atLeast"/>
        <w:rPr>
          <w:highlight w:val="none"/>
        </w:rPr>
      </w:pPr>
      <w:r>
        <w:rPr>
          <w:highlight w:val="none"/>
        </w:rPr>
      </w:r>
      <w:r/>
    </w:p>
    <w:p>
      <w:pPr>
        <w:pStyle w:val="693"/>
        <w:ind w:firstLine="480"/>
        <w:jc w:val="both"/>
        <w:spacing w:beforeAutospacing="0" w:afterAutospacing="0" w:line="0" w:lineRule="atLeast"/>
        <w:rPr>
          <w:highlight w:val="none"/>
        </w:rPr>
      </w:pPr>
      <w:r>
        <w:rPr>
          <w:highlight w:val="none"/>
        </w:rPr>
      </w:r>
      <w:r/>
    </w:p>
    <w:p>
      <w:pPr>
        <w:pStyle w:val="69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93"/>
        <w:ind w:firstLine="480"/>
        <w:jc w:val="both"/>
        <w:spacing w:beforeAutospacing="0" w:afterAutospacing="0" w:line="0" w:lineRule="atLeast"/>
        <w:rPr>
          <w:highlight w:val="none"/>
        </w:rPr>
      </w:pPr>
      <w:r>
        <w:rPr>
          <w:highlight w:val="none"/>
        </w:rPr>
        <w:t xml:space="preserve"> </w:t>
      </w:r>
      <w:r/>
    </w:p>
    <w:p>
      <w:pPr>
        <w:pStyle w:val="693"/>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9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9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9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9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93"/>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93"/>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693"/>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93"/>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93"/>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93"/>
        <w:jc w:val="center"/>
        <w:spacing w:beforeAutospacing="0" w:afterAutospacing="0"/>
        <w:rPr>
          <w:rFonts w:ascii="黑体" w:hAnsi="宋体" w:eastAsia="黑体" w:cs="黑体"/>
          <w:i/>
          <w:color w:val="000000"/>
          <w:sz w:val="32"/>
          <w:szCs w:val="32"/>
          <w:highlight w:val="none"/>
          <w:u w:val="single"/>
        </w:rPr>
      </w:pPr>
      <w:r/>
      <w:bookmarkStart w:id="178" w:name="_Toc120614284"/>
      <w:r/>
      <w:r/>
    </w:p>
    <w:p>
      <w:pPr>
        <w:pStyle w:val="69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9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9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93"/>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9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9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93"/>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93"/>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93"/>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9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9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79" w:name="_格式3__银行出具的资信证明"/>
      <w:r/>
      <w:bookmarkStart w:id="180" w:name="_Hlt26955070"/>
      <w:r/>
      <w:bookmarkStart w:id="181" w:name="_Hlt26671380"/>
      <w:r>
        <w:rPr>
          <w:rFonts w:ascii="Times New Roman" w:hAnsi="Times New Roman"/>
          <w:color w:val="000000"/>
          <w:highlight w:val="none"/>
          <w:u w:val="single"/>
        </w:rPr>
        <w:t xml:space="preserve">                                         </w:t>
      </w:r>
      <w:r/>
    </w:p>
    <w:p>
      <w:pPr>
        <w:pStyle w:val="693"/>
        <w:ind w:firstLine="420"/>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line="0" w:lineRule="atLeast"/>
        <w:rPr>
          <w:highlight w:val="none"/>
          <w:shd w:val="clear" w:color="auto" w:fill="auto"/>
        </w:rPr>
      </w:pPr>
      <w:r>
        <w:rPr>
          <w:highlight w:val="none"/>
          <w:shd w:val="clear" w:color="auto" w:fill="auto"/>
        </w:rPr>
        <w:t xml:space="preserve"> </w:t>
      </w:r>
      <w:r/>
    </w:p>
    <w:p>
      <w:pPr>
        <w:pStyle w:val="693"/>
        <w:ind w:firstLine="360"/>
        <w:jc w:val="both"/>
        <w:spacing w:beforeAutospacing="0" w:afterAutospacing="0" w:line="0" w:lineRule="atLeast"/>
        <w:rPr>
          <w:highlight w:val="none"/>
          <w:shd w:val="clear" w:color="auto" w:fill="auto"/>
        </w:rPr>
      </w:pPr>
      <w:r>
        <w:rPr>
          <w:rFonts w:ascii="楷体" w:hAnsi="楷体" w:eastAsia="楷体" w:cs="楷体"/>
          <w:color w:val="000000"/>
          <w:highlight w:val="none"/>
          <w:shd w:val="clear" w:color="auto" w:fill="auto"/>
        </w:rPr>
        <w:t xml:space="preserve">备注 我公司（单位）委托进行现场演示的人员为（本项目如果无现场演示要求，请项目经办人自行删除备注）</w:t>
      </w:r>
      <w:r/>
    </w:p>
    <w:p>
      <w:pPr>
        <w:pStyle w:val="693"/>
        <w:jc w:val="both"/>
        <w:spacing w:beforeAutospacing="0" w:afterAutospacing="0" w:line="0" w:lineRule="atLeast"/>
        <w:rPr>
          <w:highlight w:val="none"/>
          <w:shd w:val="clear" w:color="auto" w:fill="auto"/>
        </w:rPr>
      </w:pP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（人员姓名），身份证号</w:t>
      </w: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w:t>
      </w:r>
      <w:r/>
    </w:p>
    <w:p>
      <w:pPr>
        <w:pStyle w:val="693"/>
        <w:jc w:val="both"/>
        <w:spacing w:beforeAutospacing="0" w:afterAutospacing="0" w:line="0" w:lineRule="atLeast"/>
        <w:rPr>
          <w:highlight w:val="none"/>
          <w:shd w:val="clear" w:color="auto" w:fill="auto"/>
        </w:rPr>
      </w:pPr>
      <w:r>
        <w:rPr>
          <w:rFonts w:hint="eastAsia" w:ascii="宋体" w:hAnsi="宋体" w:eastAsia="宋体" w:cs="宋体"/>
          <w:color w:val="000000"/>
          <w:highlight w:val="none"/>
          <w:shd w:val="clear" w:color="auto" w:fill="auto"/>
        </w:rPr>
        <w:t xml:space="preserve">……</w:t>
      </w:r>
      <w:r/>
    </w:p>
    <w:p>
      <w:pPr>
        <w:pStyle w:val="693"/>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693"/>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江苏省东台中学</w:t>
      </w:r>
      <w:r/>
    </w:p>
    <w:p>
      <w:pPr>
        <w:pStyle w:val="693"/>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693"/>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93"/>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93"/>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93"/>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93"/>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93"/>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93"/>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93"/>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9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9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9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9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9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9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9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93"/>
        <w:ind w:firstLine="240"/>
        <w:jc w:val="center"/>
        <w:spacing w:beforeAutospacing="0" w:afterAutospacing="0" w:line="0" w:lineRule="atLeast"/>
        <w:rPr>
          <w:highlight w:val="none"/>
        </w:rPr>
      </w:pPr>
      <w:r>
        <w:rPr>
          <w:highlight w:val="none"/>
        </w:rPr>
        <w:t xml:space="preserve"> </w:t>
      </w:r>
      <w:r/>
    </w:p>
    <w:p>
      <w:pPr>
        <w:pStyle w:val="693"/>
        <w:ind w:firstLine="240"/>
        <w:jc w:val="center"/>
        <w:spacing w:beforeAutospacing="0" w:afterAutospacing="0" w:line="0" w:lineRule="atLeast"/>
        <w:rPr>
          <w:highlight w:val="none"/>
        </w:rPr>
      </w:pPr>
      <w:r>
        <w:rPr>
          <w:highlight w:val="none"/>
        </w:rPr>
        <w:t xml:space="preserve"> </w:t>
      </w:r>
      <w:r/>
    </w:p>
    <w:p>
      <w:pPr>
        <w:pStyle w:val="693"/>
        <w:ind w:firstLine="240"/>
        <w:jc w:val="center"/>
        <w:spacing w:beforeAutospacing="0" w:afterAutospacing="0" w:line="0" w:lineRule="atLeast"/>
        <w:rPr>
          <w:highlight w:val="none"/>
        </w:rPr>
      </w:pPr>
      <w:r>
        <w:rPr>
          <w:highlight w:val="none"/>
        </w:rPr>
        <w:t xml:space="preserve"> </w:t>
      </w:r>
      <w:r/>
    </w:p>
    <w:p>
      <w:pPr>
        <w:pStyle w:val="693"/>
        <w:ind w:firstLine="240"/>
        <w:jc w:val="center"/>
        <w:spacing w:beforeAutospacing="0" w:afterAutospacing="0" w:line="0" w:lineRule="atLeast"/>
        <w:rPr>
          <w:highlight w:val="none"/>
        </w:rPr>
      </w:pPr>
      <w:r>
        <w:rPr>
          <w:highlight w:val="none"/>
        </w:rPr>
        <w:t xml:space="preserve"> </w:t>
      </w:r>
      <w:r/>
    </w:p>
    <w:p>
      <w:pPr>
        <w:pStyle w:val="693"/>
        <w:ind w:firstLine="240"/>
        <w:jc w:val="center"/>
        <w:spacing w:beforeAutospacing="0" w:afterAutospacing="0" w:line="0" w:lineRule="atLeast"/>
        <w:rPr>
          <w:highlight w:val="none"/>
        </w:rPr>
      </w:pPr>
      <w:r>
        <w:rPr>
          <w:highlight w:val="none"/>
        </w:rPr>
      </w:r>
      <w:r/>
    </w:p>
    <w:p>
      <w:pPr>
        <w:pStyle w:val="693"/>
        <w:ind w:firstLine="240"/>
        <w:jc w:val="center"/>
        <w:spacing w:beforeAutospacing="0" w:afterAutospacing="0" w:line="0" w:lineRule="atLeast"/>
        <w:rPr>
          <w:highlight w:val="none"/>
        </w:rPr>
      </w:pPr>
      <w:r>
        <w:rPr>
          <w:highlight w:val="none"/>
        </w:rPr>
      </w:r>
      <w:r/>
    </w:p>
    <w:p>
      <w:pPr>
        <w:pStyle w:val="693"/>
        <w:ind w:firstLine="240"/>
        <w:jc w:val="center"/>
        <w:spacing w:beforeAutospacing="0" w:afterAutospacing="0" w:line="0" w:lineRule="atLeast"/>
        <w:rPr>
          <w:highlight w:val="none"/>
        </w:rPr>
      </w:pPr>
      <w:r>
        <w:rPr>
          <w:highlight w:val="none"/>
        </w:rPr>
      </w:r>
      <w:r/>
    </w:p>
    <w:p>
      <w:pPr>
        <w:pStyle w:val="693"/>
        <w:ind w:firstLine="240"/>
        <w:jc w:val="center"/>
        <w:spacing w:beforeAutospacing="0" w:afterAutospacing="0" w:line="0" w:lineRule="atLeast"/>
        <w:rPr>
          <w:highlight w:val="none"/>
        </w:rPr>
      </w:pPr>
      <w:r>
        <w:rPr>
          <w:highlight w:val="none"/>
        </w:rPr>
      </w:r>
      <w:r/>
    </w:p>
    <w:p>
      <w:pPr>
        <w:pStyle w:val="693"/>
        <w:ind w:firstLine="240"/>
        <w:jc w:val="center"/>
        <w:spacing w:beforeAutospacing="0" w:afterAutospacing="0" w:line="0" w:lineRule="atLeast"/>
        <w:rPr>
          <w:highlight w:val="none"/>
        </w:rPr>
      </w:pPr>
      <w:r>
        <w:rPr>
          <w:highlight w:val="none"/>
        </w:rPr>
      </w:r>
      <w:r/>
    </w:p>
    <w:p>
      <w:pPr>
        <w:pStyle w:val="693"/>
        <w:ind w:firstLine="240"/>
        <w:jc w:val="center"/>
        <w:spacing w:beforeAutospacing="0" w:afterAutospacing="0" w:line="0" w:lineRule="atLeast"/>
        <w:rPr>
          <w:highlight w:val="none"/>
        </w:rPr>
      </w:pPr>
      <w:r>
        <w:rPr>
          <w:highlight w:val="none"/>
        </w:rPr>
      </w:r>
      <w:r/>
    </w:p>
    <w:p>
      <w:pPr>
        <w:pStyle w:val="693"/>
        <w:ind w:firstLine="240"/>
        <w:jc w:val="center"/>
        <w:spacing w:beforeAutospacing="0" w:afterAutospacing="0" w:line="0" w:lineRule="atLeast"/>
        <w:rPr>
          <w:highlight w:val="none"/>
        </w:rPr>
      </w:pPr>
      <w:r>
        <w:rPr>
          <w:highlight w:val="none"/>
        </w:rPr>
      </w:r>
      <w:r/>
    </w:p>
    <w:p>
      <w:pPr>
        <w:pStyle w:val="693"/>
        <w:ind w:firstLine="240"/>
        <w:jc w:val="center"/>
        <w:spacing w:beforeAutospacing="0" w:afterAutospacing="0" w:line="0" w:lineRule="atLeast"/>
        <w:rPr>
          <w:highlight w:val="none"/>
        </w:rPr>
      </w:pPr>
      <w:r>
        <w:rPr>
          <w:highlight w:val="none"/>
        </w:rPr>
      </w:r>
      <w:r/>
    </w:p>
    <w:p>
      <w:pPr>
        <w:pStyle w:val="693"/>
        <w:ind w:firstLine="240"/>
        <w:jc w:val="center"/>
        <w:spacing w:beforeAutospacing="0" w:afterAutospacing="0" w:line="0" w:lineRule="atLeast"/>
        <w:rPr>
          <w:highlight w:val="none"/>
        </w:rPr>
      </w:pPr>
      <w:r>
        <w:rPr>
          <w:highlight w:val="none"/>
        </w:rPr>
      </w:r>
      <w:r/>
    </w:p>
    <w:p>
      <w:pPr>
        <w:pStyle w:val="693"/>
        <w:ind w:firstLine="240"/>
        <w:jc w:val="center"/>
        <w:spacing w:beforeAutospacing="0" w:afterAutospacing="0" w:line="0" w:lineRule="atLeast"/>
        <w:rPr>
          <w:highlight w:val="none"/>
        </w:rPr>
      </w:pPr>
      <w:r>
        <w:rPr>
          <w:highlight w:val="none"/>
        </w:rPr>
      </w:r>
      <w:r/>
    </w:p>
    <w:p>
      <w:pPr>
        <w:pStyle w:val="693"/>
        <w:ind w:firstLine="240"/>
        <w:jc w:val="center"/>
        <w:spacing w:beforeAutospacing="0" w:afterAutospacing="0" w:line="0" w:lineRule="atLeast"/>
        <w:rPr>
          <w:highlight w:val="none"/>
        </w:rPr>
      </w:pPr>
      <w:r>
        <w:rPr>
          <w:highlight w:val="none"/>
        </w:rPr>
      </w:r>
      <w:r/>
    </w:p>
    <w:p>
      <w:pPr>
        <w:pStyle w:val="693"/>
        <w:ind w:firstLine="240"/>
        <w:jc w:val="center"/>
        <w:spacing w:beforeAutospacing="0" w:afterAutospacing="0" w:line="0" w:lineRule="atLeast"/>
        <w:rPr>
          <w:highlight w:val="none"/>
        </w:rPr>
      </w:pPr>
      <w:r>
        <w:rPr>
          <w:highlight w:val="none"/>
        </w:rPr>
      </w:r>
      <w:r/>
    </w:p>
    <w:p>
      <w:pPr>
        <w:pStyle w:val="693"/>
        <w:ind w:firstLine="240"/>
        <w:jc w:val="center"/>
        <w:spacing w:beforeAutospacing="0" w:afterAutospacing="0" w:line="0" w:lineRule="atLeast"/>
        <w:rPr>
          <w:highlight w:val="none"/>
        </w:rPr>
      </w:pPr>
      <w:r>
        <w:rPr>
          <w:highlight w:val="none"/>
        </w:rPr>
        <w:t xml:space="preserve"> </w:t>
      </w:r>
      <w:r/>
    </w:p>
    <w:p>
      <w:pPr>
        <w:pStyle w:val="69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u w:val="single"/>
          <w:lang w:val="en-US" w:eastAsia="zh-CN"/>
        </w:rPr>
        <w:t xml:space="preserve">江苏省东台中学</w:t>
      </w:r>
      <w:r>
        <w:rPr>
          <w:rFonts w:hint="eastAsia"/>
          <w:color w:val="auto"/>
          <w:sz w:val="24"/>
          <w:highlight w:val="none"/>
        </w:rPr>
        <w:t xml:space="preserve">组织的采购编号为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9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9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9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9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9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93"/>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93"/>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93"/>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93"/>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693"/>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693"/>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69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3"/>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 十、残疾人福利性单位声明函</w:t>
      </w:r>
      <w:r/>
    </w:p>
    <w:p>
      <w:pPr>
        <w:pStyle w:val="69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69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93"/>
        <w:ind w:firstLine="480"/>
        <w:jc w:val="both"/>
        <w:spacing w:beforeAutospacing="0" w:afterAutospacing="0" w:line="0" w:lineRule="atLeast"/>
        <w:rPr>
          <w:highlight w:val="none"/>
        </w:rPr>
      </w:pPr>
      <w:r>
        <w:rPr>
          <w:highlight w:val="none"/>
        </w:rPr>
        <w:t xml:space="preserve"> </w:t>
      </w:r>
      <w:r/>
    </w:p>
    <w:p>
      <w:pPr>
        <w:pStyle w:val="69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693"/>
        <w:ind w:firstLine="624"/>
        <w:jc w:val="both"/>
        <w:spacing w:beforeAutospacing="0" w:afterAutospacing="0" w:line="0" w:lineRule="atLeast"/>
        <w:rPr>
          <w:highlight w:val="none"/>
        </w:rPr>
      </w:pPr>
      <w:r>
        <w:rPr>
          <w:highlight w:val="none"/>
        </w:rPr>
        <w:t xml:space="preserve"> </w:t>
      </w:r>
      <w:r/>
    </w:p>
    <w:p>
      <w:pPr>
        <w:pStyle w:val="693"/>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93"/>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93"/>
        <w:jc w:val="center"/>
        <w:spacing w:beforeAutospacing="0" w:afterAutospacing="0" w:line="0" w:lineRule="atLeast"/>
        <w:rPr>
          <w:highlight w:val="none"/>
        </w:rPr>
      </w:pPr>
      <w:r>
        <w:rPr>
          <w:highlight w:val="none"/>
        </w:rPr>
        <w:t xml:space="preserve"> </w:t>
      </w:r>
      <w:r/>
    </w:p>
    <w:p>
      <w:pPr>
        <w:pStyle w:val="693"/>
        <w:jc w:val="center"/>
        <w:spacing w:beforeAutospacing="0" w:afterAutospacing="0" w:line="0" w:lineRule="atLeast"/>
        <w:rPr>
          <w:highlight w:val="none"/>
        </w:rPr>
      </w:pPr>
      <w:r>
        <w:rPr>
          <w:highlight w:val="none"/>
        </w:rPr>
        <w:t xml:space="preserve"> </w:t>
      </w:r>
      <w:r/>
    </w:p>
    <w:p>
      <w:pPr>
        <w:pStyle w:val="693"/>
        <w:jc w:val="center"/>
        <w:spacing w:beforeAutospacing="0" w:afterAutospacing="0" w:line="0" w:lineRule="atLeast"/>
        <w:rPr>
          <w:highlight w:val="none"/>
        </w:rPr>
      </w:pPr>
      <w:r>
        <w:rPr>
          <w:highlight w:val="none"/>
        </w:rPr>
        <w:t xml:space="preserve"> </w:t>
      </w:r>
      <w:r/>
    </w:p>
    <w:p>
      <w:pPr>
        <w:pStyle w:val="693"/>
        <w:jc w:val="center"/>
        <w:spacing w:beforeAutospacing="0" w:afterAutospacing="0" w:line="0" w:lineRule="atLeast"/>
        <w:rPr>
          <w:highlight w:val="none"/>
        </w:rPr>
      </w:pPr>
      <w:r>
        <w:rPr>
          <w:highlight w:val="none"/>
        </w:rPr>
        <w:t xml:space="preserve"> </w:t>
      </w:r>
      <w:r/>
    </w:p>
    <w:p>
      <w:pPr>
        <w:pStyle w:val="693"/>
        <w:jc w:val="center"/>
        <w:spacing w:beforeAutospacing="0" w:afterAutospacing="0" w:line="0" w:lineRule="atLeast"/>
        <w:rPr>
          <w:highlight w:val="none"/>
        </w:rPr>
      </w:pPr>
      <w:r>
        <w:rPr>
          <w:highlight w:val="none"/>
        </w:rPr>
        <w:t xml:space="preserve"> </w:t>
      </w:r>
      <w:r/>
    </w:p>
    <w:p>
      <w:pPr>
        <w:pStyle w:val="693"/>
        <w:jc w:val="center"/>
        <w:spacing w:beforeAutospacing="0" w:afterAutospacing="0" w:line="0" w:lineRule="atLeast"/>
        <w:rPr>
          <w:highlight w:val="none"/>
        </w:rPr>
      </w:pPr>
      <w:r>
        <w:rPr>
          <w:highlight w:val="none"/>
        </w:rPr>
        <w:t xml:space="preserve"> </w:t>
      </w:r>
      <w:r/>
    </w:p>
    <w:p>
      <w:pPr>
        <w:pStyle w:val="693"/>
        <w:jc w:val="center"/>
        <w:spacing w:beforeAutospacing="0" w:afterAutospacing="0" w:line="0" w:lineRule="atLeast"/>
        <w:rPr>
          <w:highlight w:val="none"/>
        </w:rPr>
      </w:pPr>
      <w:r>
        <w:rPr>
          <w:highlight w:val="none"/>
        </w:rPr>
        <w:t xml:space="preserve"> </w:t>
      </w:r>
      <w:r/>
    </w:p>
    <w:p>
      <w:pPr>
        <w:pStyle w:val="693"/>
        <w:jc w:val="center"/>
        <w:spacing w:beforeAutospacing="0" w:afterAutospacing="0" w:line="0" w:lineRule="atLeast"/>
        <w:rPr>
          <w:highlight w:val="none"/>
        </w:rPr>
      </w:pPr>
      <w:r>
        <w:rPr>
          <w:highlight w:val="none"/>
        </w:rPr>
        <w:t xml:space="preserve"> </w:t>
      </w:r>
      <w:r/>
    </w:p>
    <w:p>
      <w:pPr>
        <w:pStyle w:val="693"/>
        <w:jc w:val="center"/>
        <w:spacing w:beforeAutospacing="0" w:afterAutospacing="0" w:line="0" w:lineRule="atLeast"/>
        <w:rPr>
          <w:highlight w:val="none"/>
        </w:rPr>
      </w:pPr>
      <w:r>
        <w:rPr>
          <w:highlight w:val="none"/>
        </w:rPr>
        <w:t xml:space="preserve"> </w:t>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r>
      <w:r/>
    </w:p>
    <w:p>
      <w:pPr>
        <w:pStyle w:val="693"/>
        <w:jc w:val="center"/>
        <w:spacing w:beforeAutospacing="0" w:afterAutospacing="0" w:line="0" w:lineRule="atLeast"/>
        <w:rPr>
          <w:highlight w:val="none"/>
        </w:rPr>
      </w:pPr>
      <w:r>
        <w:rPr>
          <w:highlight w:val="none"/>
        </w:rPr>
        <w:t xml:space="preserve"> </w:t>
      </w:r>
      <w:r/>
    </w:p>
    <w:p>
      <w:pPr>
        <w:pStyle w:val="693"/>
        <w:jc w:val="center"/>
        <w:spacing w:beforeAutospacing="0" w:afterAutospacing="0" w:line="0" w:lineRule="atLeast"/>
        <w:rPr>
          <w:highlight w:val="none"/>
        </w:rPr>
      </w:pPr>
      <w:r>
        <w:rPr>
          <w:highlight w:val="none"/>
        </w:rPr>
        <w:t xml:space="preserve"> </w:t>
      </w:r>
      <w:r/>
    </w:p>
    <w:p>
      <w:pPr>
        <w:pStyle w:val="693"/>
        <w:jc w:val="center"/>
        <w:spacing w:beforeAutospacing="0" w:afterAutospacing="0"/>
        <w:rPr>
          <w:highlight w:val="none"/>
        </w:rPr>
      </w:pPr>
      <w:r>
        <w:rPr>
          <w:rFonts w:hint="eastAsia" w:ascii="黑体" w:hAnsi="宋体" w:eastAsia="黑体" w:cs="黑体"/>
          <w:b/>
          <w:color w:val="000000"/>
          <w:sz w:val="32"/>
          <w:szCs w:val="32"/>
          <w:highlight w:val="none"/>
        </w:rPr>
        <w:t xml:space="preserve">十一、投标分项报价表</w:t>
      </w:r>
      <w:r/>
    </w:p>
    <w:tbl>
      <w:tblPr>
        <w:tblStyle w:val="672"/>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93"/>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rPr>
                <w:highlight w:val="none"/>
              </w:rPr>
            </w:pPr>
            <w:r>
              <w:rPr>
                <w:highlight w:val="none"/>
              </w:rPr>
              <w:t xml:space="preserve"> </w:t>
            </w:r>
            <w:r/>
          </w:p>
        </w:tc>
      </w:tr>
    </w:tbl>
    <w:p>
      <w:pPr>
        <w:pStyle w:val="693"/>
        <w:jc w:val="both"/>
        <w:spacing w:beforeAutospacing="0" w:afterAutospacing="0"/>
        <w:rPr>
          <w:highlight w:val="none"/>
          <w:shd w:val="clear" w:color="auto" w:fill="auto"/>
        </w:rPr>
      </w:pPr>
      <w:r>
        <w:rPr>
          <w:rFonts w:hint="eastAsia" w:ascii="宋体" w:hAnsi="宋体" w:eastAsia="宋体" w:cs="宋体"/>
          <w:color w:val="000000"/>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pStyle w:val="693"/>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p>
    <w:p>
      <w:pPr>
        <w:pStyle w:val="693"/>
        <w:jc w:val="both"/>
        <w:spacing w:beforeAutospacing="0" w:afterAutospacing="0"/>
        <w:rPr>
          <w:highlight w:val="none"/>
          <w:shd w:val="clear" w:color="auto" w:fill="auto"/>
        </w:rPr>
      </w:pPr>
      <w:r>
        <w:rPr>
          <w:highlight w:val="none"/>
          <w:shd w:val="clear" w:color="auto" w:fill="auto"/>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、技术要求响应及偏离表</w:t>
      </w:r>
      <w:r/>
    </w:p>
    <w:tbl>
      <w:tblPr>
        <w:tblStyle w:val="67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9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bl>
    <w:p>
      <w:pPr>
        <w:pStyle w:val="69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both"/>
        <w:spacing w:beforeAutospacing="0" w:afterAutospacing="0"/>
        <w:rPr>
          <w:highlight w:val="none"/>
        </w:rPr>
      </w:pPr>
      <w:r>
        <w:rPr>
          <w:highlight w:val="none"/>
        </w:rPr>
        <w:t xml:space="preserve"> </w:t>
      </w:r>
      <w:r/>
    </w:p>
    <w:p>
      <w:pPr>
        <w:pStyle w:val="693"/>
        <w:jc w:val="center"/>
        <w:spacing w:beforeAutospacing="0" w:afterAutospacing="0"/>
        <w:rPr>
          <w:highlight w:val="none"/>
        </w:rPr>
      </w:pPr>
      <w:r/>
      <w:bookmarkStart w:id="182"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、商务要求响应及偏离表</w:t>
      </w:r>
      <w:r/>
    </w:p>
    <w:tbl>
      <w:tblPr>
        <w:tblStyle w:val="67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bookmarkStart w:id="183" w:name="_Hlt26955056"/>
            <w:r/>
            <w:bookmarkStart w:id="184" w:name="_Hlt26609391"/>
            <w:r/>
            <w:bookmarkStart w:id="185" w:name="_Hlt26671343"/>
            <w:r/>
            <w:bookmarkStart w:id="186" w:name="_Hlt26580838"/>
            <w:r/>
            <w:bookmarkStart w:id="187" w:name="_Hlt24879081"/>
            <w:r/>
            <w:bookmarkStart w:id="188" w:name="_Hlt26671372"/>
            <w:r/>
            <w:bookmarkStart w:id="189" w:name="_Hlt26955064"/>
            <w:r/>
            <w:bookmarkStart w:id="190" w:name="_Hlt26782999"/>
            <w:r>
              <w:rPr>
                <w:rFonts w:hint="eastAsia" w:ascii="宋体" w:hAnsi="宋体" w:eastAsia="宋体" w:cs="宋体"/>
                <w:color w:val="000000"/>
                <w:highlight w:val="none"/>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9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highlight w:val="none"/>
              </w:rPr>
            </w:pPr>
            <w:r>
              <w:rPr>
                <w:highlight w:val="none"/>
              </w:rPr>
              <w:t xml:space="preserve"> </w:t>
            </w:r>
            <w:r/>
          </w:p>
        </w:tc>
      </w:tr>
    </w:tbl>
    <w:p>
      <w:pPr>
        <w:pStyle w:val="69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93"/>
        <w:jc w:val="both"/>
        <w:spacing w:beforeAutospacing="0" w:afterAutospacing="0" w:line="480" w:lineRule="auto"/>
        <w:rPr>
          <w:highlight w:val="none"/>
        </w:rPr>
      </w:pPr>
      <w:r>
        <w:rPr>
          <w:highlight w:val="none"/>
        </w:rPr>
        <w:t xml:space="preserve"> </w:t>
      </w:r>
      <w:r/>
    </w:p>
    <w:p>
      <w:pPr>
        <w:pStyle w:val="693"/>
        <w:jc w:val="both"/>
        <w:spacing w:beforeAutospacing="0" w:afterAutospacing="0" w:line="480" w:lineRule="auto"/>
        <w:rPr>
          <w:highlight w:val="none"/>
        </w:rPr>
      </w:pPr>
      <w:r>
        <w:rPr>
          <w:highlight w:val="none"/>
        </w:rPr>
        <w:t xml:space="preserve"> </w:t>
      </w:r>
      <w:r/>
    </w:p>
    <w:p>
      <w:pPr>
        <w:pStyle w:val="693"/>
        <w:jc w:val="center"/>
        <w:spacing w:beforeAutospacing="0" w:afterAutospacing="0"/>
        <w:rPr>
          <w:highlight w:val="none"/>
        </w:rPr>
      </w:pPr>
      <w:r/>
      <w:bookmarkStart w:id="191" w:name="_Hlt26955066"/>
      <w:r/>
      <w:bookmarkStart w:id="192" w:name="_Hlt26609389"/>
      <w:r/>
      <w:bookmarkStart w:id="193" w:name="_Toc462564146"/>
      <w:r/>
      <w:bookmarkStart w:id="194" w:name="_Hlt26671374"/>
      <w:r/>
      <w:bookmarkStart w:id="195" w:name="_格式2__法定代表人授权书"/>
      <w:r>
        <w:rPr>
          <w:highlight w:val="none"/>
        </w:rPr>
        <w:t xml:space="preserve"> </w:t>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highlight w:val="none"/>
        </w:rPr>
      </w:r>
      <w:r/>
    </w:p>
    <w:p>
      <w:pPr>
        <w:pStyle w:val="693"/>
        <w:jc w:val="center"/>
        <w:spacing w:beforeAutospacing="0" w:afterAutospacing="0"/>
        <w:rPr>
          <w:highlight w:val="none"/>
        </w:rPr>
      </w:pPr>
      <w:r>
        <w:rPr>
          <w:highlight w:val="none"/>
        </w:rPr>
      </w:r>
      <w:r/>
    </w:p>
    <w:p>
      <w:pPr>
        <w:pStyle w:val="693"/>
        <w:jc w:val="center"/>
        <w:spacing w:beforeAutospacing="0" w:afterAutospacing="0"/>
        <w:rPr>
          <w:highlight w:val="none"/>
        </w:rPr>
      </w:pPr>
      <w:r>
        <w:rPr>
          <w:highlight w:val="none"/>
        </w:rPr>
      </w:r>
      <w:r/>
    </w:p>
    <w:p>
      <w:pPr>
        <w:pStyle w:val="693"/>
        <w:jc w:val="center"/>
        <w:spacing w:beforeAutospacing="0" w:afterAutospacing="0"/>
        <w:rPr>
          <w:highlight w:val="none"/>
        </w:rPr>
      </w:pPr>
      <w:r>
        <w:rPr>
          <w:highlight w:val="none"/>
        </w:rPr>
      </w:r>
      <w:r/>
    </w:p>
    <w:p>
      <w:pPr>
        <w:pStyle w:val="693"/>
        <w:jc w:val="center"/>
        <w:spacing w:beforeAutospacing="0" w:afterAutospacing="0"/>
        <w:rPr>
          <w:highlight w:val="none"/>
        </w:rPr>
      </w:pPr>
      <w:r>
        <w:rPr>
          <w:highlight w:val="none"/>
        </w:rPr>
      </w:r>
      <w:r/>
    </w:p>
    <w:p>
      <w:pPr>
        <w:pStyle w:val="693"/>
        <w:jc w:val="center"/>
        <w:spacing w:beforeAutospacing="0" w:afterAutospacing="0"/>
        <w:rPr>
          <w:highlight w:val="none"/>
        </w:rPr>
      </w:pPr>
      <w:r>
        <w:rPr>
          <w:highlight w:val="none"/>
        </w:rPr>
      </w:r>
      <w:r/>
    </w:p>
    <w:p>
      <w:pPr>
        <w:pStyle w:val="693"/>
        <w:jc w:val="center"/>
        <w:spacing w:beforeAutospacing="0" w:afterAutospacing="0"/>
        <w:rPr>
          <w:highlight w:val="none"/>
        </w:rPr>
      </w:pPr>
      <w:r>
        <w:rPr>
          <w:highlight w:val="none"/>
        </w:rPr>
      </w:r>
      <w:r/>
    </w:p>
    <w:p>
      <w:pPr>
        <w:pStyle w:val="693"/>
        <w:jc w:val="center"/>
        <w:spacing w:beforeAutospacing="0" w:afterAutospacing="0"/>
        <w:rPr>
          <w:highlight w:val="none"/>
        </w:rPr>
      </w:pPr>
      <w:r>
        <w:rPr>
          <w:highlight w:val="none"/>
        </w:rPr>
      </w:r>
      <w:r/>
    </w:p>
    <w:p>
      <w:pPr>
        <w:pStyle w:val="693"/>
        <w:jc w:val="center"/>
        <w:spacing w:beforeAutospacing="0" w:afterAutospacing="0"/>
        <w:rPr>
          <w:highlight w:val="none"/>
        </w:rPr>
      </w:pPr>
      <w:r>
        <w:rPr>
          <w:highlight w:val="none"/>
        </w:rPr>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rPr>
      </w:pPr>
      <w:r>
        <w:rPr>
          <w:highlight w:val="none"/>
        </w:rPr>
        <w:t xml:space="preserve"> </w:t>
      </w:r>
      <w:r/>
    </w:p>
    <w:p>
      <w:pPr>
        <w:pStyle w:val="693"/>
        <w:jc w:val="center"/>
        <w:spacing w:beforeAutospacing="0" w:afterAutospacing="0"/>
        <w:rPr>
          <w:highlight w:val="none"/>
          <w:shd w:val="clear" w:color="auto" w:fill="auto"/>
        </w:rPr>
      </w:pPr>
      <w:r>
        <w:rPr>
          <w:rFonts w:hint="eastAsia" w:ascii="黑体" w:hAnsi="宋体" w:eastAsia="黑体" w:cs="黑体"/>
          <w:b/>
          <w:i/>
          <w:color w:val="ff0000"/>
          <w:sz w:val="32"/>
          <w:szCs w:val="32"/>
          <w:highlight w:val="none"/>
          <w:u w:val="single"/>
        </w:rPr>
        <w:t xml:space="preserve">十五、开标一览表</w:t>
      </w:r>
      <w:r/>
    </w:p>
    <w:p>
      <w:pPr>
        <w:pStyle w:val="693"/>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693"/>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93"/>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693"/>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672"/>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3"/>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3"/>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3"/>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93"/>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93"/>
              <w:spacing w:beforeAutospacing="0" w:afterAutospacing="0" w:line="0" w:lineRule="atLeast"/>
              <w:rPr>
                <w:highlight w:val="none"/>
              </w:rPr>
            </w:pPr>
            <w:r>
              <w:rPr>
                <w:highlight w:val="none"/>
              </w:rPr>
              <w:t xml:space="preserve"> </w:t>
            </w:r>
            <w:r/>
          </w:p>
        </w:tc>
      </w:tr>
    </w:tbl>
    <w:p>
      <w:pPr>
        <w:pStyle w:val="693"/>
        <w:jc w:val="both"/>
        <w:spacing w:beforeAutospacing="0" w:afterAutospacing="0"/>
        <w:rPr>
          <w:highlight w:val="none"/>
        </w:rPr>
      </w:pPr>
      <w:r>
        <w:rPr>
          <w:highlight w:val="none"/>
        </w:rPr>
        <w:t xml:space="preserve"> </w:t>
      </w:r>
      <w:r/>
    </w:p>
    <w:p>
      <w:pPr>
        <w:pStyle w:val="693"/>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693"/>
        <w:jc w:val="both"/>
        <w:spacing w:beforeAutospacing="0" w:afterAutospacing="0"/>
        <w:rPr>
          <w:highlight w:val="none"/>
        </w:rPr>
      </w:pPr>
      <w:r>
        <w:rPr>
          <w:highlight w:val="none"/>
        </w:rPr>
        <w:t xml:space="preserve"> </w:t>
      </w:r>
      <w:r/>
    </w:p>
    <w:p>
      <w:pPr>
        <w:rPr>
          <w:highlight w:val="none"/>
        </w:rPr>
      </w:pPr>
      <w:r>
        <w:rPr>
          <w:highlight w:val="none"/>
        </w:rPr>
        <w:br w:type="page" w:clear="all"/>
      </w:r>
      <w:r/>
    </w:p>
    <w:p>
      <w:pPr>
        <w:jc w:val="center"/>
        <w:spacing w:before="50" w:after="50"/>
        <w:widowControl/>
        <w:rPr>
          <w:rFonts w:ascii="宋体" w:hAnsi="宋体" w:eastAsia="宋体" w:cs="宋体"/>
          <w:sz w:val="24"/>
          <w:highlight w:val="none"/>
        </w:rPr>
      </w:pPr>
      <w:r>
        <w:rPr>
          <w:highlight w:val="none"/>
        </w:rPr>
        <w:tab/>
      </w:r>
      <w:r>
        <w:rPr>
          <w:rFonts w:hint="eastAsia" w:ascii="宋体" w:hAnsi="宋体" w:eastAsia="宋体" w:cs="宋体"/>
          <w:color w:val="000000"/>
          <w:sz w:val="32"/>
          <w:szCs w:val="32"/>
          <w:highlight w:val="none"/>
        </w:rPr>
        <w:t xml:space="preserve">十六、技术方案、服务承诺、培训承诺等</w:t>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2"/>
      <w:r/>
      <w:bookmarkEnd w:id="175"/>
      <w:r/>
      <w:bookmarkEnd w:id="176"/>
      <w:r/>
      <w:bookmarkEnd w:id="177"/>
      <w:r/>
      <w:bookmarkEnd w:id="178"/>
      <w:r/>
      <w:bookmarkEnd w:id="179"/>
      <w:r/>
      <w:bookmarkEnd w:id="180"/>
      <w:r/>
      <w:bookmarkEnd w:id="181"/>
      <w:r/>
      <w:bookmarkEnd w:id="182"/>
      <w:r/>
      <w:bookmarkEnd w:id="191"/>
      <w:r/>
      <w:bookmarkEnd w:id="192"/>
      <w:r/>
      <w:bookmarkEnd w:id="193"/>
      <w:r/>
      <w:bookmarkEnd w:id="194"/>
      <w:r/>
      <w:bookmarkEnd w:id="195"/>
      <w:r/>
      <w:r/>
    </w:p>
    <w:p>
      <w:pPr>
        <w:pStyle w:val="693"/>
        <w:jc w:val="center"/>
        <w:spacing w:beforeAutospacing="0" w:afterAutospacing="0"/>
        <w:rPr>
          <w:highlight w:val="none"/>
        </w:rPr>
      </w:pPr>
      <w:r>
        <w:rPr>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93"/>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93"/>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93"/>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9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93"/>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93"/>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9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9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9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9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9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93"/>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1" w:default="1">
    <w:name w:val="Normal"/>
    <w:next w:val="673"/>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62">
    <w:name w:val="Heading 1"/>
    <w:basedOn w:val="661"/>
    <w:next w:val="661"/>
    <w:link w:val="700"/>
    <w:uiPriority w:val="9"/>
    <w:qFormat/>
    <w:pPr>
      <w:keepLines/>
      <w:keepNext/>
      <w:spacing w:before="480" w:after="200"/>
      <w:outlineLvl w:val="0"/>
    </w:pPr>
    <w:rPr>
      <w:rFonts w:ascii="Arial" w:hAnsi="Arial" w:eastAsia="Arial" w:cs="Arial"/>
      <w:sz w:val="40"/>
      <w:szCs w:val="40"/>
    </w:rPr>
  </w:style>
  <w:style w:type="paragraph" w:styleId="663">
    <w:name w:val="Heading 2"/>
    <w:basedOn w:val="661"/>
    <w:next w:val="66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64">
    <w:name w:val="Heading 3"/>
    <w:basedOn w:val="661"/>
    <w:next w:val="661"/>
    <w:link w:val="702"/>
    <w:uiPriority w:val="9"/>
    <w:unhideWhenUsed/>
    <w:qFormat/>
    <w:pPr>
      <w:keepLines/>
      <w:keepNext/>
      <w:spacing w:before="320" w:after="200"/>
      <w:outlineLvl w:val="2"/>
    </w:pPr>
    <w:rPr>
      <w:rFonts w:ascii="Arial" w:hAnsi="Arial" w:eastAsia="Arial" w:cs="Arial"/>
      <w:sz w:val="30"/>
      <w:szCs w:val="30"/>
    </w:rPr>
  </w:style>
  <w:style w:type="paragraph" w:styleId="665">
    <w:name w:val="Heading 4"/>
    <w:basedOn w:val="661"/>
    <w:next w:val="661"/>
    <w:link w:val="703"/>
    <w:uiPriority w:val="9"/>
    <w:unhideWhenUsed/>
    <w:qFormat/>
    <w:pPr>
      <w:keepLines/>
      <w:keepNext/>
      <w:spacing w:before="320" w:after="200"/>
      <w:outlineLvl w:val="3"/>
    </w:pPr>
    <w:rPr>
      <w:rFonts w:ascii="Arial" w:hAnsi="Arial" w:eastAsia="Arial" w:cs="Arial"/>
      <w:b/>
      <w:bCs/>
      <w:sz w:val="26"/>
      <w:szCs w:val="26"/>
    </w:rPr>
  </w:style>
  <w:style w:type="paragraph" w:styleId="666">
    <w:name w:val="Heading 5"/>
    <w:basedOn w:val="661"/>
    <w:next w:val="661"/>
    <w:link w:val="704"/>
    <w:uiPriority w:val="9"/>
    <w:unhideWhenUsed/>
    <w:qFormat/>
    <w:pPr>
      <w:keepLines/>
      <w:keepNext/>
      <w:spacing w:before="320" w:after="200"/>
      <w:outlineLvl w:val="4"/>
    </w:pPr>
    <w:rPr>
      <w:rFonts w:ascii="Arial" w:hAnsi="Arial" w:eastAsia="Arial" w:cs="Arial"/>
      <w:b/>
      <w:bCs/>
      <w:sz w:val="24"/>
      <w:szCs w:val="24"/>
    </w:rPr>
  </w:style>
  <w:style w:type="paragraph" w:styleId="667">
    <w:name w:val="Heading 6"/>
    <w:basedOn w:val="661"/>
    <w:next w:val="661"/>
    <w:link w:val="705"/>
    <w:uiPriority w:val="9"/>
    <w:unhideWhenUsed/>
    <w:qFormat/>
    <w:pPr>
      <w:keepLines/>
      <w:keepNext/>
      <w:spacing w:before="320" w:after="200"/>
      <w:outlineLvl w:val="5"/>
    </w:pPr>
    <w:rPr>
      <w:rFonts w:ascii="Arial" w:hAnsi="Arial" w:eastAsia="Arial" w:cs="Arial"/>
      <w:b/>
      <w:bCs/>
      <w:sz w:val="22"/>
      <w:szCs w:val="22"/>
    </w:rPr>
  </w:style>
  <w:style w:type="paragraph" w:styleId="668">
    <w:name w:val="Heading 7"/>
    <w:basedOn w:val="661"/>
    <w:next w:val="661"/>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69">
    <w:name w:val="Heading 8"/>
    <w:basedOn w:val="661"/>
    <w:next w:val="661"/>
    <w:link w:val="707"/>
    <w:uiPriority w:val="9"/>
    <w:unhideWhenUsed/>
    <w:qFormat/>
    <w:pPr>
      <w:keepLines/>
      <w:keepNext/>
      <w:spacing w:before="320" w:after="200"/>
      <w:outlineLvl w:val="7"/>
    </w:pPr>
    <w:rPr>
      <w:rFonts w:ascii="Arial" w:hAnsi="Arial" w:eastAsia="Arial" w:cs="Arial"/>
      <w:i/>
      <w:iCs/>
      <w:sz w:val="22"/>
      <w:szCs w:val="22"/>
    </w:rPr>
  </w:style>
  <w:style w:type="paragraph" w:styleId="670">
    <w:name w:val="Heading 9"/>
    <w:basedOn w:val="661"/>
    <w:next w:val="661"/>
    <w:link w:val="708"/>
    <w:uiPriority w:val="9"/>
    <w:unhideWhenUsed/>
    <w:qFormat/>
    <w:pPr>
      <w:keepLines/>
      <w:keepNext/>
      <w:spacing w:before="320" w:after="200"/>
      <w:outlineLvl w:val="8"/>
    </w:pPr>
    <w:rPr>
      <w:rFonts w:ascii="Arial" w:hAnsi="Arial" w:eastAsia="Arial" w:cs="Arial"/>
      <w:i/>
      <w:iCs/>
      <w:sz w:val="21"/>
      <w:szCs w:val="21"/>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Body Text First Indent"/>
    <w:basedOn w:val="674"/>
    <w:uiPriority w:val="0"/>
    <w:qFormat/>
    <w:pPr>
      <w:ind w:firstLine="200"/>
      <w:spacing w:line="360" w:lineRule="auto"/>
    </w:pPr>
    <w:rPr>
      <w:rFonts w:ascii="仿宋_GB2312" w:eastAsia="仿宋_GB2312"/>
      <w:sz w:val="30"/>
      <w:szCs w:val="30"/>
    </w:rPr>
  </w:style>
  <w:style w:type="paragraph" w:styleId="674">
    <w:name w:val="Body Text"/>
    <w:basedOn w:val="661"/>
    <w:uiPriority w:val="0"/>
    <w:unhideWhenUsed/>
    <w:qFormat/>
    <w:pPr>
      <w:spacing w:after="120"/>
    </w:pPr>
    <w:rPr>
      <w:rFonts w:ascii="Calibri" w:hAnsi="Calibri"/>
      <w:szCs w:val="22"/>
    </w:rPr>
  </w:style>
  <w:style w:type="paragraph" w:styleId="675">
    <w:name w:val="toc 7"/>
    <w:basedOn w:val="661"/>
    <w:next w:val="661"/>
    <w:uiPriority w:val="39"/>
    <w:unhideWhenUsed/>
    <w:qFormat/>
    <w:pPr>
      <w:ind w:left="1701" w:right="0" w:firstLine="0"/>
      <w:spacing w:after="57"/>
    </w:pPr>
  </w:style>
  <w:style w:type="paragraph" w:styleId="676">
    <w:name w:val="Caption"/>
    <w:basedOn w:val="661"/>
    <w:next w:val="66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7">
    <w:name w:val="annotation text"/>
    <w:basedOn w:val="661"/>
    <w:uiPriority w:val="0"/>
    <w:qFormat/>
    <w:pPr>
      <w:jc w:val="left"/>
    </w:pPr>
  </w:style>
  <w:style w:type="paragraph" w:styleId="678">
    <w:name w:val="toc 5"/>
    <w:basedOn w:val="661"/>
    <w:next w:val="661"/>
    <w:uiPriority w:val="39"/>
    <w:unhideWhenUsed/>
    <w:qFormat/>
    <w:pPr>
      <w:ind w:left="1134" w:right="0" w:firstLine="0"/>
      <w:spacing w:after="57"/>
    </w:pPr>
  </w:style>
  <w:style w:type="paragraph" w:styleId="679">
    <w:name w:val="toc 3"/>
    <w:basedOn w:val="661"/>
    <w:next w:val="661"/>
    <w:uiPriority w:val="39"/>
    <w:unhideWhenUsed/>
    <w:qFormat/>
    <w:pPr>
      <w:ind w:left="567" w:right="0" w:firstLine="0"/>
      <w:spacing w:after="57"/>
    </w:pPr>
  </w:style>
  <w:style w:type="paragraph" w:styleId="680">
    <w:name w:val="Plain Text"/>
    <w:basedOn w:val="661"/>
    <w:uiPriority w:val="0"/>
    <w:unhideWhenUsed/>
    <w:qFormat/>
    <w:rPr>
      <w:rFonts w:ascii="宋体" w:hAnsi="Courier New" w:cs="Courier New"/>
      <w:szCs w:val="21"/>
    </w:rPr>
  </w:style>
  <w:style w:type="paragraph" w:styleId="681">
    <w:name w:val="toc 8"/>
    <w:basedOn w:val="661"/>
    <w:next w:val="661"/>
    <w:uiPriority w:val="39"/>
    <w:unhideWhenUsed/>
    <w:qFormat/>
    <w:pPr>
      <w:ind w:left="1984" w:right="0" w:firstLine="0"/>
      <w:spacing w:after="57"/>
    </w:pPr>
  </w:style>
  <w:style w:type="paragraph" w:styleId="682">
    <w:name w:val="endnote text"/>
    <w:basedOn w:val="661"/>
    <w:link w:val="846"/>
    <w:uiPriority w:val="99"/>
    <w:semiHidden/>
    <w:unhideWhenUsed/>
    <w:qFormat/>
    <w:pPr>
      <w:spacing w:after="0" w:line="240" w:lineRule="auto"/>
    </w:pPr>
    <w:rPr>
      <w:sz w:val="20"/>
    </w:rPr>
  </w:style>
  <w:style w:type="paragraph" w:styleId="683">
    <w:name w:val="Footer"/>
    <w:basedOn w:val="661"/>
    <w:link w:val="850"/>
    <w:uiPriority w:val="0"/>
    <w:qFormat/>
    <w:pPr>
      <w:jc w:val="left"/>
      <w:tabs>
        <w:tab w:val="center" w:pos="4153" w:leader="none"/>
        <w:tab w:val="right" w:pos="8306" w:leader="none"/>
      </w:tabs>
    </w:pPr>
    <w:rPr>
      <w:sz w:val="18"/>
      <w:szCs w:val="18"/>
    </w:rPr>
  </w:style>
  <w:style w:type="paragraph" w:styleId="684">
    <w:name w:val="Header"/>
    <w:basedOn w:val="661"/>
    <w:link w:val="849"/>
    <w:uiPriority w:val="0"/>
    <w:qFormat/>
    <w:pPr>
      <w:jc w:val="center"/>
      <w:tabs>
        <w:tab w:val="center" w:pos="4153" w:leader="none"/>
        <w:tab w:val="right" w:pos="8306" w:leader="none"/>
      </w:tabs>
      <w:pBdr>
        <w:bottom w:val="single" w:color="auto" w:sz="6" w:space="1"/>
      </w:pBdr>
    </w:pPr>
    <w:rPr>
      <w:sz w:val="18"/>
      <w:szCs w:val="18"/>
    </w:rPr>
  </w:style>
  <w:style w:type="paragraph" w:styleId="685">
    <w:name w:val="toc 1"/>
    <w:basedOn w:val="661"/>
    <w:next w:val="661"/>
    <w:uiPriority w:val="39"/>
    <w:unhideWhenUsed/>
    <w:qFormat/>
    <w:pPr>
      <w:ind w:left="0" w:right="0" w:firstLine="0"/>
      <w:spacing w:after="57"/>
    </w:pPr>
  </w:style>
  <w:style w:type="paragraph" w:styleId="686">
    <w:name w:val="toc 4"/>
    <w:basedOn w:val="661"/>
    <w:next w:val="661"/>
    <w:uiPriority w:val="39"/>
    <w:unhideWhenUsed/>
    <w:qFormat/>
    <w:pPr>
      <w:ind w:left="850" w:right="0" w:firstLine="0"/>
      <w:spacing w:after="57"/>
    </w:pPr>
  </w:style>
  <w:style w:type="paragraph" w:styleId="687">
    <w:name w:val="Subtitle"/>
    <w:basedOn w:val="661"/>
    <w:next w:val="661"/>
    <w:link w:val="712"/>
    <w:uiPriority w:val="11"/>
    <w:qFormat/>
    <w:pPr>
      <w:spacing w:before="200" w:after="200"/>
    </w:pPr>
    <w:rPr>
      <w:sz w:val="24"/>
      <w:szCs w:val="24"/>
    </w:rPr>
  </w:style>
  <w:style w:type="paragraph" w:styleId="688">
    <w:name w:val="footnote text"/>
    <w:basedOn w:val="661"/>
    <w:link w:val="845"/>
    <w:uiPriority w:val="99"/>
    <w:semiHidden/>
    <w:unhideWhenUsed/>
    <w:qFormat/>
    <w:pPr>
      <w:spacing w:after="40" w:line="240" w:lineRule="auto"/>
    </w:pPr>
    <w:rPr>
      <w:sz w:val="18"/>
    </w:rPr>
  </w:style>
  <w:style w:type="paragraph" w:styleId="689">
    <w:name w:val="toc 6"/>
    <w:basedOn w:val="661"/>
    <w:next w:val="661"/>
    <w:uiPriority w:val="39"/>
    <w:unhideWhenUsed/>
    <w:qFormat/>
    <w:pPr>
      <w:ind w:left="1417" w:right="0" w:firstLine="0"/>
      <w:spacing w:after="57"/>
    </w:pPr>
  </w:style>
  <w:style w:type="paragraph" w:styleId="690">
    <w:name w:val="table of figures"/>
    <w:basedOn w:val="661"/>
    <w:next w:val="661"/>
    <w:uiPriority w:val="99"/>
    <w:unhideWhenUsed/>
    <w:qFormat/>
    <w:pPr>
      <w:spacing w:after="0" w:afterAutospacing="0"/>
    </w:pPr>
  </w:style>
  <w:style w:type="paragraph" w:styleId="691">
    <w:name w:val="toc 2"/>
    <w:basedOn w:val="661"/>
    <w:next w:val="661"/>
    <w:uiPriority w:val="39"/>
    <w:unhideWhenUsed/>
    <w:pPr>
      <w:ind w:left="283" w:right="0" w:firstLine="0"/>
      <w:spacing w:after="57"/>
    </w:pPr>
  </w:style>
  <w:style w:type="paragraph" w:styleId="692">
    <w:name w:val="toc 9"/>
    <w:basedOn w:val="661"/>
    <w:next w:val="661"/>
    <w:uiPriority w:val="39"/>
    <w:unhideWhenUsed/>
    <w:qFormat/>
    <w:pPr>
      <w:ind w:left="2268" w:right="0" w:firstLine="0"/>
      <w:spacing w:after="57"/>
    </w:pPr>
  </w:style>
  <w:style w:type="paragraph" w:styleId="693">
    <w:name w:val="Normal (Web)"/>
    <w:basedOn w:val="661"/>
    <w:uiPriority w:val="0"/>
    <w:qFormat/>
    <w:pPr>
      <w:jc w:val="left"/>
      <w:spacing w:beforeAutospacing="1" w:afterAutospacing="1"/>
    </w:pPr>
    <w:rPr>
      <w:rFonts w:cs="Times New Roman"/>
      <w:sz w:val="24"/>
    </w:rPr>
  </w:style>
  <w:style w:type="paragraph" w:styleId="694">
    <w:name w:val="Title"/>
    <w:basedOn w:val="661"/>
    <w:next w:val="661"/>
    <w:link w:val="711"/>
    <w:uiPriority w:val="10"/>
    <w:qFormat/>
    <w:pPr>
      <w:contextualSpacing/>
      <w:spacing w:before="300" w:after="200"/>
    </w:pPr>
    <w:rPr>
      <w:sz w:val="48"/>
      <w:szCs w:val="48"/>
    </w:rPr>
  </w:style>
  <w:style w:type="table" w:styleId="695">
    <w:name w:val="Table Grid"/>
    <w:basedOn w:val="67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Strong"/>
    <w:basedOn w:val="671"/>
    <w:uiPriority w:val="0"/>
    <w:qFormat/>
    <w:rPr>
      <w:b/>
    </w:rPr>
  </w:style>
  <w:style w:type="character" w:styleId="697">
    <w:name w:val="endnote reference"/>
    <w:basedOn w:val="671"/>
    <w:uiPriority w:val="99"/>
    <w:semiHidden/>
    <w:unhideWhenUsed/>
    <w:qFormat/>
    <w:rPr>
      <w:vertAlign w:val="superscript"/>
    </w:rPr>
  </w:style>
  <w:style w:type="character" w:styleId="698">
    <w:name w:val="Hyperlink"/>
    <w:uiPriority w:val="99"/>
    <w:unhideWhenUsed/>
    <w:rPr>
      <w:color w:val="0563c1" w:themeColor="hyperlink"/>
      <w:u w:val="single"/>
      <w14:textFill>
        <w14:solidFill>
          <w14:schemeClr w14:val="hlink"/>
        </w14:solidFill>
      </w14:textFill>
    </w:rPr>
  </w:style>
  <w:style w:type="character" w:styleId="699">
    <w:name w:val="footnote reference"/>
    <w:basedOn w:val="671"/>
    <w:uiPriority w:val="99"/>
    <w:unhideWhenUsed/>
    <w:qFormat/>
    <w:rPr>
      <w:vertAlign w:val="superscript"/>
    </w:rPr>
  </w:style>
  <w:style w:type="character" w:styleId="700" w:customStyle="1">
    <w:name w:val="Heading 1 Char"/>
    <w:basedOn w:val="671"/>
    <w:link w:val="662"/>
    <w:uiPriority w:val="9"/>
    <w:qFormat/>
    <w:rPr>
      <w:rFonts w:ascii="Arial" w:hAnsi="Arial" w:eastAsia="Arial" w:cs="Arial"/>
      <w:sz w:val="40"/>
      <w:szCs w:val="40"/>
    </w:rPr>
  </w:style>
  <w:style w:type="character" w:styleId="701" w:customStyle="1">
    <w:name w:val="Heading 2 Char"/>
    <w:basedOn w:val="671"/>
    <w:uiPriority w:val="9"/>
    <w:qFormat/>
    <w:rPr>
      <w:rFonts w:ascii="Arial" w:hAnsi="Arial" w:eastAsia="Arial" w:cs="Arial"/>
      <w:sz w:val="34"/>
    </w:rPr>
  </w:style>
  <w:style w:type="character" w:styleId="702" w:customStyle="1">
    <w:name w:val="Heading 3 Char"/>
    <w:basedOn w:val="671"/>
    <w:link w:val="664"/>
    <w:uiPriority w:val="9"/>
    <w:qFormat/>
    <w:rPr>
      <w:rFonts w:ascii="Arial" w:hAnsi="Arial" w:eastAsia="Arial" w:cs="Arial"/>
      <w:sz w:val="30"/>
      <w:szCs w:val="30"/>
    </w:rPr>
  </w:style>
  <w:style w:type="character" w:styleId="703" w:customStyle="1">
    <w:name w:val="Heading 4 Char"/>
    <w:basedOn w:val="671"/>
    <w:link w:val="665"/>
    <w:uiPriority w:val="9"/>
    <w:qFormat/>
    <w:rPr>
      <w:rFonts w:ascii="Arial" w:hAnsi="Arial" w:eastAsia="Arial" w:cs="Arial"/>
      <w:b/>
      <w:bCs/>
      <w:sz w:val="26"/>
      <w:szCs w:val="26"/>
    </w:rPr>
  </w:style>
  <w:style w:type="character" w:styleId="704" w:customStyle="1">
    <w:name w:val="Heading 5 Char"/>
    <w:basedOn w:val="671"/>
    <w:link w:val="666"/>
    <w:uiPriority w:val="9"/>
    <w:qFormat/>
    <w:rPr>
      <w:rFonts w:ascii="Arial" w:hAnsi="Arial" w:eastAsia="Arial" w:cs="Arial"/>
      <w:b/>
      <w:bCs/>
      <w:sz w:val="24"/>
      <w:szCs w:val="24"/>
    </w:rPr>
  </w:style>
  <w:style w:type="character" w:styleId="705" w:customStyle="1">
    <w:name w:val="Heading 6 Char"/>
    <w:basedOn w:val="671"/>
    <w:link w:val="667"/>
    <w:uiPriority w:val="9"/>
    <w:qFormat/>
    <w:rPr>
      <w:rFonts w:ascii="Arial" w:hAnsi="Arial" w:eastAsia="Arial" w:cs="Arial"/>
      <w:b/>
      <w:bCs/>
      <w:sz w:val="22"/>
      <w:szCs w:val="22"/>
    </w:rPr>
  </w:style>
  <w:style w:type="character" w:styleId="706" w:customStyle="1">
    <w:name w:val="Heading 7 Char"/>
    <w:basedOn w:val="671"/>
    <w:link w:val="668"/>
    <w:uiPriority w:val="9"/>
    <w:qFormat/>
    <w:rPr>
      <w:rFonts w:ascii="Arial" w:hAnsi="Arial" w:eastAsia="Arial" w:cs="Arial"/>
      <w:b/>
      <w:bCs/>
      <w:i/>
      <w:iCs/>
      <w:sz w:val="22"/>
      <w:szCs w:val="22"/>
    </w:rPr>
  </w:style>
  <w:style w:type="character" w:styleId="707" w:customStyle="1">
    <w:name w:val="Heading 8 Char"/>
    <w:basedOn w:val="671"/>
    <w:link w:val="669"/>
    <w:uiPriority w:val="9"/>
    <w:qFormat/>
    <w:rPr>
      <w:rFonts w:ascii="Arial" w:hAnsi="Arial" w:eastAsia="Arial" w:cs="Arial"/>
      <w:i/>
      <w:iCs/>
      <w:sz w:val="22"/>
      <w:szCs w:val="22"/>
    </w:rPr>
  </w:style>
  <w:style w:type="character" w:styleId="708" w:customStyle="1">
    <w:name w:val="Heading 9 Char"/>
    <w:basedOn w:val="671"/>
    <w:link w:val="670"/>
    <w:uiPriority w:val="9"/>
    <w:qFormat/>
    <w:rPr>
      <w:rFonts w:ascii="Arial" w:hAnsi="Arial" w:eastAsia="Arial" w:cs="Arial"/>
      <w:i/>
      <w:iCs/>
      <w:sz w:val="21"/>
      <w:szCs w:val="21"/>
    </w:rPr>
  </w:style>
  <w:style w:type="paragraph" w:styleId="709">
    <w:name w:val="List Paragraph"/>
    <w:basedOn w:val="661"/>
    <w:uiPriority w:val="34"/>
    <w:qFormat/>
    <w:pPr>
      <w:contextualSpacing/>
      <w:ind w:left="720"/>
    </w:pPr>
  </w:style>
  <w:style w:type="paragraph" w:styleId="710">
    <w:name w:val="No Spacing"/>
    <w:uiPriority w:val="1"/>
    <w:qFormat/>
    <w:pPr>
      <w:spacing w:before="0" w:after="0" w:line="240" w:lineRule="auto"/>
    </w:pPr>
    <w:rPr>
      <w:rFonts w:hint="default" w:ascii="Times New Roman" w:hAnsi="Times New Roman" w:eastAsia="宋体" w:cs="Times New Roman"/>
    </w:rPr>
  </w:style>
  <w:style w:type="character" w:styleId="711" w:customStyle="1">
    <w:name w:val="Title Char"/>
    <w:basedOn w:val="671"/>
    <w:link w:val="694"/>
    <w:uiPriority w:val="10"/>
    <w:qFormat/>
    <w:rPr>
      <w:sz w:val="48"/>
      <w:szCs w:val="48"/>
    </w:rPr>
  </w:style>
  <w:style w:type="character" w:styleId="712" w:customStyle="1">
    <w:name w:val="Subtitle Char"/>
    <w:basedOn w:val="671"/>
    <w:link w:val="687"/>
    <w:uiPriority w:val="11"/>
    <w:qFormat/>
    <w:rPr>
      <w:sz w:val="24"/>
      <w:szCs w:val="24"/>
    </w:rPr>
  </w:style>
  <w:style w:type="paragraph" w:styleId="713">
    <w:name w:val="Quote"/>
    <w:basedOn w:val="661"/>
    <w:next w:val="661"/>
    <w:link w:val="714"/>
    <w:uiPriority w:val="29"/>
    <w:qFormat/>
    <w:pPr>
      <w:ind w:left="720" w:right="720"/>
    </w:pPr>
    <w:rPr>
      <w:i/>
    </w:rPr>
  </w:style>
  <w:style w:type="character" w:styleId="714" w:customStyle="1">
    <w:name w:val="Quote Char"/>
    <w:link w:val="713"/>
    <w:uiPriority w:val="29"/>
    <w:qFormat/>
    <w:rPr>
      <w:i/>
    </w:rPr>
  </w:style>
  <w:style w:type="paragraph" w:styleId="715">
    <w:name w:val="Intense Quote"/>
    <w:basedOn w:val="661"/>
    <w:next w:val="661"/>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Intense Quote Char"/>
    <w:link w:val="715"/>
    <w:uiPriority w:val="30"/>
    <w:qFormat/>
    <w:rPr>
      <w:i/>
    </w:rPr>
  </w:style>
  <w:style w:type="character" w:styleId="717" w:customStyle="1">
    <w:name w:val="Header Char"/>
    <w:basedOn w:val="671"/>
    <w:uiPriority w:val="99"/>
    <w:qFormat/>
  </w:style>
  <w:style w:type="character" w:styleId="718" w:customStyle="1">
    <w:name w:val="Footer Char"/>
    <w:basedOn w:val="671"/>
    <w:uiPriority w:val="99"/>
    <w:qFormat/>
  </w:style>
  <w:style w:type="character" w:styleId="719" w:customStyle="1">
    <w:name w:val="Caption Char"/>
    <w:uiPriority w:val="99"/>
    <w:qFormat/>
  </w:style>
  <w:style w:type="table" w:styleId="720" w:customStyle="1">
    <w:name w:val="Table Grid Light"/>
    <w:basedOn w:val="6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1" w:customStyle="1">
    <w:name w:val="Plain Table 1"/>
    <w:basedOn w:val="6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basedOn w:val="6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basedOn w:val="6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basedOn w:val="6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basedOn w:val="6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basedOn w:val="6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basedOn w:val="67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basedOn w:val="67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basedOn w:val="67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basedOn w:val="67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basedOn w:val="67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basedOn w:val="67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3" w:customStyle="1">
    <w:name w:val="Grid Table 2"/>
    <w:basedOn w:val="6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basedOn w:val="67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basedOn w:val="67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basedOn w:val="67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basedOn w:val="67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basedOn w:val="67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9" w:customStyle="1">
    <w:name w:val="Grid Table 2 - Accent 6"/>
    <w:basedOn w:val="67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0" w:customStyle="1">
    <w:name w:val="Grid Table 3"/>
    <w:basedOn w:val="6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basedOn w:val="67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basedOn w:val="67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basedOn w:val="67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basedOn w:val="67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basedOn w:val="67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basedOn w:val="67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basedOn w:val="6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basedOn w:val="67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9" w:customStyle="1">
    <w:name w:val="Grid Table 4 - Accent 2"/>
    <w:basedOn w:val="67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0" w:customStyle="1">
    <w:name w:val="Grid Table 4 - Accent 3"/>
    <w:basedOn w:val="67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1" w:customStyle="1">
    <w:name w:val="Grid Table 4 - Accent 4"/>
    <w:basedOn w:val="67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2" w:customStyle="1">
    <w:name w:val="Grid Table 4 - Accent 5"/>
    <w:basedOn w:val="67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3" w:customStyle="1">
    <w:name w:val="Grid Table 4 - Accent 6"/>
    <w:basedOn w:val="67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4" w:customStyle="1">
    <w:name w:val="Grid Table 5 Dark"/>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6" w:customStyle="1">
    <w:name w:val="Grid Table 5 Dark - Accent 2"/>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7" w:customStyle="1">
    <w:name w:val="Grid Table 5 Dark - Accent 3"/>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8" w:customStyle="1">
    <w:name w:val="Grid Table 5 Dark- Accent 4"/>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9" w:customStyle="1">
    <w:name w:val="Grid Table 5 Dark - Accent 5"/>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0" w:customStyle="1">
    <w:name w:val="Grid Table 5 Dark - Accent 6"/>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1" w:customStyle="1">
    <w:name w:val="Grid Table 6 Colorful"/>
    <w:basedOn w:val="6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6 Colorful - Accent 1"/>
    <w:basedOn w:val="67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3" w:customStyle="1">
    <w:name w:val="Grid Table 6 Colorful - Accent 2"/>
    <w:basedOn w:val="67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4" w:customStyle="1">
    <w:name w:val="Grid Table 6 Colorful - Accent 3"/>
    <w:basedOn w:val="67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5" w:customStyle="1">
    <w:name w:val="Grid Table 6 Colorful - Accent 4"/>
    <w:basedOn w:val="67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6" w:customStyle="1">
    <w:name w:val="Grid Table 6 Colorful - Accent 5"/>
    <w:basedOn w:val="67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7" w:customStyle="1">
    <w:name w:val="Grid Table 6 Colorful - Accent 6"/>
    <w:basedOn w:val="67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8" w:customStyle="1">
    <w:name w:val="Grid Table 7 Colorful"/>
    <w:basedOn w:val="6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basedOn w:val="67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basedOn w:val="67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basedOn w:val="67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basedOn w:val="67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basedOn w:val="67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basedOn w:val="67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5" w:customStyle="1">
    <w:name w:val="List Table 1 Light"/>
    <w:basedOn w:val="6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basedOn w:val="67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7" w:customStyle="1">
    <w:name w:val="List Table 1 Light - Accent 2"/>
    <w:basedOn w:val="67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8" w:customStyle="1">
    <w:name w:val="List Table 1 Light - Accent 3"/>
    <w:basedOn w:val="67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9" w:customStyle="1">
    <w:name w:val="List Table 1 Light - Accent 4"/>
    <w:basedOn w:val="67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0" w:customStyle="1">
    <w:name w:val="List Table 1 Light - Accent 5"/>
    <w:basedOn w:val="67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1" w:customStyle="1">
    <w:name w:val="List Table 1 Light - Accent 6"/>
    <w:basedOn w:val="67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2" w:customStyle="1">
    <w:name w:val="List Table 2"/>
    <w:basedOn w:val="6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2 - Accent 1"/>
    <w:basedOn w:val="67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4" w:customStyle="1">
    <w:name w:val="List Table 2 - Accent 2"/>
    <w:basedOn w:val="67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5" w:customStyle="1">
    <w:name w:val="List Table 2 - Accent 3"/>
    <w:basedOn w:val="67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6" w:customStyle="1">
    <w:name w:val="List Table 2 - Accent 4"/>
    <w:basedOn w:val="67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7" w:customStyle="1">
    <w:name w:val="List Table 2 - Accent 5"/>
    <w:basedOn w:val="67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8" w:customStyle="1">
    <w:name w:val="List Table 2 - Accent 6"/>
    <w:basedOn w:val="67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9" w:customStyle="1">
    <w:name w:val="List Table 3"/>
    <w:basedOn w:val="6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basedOn w:val="67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1" w:customStyle="1">
    <w:name w:val="List Table 3 - Accent 2"/>
    <w:basedOn w:val="67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2" w:customStyle="1">
    <w:name w:val="List Table 3 - Accent 3"/>
    <w:basedOn w:val="67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3" w:customStyle="1">
    <w:name w:val="List Table 3 - Accent 4"/>
    <w:basedOn w:val="67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4" w:customStyle="1">
    <w:name w:val="List Table 3 - Accent 5"/>
    <w:basedOn w:val="67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5" w:customStyle="1">
    <w:name w:val="List Table 3 - Accent 6"/>
    <w:basedOn w:val="67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6" w:customStyle="1">
    <w:name w:val="List Table 4"/>
    <w:basedOn w:val="6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basedOn w:val="67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8" w:customStyle="1">
    <w:name w:val="List Table 4 - Accent 2"/>
    <w:basedOn w:val="67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9" w:customStyle="1">
    <w:name w:val="List Table 4 - Accent 3"/>
    <w:basedOn w:val="67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0" w:customStyle="1">
    <w:name w:val="List Table 4 - Accent 4"/>
    <w:basedOn w:val="67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1" w:customStyle="1">
    <w:name w:val="List Table 4 - Accent 5"/>
    <w:basedOn w:val="67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2" w:customStyle="1">
    <w:name w:val="List Table 4 - Accent 6"/>
    <w:basedOn w:val="67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3" w:customStyle="1">
    <w:name w:val="List Table 5 Dark"/>
    <w:basedOn w:val="6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1"/>
    <w:basedOn w:val="67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2"/>
    <w:basedOn w:val="67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3"/>
    <w:basedOn w:val="67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4"/>
    <w:basedOn w:val="67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5"/>
    <w:basedOn w:val="67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6"/>
    <w:basedOn w:val="67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6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6 Colorful - Accent 1"/>
    <w:basedOn w:val="67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2" w:customStyle="1">
    <w:name w:val="List Table 6 Colorful - Accent 2"/>
    <w:basedOn w:val="67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3" w:customStyle="1">
    <w:name w:val="List Table 6 Colorful - Accent 3"/>
    <w:basedOn w:val="67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4" w:customStyle="1">
    <w:name w:val="List Table 6 Colorful - Accent 4"/>
    <w:basedOn w:val="67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5" w:customStyle="1">
    <w:name w:val="List Table 6 Colorful - Accent 5"/>
    <w:basedOn w:val="67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6" w:customStyle="1">
    <w:name w:val="List Table 6 Colorful - Accent 6"/>
    <w:basedOn w:val="67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7" w:customStyle="1">
    <w:name w:val="List Table 7 Colorful"/>
    <w:basedOn w:val="6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basedOn w:val="672"/>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basedOn w:val="67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basedOn w:val="67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basedOn w:val="67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basedOn w:val="67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basedOn w:val="67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4" w:customStyle="1">
    <w:name w:val="Lined - Accent"/>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Lined - Accent 1"/>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6" w:customStyle="1">
    <w:name w:val="Lined - Accent 2"/>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7" w:customStyle="1">
    <w:name w:val="Lined - Accent 3"/>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8" w:customStyle="1">
    <w:name w:val="Lined - Accent 4"/>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9" w:customStyle="1">
    <w:name w:val="Lined - Accent 5"/>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0" w:customStyle="1">
    <w:name w:val="Lined - Accent 6"/>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1" w:customStyle="1">
    <w:name w:val="Bordered &amp; Lined - Accent"/>
    <w:basedOn w:val="672"/>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Bordered &amp; Lined - Accent 1"/>
    <w:basedOn w:val="67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3" w:customStyle="1">
    <w:name w:val="Bordered &amp; Lined - Accent 2"/>
    <w:basedOn w:val="67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4" w:customStyle="1">
    <w:name w:val="Bordered &amp; Lined - Accent 3"/>
    <w:basedOn w:val="67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5" w:customStyle="1">
    <w:name w:val="Bordered &amp; Lined - Accent 4"/>
    <w:basedOn w:val="67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6" w:customStyle="1">
    <w:name w:val="Bordered &amp; Lined - Accent 5"/>
    <w:basedOn w:val="67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7" w:customStyle="1">
    <w:name w:val="Bordered &amp; Lined - Accent 6"/>
    <w:basedOn w:val="67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8" w:customStyle="1">
    <w:name w:val="Bordered"/>
    <w:basedOn w:val="67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9" w:customStyle="1">
    <w:name w:val="Bordered - Accent 1"/>
    <w:basedOn w:val="672"/>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0" w:customStyle="1">
    <w:name w:val="Bordered - Accent 2"/>
    <w:basedOn w:val="67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1" w:customStyle="1">
    <w:name w:val="Bordered - Accent 3"/>
    <w:basedOn w:val="67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2" w:customStyle="1">
    <w:name w:val="Bordered - Accent 4"/>
    <w:basedOn w:val="672"/>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3" w:customStyle="1">
    <w:name w:val="Bordered - Accent 5"/>
    <w:basedOn w:val="672"/>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4" w:customStyle="1">
    <w:name w:val="Bordered - Accent 6"/>
    <w:basedOn w:val="67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5" w:customStyle="1">
    <w:name w:val="Footnote Text Char"/>
    <w:link w:val="688"/>
    <w:uiPriority w:val="99"/>
    <w:qFormat/>
    <w:rPr>
      <w:sz w:val="18"/>
    </w:rPr>
  </w:style>
  <w:style w:type="character" w:styleId="846" w:customStyle="1">
    <w:name w:val="Endnote Text Char"/>
    <w:link w:val="682"/>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Default"/>
    <w:basedOn w:val="661"/>
    <w:uiPriority w:val="0"/>
    <w:semiHidden/>
    <w:qFormat/>
    <w:pPr>
      <w:jc w:val="left"/>
    </w:pPr>
    <w:rPr>
      <w:rFonts w:ascii="宋体" w:hAnsi="Calibri" w:cs="宋体"/>
      <w:color w:val="000000"/>
      <w:sz w:val="24"/>
    </w:rPr>
  </w:style>
  <w:style w:type="character" w:styleId="849" w:customStyle="1">
    <w:name w:val="页眉 Char"/>
    <w:basedOn w:val="671"/>
    <w:link w:val="684"/>
    <w:uiPriority w:val="0"/>
    <w:qFormat/>
    <w:rPr>
      <w:rFonts w:asciiTheme="minorHAnsi" w:hAnsiTheme="minorHAnsi" w:eastAsiaTheme="minorEastAsia" w:cstheme="minorBidi"/>
      <w:sz w:val="18"/>
      <w:szCs w:val="18"/>
    </w:rPr>
  </w:style>
  <w:style w:type="character" w:styleId="850" w:customStyle="1">
    <w:name w:val="页脚 Char"/>
    <w:basedOn w:val="671"/>
    <w:link w:val="683"/>
    <w:uiPriority w:val="0"/>
    <w:qFormat/>
    <w:rPr>
      <w:rFonts w:asciiTheme="minorHAnsi" w:hAnsiTheme="minorHAnsi" w:eastAsiaTheme="minorEastAsia" w:cstheme="minorBidi"/>
      <w:sz w:val="18"/>
      <w:szCs w:val="18"/>
    </w:rPr>
  </w:style>
  <w:style w:type="paragraph" w:styleId="85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52" w:customStyle="1">
    <w:name w:val="页脚1"/>
    <w:basedOn w:val="661"/>
    <w:uiPriority w:val="99"/>
    <w:unhideWhenUsed/>
    <w:qFormat/>
    <w:pPr>
      <w:jc w:val="left"/>
      <w:tabs>
        <w:tab w:val="center" w:pos="4153" w:leader="none"/>
        <w:tab w:val="right" w:pos="8306" w:leader="none"/>
      </w:tabs>
    </w:pPr>
    <w:rPr>
      <w:sz w:val="18"/>
      <w:szCs w:val="18"/>
    </w:rPr>
  </w:style>
  <w:style w:type="paragraph" w:styleId="853" w:customStyle="1">
    <w:name w:val="普通正文"/>
    <w:basedOn w:val="661"/>
    <w:uiPriority w:val="0"/>
    <w:qFormat/>
    <w:pPr>
      <w:ind w:firstLine="480"/>
      <w:jc w:val="left"/>
      <w:spacing w:before="120" w:after="120" w:line="360" w:lineRule="auto"/>
    </w:pPr>
    <w:rPr>
      <w:rFonts w:ascii="Arial" w:hAnsi="Arial" w:eastAsia="等线" w:cs="Arial"/>
      <w:sz w:val="24"/>
      <w:szCs w:val="24"/>
    </w:rPr>
  </w:style>
  <w:style w:type="paragraph" w:styleId="854" w:customStyle="1">
    <w:name w:val="正文首行缩进 21"/>
    <w:basedOn w:val="855"/>
    <w:uiPriority w:val="0"/>
    <w:qFormat/>
    <w:pPr>
      <w:ind w:firstLine="420"/>
    </w:pPr>
  </w:style>
  <w:style w:type="paragraph" w:styleId="855" w:customStyle="1">
    <w:name w:val="正文文本缩进1"/>
    <w:basedOn w:val="661"/>
    <w:uiPriority w:val="0"/>
    <w:qFormat/>
    <w:pPr>
      <w:ind w:left="420"/>
      <w:spacing w:after="120"/>
    </w:pPr>
  </w:style>
  <w:style w:type="character" w:styleId="856" w:customStyle="1">
    <w:name w:val="NormalCharacter"/>
    <w:uiPriority w:val="0"/>
    <w:qFormat/>
  </w:style>
  <w:style w:type="character" w:styleId="857" w:customStyle="1">
    <w:name w:val="font41"/>
    <w:basedOn w:val="671"/>
    <w:uiPriority w:val="0"/>
    <w:qFormat/>
    <w:rPr>
      <w:rFonts w:hint="default" w:ascii="Times New Roman" w:hAnsi="Times New Roman" w:cs="Times New Roman"/>
      <w:color w:val="000000"/>
      <w:sz w:val="20"/>
      <w:szCs w:val="20"/>
      <w:u w:val="none"/>
    </w:rPr>
  </w:style>
  <w:style w:type="character" w:styleId="858" w:customStyle="1">
    <w:name w:val="font31"/>
    <w:basedOn w:val="671"/>
    <w:uiPriority w:val="0"/>
    <w:qFormat/>
    <w:rPr>
      <w:rFonts w:hint="eastAsia" w:ascii="宋体" w:hAnsi="宋体" w:eastAsia="宋体" w:cs="宋体"/>
      <w:color w:val="000000"/>
      <w:sz w:val="20"/>
      <w:szCs w:val="20"/>
      <w:u w:val="none"/>
    </w:rPr>
  </w:style>
  <w:style w:type="numbering" w:styleId="8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李翠兰</cp:lastModifiedBy>
  <cp:revision>123</cp:revision>
  <dcterms:created xsi:type="dcterms:W3CDTF">2014-10-29T12:08:00Z</dcterms:created>
  <dcterms:modified xsi:type="dcterms:W3CDTF">2025-09-18T09:48:30Z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2CE725C660F74BC6B9F9F213959B39C7_13</vt:lpwstr>
  </property>
  <property fmtid="{D5CDD505-2E9C-101B-9397-08002B2CF9AE}" pid="4" name="KSOTemplateDocerSaveRecord">
    <vt:lpwstr>eyJoZGlkIjoiYmVhZTNhMjRkNjliMjFkZGQ1OGUzNjdlMmVhOGJlOTgiLCJ1c2VySWQiOiI1Nzk3MzIxOTcifQ==</vt:lpwstr>
  </property>
</Properties>
</file>