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jc w:val="center"/>
        <w:spacing w:line="48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东海县城市生命线安全工程项目(非专门面向中小企业)</w:t>
      </w:r>
      <w:r/>
    </w:p>
    <w:p>
      <w:pPr>
        <w:ind w:firstLine="1285"/>
        <w:spacing w:line="480" w:lineRule="auto"/>
        <w:rPr>
          <w:rFonts w:hint="eastAsia" w:ascii="黑体" w:hAnsi="Arial" w:eastAsia="宋体"/>
          <w:b/>
          <w:color w:val="000000"/>
          <w:sz w:val="44"/>
          <w:szCs w:val="21"/>
          <w:highlight w:val="none"/>
          <w:lang w:eastAsia="zh-CN"/>
        </w:rPr>
      </w:pPr>
      <w:r>
        <w:rPr>
          <w:rFonts w:hint="eastAsia" w:ascii="Arial" w:hAnsi="Arial"/>
          <w:b/>
          <w:bCs/>
          <w:sz w:val="32"/>
          <w:szCs w:val="24"/>
        </w:rPr>
        <w:t xml:space="preserve">项目编号：</w:t>
      </w:r>
      <w:r>
        <w:rPr>
          <w:rFonts w:hint="eastAsia" w:ascii="Arial" w:hAnsi="Arial"/>
          <w:b/>
          <w:bCs/>
          <w:sz w:val="32"/>
          <w:szCs w:val="24"/>
          <w:highlight w:val="none"/>
          <w:lang w:eastAsia="zh-CN"/>
        </w:rPr>
        <w:t xml:space="preserve">JSZC-320722-JSMW-G2025-0025</w:t>
      </w:r>
      <w:r/>
    </w:p>
    <w:p>
      <w:pPr>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ascii="Arial" w:hAnsi="Arial"/>
          <w:b/>
          <w:bCs/>
          <w:color w:val="000000"/>
          <w:sz w:val="32"/>
          <w:szCs w:val="24"/>
        </w:rPr>
      </w:pPr>
      <w:r>
        <w:rPr>
          <w:rFonts w:hint="eastAsia" w:ascii="Arial" w:hAnsi="Arial"/>
          <w:b/>
          <w:bCs/>
          <w:color w:val="000000"/>
          <w:sz w:val="32"/>
          <w:szCs w:val="24"/>
        </w:rPr>
        <w:t xml:space="preserve">采 购 人：东海县住房和城乡建设局</w:t>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ascii="Arial" w:hAnsi="Arial"/>
          <w:b/>
          <w:bCs/>
          <w:color w:val="000000"/>
          <w:sz w:val="32"/>
          <w:szCs w:val="24"/>
        </w:rPr>
      </w:pPr>
      <w:r>
        <w:rPr>
          <w:rFonts w:hint="eastAsia" w:ascii="Arial" w:hAnsi="Arial"/>
          <w:b/>
          <w:bCs/>
          <w:color w:val="000000"/>
          <w:sz w:val="32"/>
          <w:szCs w:val="24"/>
        </w:rPr>
        <w:t xml:space="preserve">采购代理机构：江苏铭沃工程咨询有限公司</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r>
      <w:r/>
    </w:p>
    <w:p>
      <w:pPr>
        <w:jc w:val="center"/>
        <w:spacing w:before="120" w:after="120" w:line="360" w:lineRule="auto"/>
      </w:pPr>
      <w:r>
        <w:rPr>
          <w:rFonts w:hint="eastAsia" w:ascii="Arial" w:hAnsi="Arial"/>
          <w:b/>
          <w:bCs/>
          <w:color w:val="000000"/>
          <w:sz w:val="32"/>
          <w:szCs w:val="24"/>
        </w:rPr>
        <w:t xml:space="preserve">2025年12月</w:t>
      </w:r>
      <w:r>
        <w:br w:type="page" w:clear="all"/>
      </w:r>
      <w:r>
        <w:fldChar w:fldCharType="begin"/>
      </w:r>
      <w:r>
        <w:instrText xml:space="preserve"> TOC \o "1-1" \u </w:instrText>
      </w:r>
      <w:r>
        <w:fldChar w:fldCharType="separate"/>
      </w:r>
      <w:r/>
    </w:p>
    <w:p>
      <w:pPr>
        <w:pStyle w:val="879"/>
        <w:jc w:val="center"/>
        <w:spacing w:before="156" w:after="156" w:line="360" w:lineRule="auto"/>
        <w:rPr>
          <w:rFonts w:hint="eastAsia" w:ascii="黑体" w:hAnsi="黑体" w:eastAsia="黑体"/>
          <w:b w:val="0"/>
        </w:rPr>
      </w:pPr>
      <w:r>
        <w:rPr>
          <w:rFonts w:hint="eastAsia" w:ascii="黑体" w:hAnsi="黑体" w:eastAsia="黑体"/>
          <w:b w:val="0"/>
        </w:rPr>
        <w:t xml:space="preserve">目  录</w:t>
      </w:r>
      <w:r/>
    </w:p>
    <w:p>
      <w:pPr>
        <w:pStyle w:val="901"/>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901"/>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p>
    <w:p>
      <w:pPr>
        <w:pStyle w:val="901"/>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24</w:t>
      </w:r>
      <w:r>
        <w:rPr>
          <w:sz w:val="32"/>
        </w:rPr>
        <w:fldChar w:fldCharType="end"/>
      </w:r>
      <w:r/>
    </w:p>
    <w:p>
      <w:pPr>
        <w:pStyle w:val="901"/>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29</w:t>
      </w:r>
      <w:r>
        <w:rPr>
          <w:sz w:val="32"/>
        </w:rPr>
        <w:fldChar w:fldCharType="end"/>
      </w:r>
      <w:r/>
    </w:p>
    <w:p>
      <w:pPr>
        <w:pStyle w:val="901"/>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35</w:t>
      </w:r>
      <w:r>
        <w:rPr>
          <w:sz w:val="32"/>
        </w:rPr>
        <w:fldChar w:fldCharType="end"/>
      </w:r>
      <w:r/>
    </w:p>
    <w:p>
      <w:pPr>
        <w:pStyle w:val="901"/>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42</w:t>
      </w:r>
      <w:r>
        <w:rPr>
          <w:sz w:val="32"/>
        </w:rPr>
        <w:fldChar w:fldCharType="end"/>
      </w:r>
      <w:r/>
    </w:p>
    <w:p>
      <w:pPr>
        <w:jc w:val="left"/>
        <w:widowControl/>
      </w:pPr>
      <w:r>
        <w:fldChar w:fldCharType="end"/>
      </w:r>
      <w:r>
        <w:br w:type="page" w:clear="all"/>
      </w:r>
      <w:r/>
    </w:p>
    <w:p>
      <w:pPr>
        <w:pStyle w:val="879"/>
        <w:jc w:val="center"/>
        <w:spacing w:before="0" w:after="0" w:line="360" w:lineRule="auto"/>
        <w:rPr>
          <w:rFonts w:hint="eastAsia" w:ascii="黑体" w:hAnsi="黑体" w:eastAsia="黑体"/>
          <w:b w:val="0"/>
        </w:rPr>
      </w:pPr>
      <w:r/>
      <w:bookmarkStart w:id="0" w:name="_Toc155796356"/>
      <w:r>
        <w:rPr>
          <w:rFonts w:hint="eastAsia" w:ascii="黑体" w:hAnsi="黑体" w:eastAsia="黑体"/>
          <w:b w:val="0"/>
        </w:rPr>
        <w:t xml:space="preserve">第一章  投标邀请</w:t>
      </w:r>
      <w:bookmarkEnd w:id="0"/>
      <w:r/>
      <w:r/>
    </w:p>
    <w:p>
      <w:pPr>
        <w:ind w:firstLine="480"/>
        <w:jc w:val="left"/>
        <w:spacing w:line="360" w:lineRule="auto"/>
        <w:rPr>
          <w:sz w:val="24"/>
          <w:szCs w:val="24"/>
        </w:rPr>
      </w:pPr>
      <w:r>
        <w:rPr>
          <w:rFonts w:hint="eastAsia"/>
          <w:sz w:val="24"/>
          <w:szCs w:val="24"/>
        </w:rPr>
        <w:t xml:space="preserve">受东海县住房和城乡建设局的委托，江苏铭沃工程咨询有限公司就</w:t>
      </w:r>
      <w:r>
        <w:rPr>
          <w:rFonts w:hint="eastAsia"/>
          <w:sz w:val="24"/>
          <w:szCs w:val="24"/>
          <w:lang w:eastAsia="zh-CN"/>
        </w:rPr>
        <w:t xml:space="preserve">东海县城市生命线安全工程项目(非专门面向中小企业)</w:t>
      </w:r>
      <w:r>
        <w:rPr>
          <w:rFonts w:hint="eastAsia"/>
          <w:sz w:val="24"/>
          <w:szCs w:val="24"/>
        </w:rPr>
        <w:t xml:space="preserve">（项目编号:</w:t>
      </w:r>
      <w:r>
        <w:rPr>
          <w:rFonts w:hint="eastAsia"/>
          <w:sz w:val="24"/>
          <w:szCs w:val="24"/>
          <w:lang w:eastAsia="zh-CN"/>
        </w:rPr>
        <w:t xml:space="preserve">JSZC-320722-JSMW-G2025-0025</w:t>
      </w:r>
      <w:r>
        <w:rPr>
          <w:rFonts w:hint="eastAsia"/>
          <w:sz w:val="24"/>
          <w:szCs w:val="24"/>
        </w:rPr>
        <w:t xml:space="preserve">）进行公开招标采购，欢迎符合条件的供应商投标。</w:t>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firstLine="480"/>
              <w:jc w:val="left"/>
              <w:spacing w:line="360" w:lineRule="auto"/>
              <w:rPr>
                <w:sz w:val="24"/>
                <w:szCs w:val="24"/>
              </w:rPr>
            </w:pPr>
            <w:r>
              <w:rPr>
                <w:rFonts w:hint="eastAsia"/>
                <w:sz w:val="24"/>
                <w:szCs w:val="24"/>
              </w:rPr>
              <w:t xml:space="preserve">项目概况</w:t>
            </w:r>
            <w:r/>
          </w:p>
          <w:p>
            <w:pPr>
              <w:ind w:firstLine="480"/>
              <w:jc w:val="left"/>
              <w:spacing w:line="360" w:lineRule="auto"/>
              <w:rPr>
                <w:sz w:val="24"/>
                <w:szCs w:val="24"/>
              </w:rPr>
            </w:pPr>
            <w:r>
              <w:rPr>
                <w:rFonts w:hint="eastAsia"/>
                <w:sz w:val="24"/>
                <w:szCs w:val="24"/>
                <w:lang w:eastAsia="zh-CN"/>
              </w:rPr>
              <w:t xml:space="preserve">东海县城市生命线安全工程项目(非专门面向中小企业)</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ascii="宋体" w:hAnsi="宋体"/>
                <w:sz w:val="24"/>
                <w:szCs w:val="24"/>
                <w:highlight w:val="none"/>
                <w:lang w:val="en-US" w:eastAsia="zh-CN"/>
              </w:rPr>
              <w:t xml:space="preserve">2026年1月26日9:00:00（北京时间）前递交（上传）投标文件。</w:t>
            </w:r>
            <w:r/>
          </w:p>
        </w:tc>
      </w:tr>
    </w:tbl>
    <w:p>
      <w:pPr>
        <w:pStyle w:val="880"/>
        <w:ind w:firstLine="640"/>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360" w:lineRule="auto"/>
        <w:rPr>
          <w:rFonts w:hint="eastAsia" w:eastAsia="宋体"/>
          <w:sz w:val="24"/>
          <w:szCs w:val="24"/>
          <w:lang w:eastAsia="zh-CN"/>
        </w:rPr>
      </w:pPr>
      <w:r>
        <w:rPr>
          <w:rFonts w:hint="eastAsia"/>
          <w:sz w:val="24"/>
          <w:szCs w:val="24"/>
        </w:rPr>
        <w:t xml:space="preserve">项目编号：</w:t>
      </w:r>
      <w:r>
        <w:rPr>
          <w:rFonts w:hint="eastAsia"/>
          <w:sz w:val="24"/>
          <w:szCs w:val="24"/>
          <w:lang w:eastAsia="zh-CN"/>
        </w:rPr>
        <w:t xml:space="preserve">JSZC-320722-JSMW-G2025-0025</w:t>
      </w:r>
      <w:r/>
    </w:p>
    <w:p>
      <w:pPr>
        <w:ind w:firstLine="480"/>
        <w:jc w:val="left"/>
        <w:spacing w:line="360" w:lineRule="auto"/>
        <w:rPr>
          <w:rFonts w:hint="eastAsia" w:eastAsia="宋体"/>
          <w:sz w:val="24"/>
          <w:szCs w:val="24"/>
          <w:lang w:eastAsia="zh-CN"/>
        </w:rPr>
      </w:pPr>
      <w:r>
        <w:rPr>
          <w:rFonts w:hint="eastAsia"/>
          <w:sz w:val="24"/>
          <w:szCs w:val="24"/>
        </w:rPr>
        <w:t xml:space="preserve">项目名称：</w:t>
      </w:r>
      <w:r>
        <w:rPr>
          <w:rFonts w:hint="eastAsia"/>
          <w:sz w:val="24"/>
          <w:szCs w:val="24"/>
          <w:lang w:eastAsia="zh-CN"/>
        </w:rPr>
        <w:t xml:space="preserve">东海县城市生命线安全工程项目(非专门面向中小企业)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预算金额：700.46万元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最高限价：700.46万元（超过最高限价的报价无效）</w:t>
      </w:r>
      <w:r>
        <w:rPr>
          <w:sz w:val="21"/>
        </w:rPr>
      </w:r>
      <w:r/>
    </w:p>
    <w:p>
      <w:pPr>
        <w:ind w:firstLine="480"/>
        <w:jc w:val="left"/>
        <w:spacing w:line="360" w:lineRule="auto"/>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w:t>
      </w:r>
      <w:bookmarkStart w:id="1" w:name="_Toc1258798632"/>
      <w:r>
        <w:rPr>
          <w:rFonts w:hint="eastAsia"/>
          <w:sz w:val="24"/>
          <w:szCs w:val="24"/>
          <w:lang w:eastAsia="zh-CN"/>
        </w:rPr>
        <w:t xml:space="preserve">东海县城市生命线安全工程项目(非专门面向中小企业)</w:t>
      </w:r>
      <w:r>
        <w:rPr>
          <w:rFonts w:hint="eastAsia"/>
          <w:sz w:val="24"/>
          <w:szCs w:val="24"/>
        </w:rPr>
        <w:t xml:space="preserve">建设内容</w:t>
      </w:r>
      <w:bookmarkEnd w:id="1"/>
      <w:r>
        <w:rPr>
          <w:rFonts w:hint="eastAsia"/>
          <w:sz w:val="24"/>
          <w:szCs w:val="24"/>
        </w:rPr>
        <w:t xml:space="preserve">主要包括</w:t>
      </w:r>
      <w:r>
        <w:rPr>
          <w:rFonts w:cs="Calibri"/>
          <w:sz w:val="24"/>
          <w:szCs w:val="24"/>
        </w:rPr>
        <w:t xml:space="preserve">①</w:t>
      </w:r>
      <w:r>
        <w:rPr>
          <w:sz w:val="24"/>
          <w:szCs w:val="24"/>
        </w:rPr>
        <w:t xml:space="preserve">数据汇聚治理：推进数据汇聚治理，整合汇聚城市重点领域的行业监管数据、监测数据、基础设施数据和其他部门单位相关数据，对接连云港市级城市生命线基础设施安全运行数据归集库、主题库以及专题库，满足省市监管平台数据汇聚要求。</w:t>
      </w:r>
      <w:r>
        <w:rPr>
          <w:rFonts w:cs="Calibri"/>
          <w:sz w:val="24"/>
          <w:szCs w:val="24"/>
        </w:rPr>
        <w:t xml:space="preserve">②</w:t>
      </w:r>
      <w:r>
        <w:rPr>
          <w:sz w:val="24"/>
          <w:szCs w:val="24"/>
        </w:rPr>
        <w:t xml:space="preserve">运行监测中心部署：拟在</w:t>
      </w:r>
      <w:r>
        <w:rPr>
          <w:rFonts w:hint="eastAsia"/>
          <w:sz w:val="24"/>
          <w:szCs w:val="24"/>
        </w:rPr>
        <w:t xml:space="preserve">东海县住建</w:t>
      </w:r>
      <w:r>
        <w:rPr>
          <w:sz w:val="24"/>
          <w:szCs w:val="24"/>
        </w:rPr>
        <w:t xml:space="preserve">局现有场地布设监管</w:t>
      </w:r>
      <w:r>
        <w:rPr>
          <w:rFonts w:hint="eastAsia"/>
          <w:sz w:val="24"/>
          <w:szCs w:val="24"/>
        </w:rPr>
        <w:t xml:space="preserve">运行监测</w:t>
      </w:r>
      <w:r>
        <w:rPr>
          <w:sz w:val="24"/>
          <w:szCs w:val="24"/>
        </w:rPr>
        <w:t xml:space="preserve">中心，实现一屏观风险，一网统联动。建立健全生命线监管监测管理运行机制，并统管后期项目运行维护。</w:t>
      </w:r>
      <w:r>
        <w:rPr>
          <w:rFonts w:cs="Calibri"/>
          <w:sz w:val="24"/>
          <w:szCs w:val="24"/>
        </w:rPr>
        <w:t xml:space="preserve">③</w:t>
      </w:r>
      <w:r>
        <w:rPr>
          <w:sz w:val="24"/>
          <w:szCs w:val="24"/>
        </w:rPr>
        <w:t xml:space="preserve">监测设备布设：结合</w:t>
      </w:r>
      <w:r>
        <w:rPr>
          <w:rFonts w:hint="eastAsia"/>
          <w:sz w:val="24"/>
          <w:szCs w:val="24"/>
        </w:rPr>
        <w:t xml:space="preserve">东海县</w:t>
      </w:r>
      <w:r>
        <w:rPr>
          <w:sz w:val="24"/>
          <w:szCs w:val="24"/>
        </w:rPr>
        <w:t xml:space="preserve">风险评估结果、现有监测设备以及实际管理需求情况，针对燃气、供水、排水、道路、桥梁、第三方施工</w:t>
      </w:r>
      <w:r>
        <w:rPr>
          <w:rFonts w:hint="eastAsia"/>
          <w:sz w:val="24"/>
          <w:szCs w:val="24"/>
          <w:lang w:eastAsia="zh-CN"/>
        </w:rPr>
        <w:t xml:space="preserve">、</w:t>
      </w:r>
      <w:r>
        <w:rPr>
          <w:rFonts w:hint="eastAsia" w:ascii="宋体" w:hAnsi="宋体"/>
          <w:color w:val="000000"/>
          <w:sz w:val="24"/>
          <w:szCs w:val="24"/>
        </w:rPr>
        <w:t xml:space="preserve">地下管线交互</w:t>
      </w:r>
      <w:r>
        <w:rPr>
          <w:rFonts w:hint="eastAsia"/>
          <w:sz w:val="24"/>
          <w:szCs w:val="24"/>
          <w:lang w:val="en-US" w:eastAsia="zh-CN"/>
        </w:rPr>
        <w:t xml:space="preserve">7</w:t>
      </w:r>
      <w:r>
        <w:rPr>
          <w:sz w:val="24"/>
          <w:szCs w:val="24"/>
        </w:rPr>
        <w:t xml:space="preserve">个专项场景对智慧监测设备进行补充完善</w:t>
      </w:r>
      <w:r>
        <w:rPr>
          <w:rFonts w:hint="eastAsia"/>
          <w:sz w:val="24"/>
          <w:szCs w:val="24"/>
        </w:rPr>
        <w:t xml:space="preserve">。详见具体详见第四章采购需求。</w:t>
      </w:r>
      <w:r/>
    </w:p>
    <w:p>
      <w:pPr>
        <w:ind w:firstLine="482"/>
        <w:jc w:val="left"/>
        <w:spacing w:line="360" w:lineRule="auto"/>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360" w:lineRule="auto"/>
        <w:rPr>
          <w:sz w:val="24"/>
          <w:szCs w:val="24"/>
        </w:rPr>
      </w:pPr>
      <w:r>
        <w:rPr>
          <w:rFonts w:hint="eastAsia"/>
          <w:sz w:val="24"/>
          <w:szCs w:val="24"/>
        </w:rPr>
        <w:t xml:space="preserve">合同履行期限：</w:t>
      </w:r>
      <w:r>
        <w:rPr>
          <w:rFonts w:hint="eastAsia" w:asciiTheme="minorEastAsia" w:hAnsiTheme="minorEastAsia"/>
          <w:b w:val="0"/>
          <w:bCs w:val="0"/>
          <w:sz w:val="24"/>
          <w:highlight w:val="none"/>
          <w:u w:val="none"/>
        </w:rPr>
        <w:t xml:space="preserve">2026年1</w:t>
      </w:r>
      <w:r>
        <w:rPr>
          <w:rFonts w:hint="eastAsia" w:asciiTheme="minorEastAsia" w:hAnsiTheme="minorEastAsia"/>
          <w:b w:val="0"/>
          <w:bCs w:val="0"/>
          <w:sz w:val="24"/>
          <w:highlight w:val="none"/>
          <w:u w:val="none"/>
          <w:lang w:val="en-US" w:eastAsia="zh-CN"/>
        </w:rPr>
        <w:t xml:space="preserve">0</w:t>
      </w:r>
      <w:r>
        <w:rPr>
          <w:rFonts w:hint="eastAsia" w:asciiTheme="minorEastAsia" w:hAnsiTheme="minorEastAsia"/>
          <w:b w:val="0"/>
          <w:bCs w:val="0"/>
          <w:sz w:val="24"/>
          <w:highlight w:val="none"/>
          <w:u w:val="none"/>
        </w:rPr>
        <w:t xml:space="preserve">月底前完成项目建设。运维期3年。（进场时间以甲方通知为准）</w:t>
      </w:r>
      <w:r>
        <w:rPr>
          <w:rFonts w:hint="eastAsia"/>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4.</w:t>
      </w:r>
      <w:r>
        <w:rPr>
          <w:rFonts w:ascii="SimSun" w:hAnsi="SimSun" w:eastAsia="SimSun" w:cs="SimSun"/>
          <w:color w:val="000000"/>
          <w:sz w:val="24"/>
        </w:rPr>
        <w:t xml:space="preserve">本项目（是/否）接受联合体投标：否</w:t>
      </w:r>
      <w:r>
        <w:rPr>
          <w:rFonts w:ascii="宋体" w:hAnsi="宋体"/>
          <w:sz w:val="24"/>
          <w:szCs w:val="24"/>
        </w:rPr>
      </w:r>
      <w:r/>
    </w:p>
    <w:p>
      <w:pPr>
        <w:pStyle w:val="880"/>
        <w:ind w:firstLine="640"/>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360" w:lineRule="auto"/>
        <w:rPr>
          <w:sz w:val="24"/>
          <w:szCs w:val="24"/>
        </w:rPr>
      </w:pPr>
      <w:r>
        <w:rPr>
          <w:rFonts w:hint="eastAsia"/>
          <w:sz w:val="24"/>
          <w:szCs w:val="24"/>
        </w:rPr>
        <w:t xml:space="preserve">（一）满足《中华人民共和国政府采购法》第二十二条规定，并提供下列材料：</w:t>
      </w:r>
      <w:r/>
    </w:p>
    <w:p>
      <w:pPr>
        <w:ind w:firstLine="482"/>
        <w:spacing w:line="360" w:lineRule="auto"/>
        <w:rPr>
          <w:rFonts w:hint="eastAsia"/>
          <w:sz w:val="24"/>
          <w:szCs w:val="24"/>
        </w:rPr>
      </w:pPr>
      <w:r>
        <w:rPr>
          <w:rFonts w:hint="eastAsia"/>
          <w:sz w:val="24"/>
          <w:szCs w:val="24"/>
        </w:rPr>
        <w:t xml:space="preserve">1.法人或者其他组织的营业执照等证明文件，自然人的身份证明；</w:t>
      </w:r>
      <w:r/>
    </w:p>
    <w:p>
      <w:pPr>
        <w:ind w:firstLine="482"/>
        <w:spacing w:line="360" w:lineRule="auto"/>
        <w:rPr>
          <w:rFonts w:ascii="宋体" w:hAnsi="宋体"/>
          <w:color w:val="auto"/>
          <w:sz w:val="24"/>
          <w:szCs w:val="24"/>
          <w:highlight w:val="none"/>
        </w:rPr>
      </w:pPr>
      <w:r>
        <w:rPr>
          <w:rFonts w:hint="eastAsia"/>
          <w:sz w:val="24"/>
          <w:szCs w:val="24"/>
        </w:rPr>
        <w:t xml:space="preserve">2.上一年度的财务状况报告；（成立不满一年无需提供</w:t>
      </w:r>
      <w:r>
        <w:rPr>
          <w:rFonts w:hint="eastAsia" w:ascii="宋体" w:hAnsi="宋体"/>
          <w:b w:val="0"/>
          <w:bCs w:val="0"/>
          <w:color w:val="auto"/>
          <w:sz w:val="24"/>
          <w:szCs w:val="24"/>
          <w:highlight w:val="none"/>
        </w:rPr>
        <w:t xml:space="preserve">）</w:t>
      </w:r>
      <w:r/>
    </w:p>
    <w:p>
      <w:pPr>
        <w:ind w:firstLine="482"/>
        <w:spacing w:line="360" w:lineRule="auto"/>
        <w:rPr>
          <w:b w:val="0"/>
          <w:bCs w:val="0"/>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b w:val="0"/>
          <w:bCs w:val="0"/>
          <w:color w:val="auto"/>
          <w:sz w:val="24"/>
          <w:szCs w:val="24"/>
          <w:highlight w:val="none"/>
        </w:rPr>
        <w:t xml:space="preserve">）</w:t>
      </w:r>
      <w:r/>
    </w:p>
    <w:p>
      <w:pPr>
        <w:ind w:firstLine="480"/>
        <w:jc w:val="left"/>
        <w:spacing w:line="360" w:lineRule="auto"/>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numPr>
          <w:ilvl w:val="0"/>
          <w:numId w:val="1"/>
        </w:numPr>
        <w:ind w:firstLine="482"/>
        <w:spacing w:line="360" w:lineRule="auto"/>
        <w:rPr>
          <w:rFonts w:hint="eastAsia"/>
          <w:sz w:val="24"/>
          <w:szCs w:val="24"/>
        </w:rPr>
      </w:pPr>
      <w:r>
        <w:rPr>
          <w:rFonts w:hint="eastAsia"/>
          <w:sz w:val="24"/>
          <w:szCs w:val="24"/>
        </w:rPr>
        <w:t xml:space="preserve">具备履行合同所必需的设备和专业技术能力的声明及证明材料；</w:t>
      </w:r>
      <w:r/>
    </w:p>
    <w:p>
      <w:pPr>
        <w:numPr>
          <w:ilvl w:val="0"/>
          <w:numId w:val="0"/>
        </w:numPr>
        <w:ind w:firstLine="480"/>
        <w:spacing w:line="360" w:lineRule="auto"/>
        <w:rPr>
          <w:rFonts w:hint="default" w:eastAsia="宋体"/>
          <w:sz w:val="24"/>
          <w:szCs w:val="24"/>
          <w:lang w:val="en-US" w:eastAsia="zh-CN"/>
        </w:rPr>
      </w:pPr>
      <w:r>
        <w:rPr>
          <w:rFonts w:hint="eastAsia"/>
          <w:sz w:val="24"/>
          <w:szCs w:val="24"/>
        </w:rPr>
        <w:t xml:space="preserve">5.参加政府采购活动前3年内在经营活动中没有重大违法记录的书面声明；</w:t>
      </w:r>
      <w:r>
        <w:rPr>
          <w:rFonts w:hint="default" w:eastAsia="宋体"/>
          <w:sz w:val="24"/>
          <w:szCs w:val="24"/>
          <w:lang w:val="en-US" w:eastAsia="zh-CN"/>
        </w:rPr>
      </w:r>
      <w:r/>
    </w:p>
    <w:p>
      <w:pPr>
        <w:ind w:firstLine="480"/>
        <w:jc w:val="left"/>
        <w:spacing w:line="360" w:lineRule="auto"/>
        <w:rPr>
          <w:rFonts w:hint="eastAsia" w:ascii="宋体" w:hAnsi="宋体" w:cs="宋体"/>
          <w:color w:val="auto"/>
          <w:sz w:val="24"/>
          <w:szCs w:val="24"/>
          <w:highlight w:val="none"/>
        </w:rPr>
      </w:pPr>
      <w:r>
        <w:rPr>
          <w:rFonts w:hint="eastAsia"/>
          <w:sz w:val="24"/>
          <w:szCs w:val="24"/>
        </w:rPr>
        <w:t xml:space="preserve">6.资格审查现场查询信用中国</w:t>
      </w:r>
      <w:r>
        <w:rPr>
          <w:rFonts w:ascii="SimSun" w:hAnsi="SimSun" w:eastAsia="SimSun" w:cs="SimSun"/>
          <w:color w:val="000000"/>
          <w:sz w:val="24"/>
        </w:rPr>
        <w:t xml:space="preserve">、中国政府采购网</w:t>
      </w:r>
      <w:r>
        <w:rPr>
          <w:rFonts w:hint="eastAsia"/>
          <w:sz w:val="24"/>
          <w:szCs w:val="24"/>
        </w:rPr>
        <w:t xml:space="preserve">，投标人被列入失信被执行人、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w:t>
      </w:r>
      <w:r>
        <w:rPr>
          <w:rFonts w:hint="eastAsia" w:ascii="宋体" w:hAnsi="宋体" w:cs="宋体"/>
          <w:color w:val="auto"/>
          <w:sz w:val="24"/>
          <w:szCs w:val="24"/>
          <w:highlight w:val="none"/>
        </w:rPr>
        <w:t xml:space="preserve">（投标文件中无需提供证明材料）</w:t>
      </w:r>
      <w:r/>
    </w:p>
    <w:p>
      <w:pPr>
        <w:ind w:firstLine="480"/>
        <w:jc w:val="left"/>
        <w:spacing w:line="360" w:lineRule="auto"/>
        <w:rPr>
          <w:sz w:val="24"/>
          <w:szCs w:val="24"/>
        </w:rPr>
      </w:pPr>
      <w:r>
        <w:rPr>
          <w:rFonts w:hint="eastAsia"/>
          <w:sz w:val="24"/>
          <w:szCs w:val="24"/>
        </w:rPr>
        <w:t xml:space="preserve">（二）落实政府采购政策需满足的资格要求：无。</w:t>
      </w:r>
      <w:r/>
    </w:p>
    <w:p>
      <w:pPr>
        <w:ind w:firstLine="480"/>
        <w:jc w:val="left"/>
        <w:spacing w:line="360" w:lineRule="auto"/>
        <w:rPr>
          <w:sz w:val="24"/>
          <w:szCs w:val="24"/>
        </w:rPr>
      </w:pPr>
      <w:r>
        <w:rPr>
          <w:rFonts w:hint="eastAsia"/>
          <w:sz w:val="24"/>
          <w:szCs w:val="24"/>
        </w:rPr>
        <w:t xml:space="preserve">（三）本项目的特定资格要求：无。</w:t>
      </w:r>
      <w:r/>
    </w:p>
    <w:p>
      <w:pPr>
        <w:pStyle w:val="880"/>
        <w:ind w:firstLine="640"/>
        <w:spacing w:before="0" w:after="0" w:line="360" w:lineRule="auto"/>
        <w:rPr>
          <w:rFonts w:hint="eastAsia" w:ascii="黑体" w:hAnsi="黑体" w:eastAsia="黑体"/>
          <w:b w:val="0"/>
        </w:rPr>
      </w:pPr>
      <w:r>
        <w:rPr>
          <w:rFonts w:hint="eastAsia" w:ascii="黑体" w:hAnsi="黑体" w:eastAsia="黑体"/>
          <w:b w:val="0"/>
        </w:rPr>
        <w:t xml:space="preserve">三、获取招标文件</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时间：自招标公告发布之日</w:t>
      </w:r>
      <w:r>
        <w:rPr>
          <w:rFonts w:hint="eastAsia" w:ascii="宋体" w:hAnsi="宋体" w:cs="宋体"/>
          <w:color w:val="000000"/>
          <w:sz w:val="24"/>
          <w:szCs w:val="24"/>
        </w:rPr>
        <w:t xml:space="preserve">起5个工作日</w:t>
      </w:r>
      <w:r>
        <w:rPr>
          <w:rFonts w:hint="eastAsia" w:ascii="宋体" w:hAnsi="宋体" w:cs="宋体"/>
          <w:color w:val="000000"/>
          <w:sz w:val="24"/>
          <w:szCs w:val="24"/>
          <w:lang w:eastAsia="zh-CN"/>
        </w:rPr>
        <w:t xml:space="preserve">。</w:t>
      </w:r>
      <w:r/>
    </w:p>
    <w:p>
      <w:pPr>
        <w:ind w:firstLine="480"/>
        <w:jc w:val="left"/>
        <w:spacing w:line="360" w:lineRule="auto"/>
        <w:rPr>
          <w:rFonts w:hint="eastAsia" w:eastAsia="宋体"/>
          <w:sz w:val="24"/>
          <w:szCs w:val="24"/>
          <w:lang w:eastAsia="zh-CN"/>
        </w:rPr>
      </w:pPr>
      <w:r>
        <w:rPr>
          <w:rFonts w:hint="eastAsia"/>
          <w:sz w:val="24"/>
          <w:szCs w:val="24"/>
        </w:rPr>
        <w:t xml:space="preserve">地点：江苏政府采购网</w:t>
      </w:r>
      <w:r>
        <w:rPr>
          <w:rFonts w:hint="eastAsia"/>
          <w:sz w:val="24"/>
          <w:szCs w:val="24"/>
          <w:lang w:eastAsia="zh-CN"/>
        </w:rPr>
        <w:t xml:space="preserve">。</w:t>
      </w:r>
      <w:r/>
    </w:p>
    <w:p>
      <w:pPr>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p>
    <w:p>
      <w:pPr>
        <w:pStyle w:val="880"/>
        <w:ind w:firstLine="640"/>
        <w:spacing w:before="0" w:after="0" w:line="360" w:lineRule="auto"/>
        <w:rPr>
          <w:rFonts w:hint="eastAsia"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360" w:lineRule="auto"/>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1</w:t>
      </w:r>
      <w:r>
        <w:rPr>
          <w:rFonts w:hint="eastAsia"/>
          <w:sz w:val="24"/>
          <w:szCs w:val="24"/>
          <w:highlight w:val="none"/>
        </w:rPr>
        <w:t xml:space="preserve">月</w:t>
      </w:r>
      <w:r>
        <w:rPr>
          <w:rFonts w:hint="eastAsia"/>
          <w:sz w:val="24"/>
          <w:szCs w:val="24"/>
          <w:highlight w:val="none"/>
          <w:lang w:val="en-US" w:eastAsia="zh-CN"/>
        </w:rPr>
        <w:t xml:space="preserve">26</w:t>
      </w:r>
      <w:r>
        <w:rPr>
          <w:rFonts w:hint="eastAsia"/>
          <w:sz w:val="24"/>
          <w:szCs w:val="24"/>
          <w:highlight w:val="none"/>
        </w:rPr>
        <w:t xml:space="preserve">日9:00:0</w:t>
      </w:r>
      <w:r>
        <w:rPr>
          <w:rFonts w:hint="eastAsia"/>
          <w:sz w:val="24"/>
          <w:szCs w:val="24"/>
        </w:rPr>
        <w:t xml:space="preserve">0（北京时间）</w:t>
      </w:r>
      <w:r/>
    </w:p>
    <w:p>
      <w:pPr>
        <w:ind w:firstLine="480"/>
        <w:jc w:val="left"/>
        <w:spacing w:line="360" w:lineRule="auto"/>
        <w:rPr>
          <w:sz w:val="24"/>
          <w:szCs w:val="24"/>
        </w:rPr>
      </w:pPr>
      <w:r>
        <w:rPr>
          <w:rFonts w:hint="eastAsia"/>
          <w:sz w:val="24"/>
          <w:szCs w:val="24"/>
        </w:rPr>
        <w:t xml:space="preserve">开标时间：提交投标文件截止时间</w:t>
      </w:r>
      <w:r/>
    </w:p>
    <w:p>
      <w:pPr>
        <w:ind w:firstLine="480"/>
        <w:jc w:val="left"/>
        <w:spacing w:line="360" w:lineRule="auto"/>
      </w:pPr>
      <w:r>
        <w:rPr>
          <w:rFonts w:hint="eastAsia"/>
          <w:sz w:val="24"/>
          <w:szCs w:val="24"/>
        </w:rPr>
        <w:t xml:space="preserve">开标地点：“苏采云”政府采购交易系统网上开标大厅</w:t>
      </w:r>
      <w:r/>
    </w:p>
    <w:p>
      <w:pPr>
        <w:pStyle w:val="880"/>
        <w:ind w:firstLine="640"/>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80"/>
        <w:ind w:firstLine="640"/>
        <w:spacing w:before="0" w:after="0" w:line="360" w:lineRule="auto"/>
        <w:rPr>
          <w:rFonts w:hint="eastAsia" w:ascii="黑体" w:hAnsi="黑体" w:eastAsia="黑体"/>
          <w:b w:val="0"/>
        </w:rPr>
      </w:pPr>
      <w:r>
        <w:rPr>
          <w:rFonts w:hint="eastAsia" w:ascii="黑体" w:hAnsi="黑体" w:eastAsia="黑体"/>
          <w:b w:val="0"/>
        </w:rPr>
        <w:t xml:space="preserve">六、其他补充事宜</w:t>
      </w:r>
      <w:r/>
    </w:p>
    <w:p>
      <w:pPr>
        <w:ind w:firstLine="48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无。</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1.采购人信息</w:t>
      </w:r>
      <w:r/>
    </w:p>
    <w:p>
      <w:pPr>
        <w:ind w:firstLine="480"/>
        <w:jc w:val="left"/>
        <w:spacing w:line="360" w:lineRule="auto"/>
        <w:rPr>
          <w:sz w:val="24"/>
          <w:szCs w:val="24"/>
        </w:rPr>
      </w:pPr>
      <w:r>
        <w:rPr>
          <w:rFonts w:hint="eastAsia"/>
          <w:sz w:val="24"/>
          <w:szCs w:val="24"/>
        </w:rPr>
        <w:t xml:space="preserve">名    称：东海县住房和城乡建设局</w:t>
      </w:r>
      <w:r/>
    </w:p>
    <w:p>
      <w:pPr>
        <w:ind w:firstLine="480"/>
        <w:jc w:val="left"/>
        <w:spacing w:line="360" w:lineRule="auto"/>
        <w:rPr>
          <w:sz w:val="24"/>
          <w:szCs w:val="24"/>
        </w:rPr>
      </w:pPr>
      <w:r>
        <w:rPr>
          <w:rFonts w:hint="eastAsia"/>
          <w:sz w:val="24"/>
          <w:szCs w:val="24"/>
        </w:rPr>
        <w:t xml:space="preserve">地    址：东海县晶都大道与幸福北路交汇处</w:t>
      </w:r>
      <w:r/>
    </w:p>
    <w:p>
      <w:pPr>
        <w:ind w:firstLine="480"/>
        <w:jc w:val="left"/>
        <w:spacing w:line="360" w:lineRule="auto"/>
        <w:rPr>
          <w:sz w:val="24"/>
          <w:szCs w:val="24"/>
          <w:highlight w:val="none"/>
        </w:rPr>
      </w:pPr>
      <w:r>
        <w:rPr>
          <w:rFonts w:hint="eastAsia"/>
          <w:sz w:val="24"/>
          <w:szCs w:val="24"/>
          <w:highlight w:val="none"/>
        </w:rPr>
        <w:t xml:space="preserve">联 系 人：</w:t>
      </w:r>
      <w:r>
        <w:rPr>
          <w:rFonts w:hint="eastAsia" w:ascii="Times New Roman" w:hAnsi="Times New Roman"/>
          <w:sz w:val="24"/>
          <w:szCs w:val="24"/>
          <w:highlight w:val="none"/>
        </w:rPr>
        <w:t xml:space="preserve">王雪剑</w:t>
      </w:r>
      <w:r/>
    </w:p>
    <w:p>
      <w:pPr>
        <w:ind w:firstLine="480"/>
        <w:jc w:val="left"/>
        <w:spacing w:line="360" w:lineRule="auto"/>
        <w:rPr>
          <w:rFonts w:hint="eastAsia" w:ascii="Times New Roman" w:hAnsi="Times New Roman"/>
          <w:sz w:val="24"/>
          <w:szCs w:val="24"/>
          <w:highlight w:val="none"/>
        </w:rPr>
      </w:pPr>
      <w:r>
        <w:rPr>
          <w:rFonts w:hint="eastAsia"/>
          <w:sz w:val="24"/>
          <w:szCs w:val="24"/>
          <w:highlight w:val="none"/>
        </w:rPr>
        <w:t xml:space="preserve">联系电话：</w:t>
      </w:r>
      <w:r>
        <w:rPr>
          <w:rFonts w:hint="eastAsia" w:ascii="Times New Roman" w:hAnsi="Times New Roman"/>
          <w:sz w:val="24"/>
          <w:szCs w:val="24"/>
          <w:highlight w:val="none"/>
        </w:rPr>
        <w:t xml:space="preserve">13675286517</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称：江苏铭沃工程咨询有限公司</w:t>
      </w:r>
      <w:r/>
    </w:p>
    <w:p>
      <w:pPr>
        <w:ind w:firstLine="480"/>
        <w:jc w:val="left"/>
        <w:spacing w:line="500" w:lineRule="exact"/>
        <w:rPr>
          <w:sz w:val="24"/>
          <w:szCs w:val="24"/>
        </w:rPr>
      </w:pPr>
      <w:r>
        <w:rPr>
          <w:rFonts w:hint="eastAsia"/>
          <w:sz w:val="24"/>
          <w:szCs w:val="24"/>
        </w:rPr>
        <w:t xml:space="preserve">地    址：东海县秀水街20号</w:t>
      </w:r>
      <w:r/>
    </w:p>
    <w:p>
      <w:pPr>
        <w:ind w:firstLine="480"/>
        <w:jc w:val="left"/>
        <w:spacing w:line="500" w:lineRule="exact"/>
        <w:rPr>
          <w:sz w:val="24"/>
          <w:szCs w:val="24"/>
        </w:rPr>
      </w:pPr>
      <w:r>
        <w:rPr>
          <w:rFonts w:hint="eastAsia"/>
          <w:sz w:val="24"/>
          <w:szCs w:val="24"/>
        </w:rPr>
        <w:t xml:space="preserve">联 系 人：朱工</w:t>
      </w:r>
      <w:r/>
    </w:p>
    <w:p>
      <w:pPr>
        <w:ind w:firstLine="480"/>
        <w:jc w:val="left"/>
        <w:spacing w:line="500" w:lineRule="exact"/>
        <w:rPr>
          <w:sz w:val="24"/>
          <w:szCs w:val="24"/>
        </w:rPr>
      </w:pPr>
      <w:r>
        <w:rPr>
          <w:rFonts w:hint="eastAsia"/>
          <w:sz w:val="24"/>
          <w:szCs w:val="24"/>
        </w:rPr>
        <w:t xml:space="preserve">联系电话：15950726858</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项目联系人：朱工</w:t>
      </w:r>
      <w:r/>
    </w:p>
    <w:p>
      <w:pPr>
        <w:ind w:firstLine="480"/>
        <w:jc w:val="left"/>
        <w:spacing w:line="500" w:lineRule="exact"/>
        <w:rPr>
          <w:sz w:val="24"/>
          <w:szCs w:val="24"/>
        </w:rPr>
      </w:pPr>
      <w:r>
        <w:rPr>
          <w:rFonts w:hint="eastAsia"/>
          <w:sz w:val="24"/>
          <w:szCs w:val="24"/>
        </w:rPr>
        <w:t xml:space="preserve">电      话：15950726858</w:t>
      </w:r>
      <w:r>
        <w:rPr>
          <w:sz w:val="24"/>
          <w:szCs w:val="24"/>
        </w:rPr>
        <w:t xml:space="preserve"> </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八、其他</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1.根据省财政厅《关于更</w:t>
      </w:r>
      <w:r>
        <w:rPr>
          <w:rFonts w:hint="eastAsia"/>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如果“江苏政府采购网”（www.ccgp-jiangsu.gov.cn）信息与“江苏政务服务网” （www.jszwfw.gov.cn），“一企来办”专栏下“政府采购”模块中信息不一致，以“江苏政府采购网”信息为准。</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2.有关本次招标的事项若存在变动或修改，敬请及时关注“江苏政府采购网”发布的更正公告。</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3.本次招标不收取投标保证金。</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rPr>
          <w:sz w:val="24"/>
          <w:szCs w:val="24"/>
        </w:rPr>
      </w:r>
      <w:r/>
    </w:p>
    <w:p>
      <w:pPr>
        <w:ind w:firstLine="480"/>
        <w:jc w:val="left"/>
        <w:spacing w:line="500" w:lineRule="exact"/>
        <w:rPr>
          <w:sz w:val="24"/>
          <w:szCs w:val="24"/>
        </w:rPr>
      </w:pPr>
      <w:r>
        <w:rPr>
          <w:sz w:val="24"/>
          <w:szCs w:val="24"/>
        </w:rPr>
      </w:r>
      <w:r>
        <w:rPr>
          <w:sz w:val="24"/>
          <w:szCs w:val="24"/>
        </w:rPr>
      </w:r>
      <w:r/>
    </w:p>
    <w:p>
      <w:pPr>
        <w:ind w:firstLine="480"/>
        <w:jc w:val="left"/>
        <w:spacing w:line="500" w:lineRule="exact"/>
        <w:rPr>
          <w:sz w:val="24"/>
          <w:szCs w:val="24"/>
        </w:rPr>
      </w:pPr>
      <w:r>
        <w:rPr>
          <w:sz w:val="24"/>
          <w:szCs w:val="24"/>
        </w:rPr>
      </w:r>
      <w:r>
        <w:rPr>
          <w:sz w:val="24"/>
          <w:szCs w:val="24"/>
        </w:rPr>
      </w:r>
      <w:r/>
    </w:p>
    <w:p>
      <w:pPr>
        <w:ind w:firstLine="480"/>
        <w:jc w:val="left"/>
        <w:spacing w:line="500" w:lineRule="exact"/>
        <w:rPr>
          <w:sz w:val="24"/>
          <w:szCs w:val="24"/>
        </w:rPr>
      </w:pPr>
      <w:r>
        <w:rPr>
          <w:sz w:val="24"/>
          <w:szCs w:val="24"/>
        </w:rPr>
      </w: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pStyle w:val="879"/>
        <w:jc w:val="center"/>
        <w:spacing w:before="156" w:after="156" w:line="360" w:lineRule="auto"/>
        <w:rPr>
          <w:rFonts w:hint="eastAsia" w:ascii="黑体" w:hAnsi="黑体" w:eastAsia="黑体"/>
          <w:b w:val="0"/>
        </w:rPr>
      </w:pPr>
      <w:r/>
      <w:bookmarkStart w:id="2" w:name="_Toc155796357"/>
      <w:r>
        <w:rPr>
          <w:rFonts w:hint="eastAsia" w:ascii="黑体" w:hAnsi="黑体" w:eastAsia="黑体"/>
          <w:b w:val="0"/>
        </w:rPr>
        <w:t xml:space="preserve">第二章  投标人须知</w:t>
      </w:r>
      <w:bookmarkEnd w:id="2"/>
      <w:r/>
      <w:r/>
    </w:p>
    <w:p>
      <w:pPr>
        <w:pStyle w:val="880"/>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881"/>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81"/>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881"/>
        <w:ind w:firstLine="562"/>
        <w:jc w:val="left"/>
        <w:spacing w:before="0" w:after="0" w:line="360" w:lineRule="auto"/>
        <w:rPr>
          <w:sz w:val="28"/>
          <w:szCs w:val="28"/>
        </w:rPr>
      </w:pPr>
      <w:r>
        <w:rPr>
          <w:rFonts w:hint="eastAsia"/>
          <w:sz w:val="28"/>
          <w:szCs w:val="28"/>
        </w:rPr>
        <w:t xml:space="preserve">3、适用法律</w:t>
      </w:r>
      <w:r/>
    </w:p>
    <w:p>
      <w:pPr>
        <w:ind w:firstLine="420"/>
        <w:spacing w:line="400" w:lineRule="exact"/>
        <w:rPr>
          <w:rFonts w:ascii="宋体" w:hAnsi="宋体"/>
          <w:color w:val="auto"/>
          <w:sz w:val="24"/>
          <w:szCs w:val="21"/>
        </w:rPr>
      </w:pPr>
      <w:r>
        <w:rPr>
          <w:rFonts w:hint="eastAsia" w:ascii="宋体" w:hAnsi="宋体"/>
          <w:color w:val="000000"/>
          <w:sz w:val="24"/>
          <w:szCs w:val="21"/>
        </w:rPr>
        <w:t xml:space="preserve">3.1 本次招标及由此产生</w:t>
      </w:r>
      <w:r>
        <w:rPr>
          <w:rFonts w:hint="eastAsia" w:ascii="宋体" w:hAnsi="宋体"/>
          <w:color w:val="auto"/>
          <w:sz w:val="24"/>
          <w:szCs w:val="21"/>
        </w:rPr>
        <w:t xml:space="preserve">的合同受中华人民共和国有关的法律法规制约和保护</w:t>
      </w:r>
      <w:r>
        <w:rPr>
          <w:rFonts w:ascii="宋体" w:hAnsi="宋体"/>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81"/>
        <w:ind w:firstLine="562"/>
        <w:jc w:val="left"/>
        <w:spacing w:before="0" w:after="0" w:line="360" w:lineRule="auto"/>
        <w:rPr>
          <w:color w:val="auto"/>
          <w:sz w:val="28"/>
          <w:szCs w:val="28"/>
        </w:rPr>
      </w:pPr>
      <w:r>
        <w:rPr>
          <w:rFonts w:hint="eastAsia"/>
          <w:color w:val="auto"/>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投标人应自行承担所有与参与投标有关的费用，无论投标过程中的做法和结果如何，采购人和江苏铭沃工程咨询有限公司（以下简称采购代理机构）在任何情况下均无义务和责任承担这些费用。</w:t>
      </w:r>
      <w:r/>
    </w:p>
    <w:p>
      <w:pPr>
        <w:ind w:firstLine="480"/>
        <w:jc w:val="left"/>
        <w:spacing w:line="500" w:lineRule="exact"/>
        <w:rPr>
          <w:color w:val="auto"/>
          <w:sz w:val="24"/>
          <w:szCs w:val="24"/>
        </w:rPr>
      </w:pPr>
      <w:r>
        <w:rPr>
          <w:rFonts w:hint="eastAsia"/>
          <w:color w:val="auto"/>
          <w:sz w:val="24"/>
          <w:szCs w:val="24"/>
        </w:rPr>
        <w:t xml:space="preserve">4.2 本项目招标代理费按</w:t>
      </w:r>
      <w:r>
        <w:rPr>
          <w:rFonts w:hint="eastAsia"/>
          <w:color w:val="auto"/>
          <w:sz w:val="24"/>
          <w:szCs w:val="24"/>
          <w:lang w:val="en-US" w:eastAsia="zh-CN"/>
        </w:rPr>
        <w:t xml:space="preserve">苏招协</w:t>
      </w:r>
      <w:r>
        <w:rPr>
          <w:rFonts w:hint="eastAsia"/>
          <w:color w:val="auto"/>
          <w:sz w:val="24"/>
          <w:szCs w:val="24"/>
        </w:rPr>
        <w:t xml:space="preserve">[2022]002号文规定标准</w:t>
      </w:r>
      <w:r>
        <w:rPr>
          <w:rFonts w:hint="eastAsia"/>
          <w:color w:val="auto"/>
          <w:sz w:val="24"/>
          <w:szCs w:val="24"/>
          <w:lang w:val="en-US" w:eastAsia="zh-CN"/>
        </w:rPr>
        <w:t xml:space="preserve">的70%</w:t>
      </w:r>
      <w:r>
        <w:rPr>
          <w:rFonts w:hint="eastAsia"/>
          <w:color w:val="auto"/>
          <w:sz w:val="24"/>
          <w:szCs w:val="24"/>
        </w:rPr>
        <w:t xml:space="preserve">计取，招标代理费用由中标人在领取中标通知书时支付；需考虑在投标报价中。</w:t>
      </w:r>
      <w:r/>
    </w:p>
    <w:p>
      <w:pPr>
        <w:pStyle w:val="881"/>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80"/>
        <w:spacing w:before="0" w:after="0" w:line="360" w:lineRule="auto"/>
        <w:rPr>
          <w:rFonts w:hint="eastAsia" w:ascii="黑体" w:hAnsi="黑体" w:eastAsia="黑体"/>
          <w:b w:val="0"/>
        </w:rPr>
      </w:pPr>
      <w:r>
        <w:rPr>
          <w:rFonts w:hint="eastAsia" w:ascii="黑体" w:hAnsi="黑体" w:eastAsia="黑体"/>
          <w:b w:val="0"/>
        </w:rPr>
        <w:t xml:space="preserve">二、招标文件</w:t>
      </w:r>
      <w:r/>
    </w:p>
    <w:p>
      <w:pPr>
        <w:pStyle w:val="881"/>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请仔细检查招标文件是否齐全，如有缺漏请立即与采购代理机构联系解决。</w:t>
      </w:r>
      <w:r/>
    </w:p>
    <w:p>
      <w:pPr>
        <w:pStyle w:val="881"/>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任何要求对招标文件进行澄清的投标人，应在投标截止时间十日前按招标公告中的通讯地址，以书面形式通知采购人或者采购代理机构。</w:t>
      </w:r>
      <w:r/>
    </w:p>
    <w:p>
      <w:pPr>
        <w:pStyle w:val="881"/>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在投标截止时间前，采购人和采购代理机构可以对招标文件进行修改。</w:t>
      </w:r>
      <w:r/>
    </w:p>
    <w:p>
      <w:pPr>
        <w:ind w:firstLine="480"/>
        <w:jc w:val="left"/>
        <w:spacing w:line="500" w:lineRule="exact"/>
        <w:rPr>
          <w:sz w:val="24"/>
          <w:szCs w:val="24"/>
        </w:rPr>
      </w:pPr>
      <w:r>
        <w:rPr>
          <w:rFonts w:hint="eastAsia"/>
          <w:sz w:val="24"/>
          <w:szCs w:val="24"/>
        </w:rPr>
        <w:t xml:space="preserve">8.2 采购人和采购代理机构有权按照法定的要求推迟投标截止时间和开标时间。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80"/>
        <w:spacing w:before="0" w:after="0" w:line="360" w:lineRule="auto"/>
        <w:rPr>
          <w:rFonts w:hint="eastAsia" w:ascii="黑体" w:hAnsi="黑体" w:eastAsia="黑体"/>
          <w:b w:val="0"/>
        </w:rPr>
      </w:pPr>
      <w:r>
        <w:rPr>
          <w:rFonts w:hint="eastAsia" w:ascii="黑体" w:hAnsi="黑体" w:eastAsia="黑体"/>
          <w:b w:val="0"/>
        </w:rPr>
        <w:t xml:space="preserve">三、投标文件编制</w:t>
      </w:r>
      <w:r/>
    </w:p>
    <w:p>
      <w:pPr>
        <w:pStyle w:val="881"/>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81"/>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81"/>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81"/>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81"/>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81"/>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81"/>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81"/>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81"/>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80"/>
        <w:spacing w:before="0" w:after="0" w:line="360" w:lineRule="auto"/>
        <w:rPr>
          <w:rFonts w:hint="eastAsia" w:ascii="黑体" w:hAnsi="黑体" w:eastAsia="黑体"/>
          <w:b w:val="0"/>
        </w:rPr>
      </w:pPr>
      <w:r>
        <w:rPr>
          <w:rFonts w:hint="eastAsia" w:ascii="黑体" w:hAnsi="黑体" w:eastAsia="黑体"/>
          <w:b w:val="0"/>
        </w:rPr>
        <w:t xml:space="preserve">四、投标文件递交</w:t>
      </w:r>
      <w:r/>
    </w:p>
    <w:p>
      <w:pPr>
        <w:pStyle w:val="881"/>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81"/>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881"/>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采购代理机构拒绝接收在招标文件规定的投标截止时间后递交（上传）的任何投标文件。</w:t>
      </w:r>
      <w:r/>
    </w:p>
    <w:p>
      <w:pPr>
        <w:pStyle w:val="881"/>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80"/>
        <w:spacing w:before="0" w:after="0" w:line="360" w:lineRule="auto"/>
        <w:rPr>
          <w:rFonts w:hint="eastAsia" w:ascii="黑体" w:hAnsi="黑体" w:eastAsia="黑体"/>
          <w:b w:val="0"/>
        </w:rPr>
      </w:pPr>
      <w:r>
        <w:rPr>
          <w:rFonts w:hint="eastAsia" w:ascii="黑体" w:hAnsi="黑体" w:eastAsia="黑体"/>
          <w:b w:val="0"/>
        </w:rPr>
        <w:t xml:space="preserve">五、开标与评标</w:t>
      </w:r>
      <w:r/>
    </w:p>
    <w:p>
      <w:pPr>
        <w:pStyle w:val="881"/>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开标仪式由采购代理机构组织。“苏采云”系统将自动对项目进行开标，并宣布各投标人名称和投标价格。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投标人在开标、评标全过程中应保持通讯畅通，及时登录“苏采云”系统查阅、答复相关信息，并安排专人与采购代理机构及评委会联系。</w:t>
      </w:r>
      <w:r/>
    </w:p>
    <w:p>
      <w:pPr>
        <w:pStyle w:val="881"/>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开标后，采购代理机构将组织评委会进行评标。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81"/>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采购代理机构和评委会不向未中标的投标人解释未中标原因，也不公布评标过程中的相关细节。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81"/>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81"/>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rFonts w:hint="eastAsia" w:ascii="宋体" w:hAnsi="宋体"/>
          <w:sz w:val="24"/>
          <w:szCs w:val="24"/>
        </w:rPr>
      </w:pPr>
      <w:r>
        <w:rPr>
          <w:rFonts w:hint="eastAsia"/>
          <w:sz w:val="24"/>
          <w:szCs w:val="24"/>
        </w:rPr>
        <w:t xml:space="preserve">26.1.2</w:t>
      </w:r>
      <w:r>
        <w:rPr>
          <w:rFonts w:hint="eastAsia" w:ascii="宋体" w:hAnsi="宋体"/>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p>
    <w:p>
      <w:pPr>
        <w:ind w:firstLine="480"/>
        <w:spacing w:line="500" w:lineRule="exact"/>
        <w:rPr>
          <w:sz w:val="24"/>
          <w:szCs w:val="24"/>
        </w:rPr>
      </w:pPr>
      <w:r>
        <w:rPr>
          <w:rFonts w:hint="eastAsia" w:ascii="宋体" w:hAnsi="宋体"/>
          <w:sz w:val="24"/>
          <w:szCs w:val="24"/>
        </w:rPr>
        <w:t xml:space="preserve">26.1.</w:t>
      </w:r>
      <w:r>
        <w:rPr>
          <w:rFonts w:hint="eastAsia" w:ascii="宋体" w:hAnsi="宋体"/>
          <w:sz w:val="24"/>
          <w:szCs w:val="24"/>
          <w:lang w:val="en-US" w:eastAsia="zh-CN"/>
        </w:rPr>
        <w:t xml:space="preserve">3</w:t>
      </w:r>
      <w:r>
        <w:rPr>
          <w:rFonts w:hint="eastAsia" w:ascii="宋体" w:hAnsi="宋体"/>
          <w:sz w:val="24"/>
          <w:szCs w:val="24"/>
        </w:rPr>
        <w:t xml:space="preserve">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360" w:lineRule="auto"/>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360" w:lineRule="auto"/>
        <w:rPr>
          <w:sz w:val="24"/>
          <w:szCs w:val="24"/>
        </w:rPr>
      </w:pPr>
      <w:r>
        <w:rPr>
          <w:rFonts w:hint="eastAsia"/>
          <w:sz w:val="24"/>
          <w:szCs w:val="24"/>
        </w:rPr>
        <w:t xml:space="preserve">（4）总价金额与按单价汇总金额不一致的，以单价金额计算结果为准。</w:t>
      </w:r>
      <w:r/>
    </w:p>
    <w:p>
      <w:pPr>
        <w:ind w:firstLine="480"/>
        <w:jc w:val="left"/>
        <w:spacing w:line="360" w:lineRule="auto"/>
        <w:rPr>
          <w:sz w:val="24"/>
          <w:szCs w:val="24"/>
        </w:rPr>
      </w:pPr>
      <w:r>
        <w:rPr>
          <w:rFonts w:hint="eastAsia"/>
          <w:sz w:val="24"/>
          <w:szCs w:val="24"/>
        </w:rPr>
        <w:t xml:space="preserve">同时出现两种以上错误的，按照前款规定的顺序修正。</w:t>
      </w:r>
      <w:r/>
    </w:p>
    <w:p>
      <w:pPr>
        <w:ind w:firstLine="480"/>
        <w:spacing w:line="360" w:lineRule="auto"/>
        <w:rPr>
          <w:rFonts w:ascii="宋体" w:hAnsi="宋体"/>
          <w:bCs/>
          <w:color w:val="auto"/>
          <w:sz w:val="24"/>
          <w:szCs w:val="21"/>
        </w:rPr>
      </w:pPr>
      <w:r>
        <w:rPr>
          <w:rFonts w:hint="eastAsia" w:ascii="宋体" w:hAnsi="宋体"/>
          <w:color w:val="auto"/>
          <w:sz w:val="24"/>
          <w:szCs w:val="21"/>
        </w:rPr>
        <w:t xml:space="preserve">2</w:t>
      </w:r>
      <w:r>
        <w:rPr>
          <w:rFonts w:hint="eastAsia" w:ascii="宋体" w:hAnsi="宋体"/>
          <w:color w:val="auto"/>
          <w:sz w:val="24"/>
          <w:szCs w:val="21"/>
          <w:lang w:val="en-US" w:eastAsia="zh-CN"/>
        </w:rPr>
        <w:t xml:space="preserve">6</w:t>
      </w:r>
      <w:r>
        <w:rPr>
          <w:rFonts w:hint="eastAsia" w:ascii="宋体" w:hAnsi="宋体"/>
          <w:color w:val="auto"/>
          <w:sz w:val="24"/>
          <w:szCs w:val="21"/>
        </w:rPr>
        <w:t xml:space="preserve">.5</w:t>
      </w:r>
      <w:r>
        <w:rPr>
          <w:rFonts w:hint="eastAsia" w:ascii="宋体" w:hAnsi="宋体"/>
          <w:bCs/>
          <w:color w:val="auto"/>
          <w:sz w:val="24"/>
          <w:szCs w:val="21"/>
        </w:rPr>
        <w:t xml:space="preserve">评委会将按上述修正错误的方法调整投标文件中的投标报价，并</w:t>
      </w:r>
      <w:r>
        <w:rPr>
          <w:rFonts w:ascii="宋体" w:hAnsi="宋体"/>
          <w:bCs/>
          <w:color w:val="auto"/>
          <w:sz w:val="24"/>
          <w:szCs w:val="21"/>
        </w:rPr>
        <w:t xml:space="preserve">通过</w:t>
      </w:r>
      <w:r>
        <w:rPr>
          <w:rFonts w:hint="eastAsia" w:ascii="宋体" w:hAnsi="宋体"/>
          <w:color w:val="auto"/>
          <w:sz w:val="24"/>
          <w:szCs w:val="24"/>
        </w:rPr>
        <w:t xml:space="preserve">苏采云系统</w:t>
      </w:r>
      <w:r>
        <w:rPr>
          <w:rFonts w:hint="eastAsia" w:ascii="宋体" w:hAnsi="宋体"/>
          <w:bCs/>
          <w:color w:val="auto"/>
          <w:sz w:val="24"/>
          <w:szCs w:val="21"/>
        </w:rPr>
        <w:t xml:space="preserve">告知</w:t>
      </w:r>
      <w:r>
        <w:rPr>
          <w:rFonts w:ascii="宋体" w:hAnsi="宋体"/>
          <w:bCs/>
          <w:color w:val="auto"/>
          <w:sz w:val="24"/>
          <w:szCs w:val="21"/>
        </w:rPr>
        <w:t xml:space="preserve">投标人，</w:t>
      </w:r>
      <w:r>
        <w:rPr>
          <w:rFonts w:hint="eastAsia" w:ascii="宋体" w:hAnsi="宋体"/>
          <w:bCs/>
          <w:color w:val="auto"/>
          <w:sz w:val="24"/>
          <w:szCs w:val="21"/>
        </w:rPr>
        <w:t xml:space="preserve">调整后的价格应对投标人具有约束力。如果投标人不接受修正后的价格，则其投标将被拒绝。</w:t>
      </w:r>
      <w:r/>
    </w:p>
    <w:p>
      <w:pPr>
        <w:ind w:firstLine="480"/>
        <w:spacing w:line="360" w:lineRule="auto"/>
        <w:rPr>
          <w:rFonts w:ascii="宋体" w:hAnsi="宋体"/>
          <w:color w:val="auto"/>
          <w:sz w:val="24"/>
          <w:szCs w:val="21"/>
        </w:rPr>
      </w:pPr>
      <w:r>
        <w:rPr>
          <w:rFonts w:hint="eastAsia" w:ascii="宋体" w:hAnsi="宋体"/>
          <w:color w:val="auto"/>
          <w:sz w:val="24"/>
          <w:szCs w:val="21"/>
        </w:rPr>
        <w:t xml:space="preserve">2</w:t>
      </w:r>
      <w:r>
        <w:rPr>
          <w:rFonts w:hint="eastAsia" w:ascii="宋体" w:hAnsi="宋体"/>
          <w:color w:val="auto"/>
          <w:sz w:val="24"/>
          <w:szCs w:val="21"/>
          <w:lang w:val="en-US" w:eastAsia="zh-CN"/>
        </w:rPr>
        <w:t xml:space="preserve">6</w:t>
      </w:r>
      <w:r>
        <w:rPr>
          <w:rFonts w:hint="eastAsia" w:ascii="宋体" w:hAnsi="宋体"/>
          <w:color w:val="auto"/>
          <w:sz w:val="24"/>
          <w:szCs w:val="21"/>
        </w:rPr>
        <w:t xml:space="preserve">.6</w:t>
      </w:r>
      <w:r>
        <w:rPr>
          <w:rFonts w:ascii="宋体" w:hAnsi="宋体"/>
          <w:color w:val="auto"/>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rPr>
        <w:t xml:space="preserve">按照招标文件规定的方式（招标文件未规定的通过</w:t>
      </w:r>
      <w:r>
        <w:rPr>
          <w:rFonts w:ascii="宋体" w:hAnsi="宋体"/>
          <w:color w:val="auto"/>
          <w:sz w:val="24"/>
          <w:szCs w:val="21"/>
        </w:rPr>
        <w:t xml:space="preserve">随机抽取</w:t>
      </w:r>
      <w:r>
        <w:rPr>
          <w:rFonts w:hint="eastAsia" w:ascii="宋体" w:hAnsi="宋体"/>
          <w:color w:val="auto"/>
          <w:sz w:val="24"/>
          <w:szCs w:val="21"/>
        </w:rPr>
        <w:t xml:space="preserve">的</w:t>
      </w:r>
      <w:r>
        <w:rPr>
          <w:rFonts w:ascii="宋体" w:hAnsi="宋体"/>
          <w:color w:val="auto"/>
          <w:sz w:val="24"/>
          <w:szCs w:val="21"/>
        </w:rPr>
        <w:t xml:space="preserve">方式</w:t>
      </w:r>
      <w:r>
        <w:rPr>
          <w:rFonts w:hint="eastAsia" w:ascii="宋体" w:hAnsi="宋体"/>
          <w:color w:val="auto"/>
          <w:sz w:val="24"/>
          <w:szCs w:val="21"/>
        </w:rPr>
        <w:t xml:space="preserve">）</w:t>
      </w:r>
      <w:r>
        <w:rPr>
          <w:rFonts w:ascii="宋体" w:hAnsi="宋体"/>
          <w:color w:val="auto"/>
          <w:sz w:val="24"/>
          <w:szCs w:val="21"/>
        </w:rPr>
        <w:t xml:space="preserve">确定一个参加评标的投标人，其他投标无效。</w:t>
      </w:r>
      <w:r/>
    </w:p>
    <w:p>
      <w:pPr>
        <w:ind w:firstLine="480"/>
        <w:spacing w:line="360" w:lineRule="auto"/>
        <w:rPr>
          <w:rFonts w:ascii="宋体" w:hAnsi="宋体"/>
          <w:color w:val="auto"/>
          <w:sz w:val="24"/>
          <w:szCs w:val="21"/>
        </w:rPr>
      </w:pPr>
      <w:r>
        <w:rPr>
          <w:rFonts w:ascii="宋体" w:hAnsi="宋体"/>
          <w:color w:val="auto"/>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auto"/>
          <w:sz w:val="24"/>
          <w:szCs w:val="21"/>
        </w:rPr>
        <w:t xml:space="preserve">根据招标文件规定的方式（招标文件未规定的采取随机抽取的方式）</w:t>
      </w:r>
      <w:r>
        <w:rPr>
          <w:rFonts w:ascii="宋体" w:hAnsi="宋体"/>
          <w:color w:val="auto"/>
          <w:sz w:val="24"/>
          <w:szCs w:val="21"/>
        </w:rPr>
        <w:t xml:space="preserve">确定</w:t>
      </w:r>
      <w:r>
        <w:rPr>
          <w:rFonts w:hint="eastAsia" w:ascii="宋体" w:hAnsi="宋体"/>
          <w:color w:val="auto"/>
          <w:sz w:val="24"/>
          <w:szCs w:val="21"/>
        </w:rPr>
        <w:t xml:space="preserve">一个中标候选人</w:t>
      </w:r>
      <w:r>
        <w:rPr>
          <w:rFonts w:ascii="宋体" w:hAnsi="宋体"/>
          <w:color w:val="auto"/>
          <w:sz w:val="24"/>
          <w:szCs w:val="21"/>
        </w:rPr>
        <w:t xml:space="preserve">，其他同品牌投标人不作为中标候选人。</w:t>
      </w:r>
      <w:r/>
    </w:p>
    <w:p>
      <w:pPr>
        <w:ind w:firstLine="420"/>
        <w:spacing w:line="360" w:lineRule="auto"/>
        <w:rPr>
          <w:rFonts w:hint="eastAsia" w:ascii="宋体" w:hAnsi="宋体"/>
          <w:color w:val="auto"/>
          <w:sz w:val="24"/>
          <w:szCs w:val="21"/>
        </w:rPr>
      </w:pPr>
      <w:r>
        <w:rPr>
          <w:rFonts w:ascii="宋体" w:hAnsi="宋体"/>
          <w:color w:val="auto"/>
          <w:sz w:val="24"/>
          <w:szCs w:val="21"/>
        </w:rPr>
        <w:t xml:space="preserve">非单一产品采购项目，招标文件中</w:t>
      </w:r>
      <w:r>
        <w:rPr>
          <w:rFonts w:hint="eastAsia" w:ascii="宋体" w:hAnsi="宋体"/>
          <w:color w:val="auto"/>
          <w:sz w:val="24"/>
          <w:szCs w:val="21"/>
        </w:rPr>
        <w:t xml:space="preserve">将载明其中的核心产品</w:t>
      </w:r>
      <w:r>
        <w:rPr>
          <w:rFonts w:ascii="宋体" w:hAnsi="宋体"/>
          <w:color w:val="auto"/>
          <w:sz w:val="24"/>
          <w:szCs w:val="21"/>
        </w:rPr>
        <w:t xml:space="preserve">。多家投标人提供的核心产品品牌相同的，按前两款规定处理。</w:t>
      </w:r>
      <w:r/>
    </w:p>
    <w:p>
      <w:pPr>
        <w:ind w:firstLine="420"/>
        <w:spacing w:line="360" w:lineRule="auto"/>
        <w:rPr>
          <w:rFonts w:ascii="宋体" w:hAnsi="宋体"/>
          <w:color w:val="auto"/>
          <w:sz w:val="24"/>
          <w:szCs w:val="21"/>
        </w:rPr>
      </w:pPr>
      <w:r>
        <w:rPr>
          <w:rFonts w:hint="eastAsia" w:ascii="宋体" w:hAnsi="宋体"/>
          <w:color w:val="auto"/>
          <w:sz w:val="24"/>
          <w:szCs w:val="21"/>
        </w:rPr>
        <w:t xml:space="preserve">2</w:t>
      </w:r>
      <w:r>
        <w:rPr>
          <w:rFonts w:hint="eastAsia" w:ascii="宋体" w:hAnsi="宋体"/>
          <w:color w:val="auto"/>
          <w:sz w:val="24"/>
          <w:szCs w:val="21"/>
          <w:lang w:val="en-US" w:eastAsia="zh-CN"/>
        </w:rPr>
        <w:t xml:space="preserve">6</w:t>
      </w:r>
      <w:r>
        <w:rPr>
          <w:rFonts w:hint="eastAsia" w:ascii="宋体" w:hAnsi="宋体"/>
          <w:color w:val="auto"/>
          <w:sz w:val="24"/>
          <w:szCs w:val="21"/>
        </w:rPr>
        <w:t xml:space="preserve">.7投标人在开、评标全过程中应保持通讯畅通，及时登录</w:t>
      </w:r>
      <w:r>
        <w:rPr>
          <w:rFonts w:hint="eastAsia" w:ascii="宋体" w:hAnsi="宋体"/>
          <w:color w:val="auto"/>
          <w:sz w:val="24"/>
          <w:szCs w:val="24"/>
        </w:rPr>
        <w:t xml:space="preserve">苏采云系统</w:t>
      </w:r>
      <w:r>
        <w:rPr>
          <w:rFonts w:hint="eastAsia" w:ascii="宋体" w:hAnsi="宋体"/>
          <w:color w:val="auto"/>
          <w:sz w:val="24"/>
          <w:szCs w:val="21"/>
        </w:rPr>
        <w:t xml:space="preserve">查阅</w:t>
      </w:r>
      <w:r>
        <w:rPr>
          <w:rFonts w:ascii="宋体" w:hAnsi="宋体"/>
          <w:color w:val="auto"/>
          <w:sz w:val="24"/>
          <w:szCs w:val="21"/>
        </w:rPr>
        <w:t xml:space="preserve">、答复相关</w:t>
      </w:r>
      <w:r>
        <w:rPr>
          <w:rFonts w:hint="eastAsia" w:ascii="宋体" w:hAnsi="宋体"/>
          <w:color w:val="auto"/>
          <w:sz w:val="24"/>
          <w:szCs w:val="21"/>
        </w:rPr>
        <w:t xml:space="preserve">信息</w:t>
      </w:r>
      <w:r>
        <w:rPr>
          <w:rFonts w:ascii="宋体" w:hAnsi="宋体"/>
          <w:color w:val="auto"/>
          <w:sz w:val="24"/>
          <w:szCs w:val="21"/>
        </w:rPr>
        <w:t xml:space="preserve">，</w:t>
      </w:r>
      <w:r>
        <w:rPr>
          <w:rFonts w:hint="eastAsia" w:ascii="宋体" w:hAnsi="宋体"/>
          <w:color w:val="auto"/>
          <w:sz w:val="24"/>
          <w:szCs w:val="21"/>
        </w:rPr>
        <w:t xml:space="preserve">并安排专人与采购</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及评标委员会联系。</w:t>
      </w:r>
      <w:r/>
    </w:p>
    <w:p>
      <w:pPr>
        <w:ind w:firstLine="420"/>
        <w:spacing w:line="360" w:lineRule="auto"/>
        <w:rPr>
          <w:rFonts w:hint="eastAsia" w:ascii="宋体" w:hAnsi="宋体"/>
          <w:color w:val="auto"/>
          <w:sz w:val="24"/>
          <w:szCs w:val="21"/>
        </w:rPr>
      </w:pPr>
      <w:r>
        <w:rPr>
          <w:rFonts w:hint="eastAsia" w:ascii="宋体" w:hAnsi="宋体"/>
          <w:color w:val="auto"/>
          <w:sz w:val="24"/>
          <w:szCs w:val="21"/>
        </w:rPr>
        <w:t xml:space="preserve">2</w:t>
      </w:r>
      <w:r>
        <w:rPr>
          <w:rFonts w:hint="eastAsia" w:ascii="宋体" w:hAnsi="宋体"/>
          <w:color w:val="auto"/>
          <w:sz w:val="24"/>
          <w:szCs w:val="21"/>
          <w:lang w:val="en-US" w:eastAsia="zh-CN"/>
        </w:rPr>
        <w:t xml:space="preserve">6</w:t>
      </w:r>
      <w:r>
        <w:rPr>
          <w:rFonts w:hint="eastAsia" w:ascii="宋体" w:hAnsi="宋体"/>
          <w:color w:val="auto"/>
          <w:sz w:val="24"/>
          <w:szCs w:val="21"/>
        </w:rPr>
        <w:t xml:space="preserve">.8 异常低价投标审查</w:t>
      </w:r>
      <w:r/>
    </w:p>
    <w:p>
      <w:pPr>
        <w:ind w:firstLine="420"/>
        <w:spacing w:line="360" w:lineRule="auto"/>
        <w:rPr>
          <w:rFonts w:hint="eastAsia" w:ascii="宋体" w:hAnsi="宋体"/>
          <w:color w:val="auto"/>
          <w:sz w:val="24"/>
          <w:szCs w:val="21"/>
        </w:rPr>
      </w:pPr>
      <w:r>
        <w:rPr>
          <w:rFonts w:hint="eastAsia" w:ascii="宋体" w:hAnsi="宋体"/>
          <w:color w:val="auto"/>
          <w:sz w:val="24"/>
          <w:szCs w:val="21"/>
        </w:rPr>
        <w:t xml:space="preserve">2</w:t>
      </w:r>
      <w:r>
        <w:rPr>
          <w:rFonts w:hint="eastAsia" w:ascii="宋体" w:hAnsi="宋体"/>
          <w:color w:val="auto"/>
          <w:sz w:val="24"/>
          <w:szCs w:val="21"/>
          <w:lang w:val="en-US" w:eastAsia="zh-CN"/>
        </w:rPr>
        <w:t xml:space="preserve">6</w:t>
      </w:r>
      <w:r>
        <w:rPr>
          <w:rFonts w:hint="eastAsia" w:ascii="宋体" w:hAnsi="宋体"/>
          <w:color w:val="auto"/>
          <w:sz w:val="24"/>
          <w:szCs w:val="21"/>
        </w:rPr>
        <w:t xml:space="preserve">.8.1 评标过程中出现下列情形之一的，评标委员会应当启动异常低价投标审查程序：</w:t>
      </w:r>
      <w:r/>
    </w:p>
    <w:p>
      <w:pPr>
        <w:ind w:firstLine="420"/>
        <w:spacing w:line="360" w:lineRule="auto"/>
        <w:rPr>
          <w:rFonts w:hint="eastAsia" w:ascii="宋体" w:hAnsi="宋体"/>
          <w:color w:val="auto"/>
          <w:sz w:val="24"/>
          <w:szCs w:val="21"/>
        </w:rPr>
      </w:pPr>
      <w:r>
        <w:rPr>
          <w:rFonts w:hint="eastAsia" w:ascii="宋体" w:hAnsi="宋体"/>
          <w:color w:val="auto"/>
          <w:sz w:val="24"/>
          <w:szCs w:val="21"/>
        </w:rPr>
        <w:t xml:space="preserve">（1）投标报价低于采购项目预算50%的，即投标报价＜采购项目预算×50%；</w:t>
      </w:r>
      <w:r/>
    </w:p>
    <w:p>
      <w:pPr>
        <w:ind w:firstLine="420"/>
        <w:spacing w:line="360" w:lineRule="auto"/>
        <w:rPr>
          <w:rFonts w:hint="eastAsia" w:ascii="宋体" w:hAnsi="宋体"/>
          <w:color w:val="auto"/>
          <w:sz w:val="24"/>
          <w:szCs w:val="21"/>
        </w:rPr>
      </w:pPr>
      <w:r>
        <w:rPr>
          <w:rFonts w:hint="eastAsia" w:ascii="宋体" w:hAnsi="宋体"/>
          <w:color w:val="auto"/>
          <w:sz w:val="24"/>
          <w:szCs w:val="21"/>
        </w:rPr>
        <w:t xml:space="preserve">（2）投标报价低于采购项目最高限价45%的，即投标报价＜采购项目最高限价×45%；</w:t>
      </w:r>
      <w:r/>
    </w:p>
    <w:p>
      <w:pPr>
        <w:ind w:firstLine="420"/>
        <w:spacing w:line="360" w:lineRule="auto"/>
        <w:rPr>
          <w:rFonts w:hint="eastAsia" w:ascii="宋体" w:hAnsi="宋体"/>
          <w:color w:val="auto"/>
          <w:sz w:val="24"/>
          <w:szCs w:val="21"/>
        </w:rPr>
      </w:pPr>
      <w:r>
        <w:rPr>
          <w:rFonts w:hint="eastAsia" w:ascii="宋体" w:hAnsi="宋体"/>
          <w:color w:val="auto"/>
          <w:sz w:val="24"/>
          <w:szCs w:val="21"/>
        </w:rPr>
        <w:t xml:space="preserve">（3）评标委员会认定的供应商报价过低、有可能影响产品质量或者不能诚信履约的其他情形。</w:t>
      </w:r>
      <w:r/>
    </w:p>
    <w:p>
      <w:pPr>
        <w:ind w:firstLine="420"/>
        <w:spacing w:line="360" w:lineRule="auto"/>
        <w:rPr>
          <w:rFonts w:hint="eastAsia" w:ascii="宋体" w:hAnsi="宋体"/>
          <w:color w:val="auto"/>
          <w:sz w:val="24"/>
          <w:szCs w:val="21"/>
        </w:rPr>
      </w:pPr>
      <w:r>
        <w:rPr>
          <w:rFonts w:hint="eastAsia" w:ascii="宋体" w:hAnsi="宋体"/>
          <w:color w:val="auto"/>
          <w:sz w:val="24"/>
          <w:szCs w:val="21"/>
        </w:rPr>
        <w:t xml:space="preserve">2</w:t>
      </w:r>
      <w:r>
        <w:rPr>
          <w:rFonts w:hint="eastAsia" w:ascii="宋体" w:hAnsi="宋体"/>
          <w:color w:val="auto"/>
          <w:sz w:val="24"/>
          <w:szCs w:val="21"/>
          <w:lang w:val="en-US" w:eastAsia="zh-CN"/>
        </w:rPr>
        <w:t xml:space="preserve">6</w:t>
      </w:r>
      <w:r>
        <w:rPr>
          <w:rFonts w:hint="eastAsia" w:ascii="宋体" w:hAnsi="宋体"/>
          <w:color w:val="auto"/>
          <w:sz w:val="24"/>
          <w:szCs w:val="21"/>
        </w:rPr>
        <w:t xml:space="preserve">.8.2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pStyle w:val="881"/>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 投标人在苏采云系统规定的时间内未成功解密电子投标文件的。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.1.2 投标人未按照招标文件要求上传电子投标文件的。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.1.3 投标人同一采购包提交两个（含两个）以上不同的投标报价的。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.1.4投标人不具备招标文件中规定资格要求的。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.1.5投标人的报价超过了采购预算或最高限价的。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.1.6未通过符合性审查的。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.1.7不符合招标文件中规定的实质性要求的（</w:t>
      </w:r>
      <w:r>
        <w:rPr>
          <w:rFonts w:hint="eastAsia"/>
          <w:sz w:val="24"/>
          <w:szCs w:val="24"/>
          <w:u w:val="none"/>
        </w:rPr>
        <w:t xml:space="preserve">本招标文件中</w:t>
      </w:r>
      <w:r>
        <w:rPr>
          <w:rFonts w:hint="eastAsia"/>
          <w:b/>
          <w:bCs/>
          <w:i/>
          <w:iCs/>
          <w:sz w:val="24"/>
          <w:szCs w:val="24"/>
          <w:u w:val="single"/>
        </w:rPr>
        <w:t xml:space="preserve">斜体且有下划线</w:t>
      </w:r>
      <w:r>
        <w:rPr>
          <w:rFonts w:hint="eastAsia"/>
          <w:sz w:val="24"/>
          <w:szCs w:val="24"/>
          <w:u w:val="none"/>
        </w:rPr>
        <w:t xml:space="preserve">部分或加*号条款为实质性要求</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.1.9  投标文件含有采购人不能接受的附加条件的。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.1.10 评标委员会按照本招标文件规定对投标人进行异常低价投标审查后，认为投标人不能证明其报价合理性的。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.1.12 投标文件未按照招标文件要求加盖CA电子公章的。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.1.13 投标人所投标产品不符合招标文件中所列国家强制性标准的。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.1.14其他法律、法规及本招标文件规定的属无效投标的情形。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80"/>
        <w:spacing w:before="0" w:after="0" w:line="360" w:lineRule="auto"/>
        <w:rPr>
          <w:rFonts w:hint="eastAsia" w:ascii="黑体" w:hAnsi="黑体" w:eastAsia="黑体"/>
          <w:b w:val="0"/>
        </w:rPr>
      </w:pPr>
      <w:r>
        <w:rPr>
          <w:rFonts w:hint="eastAsia" w:ascii="黑体" w:hAnsi="黑体" w:eastAsia="黑体"/>
          <w:b w:val="0"/>
        </w:rPr>
        <w:t xml:space="preserve">六、定标</w:t>
      </w:r>
      <w:r/>
    </w:p>
    <w:p>
      <w:pPr>
        <w:pStyle w:val="881"/>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采购代理机构将在江苏政府采购网发布中标公告，公告期限为1个工作日。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（4）向采购人、采购代理机构行贿或者提供其他不正当利益的。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81"/>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中标人应在中标后七个工作日内，向采购人和采购代理机构各提供一份与电子投标文件一致的纸质打印胶装投标文件，封面、骑缝需加盖公章。</w:t>
      </w:r>
      <w:r/>
    </w:p>
    <w:p>
      <w:pPr>
        <w:pStyle w:val="880"/>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881"/>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本项目不收取履约保证金。</w:t>
      </w:r>
      <w:r/>
    </w:p>
    <w:p>
      <w:pPr>
        <w:pStyle w:val="881"/>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81"/>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81"/>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80"/>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881"/>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881"/>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.1 提出质疑的供应商应当是参与所质疑项目采购活动的供应商。潜在供应商依法获取其可质疑的采购文件的，可以对采购文件提出质疑。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.2供应商认为采购文件、采购过程和采购结果使自己的权益受到损害的，可以在知道或应知其权益受到损害之日起七个工作日内，以书面形式根据下述</w:t>
      </w:r>
      <w:r>
        <w:rPr>
          <w:rFonts w:hint="eastAsia"/>
          <w:sz w:val="24"/>
          <w:szCs w:val="24"/>
          <w:lang w:val="en-US" w:eastAsia="zh-CN"/>
        </w:rPr>
        <w:t xml:space="preserve">35</w:t>
      </w:r>
      <w:r>
        <w:rPr>
          <w:rFonts w:hint="eastAsia"/>
          <w:sz w:val="24"/>
          <w:szCs w:val="24"/>
        </w:rPr>
        <w:t xml:space="preserve">.4条款的规定向采购</w:t>
      </w:r>
      <w:r>
        <w:rPr>
          <w:rFonts w:hint="eastAsia" w:ascii="宋体" w:hAnsi="宋体"/>
          <w:color w:val="auto"/>
          <w:sz w:val="24"/>
          <w:szCs w:val="21"/>
          <w:lang w:val="en-US" w:eastAsia="zh-CN"/>
        </w:rPr>
        <w:t xml:space="preserve">代理机构</w:t>
      </w:r>
      <w:r>
        <w:rPr>
          <w:rFonts w:hint="eastAsia"/>
          <w:sz w:val="24"/>
          <w:szCs w:val="24"/>
        </w:rPr>
        <w:t xml:space="preserve">或采购人提出质疑。上述应知其权益受到损害之日，是指：</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.2.1对可以质疑的采购文件提出质疑的，为收到采购文件之日或者采购文件公告期限届满之日；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.2.2对采购过程提出质疑的，为各采购程序环节结束之日；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.2.3对中标或者成交结果提出质疑的，为中标或者成交结果公告期限届满之日。</w:t>
      </w:r>
      <w:r/>
    </w:p>
    <w:p>
      <w:pPr>
        <w:ind w:firstLine="480"/>
        <w:jc w:val="left"/>
        <w:spacing w:line="50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w:t>
      </w:r>
      <w:r>
        <w:rPr>
          <w:rFonts w:hint="eastAsia" w:ascii="宋体" w:hAnsi="宋体"/>
          <w:color w:val="auto"/>
          <w:sz w:val="24"/>
          <w:szCs w:val="21"/>
          <w:lang w:val="en-US" w:eastAsia="zh-CN"/>
        </w:rPr>
        <w:t xml:space="preserve">代理机构</w:t>
      </w:r>
      <w:r>
        <w:rPr>
          <w:rFonts w:hint="eastAsia"/>
          <w:sz w:val="24"/>
          <w:szCs w:val="24"/>
        </w:rPr>
        <w:t xml:space="preserve">、采购人将只对供应商第一次质疑作出答复。</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.4 供应商（含潜在供应商）对与本项目有关的所有询问、质疑均请向采购人提出，由采购人负责答复。</w:t>
      </w:r>
      <w:r/>
    </w:p>
    <w:p>
      <w:pPr>
        <w:ind w:firstLine="480"/>
        <w:jc w:val="left"/>
        <w:spacing w:line="500" w:lineRule="exact"/>
        <w:rPr>
          <w:rFonts w:hint="eastAsia"/>
          <w:sz w:val="24"/>
          <w:szCs w:val="24"/>
        </w:rPr>
      </w:pPr>
      <w:r>
        <w:rPr>
          <w:rFonts w:hint="eastAsia"/>
          <w:sz w:val="24"/>
          <w:szCs w:val="24"/>
        </w:rPr>
        <w:t xml:space="preserve">采购人及</w:t>
      </w:r>
      <w:r>
        <w:rPr>
          <w:rFonts w:hint="eastAsia"/>
          <w:sz w:val="24"/>
          <w:szCs w:val="24"/>
          <w:lang w:val="en-US" w:eastAsia="zh-CN"/>
        </w:rPr>
        <w:t xml:space="preserve">采购代理机构</w:t>
      </w:r>
      <w:r>
        <w:rPr>
          <w:rFonts w:hint="eastAsia"/>
          <w:sz w:val="24"/>
          <w:szCs w:val="24"/>
        </w:rPr>
        <w:t xml:space="preserve">只接收以纸质原件形式送达的质疑,建议供应商尽量通过邮寄方式提交质疑（采购人和</w:t>
      </w:r>
      <w:r>
        <w:rPr>
          <w:rFonts w:hint="eastAsia"/>
          <w:sz w:val="24"/>
          <w:szCs w:val="24"/>
          <w:lang w:val="en-US" w:eastAsia="zh-CN"/>
        </w:rPr>
        <w:t xml:space="preserve">采购代理机构</w:t>
      </w:r>
      <w:r>
        <w:rPr>
          <w:rFonts w:hint="eastAsia"/>
          <w:sz w:val="24"/>
          <w:szCs w:val="24"/>
        </w:rPr>
        <w:t xml:space="preserve">不接受无快递运单号的快递）。</w:t>
      </w:r>
      <w:r/>
    </w:p>
    <w:p>
      <w:pPr>
        <w:ind w:firstLine="480"/>
        <w:jc w:val="left"/>
        <w:spacing w:line="500" w:lineRule="exact"/>
        <w:rPr>
          <w:rFonts w:hint="eastAsia"/>
          <w:sz w:val="24"/>
          <w:szCs w:val="24"/>
        </w:rPr>
      </w:pPr>
      <w:r>
        <w:rPr>
          <w:rFonts w:hint="eastAsia"/>
          <w:sz w:val="24"/>
          <w:szCs w:val="24"/>
          <w:lang w:val="en-US" w:eastAsia="zh-CN"/>
        </w:rPr>
        <w:t xml:space="preserve">采购代理机构</w:t>
      </w:r>
      <w:r>
        <w:rPr>
          <w:rFonts w:hint="eastAsia"/>
          <w:sz w:val="24"/>
          <w:szCs w:val="24"/>
        </w:rPr>
        <w:t xml:space="preserve">质疑接收部门为</w:t>
      </w:r>
      <w:r>
        <w:rPr>
          <w:rFonts w:hint="eastAsia"/>
          <w:sz w:val="24"/>
          <w:szCs w:val="24"/>
          <w:lang w:val="en-US" w:eastAsia="zh-CN"/>
        </w:rPr>
        <w:t xml:space="preserve">招标部</w:t>
      </w:r>
      <w:r>
        <w:rPr>
          <w:rFonts w:hint="eastAsia"/>
          <w:sz w:val="24"/>
          <w:szCs w:val="24"/>
        </w:rPr>
        <w:t xml:space="preserve">（快递运单上的收件人填写“</w:t>
      </w:r>
      <w:r>
        <w:rPr>
          <w:rFonts w:hint="eastAsia"/>
          <w:sz w:val="24"/>
          <w:szCs w:val="24"/>
          <w:lang w:val="en-US" w:eastAsia="zh-CN"/>
        </w:rPr>
        <w:t xml:space="preserve">招标部</w:t>
      </w:r>
      <w:r>
        <w:rPr>
          <w:rFonts w:hint="eastAsia"/>
          <w:sz w:val="24"/>
          <w:szCs w:val="24"/>
        </w:rPr>
        <w:t xml:space="preserve">”即可），联系地址</w:t>
      </w:r>
      <w:r>
        <w:rPr>
          <w:rFonts w:hint="eastAsia"/>
          <w:sz w:val="24"/>
          <w:szCs w:val="24"/>
          <w:lang w:val="en-US" w:eastAsia="zh-CN"/>
        </w:rPr>
        <w:t xml:space="preserve">及</w:t>
      </w:r>
      <w:r>
        <w:rPr>
          <w:rFonts w:hint="eastAsia"/>
          <w:sz w:val="24"/>
          <w:szCs w:val="24"/>
        </w:rPr>
        <w:t xml:space="preserve">电话</w:t>
      </w:r>
      <w:r>
        <w:rPr>
          <w:rFonts w:hint="eastAsia"/>
          <w:sz w:val="24"/>
          <w:szCs w:val="24"/>
          <w:lang w:val="en-US" w:eastAsia="zh-CN"/>
        </w:rPr>
        <w:t xml:space="preserve">详见采购公告</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采购人质疑接收人及联系方式见招标文件第一章。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 以下情形的质疑不予受理</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.5.1 内容不符合《政府采购质疑和投诉办法》第十二条规定的质疑。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.5.2 超出政府采购法定期限的质疑。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.5.3 以传真、电子邮件等方式递交的非原件形式的质疑。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.5.4 未参加投标活动的供应商或在投标活动中自身权益未受到损害的供应商所提出的质疑。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.5.5供应商组成联合体参加投标，联合体中任何一方或多方未按要求签字、盖章、加盖公章的质疑。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.6 供应商提出书面质疑必须有理、有据，不得捏造事实、提供虚假材料进行恶意质疑。否则，一经查实，采购</w:t>
      </w:r>
      <w:r>
        <w:rPr>
          <w:rFonts w:hint="eastAsia" w:ascii="宋体" w:hAnsi="宋体"/>
          <w:color w:val="auto"/>
          <w:sz w:val="24"/>
          <w:szCs w:val="21"/>
          <w:lang w:val="en-US" w:eastAsia="zh-CN"/>
        </w:rPr>
        <w:t xml:space="preserve">代理机构</w:t>
      </w:r>
      <w:r>
        <w:rPr>
          <w:rFonts w:hint="eastAsia"/>
          <w:sz w:val="24"/>
          <w:szCs w:val="24"/>
        </w:rPr>
        <w:t xml:space="preserve">有权依据政府采购的有关规定，报请政府采购监管部门对该供应商进行相应的行政处罚和记录该供应商的失信信息。</w:t>
      </w:r>
      <w:r/>
    </w:p>
    <w:p>
      <w:pPr>
        <w:pStyle w:val="881"/>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81"/>
        <w:ind w:firstLine="562"/>
        <w:jc w:val="left"/>
        <w:spacing w:before="0" w:after="0" w:line="360" w:lineRule="auto"/>
        <w:rPr>
          <w:rFonts w:hint="eastAsia"/>
          <w:sz w:val="28"/>
          <w:szCs w:val="28"/>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81"/>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pStyle w:val="923"/>
        <w:rPr>
          <w:sz w:val="24"/>
          <w:szCs w:val="24"/>
        </w:rPr>
      </w:pPr>
      <w:r>
        <w:rPr>
          <w:sz w:val="24"/>
          <w:szCs w:val="24"/>
        </w:rPr>
      </w:r>
      <w:r/>
    </w:p>
    <w:p>
      <w:pPr>
        <w:pStyle w:val="923"/>
        <w:rPr>
          <w:sz w:val="24"/>
          <w:szCs w:val="24"/>
        </w:rPr>
      </w:pPr>
      <w:r>
        <w:rPr>
          <w:sz w:val="24"/>
          <w:szCs w:val="24"/>
        </w:rPr>
      </w:r>
      <w:r/>
    </w:p>
    <w:p>
      <w:pPr>
        <w:pStyle w:val="879"/>
        <w:jc w:val="center"/>
        <w:spacing w:before="156" w:after="156" w:line="360" w:lineRule="auto"/>
        <w:rPr>
          <w:rFonts w:hint="eastAsia" w:ascii="黑体" w:hAnsi="黑体" w:eastAsia="黑体"/>
          <w:b w:val="0"/>
        </w:rPr>
      </w:pPr>
      <w:r/>
      <w:bookmarkStart w:id="3" w:name="_Toc155796358"/>
      <w:r>
        <w:rPr>
          <w:rFonts w:hint="eastAsia" w:ascii="黑体" w:hAnsi="黑体" w:eastAsia="黑体"/>
          <w:b w:val="0"/>
        </w:rPr>
        <w:t xml:space="preserve">第三章  合同文本</w:t>
      </w:r>
      <w:bookmarkEnd w:id="3"/>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hint="eastAsia" w:ascii="黑体" w:hAnsi="黑体" w:eastAsia="黑体"/>
          <w:sz w:val="28"/>
          <w:szCs w:val="24"/>
        </w:rPr>
      </w:pPr>
      <w:r>
        <w:rPr>
          <w:rFonts w:hint="eastAsia" w:ascii="黑体" w:hAnsi="黑体" w:eastAsia="黑体"/>
          <w:sz w:val="28"/>
          <w:szCs w:val="24"/>
        </w:rPr>
        <w:t xml:space="preserve">（合同编号：    ）</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2"/>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rFonts w:ascii="Times New Roman" w:hAnsi="Times New Roman"/>
          <w:sz w:val="24"/>
          <w:szCs w:val="24"/>
        </w:rPr>
      </w:pPr>
      <w:r>
        <w:rPr>
          <w:rFonts w:ascii="Times New Roman" w:hAnsi="Times New Roman"/>
          <w:sz w:val="24"/>
          <w:szCs w:val="24"/>
        </w:rPr>
        <w:t xml:space="preserve">6.1 本合同不收取履约保证金。</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hint="eastAsia"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360" w:lineRule="auto"/>
        <w:rPr>
          <w:sz w:val="24"/>
          <w:szCs w:val="24"/>
        </w:rPr>
      </w:pPr>
      <w:r/>
      <w:bookmarkStart w:id="4" w:name="_Toc300934968"/>
      <w:r/>
      <w:bookmarkStart w:id="5" w:name="_Toc312678010"/>
      <w:r/>
      <w:bookmarkStart w:id="6" w:name="_Toc312677484"/>
      <w:r/>
      <w:bookmarkStart w:id="7" w:name="_Toc304295546"/>
      <w:r/>
      <w:bookmarkStart w:id="8" w:name="_Toc297216175"/>
      <w:r/>
      <w:bookmarkStart w:id="9" w:name="_Toc303539125"/>
      <w:r/>
      <w:bookmarkStart w:id="10" w:name="_Toc297123516"/>
      <w:r>
        <w:rPr>
          <w:rFonts w:hint="eastAsia"/>
          <w:sz w:val="24"/>
          <w:szCs w:val="24"/>
        </w:rPr>
        <w:t xml:space="preserve">8.2工期延误</w:t>
      </w:r>
      <w:bookmarkEnd w:id="4"/>
      <w:r/>
      <w:bookmarkEnd w:id="5"/>
      <w:r/>
      <w:bookmarkEnd w:id="6"/>
      <w:r/>
      <w:bookmarkEnd w:id="7"/>
      <w:r/>
      <w:bookmarkEnd w:id="8"/>
      <w:r/>
      <w:bookmarkEnd w:id="9"/>
      <w:r/>
      <w:bookmarkEnd w:id="10"/>
      <w:r/>
      <w:r/>
    </w:p>
    <w:p>
      <w:pPr>
        <w:ind w:firstLine="480"/>
        <w:jc w:val="left"/>
        <w:spacing w:line="360" w:lineRule="auto"/>
        <w:rPr>
          <w:sz w:val="24"/>
          <w:szCs w:val="24"/>
        </w:rPr>
      </w:pPr>
      <w:r>
        <w:rPr>
          <w:rFonts w:hint="eastAsia"/>
          <w:sz w:val="24"/>
          <w:szCs w:val="24"/>
        </w:rPr>
        <w:t xml:space="preserve">8.2.1因甲方原因导致工期延误</w:t>
      </w:r>
      <w:r/>
    </w:p>
    <w:p>
      <w:pPr>
        <w:ind w:firstLine="480"/>
        <w:jc w:val="left"/>
        <w:spacing w:line="360" w:lineRule="auto"/>
        <w:rPr>
          <w:sz w:val="24"/>
          <w:szCs w:val="24"/>
        </w:rPr>
      </w:pPr>
      <w:r>
        <w:rPr>
          <w:rFonts w:hint="eastAsia"/>
          <w:sz w:val="24"/>
          <w:szCs w:val="24"/>
        </w:rPr>
        <w:t xml:space="preserve">（1）因甲方原因导致工期延误的其他情形：如因政策性法律、法规调整或征地及工期调整，工期顺延，费用不增加 。</w:t>
      </w:r>
      <w:r/>
    </w:p>
    <w:p>
      <w:pPr>
        <w:ind w:firstLine="480"/>
        <w:jc w:val="left"/>
        <w:spacing w:line="360" w:lineRule="auto"/>
        <w:rPr>
          <w:sz w:val="24"/>
          <w:szCs w:val="24"/>
        </w:rPr>
      </w:pPr>
      <w:r/>
      <w:bookmarkStart w:id="11" w:name="_Toc312677486"/>
      <w:r/>
      <w:bookmarkStart w:id="12" w:name="_Toc318581169"/>
      <w:r/>
      <w:bookmarkStart w:id="13" w:name="_Toc297216177"/>
      <w:r/>
      <w:bookmarkStart w:id="14" w:name="_Toc300934970"/>
      <w:r/>
      <w:bookmarkStart w:id="15" w:name="_Toc312678012"/>
      <w:r/>
      <w:bookmarkStart w:id="16" w:name="_Toc303539127"/>
      <w:r/>
      <w:bookmarkStart w:id="17" w:name="_Toc297123518"/>
      <w:r/>
      <w:bookmarkStart w:id="18" w:name="_Toc304295548"/>
      <w:r>
        <w:rPr>
          <w:rFonts w:hint="eastAsia"/>
          <w:sz w:val="24"/>
          <w:szCs w:val="24"/>
        </w:rPr>
        <w:t xml:space="preserve">8.2.2 因乙方原因导致工期延误</w:t>
      </w:r>
      <w:bookmarkEnd w:id="11"/>
      <w:r/>
      <w:bookmarkEnd w:id="12"/>
      <w:r/>
      <w:bookmarkEnd w:id="13"/>
      <w:r/>
      <w:bookmarkEnd w:id="14"/>
      <w:r/>
      <w:bookmarkEnd w:id="15"/>
      <w:r/>
      <w:bookmarkEnd w:id="16"/>
      <w:r/>
      <w:bookmarkEnd w:id="17"/>
      <w:r/>
      <w:bookmarkEnd w:id="18"/>
      <w:r/>
      <w:r/>
    </w:p>
    <w:p>
      <w:pPr>
        <w:ind w:firstLine="480"/>
        <w:jc w:val="left"/>
        <w:spacing w:line="360" w:lineRule="auto"/>
        <w:rPr>
          <w:sz w:val="24"/>
          <w:szCs w:val="24"/>
        </w:rPr>
      </w:pPr>
      <w:r>
        <w:rPr>
          <w:rFonts w:hint="eastAsia"/>
          <w:sz w:val="24"/>
          <w:szCs w:val="24"/>
        </w:rPr>
        <w:t xml:space="preserve">因乙方原因不能按照协议书约定的日期验收交付，乙方承担违约责任。</w:t>
      </w:r>
      <w:r/>
    </w:p>
    <w:p>
      <w:pPr>
        <w:ind w:firstLine="480"/>
        <w:jc w:val="left"/>
        <w:spacing w:line="360" w:lineRule="auto"/>
        <w:rPr>
          <w:sz w:val="24"/>
          <w:szCs w:val="24"/>
        </w:rPr>
      </w:pPr>
      <w:r>
        <w:rPr>
          <w:rFonts w:hint="eastAsia"/>
          <w:sz w:val="24"/>
          <w:szCs w:val="24"/>
        </w:rPr>
        <w:t xml:space="preserve">当乙方不能按照已批准的进度计划实现节点目标，而又无切实有效措施保证竣工目标，经现场监理及跟踪审计确认后，甲方有权将乙方承包范围内的部分工程量进行切割，交由其他单位实施，费用由乙方承担，乙方应无条件服从并给予配合。</w:t>
      </w:r>
      <w:r/>
    </w:p>
    <w:p>
      <w:pPr>
        <w:ind w:firstLine="480"/>
        <w:jc w:val="left"/>
        <w:spacing w:line="360" w:lineRule="auto"/>
        <w:rPr>
          <w:sz w:val="24"/>
          <w:szCs w:val="24"/>
        </w:rPr>
      </w:pPr>
      <w:r>
        <w:rPr>
          <w:rFonts w:hint="eastAsia"/>
          <w:sz w:val="24"/>
          <w:szCs w:val="24"/>
        </w:rPr>
        <w:t xml:space="preserve">工程不能按期竣工，视为乙方违约，乙方须按1万元/天向甲方支付违约金；对乙方不能按期竣工的，且拖延工期达到一定期限的，除支付约定违约金外，甲方有权解除合同，乙方应按甲方要求退场，并承担甲方的实际损失。</w:t>
      </w:r>
      <w:r/>
    </w:p>
    <w:p>
      <w:pPr>
        <w:ind w:firstLine="480"/>
        <w:jc w:val="left"/>
        <w:spacing w:line="360" w:lineRule="auto"/>
        <w:rPr>
          <w:rFonts w:hint="eastAsia" w:ascii="黑体" w:hAnsi="黑体" w:eastAsia="黑体"/>
          <w:sz w:val="24"/>
          <w:szCs w:val="24"/>
        </w:rPr>
      </w:pPr>
      <w:r>
        <w:rPr>
          <w:rFonts w:hint="eastAsia"/>
          <w:sz w:val="24"/>
          <w:szCs w:val="24"/>
        </w:rPr>
        <w:t xml:space="preserve">因乙方原因造成工期延误，逾期竣工违约金的上限：合同价10%，乙方支付逾期竣工违约金后，不免除乙方继续完成工程及修补缺陷的义务。</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360" w:lineRule="auto"/>
        <w:rPr>
          <w:sz w:val="24"/>
          <w:szCs w:val="24"/>
        </w:rPr>
      </w:pPr>
      <w:r>
        <w:rPr>
          <w:rFonts w:hint="eastAsia"/>
          <w:sz w:val="24"/>
          <w:szCs w:val="24"/>
        </w:rPr>
        <w:t xml:space="preserve">14.1 甲方违约</w:t>
      </w:r>
      <w:r/>
    </w:p>
    <w:p>
      <w:pPr>
        <w:ind w:firstLine="480"/>
        <w:jc w:val="left"/>
        <w:spacing w:line="360" w:lineRule="auto"/>
        <w:rPr>
          <w:sz w:val="24"/>
          <w:szCs w:val="24"/>
        </w:rPr>
      </w:pPr>
      <w:r>
        <w:rPr>
          <w:rFonts w:hint="eastAsia"/>
          <w:sz w:val="24"/>
          <w:szCs w:val="24"/>
        </w:rPr>
        <w:t xml:space="preserve">14.1.1甲方违约的情形</w:t>
      </w:r>
      <w:r/>
    </w:p>
    <w:p>
      <w:pPr>
        <w:ind w:firstLine="480"/>
        <w:jc w:val="left"/>
        <w:spacing w:line="360" w:lineRule="auto"/>
        <w:rPr>
          <w:sz w:val="24"/>
          <w:szCs w:val="24"/>
        </w:rPr>
      </w:pPr>
      <w:r>
        <w:rPr>
          <w:rFonts w:hint="eastAsia"/>
          <w:sz w:val="24"/>
          <w:szCs w:val="24"/>
        </w:rPr>
        <w:t xml:space="preserve">甲方违约的其他情形：</w:t>
      </w:r>
      <w:r>
        <w:rPr>
          <w:rFonts w:hint="eastAsia"/>
          <w:sz w:val="24"/>
          <w:szCs w:val="24"/>
          <w:u w:val="single"/>
        </w:rPr>
        <w:t xml:space="preserve">           无      </w:t>
      </w:r>
      <w:r>
        <w:rPr>
          <w:rFonts w:hint="eastAsia"/>
          <w:sz w:val="24"/>
          <w:szCs w:val="24"/>
        </w:rPr>
        <w:t xml:space="preserve"> 。</w:t>
      </w:r>
      <w:r/>
    </w:p>
    <w:p>
      <w:pPr>
        <w:ind w:firstLine="480"/>
        <w:jc w:val="left"/>
        <w:spacing w:line="360" w:lineRule="auto"/>
        <w:rPr>
          <w:sz w:val="24"/>
          <w:szCs w:val="24"/>
        </w:rPr>
      </w:pPr>
      <w:r>
        <w:rPr>
          <w:rFonts w:hint="eastAsia"/>
          <w:sz w:val="24"/>
          <w:szCs w:val="24"/>
        </w:rPr>
        <w:t xml:space="preserve">14.1.2 甲方违约的责任</w:t>
      </w:r>
      <w:r/>
    </w:p>
    <w:p>
      <w:pPr>
        <w:ind w:firstLine="480"/>
        <w:jc w:val="left"/>
        <w:spacing w:line="360" w:lineRule="auto"/>
        <w:rPr>
          <w:sz w:val="24"/>
          <w:szCs w:val="24"/>
        </w:rPr>
      </w:pPr>
      <w:r>
        <w:rPr>
          <w:rFonts w:hint="eastAsia"/>
          <w:sz w:val="24"/>
          <w:szCs w:val="24"/>
        </w:rPr>
        <w:t xml:space="preserve">甲方违约责任的承担方式和计算方法：</w:t>
      </w:r>
      <w:r/>
    </w:p>
    <w:p>
      <w:pPr>
        <w:ind w:firstLine="480"/>
        <w:jc w:val="left"/>
        <w:spacing w:line="360" w:lineRule="auto"/>
        <w:rPr>
          <w:sz w:val="24"/>
          <w:szCs w:val="24"/>
        </w:rPr>
      </w:pPr>
      <w:r>
        <w:rPr>
          <w:rFonts w:hint="eastAsia"/>
          <w:sz w:val="24"/>
          <w:szCs w:val="24"/>
        </w:rPr>
        <w:t xml:space="preserve">（1）因甲方原因未能在计划开工日期前7天内下达开工通知的违约责任：甲方顺延工期。</w:t>
      </w:r>
      <w:r/>
    </w:p>
    <w:p>
      <w:pPr>
        <w:ind w:firstLine="480"/>
        <w:jc w:val="left"/>
        <w:spacing w:line="360" w:lineRule="auto"/>
        <w:rPr>
          <w:sz w:val="24"/>
          <w:szCs w:val="24"/>
        </w:rPr>
      </w:pPr>
      <w:r>
        <w:rPr>
          <w:rFonts w:hint="eastAsia"/>
          <w:sz w:val="24"/>
          <w:szCs w:val="24"/>
        </w:rPr>
        <w:t xml:space="preserve">14.2 乙方违约</w:t>
      </w:r>
      <w:r/>
    </w:p>
    <w:p>
      <w:pPr>
        <w:ind w:firstLine="480"/>
        <w:jc w:val="left"/>
        <w:spacing w:line="360" w:lineRule="auto"/>
        <w:rPr>
          <w:sz w:val="24"/>
          <w:szCs w:val="24"/>
        </w:rPr>
      </w:pPr>
      <w:r>
        <w:rPr>
          <w:rFonts w:hint="eastAsia"/>
          <w:sz w:val="24"/>
          <w:szCs w:val="24"/>
        </w:rPr>
        <w:t xml:space="preserve">14.2.1 乙方违约的情形</w:t>
      </w:r>
      <w:r/>
    </w:p>
    <w:p>
      <w:pPr>
        <w:ind w:firstLine="480"/>
        <w:jc w:val="left"/>
        <w:spacing w:line="360" w:lineRule="auto"/>
        <w:rPr>
          <w:sz w:val="24"/>
          <w:szCs w:val="24"/>
        </w:rPr>
      </w:pPr>
      <w:r>
        <w:rPr>
          <w:rFonts w:hint="eastAsia"/>
          <w:sz w:val="24"/>
          <w:szCs w:val="24"/>
        </w:rPr>
        <w:t xml:space="preserve">乙方违约的其他情形：</w:t>
      </w:r>
      <w:r/>
    </w:p>
    <w:p>
      <w:pPr>
        <w:ind w:firstLine="480"/>
        <w:jc w:val="left"/>
        <w:spacing w:line="360" w:lineRule="auto"/>
        <w:rPr>
          <w:sz w:val="24"/>
          <w:szCs w:val="24"/>
        </w:rPr>
      </w:pPr>
      <w:r>
        <w:rPr>
          <w:rFonts w:hint="eastAsia"/>
          <w:sz w:val="24"/>
          <w:szCs w:val="24"/>
        </w:rPr>
        <w:t xml:space="preserve">（1）因乙方原因，导致周边住户和单位投诉或新闻媒体负面曝光；</w:t>
      </w:r>
      <w:r/>
    </w:p>
    <w:p>
      <w:pPr>
        <w:ind w:firstLine="480"/>
        <w:jc w:val="left"/>
        <w:spacing w:line="360" w:lineRule="auto"/>
        <w:rPr>
          <w:sz w:val="24"/>
          <w:szCs w:val="24"/>
        </w:rPr>
      </w:pPr>
      <w:r>
        <w:rPr>
          <w:rFonts w:hint="eastAsia"/>
          <w:sz w:val="24"/>
          <w:szCs w:val="24"/>
        </w:rPr>
        <w:t xml:space="preserve">（2）乙方不能按规定时间验收交付；</w:t>
      </w:r>
      <w:r/>
    </w:p>
    <w:p>
      <w:pPr>
        <w:ind w:firstLine="480"/>
        <w:jc w:val="left"/>
        <w:spacing w:line="360" w:lineRule="auto"/>
        <w:rPr>
          <w:sz w:val="24"/>
          <w:szCs w:val="24"/>
        </w:rPr>
      </w:pPr>
      <w:r>
        <w:rPr>
          <w:rFonts w:hint="eastAsia"/>
          <w:sz w:val="24"/>
          <w:szCs w:val="24"/>
        </w:rPr>
        <w:t xml:space="preserve">（3）因乙方原因发生保险事故给甲方造成影响的；</w:t>
      </w:r>
      <w:r/>
    </w:p>
    <w:p>
      <w:pPr>
        <w:ind w:firstLine="480"/>
        <w:jc w:val="left"/>
        <w:spacing w:line="360" w:lineRule="auto"/>
        <w:rPr>
          <w:sz w:val="24"/>
          <w:szCs w:val="24"/>
        </w:rPr>
      </w:pPr>
      <w:r>
        <w:rPr>
          <w:rFonts w:hint="eastAsia"/>
          <w:sz w:val="24"/>
          <w:szCs w:val="24"/>
        </w:rPr>
        <w:t xml:space="preserve">（4）乙方因任何原因，未在甲方及监理同意的情况下停工或消极怠工，均视为违约，且在接到复工通知3日内不复工的，甲方有权解除合同，已完合同内容按70%计量，且一切损失由乙方自负，或按每拖延一天罚合同总价的千分之二，在结算时扣除。</w:t>
      </w:r>
      <w:r/>
    </w:p>
    <w:p>
      <w:pPr>
        <w:ind w:firstLine="480"/>
        <w:jc w:val="left"/>
        <w:spacing w:line="360" w:lineRule="auto"/>
        <w:rPr>
          <w:sz w:val="24"/>
          <w:szCs w:val="24"/>
        </w:rPr>
      </w:pPr>
      <w:r>
        <w:rPr>
          <w:rFonts w:hint="eastAsia"/>
          <w:sz w:val="24"/>
          <w:szCs w:val="24"/>
        </w:rPr>
        <w:t xml:space="preserve">（5）乙方其他违约情形。</w:t>
      </w:r>
      <w:r/>
    </w:p>
    <w:p>
      <w:pPr>
        <w:ind w:firstLine="480"/>
        <w:jc w:val="left"/>
        <w:spacing w:line="360" w:lineRule="auto"/>
        <w:rPr>
          <w:sz w:val="24"/>
          <w:szCs w:val="24"/>
        </w:rPr>
      </w:pPr>
      <w:r>
        <w:rPr>
          <w:rFonts w:hint="eastAsia"/>
          <w:sz w:val="24"/>
          <w:szCs w:val="24"/>
        </w:rPr>
        <w:t xml:space="preserve">14.2.2乙方违约的责任</w:t>
      </w:r>
      <w:r/>
    </w:p>
    <w:p>
      <w:pPr>
        <w:ind w:firstLine="480"/>
        <w:jc w:val="left"/>
        <w:spacing w:line="360" w:lineRule="auto"/>
      </w:pPr>
      <w:r>
        <w:rPr>
          <w:rFonts w:hint="eastAsia"/>
          <w:sz w:val="24"/>
          <w:szCs w:val="24"/>
        </w:rPr>
        <w:t xml:space="preserve">乙方违约责任的承担方式和计算方法：</w:t>
      </w:r>
      <w:r>
        <w:rPr>
          <w:rFonts w:hint="eastAsia"/>
          <w:sz w:val="24"/>
          <w:szCs w:val="24"/>
        </w:rPr>
      </w:r>
      <w:r/>
    </w:p>
    <w:p>
      <w:pPr>
        <w:ind w:firstLine="480"/>
        <w:jc w:val="left"/>
        <w:spacing w:line="360" w:lineRule="auto"/>
        <w:rPr>
          <w:rFonts w:hint="eastAsia"/>
          <w:sz w:val="24"/>
          <w:szCs w:val="24"/>
        </w:rPr>
      </w:pPr>
      <w:r>
        <w:rPr>
          <w:rFonts w:hint="eastAsia"/>
          <w:sz w:val="24"/>
          <w:szCs w:val="24"/>
        </w:rPr>
        <w:t xml:space="preserve">(1)乙方违反合同约定进行转包或违法分包的：按合同价的10%进行处罚，并从合同款中直接扣除，经甲方要求仍未整改到位或情节严重的清除出场；</w:t>
      </w:r>
      <w:r>
        <w:rPr>
          <w:rFonts w:hint="eastAsia"/>
          <w:sz w:val="24"/>
          <w:szCs w:val="24"/>
        </w:rPr>
      </w:r>
      <w:r/>
    </w:p>
    <w:p>
      <w:pPr>
        <w:ind w:firstLine="480"/>
        <w:jc w:val="left"/>
        <w:spacing w:line="360" w:lineRule="auto"/>
        <w:rPr>
          <w:sz w:val="24"/>
          <w:szCs w:val="24"/>
        </w:rPr>
      </w:pPr>
      <w:r>
        <w:rPr>
          <w:rFonts w:hint="eastAsia"/>
          <w:sz w:val="24"/>
          <w:szCs w:val="24"/>
        </w:rPr>
        <w:t xml:space="preserve">(2)乙方违反合同约定采购和使用不合格的工程设备的：按甲方要求进行整改，并按合同设备价款的20%进行处罚，并从合同款中直接扣除；</w:t>
      </w:r>
      <w:r/>
    </w:p>
    <w:p>
      <w:pPr>
        <w:ind w:firstLine="480"/>
        <w:jc w:val="left"/>
        <w:spacing w:line="360" w:lineRule="auto"/>
        <w:rPr>
          <w:sz w:val="24"/>
          <w:szCs w:val="24"/>
        </w:rPr>
      </w:pPr>
      <w:r>
        <w:rPr>
          <w:rFonts w:hint="eastAsia"/>
          <w:sz w:val="24"/>
          <w:szCs w:val="24"/>
        </w:rPr>
        <w:t xml:space="preserve">(3)因乙方原因导致工程质量不符合合同要求的：限期整改，工期不延长； </w:t>
      </w:r>
      <w:r/>
    </w:p>
    <w:p>
      <w:pPr>
        <w:ind w:firstLine="480"/>
        <w:jc w:val="left"/>
        <w:spacing w:line="360" w:lineRule="auto"/>
        <w:rPr>
          <w:sz w:val="24"/>
          <w:szCs w:val="24"/>
        </w:rPr>
      </w:pPr>
      <w:r>
        <w:rPr>
          <w:rFonts w:hint="eastAsia"/>
          <w:sz w:val="24"/>
          <w:szCs w:val="24"/>
        </w:rPr>
        <w:t xml:space="preserve">(4)乙方违反合同约定，未经批准，私自将已按照合同约定进入施工现场的设备撤离施工现场的：限期整改，工期不延长； </w:t>
      </w:r>
      <w:r/>
    </w:p>
    <w:p>
      <w:pPr>
        <w:ind w:firstLine="480"/>
        <w:jc w:val="left"/>
        <w:spacing w:line="360" w:lineRule="auto"/>
        <w:rPr>
          <w:sz w:val="24"/>
          <w:szCs w:val="24"/>
        </w:rPr>
      </w:pPr>
      <w:r>
        <w:rPr>
          <w:rFonts w:hint="eastAsia"/>
          <w:sz w:val="24"/>
          <w:szCs w:val="24"/>
        </w:rPr>
        <w:t xml:space="preserve">(5)乙方未能按施工进度计划及时完成合同约定的工作，造成工期延误的：每延误一天支付违约金1万元，并从工程款中直接扣除；工程延期超过10天的，甲方有权终止合同，更换施工单位，由此造成的一切损失并追究乙方违约责任。</w:t>
      </w:r>
      <w:r/>
    </w:p>
    <w:p>
      <w:pPr>
        <w:ind w:firstLine="480"/>
        <w:jc w:val="left"/>
        <w:spacing w:line="360" w:lineRule="auto"/>
        <w:rPr>
          <w:sz w:val="24"/>
          <w:szCs w:val="24"/>
        </w:rPr>
      </w:pPr>
      <w:r>
        <w:rPr>
          <w:rFonts w:hint="eastAsia"/>
          <w:sz w:val="24"/>
          <w:szCs w:val="24"/>
        </w:rPr>
        <w:t xml:space="preserve">(6)乙方在缺陷责任期及保修期内，未能在合理期限对设备缺陷进行修复，或拒绝按甲方要求进行修复的：甲方可委托其他人员修理，保修费用从质量保修金内扣除，如保修费用超过质量保证金，甲方有权向乙方进行追偿，乙方不得就维修费用提出任何异议；</w:t>
      </w:r>
      <w:r/>
    </w:p>
    <w:p>
      <w:pPr>
        <w:ind w:firstLine="480"/>
        <w:jc w:val="left"/>
        <w:spacing w:line="360" w:lineRule="auto"/>
        <w:rPr>
          <w:sz w:val="24"/>
          <w:szCs w:val="24"/>
        </w:rPr>
      </w:pPr>
      <w:r>
        <w:rPr>
          <w:rFonts w:hint="eastAsia"/>
          <w:sz w:val="24"/>
          <w:szCs w:val="24"/>
        </w:rPr>
        <w:t xml:space="preserve">(7)乙方明确表示或者以其行为表明不履行合同主要义务的：清除出场，甲方有权从已完工程价款中扣除；甲方有损失的，甲方有权要求乙方进行赔偿，并上报建设主管部门；</w:t>
      </w:r>
      <w:r/>
    </w:p>
    <w:p>
      <w:pPr>
        <w:ind w:firstLine="480"/>
        <w:jc w:val="left"/>
        <w:spacing w:line="360" w:lineRule="auto"/>
        <w:rPr>
          <w:sz w:val="24"/>
          <w:szCs w:val="24"/>
        </w:rPr>
      </w:pPr>
      <w:r>
        <w:rPr>
          <w:rFonts w:hint="eastAsia"/>
          <w:sz w:val="24"/>
          <w:szCs w:val="24"/>
        </w:rPr>
        <w:t xml:space="preserve">(8) 若因乙方原因，导致周边住户和单位投诉或新闻媒体负面曝光的，乙方需承担由此产生的一切后果和费用。每曝光一次乙方需向甲方支付10000元的违约金。</w:t>
      </w:r>
      <w:r/>
    </w:p>
    <w:p>
      <w:pPr>
        <w:ind w:firstLine="480"/>
        <w:jc w:val="left"/>
        <w:spacing w:line="360" w:lineRule="auto"/>
        <w:rPr>
          <w:sz w:val="24"/>
          <w:szCs w:val="24"/>
        </w:rPr>
      </w:pPr>
      <w:r>
        <w:rPr>
          <w:rFonts w:hint="eastAsia"/>
          <w:sz w:val="24"/>
          <w:szCs w:val="24"/>
        </w:rPr>
        <w:t xml:space="preserve">(9) 如乙方不能按规定时间验收交付，乙方需向甲方支付1万元/天的违约金。违约金从合同款中扣除。相关条款涉及的费用除已明确由甲方承担的，均已包含在乙方的总价中。</w:t>
      </w:r>
      <w:r/>
    </w:p>
    <w:p>
      <w:pPr>
        <w:ind w:firstLine="480"/>
        <w:jc w:val="left"/>
        <w:spacing w:line="360" w:lineRule="auto"/>
        <w:rPr>
          <w:sz w:val="24"/>
          <w:szCs w:val="24"/>
        </w:rPr>
      </w:pPr>
      <w:r>
        <w:rPr>
          <w:rFonts w:hint="eastAsia"/>
          <w:sz w:val="24"/>
          <w:szCs w:val="24"/>
        </w:rPr>
        <w:t xml:space="preserve">(10) 如因乙方原因发生保险事故给甲方造成影响的，乙方承担违约责任，需向甲方支付保险赔付金20％的违约金。</w:t>
      </w:r>
      <w:r/>
    </w:p>
    <w:p>
      <w:pPr>
        <w:ind w:firstLine="480"/>
        <w:jc w:val="left"/>
        <w:spacing w:line="360" w:lineRule="auto"/>
        <w:rPr>
          <w:sz w:val="24"/>
          <w:szCs w:val="24"/>
        </w:rPr>
      </w:pPr>
      <w:r>
        <w:rPr>
          <w:rFonts w:hint="eastAsia"/>
          <w:sz w:val="24"/>
          <w:szCs w:val="24"/>
        </w:rPr>
        <w:t xml:space="preserve">(11) 对严重违约需清除出场的乙方，甲方将其情况书面报告当地及企业所在地行政主管部门，向乙方书面提出限期清场的要求并登报公示。    </w:t>
      </w:r>
      <w:r/>
    </w:p>
    <w:p>
      <w:pPr>
        <w:ind w:firstLine="480"/>
        <w:jc w:val="left"/>
        <w:spacing w:line="360" w:lineRule="auto"/>
        <w:rPr>
          <w:sz w:val="24"/>
          <w:szCs w:val="24"/>
        </w:rPr>
      </w:pPr>
      <w:r>
        <w:rPr>
          <w:rFonts w:hint="eastAsia"/>
          <w:sz w:val="24"/>
          <w:szCs w:val="24"/>
        </w:rPr>
        <w:t xml:space="preserve">14.2.3 因乙方违约解除合同</w:t>
      </w:r>
      <w:r/>
    </w:p>
    <w:p>
      <w:pPr>
        <w:ind w:firstLine="480"/>
        <w:jc w:val="left"/>
        <w:spacing w:line="360" w:lineRule="auto"/>
        <w:rPr>
          <w:sz w:val="24"/>
          <w:szCs w:val="24"/>
        </w:rPr>
      </w:pPr>
      <w:r>
        <w:rPr>
          <w:rFonts w:hint="eastAsia"/>
          <w:sz w:val="24"/>
          <w:szCs w:val="24"/>
        </w:rPr>
        <w:t xml:space="preserve">关于乙方违约解除合同的特别约定：在本合同履行过程中，如乙方不同意本工程合同条件；不同意付款比例和时间；自认所报投标价格过低要求甲方调整；自认合同价款过低要求甲方调整；停工或故意拖延施工进度或影响施工质量；要挟甲方提高合同价款；要挟甲方给予某种补偿，甲方将视乙方此几种行为为严重违约，立即终止合同，乙方承担违约责任、支付违约金、赔偿甲方工期和其他实际直接损失，乙方在现场的人员无条件退场  。</w:t>
      </w:r>
      <w:r/>
    </w:p>
    <w:p>
      <w:pPr>
        <w:ind w:firstLine="480"/>
        <w:jc w:val="left"/>
        <w:spacing w:line="360" w:lineRule="auto"/>
        <w:rPr>
          <w:sz w:val="24"/>
          <w:szCs w:val="24"/>
        </w:rPr>
      </w:pPr>
      <w:r>
        <w:rPr>
          <w:rFonts w:hint="eastAsia"/>
          <w:sz w:val="24"/>
          <w:szCs w:val="24"/>
        </w:rPr>
        <w:t xml:space="preserve">甲方继续使用乙方在施工现场的材料、设备、临时工程、乙方文件和由乙方或以其名义编制的其他文件的费用承担方式：  乙方在现场的设备和材料等无条件供甲方使用，甲方继续使用的行为不免除或减轻乙方应承担的违约责任  。</w:t>
      </w:r>
      <w:r/>
    </w:p>
    <w:p>
      <w:pPr>
        <w:ind w:firstLine="480"/>
        <w:jc w:val="left"/>
        <w:spacing w:line="360" w:lineRule="auto"/>
        <w:rPr>
          <w:sz w:val="24"/>
          <w:szCs w:val="24"/>
        </w:rPr>
      </w:pPr>
      <w:r>
        <w:rPr>
          <w:rFonts w:hint="eastAsia"/>
          <w:sz w:val="24"/>
          <w:szCs w:val="24"/>
        </w:rPr>
        <w:t xml:space="preserve">14.2.4</w:t>
      </w:r>
      <w:r>
        <w:rPr>
          <w:rFonts w:hint="eastAsia"/>
          <w:b/>
          <w:bCs/>
          <w:sz w:val="24"/>
          <w:szCs w:val="24"/>
        </w:rPr>
        <w:t xml:space="preserve">签订合同后被发现存在出借（挂靠）资质的行为，必须无条件接受被取消中标（承包）资格、合同解除及清除出场，一切损失自行承担。</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lang w:val="en-US" w:eastAsia="zh-CN"/>
        </w:rPr>
        <w:t xml:space="preserve">2</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w:t>
      </w:r>
      <w:r>
        <w:rPr>
          <w:rFonts w:hint="eastAsia"/>
          <w:sz w:val="24"/>
          <w:szCs w:val="24"/>
          <w:lang w:val="en-US" w:eastAsia="zh-CN"/>
        </w:rPr>
        <w:t xml:space="preserve">连云港市东海县</w:t>
      </w:r>
      <w:r>
        <w:rPr>
          <w:rFonts w:hint="eastAsia"/>
          <w:sz w:val="24"/>
          <w:szCs w:val="24"/>
        </w:rPr>
        <w:t xml:space="preserve">。</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ind w:firstLine="480"/>
        <w:jc w:val="right"/>
        <w:spacing w:line="500" w:lineRule="exact"/>
        <w:rPr>
          <w:sz w:val="24"/>
          <w:szCs w:val="24"/>
        </w:rPr>
      </w:pPr>
      <w:r>
        <w:rPr>
          <w:sz w:val="24"/>
          <w:szCs w:val="24"/>
        </w:rPr>
      </w:r>
      <w:r/>
    </w:p>
    <w:p>
      <w:pPr>
        <w:ind w:firstLine="0"/>
        <w:jc w:val="left"/>
        <w:spacing w:line="500" w:lineRule="exact"/>
        <w:rPr>
          <w:sz w:val="24"/>
          <w:szCs w:val="24"/>
        </w:rPr>
      </w:pPr>
      <w:r>
        <w:rPr>
          <w:sz w:val="24"/>
          <w:szCs w:val="24"/>
        </w:rPr>
      </w:r>
      <w:r/>
    </w:p>
    <w:p>
      <w:pPr>
        <w:pStyle w:val="879"/>
        <w:jc w:val="center"/>
        <w:spacing w:before="156" w:after="156" w:line="360" w:lineRule="auto"/>
        <w:rPr>
          <w:rFonts w:hint="eastAsia" w:ascii="黑体" w:hAnsi="黑体" w:eastAsia="黑体"/>
          <w:b w:val="0"/>
        </w:rPr>
      </w:pPr>
      <w:r/>
      <w:bookmarkStart w:id="19" w:name="_Toc155796359"/>
      <w:r>
        <w:rPr>
          <w:rFonts w:hint="eastAsia" w:ascii="黑体" w:hAnsi="黑体" w:eastAsia="黑体"/>
          <w:b w:val="0"/>
        </w:rPr>
        <w:t xml:space="preserve">第四章  采购需求</w:t>
      </w:r>
      <w:bookmarkEnd w:id="19"/>
      <w:r/>
      <w:r/>
    </w:p>
    <w:p>
      <w:pPr>
        <w:ind w:firstLine="482"/>
        <w:jc w:val="left"/>
        <w:spacing w:line="360" w:lineRule="auto"/>
        <w:rPr>
          <w:bCs/>
          <w:sz w:val="24"/>
          <w:szCs w:val="24"/>
        </w:rPr>
      </w:pPr>
      <w:r>
        <w:rPr>
          <w:rFonts w:hint="eastAsia"/>
          <w:bCs/>
          <w:sz w:val="24"/>
          <w:szCs w:val="24"/>
        </w:rPr>
        <w:t xml:space="preserve">说明：本项目属性为服务，采购标的对应的中小企业划分标准所属行业为：</w:t>
      </w:r>
      <w:r>
        <w:rPr>
          <w:rFonts w:hint="eastAsia"/>
          <w:bCs/>
          <w:sz w:val="24"/>
          <w:szCs w:val="24"/>
          <w:u w:val="single"/>
        </w:rPr>
        <w:t xml:space="preserve">软件和信息技术服务业</w:t>
      </w:r>
      <w:r>
        <w:rPr>
          <w:rFonts w:hint="eastAsia"/>
          <w:bCs/>
          <w:sz w:val="24"/>
          <w:szCs w:val="24"/>
        </w:rPr>
        <w:t xml:space="preserve">。</w:t>
      </w:r>
      <w:r/>
    </w:p>
    <w:p>
      <w:pPr>
        <w:ind w:firstLine="482"/>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本项目</w:t>
      </w:r>
      <w:r>
        <w:rPr>
          <w:rFonts w:hint="eastAsia"/>
          <w:bCs/>
          <w:sz w:val="24"/>
          <w:szCs w:val="24"/>
        </w:rPr>
        <w:t xml:space="preserve">采购标的对应的中小企业划分标准所属行业为</w:t>
      </w:r>
      <w:r>
        <w:rPr>
          <w:rFonts w:hint="eastAsia"/>
          <w:bCs/>
          <w:sz w:val="24"/>
          <w:szCs w:val="24"/>
          <w:u w:val="single"/>
        </w:rPr>
        <w:t xml:space="preserve">软件和信息技术服务业</w:t>
      </w:r>
      <w:r>
        <w:rPr>
          <w:rFonts w:hint="eastAsia" w:ascii="宋体" w:hAnsi="宋体"/>
          <w:bCs/>
          <w:color w:val="000000"/>
          <w:sz w:val="24"/>
          <w:szCs w:val="24"/>
        </w:rPr>
        <w:t xml:space="preserve">，依据《关于印发中小企业划型标准规定的通知》（工信部联企业〔2011〕300号）行业划型标准如下：</w:t>
      </w:r>
      <w:r/>
    </w:p>
    <w:p>
      <w:pPr>
        <w:jc w:val="left"/>
        <w:spacing w:line="360" w:lineRule="auto"/>
        <w:rPr>
          <w:rFonts w:hint="eastAsia" w:asciiTheme="minorEastAsia" w:hAnsiTheme="minorEastAsia"/>
          <w:bCs/>
          <w:sz w:val="24"/>
          <w:szCs w:val="24"/>
        </w:rPr>
      </w:pPr>
      <w:r>
        <w:rPr>
          <w:rFonts w:hint="eastAsia" w:asciiTheme="minorEastAsia" w:hAnsiTheme="minorEastAsia"/>
          <w:bCs/>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72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7695"/>
      </w:tblGrid>
      <w:tr>
        <w:trPr>
          <w:jc w:val="center"/>
        </w:trPr>
        <w:tc>
          <w:tcPr>
            <w:gridSpan w:val="2"/>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jc w:val="center"/>
              <w:spacing w:line="360" w:lineRule="auto"/>
              <w:rPr>
                <w:rFonts w:hint="eastAsia" w:asciiTheme="minorEastAsia" w:hAnsiTheme="minorEastAsia"/>
                <w:bCs/>
                <w:sz w:val="24"/>
                <w:szCs w:val="24"/>
              </w:rPr>
            </w:pPr>
            <w:r>
              <w:rPr>
                <w:rFonts w:asciiTheme="minorEastAsia" w:hAnsiTheme="minorEastAsia"/>
                <w:bCs/>
                <w:sz w:val="24"/>
                <w:szCs w:val="24"/>
              </w:rPr>
              <w:t xml:space="preserve">采购需求中须满足的实质性要求和条件</w:t>
            </w:r>
            <w:r/>
          </w:p>
        </w:tc>
      </w:tr>
      <w:tr>
        <w:trPr>
          <w:jc w:val="center"/>
        </w:trPr>
        <w:tc>
          <w:tcPr>
            <w:tcBorders>
              <w:top w:val="single" w:color="auto" w:sz="4" w:space="0"/>
            </w:tcBorders>
            <w:tcW w:w="485" w:type="pct"/>
            <w:textDirection w:val="lrTb"/>
            <w:noWrap w:val="false"/>
          </w:tcPr>
          <w:p>
            <w:pPr>
              <w:jc w:val="center"/>
              <w:spacing w:line="360" w:lineRule="auto"/>
              <w:rPr>
                <w:b/>
                <w:sz w:val="24"/>
                <w:szCs w:val="24"/>
              </w:rPr>
            </w:pPr>
            <w:r>
              <w:rPr>
                <w:b/>
                <w:sz w:val="24"/>
                <w:szCs w:val="24"/>
              </w:rPr>
              <w:t xml:space="preserve">序号</w:t>
            </w:r>
            <w:r/>
          </w:p>
        </w:tc>
        <w:tc>
          <w:tcPr>
            <w:tcBorders>
              <w:top w:val="single" w:color="auto" w:sz="4" w:space="0"/>
            </w:tcBorders>
            <w:tcW w:w="4514" w:type="pct"/>
            <w:textDirection w:val="lrTb"/>
            <w:noWrap w:val="false"/>
          </w:tcPr>
          <w:p>
            <w:pPr>
              <w:jc w:val="center"/>
              <w:spacing w:line="360" w:lineRule="auto"/>
              <w:rPr>
                <w:b/>
                <w:sz w:val="24"/>
                <w:szCs w:val="24"/>
              </w:rPr>
            </w:pPr>
            <w:r>
              <w:rPr>
                <w:b/>
                <w:sz w:val="24"/>
                <w:szCs w:val="24"/>
              </w:rPr>
              <w:t xml:space="preserve">实质性要求和条件</w:t>
            </w:r>
            <w:r/>
          </w:p>
        </w:tc>
      </w:tr>
      <w:tr>
        <w:trPr>
          <w:jc w:val="center"/>
        </w:trPr>
        <w:tc>
          <w:tcPr>
            <w:tcW w:w="485" w:type="pct"/>
            <w:textDirection w:val="lrTb"/>
            <w:noWrap w:val="false"/>
          </w:tcPr>
          <w:p>
            <w:pPr>
              <w:jc w:val="center"/>
              <w:spacing w:line="360" w:lineRule="auto"/>
              <w:rPr>
                <w:rFonts w:hint="eastAsia" w:asciiTheme="minorEastAsia" w:hAnsiTheme="minorEastAsia"/>
                <w:bCs/>
                <w:i/>
                <w:sz w:val="24"/>
                <w:szCs w:val="24"/>
                <w:u w:val="single"/>
              </w:rPr>
            </w:pPr>
            <w:r>
              <w:rPr>
                <w:rFonts w:hint="eastAsia" w:asciiTheme="minorEastAsia" w:hAnsiTheme="minorEastAsia"/>
                <w:bCs/>
                <w:i/>
                <w:sz w:val="24"/>
                <w:szCs w:val="24"/>
                <w:u w:val="single"/>
              </w:rPr>
              <w:t xml:space="preserve">1</w:t>
            </w:r>
            <w:r/>
          </w:p>
        </w:tc>
        <w:tc>
          <w:tcPr>
            <w:tcW w:w="4514" w:type="pct"/>
            <w:textDirection w:val="lrTb"/>
            <w:noWrap w:val="false"/>
          </w:tcPr>
          <w:p>
            <w:pPr>
              <w:pStyle w:val="710"/>
              <w:spacing w:line="360" w:lineRule="auto"/>
              <w:rPr>
                <w:rFonts w:hint="eastAsia" w:asciiTheme="minorEastAsia" w:hAnsiTheme="minorEastAsia" w:cstheme="minorBidi"/>
                <w:bCs/>
                <w:i/>
                <w:iCs/>
                <w:sz w:val="24"/>
                <w:szCs w:val="24"/>
                <w:u w:val="single"/>
              </w:rPr>
            </w:pPr>
            <w:r>
              <w:rPr>
                <w:rFonts w:hint="eastAsia" w:asciiTheme="minorEastAsia" w:hAnsiTheme="minorEastAsia" w:eastAsiaTheme="minorEastAsia" w:cstheme="minorBidi"/>
                <w:bCs/>
                <w:i/>
                <w:iCs/>
                <w:sz w:val="24"/>
                <w:szCs w:val="24"/>
                <w:u w:val="single"/>
              </w:rPr>
              <w:t xml:space="preserve">为保证实际供货与投标人所投产品一致</w:t>
            </w:r>
            <w:r>
              <w:rPr>
                <w:rFonts w:hint="eastAsia" w:asciiTheme="minorEastAsia" w:hAnsiTheme="minorEastAsia" w:cstheme="minorBidi"/>
                <w:bCs/>
                <w:i/>
                <w:iCs/>
                <w:sz w:val="24"/>
                <w:szCs w:val="24"/>
                <w:u w:val="single"/>
              </w:rPr>
              <w:t xml:space="preserve">，供应商须提供承诺书承诺</w:t>
            </w:r>
            <w:r>
              <w:rPr>
                <w:rFonts w:hint="eastAsia" w:asciiTheme="minorEastAsia" w:hAnsiTheme="minorEastAsia" w:eastAsiaTheme="minorEastAsia" w:cstheme="minorBidi"/>
                <w:bCs/>
                <w:i/>
                <w:iCs/>
                <w:sz w:val="24"/>
                <w:szCs w:val="24"/>
                <w:u w:val="single"/>
              </w:rPr>
              <w:t xml:space="preserve">，</w:t>
            </w:r>
            <w:r>
              <w:rPr>
                <w:rFonts w:hint="eastAsia" w:asciiTheme="minorEastAsia" w:hAnsiTheme="minorEastAsia" w:cstheme="minorBidi"/>
                <w:bCs/>
                <w:i/>
                <w:iCs/>
                <w:sz w:val="24"/>
                <w:szCs w:val="24"/>
                <w:u w:val="single"/>
              </w:rPr>
              <w:t xml:space="preserve">承诺</w:t>
            </w:r>
            <w:r>
              <w:rPr>
                <w:rFonts w:hint="eastAsia" w:asciiTheme="minorEastAsia" w:hAnsiTheme="minorEastAsia" w:eastAsiaTheme="minorEastAsia" w:cstheme="minorBidi"/>
                <w:bCs/>
                <w:i/>
                <w:iCs/>
                <w:sz w:val="24"/>
                <w:szCs w:val="24"/>
                <w:u w:val="single"/>
              </w:rPr>
              <w:t xml:space="preserve">中标结果公示后，签订合同前，</w:t>
            </w:r>
            <w:r>
              <w:rPr>
                <w:rFonts w:hint="eastAsia" w:asciiTheme="minorEastAsia" w:hAnsiTheme="minorEastAsia" w:cstheme="minorBidi"/>
                <w:bCs/>
                <w:i/>
                <w:iCs/>
                <w:sz w:val="24"/>
                <w:szCs w:val="24"/>
                <w:u w:val="single"/>
              </w:rPr>
              <w:t xml:space="preserve">若该单位中标，则</w:t>
            </w:r>
            <w:r>
              <w:rPr>
                <w:rFonts w:hint="eastAsia" w:asciiTheme="minorEastAsia" w:hAnsiTheme="minorEastAsia" w:eastAsiaTheme="minorEastAsia" w:cstheme="minorBidi"/>
                <w:bCs/>
                <w:i/>
                <w:iCs/>
                <w:sz w:val="24"/>
                <w:szCs w:val="24"/>
                <w:u w:val="single"/>
              </w:rPr>
              <w:t xml:space="preserve">向采购人提供投标文件中所载明的证书等证明材料原件供采购人核查，如提供的材料与其投标文件不一致则视为虚假响应，其中标资格无效，采购人将按相关对规定报送主管部门处理。</w:t>
            </w:r>
            <w:r>
              <w:rPr>
                <w:rFonts w:hint="eastAsia" w:asciiTheme="minorEastAsia" w:hAnsiTheme="minorEastAsia" w:cstheme="minorBidi"/>
                <w:bCs/>
                <w:i/>
                <w:iCs/>
                <w:sz w:val="24"/>
                <w:szCs w:val="24"/>
                <w:u w:val="single"/>
              </w:rPr>
              <w:t xml:space="preserve">（不提供视为无效响应）</w:t>
            </w:r>
            <w:r/>
          </w:p>
        </w:tc>
      </w:tr>
      <w:tr>
        <w:trPr>
          <w:jc w:val="center"/>
        </w:trPr>
        <w:tc>
          <w:tcPr>
            <w:tcW w:w="485" w:type="pct"/>
            <w:textDirection w:val="lrTb"/>
            <w:noWrap w:val="false"/>
          </w:tcPr>
          <w:p>
            <w:pPr>
              <w:jc w:val="center"/>
              <w:spacing w:line="360" w:lineRule="auto"/>
              <w:rPr>
                <w:rFonts w:hint="eastAsia" w:asciiTheme="minorEastAsia" w:hAnsiTheme="minorEastAsia"/>
                <w:bCs/>
                <w:i/>
                <w:sz w:val="24"/>
                <w:szCs w:val="24"/>
                <w:u w:val="single"/>
              </w:rPr>
            </w:pPr>
            <w:r>
              <w:rPr>
                <w:rFonts w:hint="eastAsia" w:asciiTheme="minorEastAsia" w:hAnsiTheme="minorEastAsia"/>
                <w:bCs/>
                <w:i/>
                <w:sz w:val="24"/>
                <w:szCs w:val="24"/>
                <w:u w:val="single"/>
              </w:rPr>
              <w:t xml:space="preserve">2</w:t>
            </w:r>
            <w:r/>
          </w:p>
        </w:tc>
        <w:tc>
          <w:tcPr>
            <w:tcW w:w="4514" w:type="pct"/>
            <w:textDirection w:val="lrTb"/>
            <w:noWrap w:val="false"/>
          </w:tcPr>
          <w:p>
            <w:pPr>
              <w:spacing w:line="360" w:lineRule="auto"/>
              <w:rPr>
                <w:bCs/>
                <w:i/>
                <w:sz w:val="24"/>
                <w:szCs w:val="24"/>
                <w:highlight w:val="none"/>
                <w:u w:val="single"/>
              </w:rPr>
            </w:pPr>
            <w:r>
              <w:rPr>
                <w:rFonts w:hint="eastAsia"/>
                <w:bCs/>
                <w:i/>
                <w:sz w:val="24"/>
                <w:szCs w:val="24"/>
                <w:highlight w:val="none"/>
                <w:u w:val="single"/>
              </w:rPr>
              <w:t xml:space="preserve">十三、服务期限及进度安排：</w:t>
            </w:r>
            <w:r/>
          </w:p>
          <w:p>
            <w:pPr>
              <w:spacing w:line="360" w:lineRule="auto"/>
              <w:rPr>
                <w:rFonts w:hint="eastAsia" w:ascii="宋体" w:hAnsi="宋体" w:cs="宋体"/>
                <w:bCs/>
                <w:i/>
                <w:sz w:val="24"/>
                <w:u w:val="single"/>
              </w:rPr>
            </w:pPr>
            <w:r>
              <w:rPr>
                <w:rFonts w:hint="eastAsia" w:ascii="宋体" w:hAnsi="宋体" w:cs="宋体"/>
                <w:bCs/>
                <w:i/>
                <w:sz w:val="24"/>
                <w:highlight w:val="none"/>
                <w:u w:val="single"/>
              </w:rPr>
              <w:t xml:space="preserve">1.服务期限</w:t>
            </w:r>
            <w:r>
              <w:rPr>
                <w:rFonts w:hint="eastAsia" w:ascii="宋体" w:hAnsi="宋体" w:cs="宋体"/>
                <w:b w:val="0"/>
                <w:bCs/>
                <w:i/>
                <w:iCs w:val="0"/>
                <w:sz w:val="24"/>
                <w:highlight w:val="none"/>
                <w:u w:val="single"/>
              </w:rPr>
              <w:t xml:space="preserve">：</w:t>
            </w:r>
            <w:r>
              <w:rPr>
                <w:rFonts w:hint="eastAsia" w:asciiTheme="minorEastAsia" w:hAnsiTheme="minorEastAsia"/>
                <w:b w:val="0"/>
                <w:bCs/>
                <w:i/>
                <w:iCs w:val="0"/>
                <w:color w:val="auto"/>
                <w:sz w:val="24"/>
                <w:highlight w:val="none"/>
                <w:u w:val="single"/>
              </w:rPr>
              <w:t xml:space="preserve">2026年1</w:t>
            </w:r>
            <w:r>
              <w:rPr>
                <w:rFonts w:hint="eastAsia" w:asciiTheme="minorEastAsia" w:hAnsiTheme="minorEastAsia"/>
                <w:b w:val="0"/>
                <w:bCs/>
                <w:i/>
                <w:iCs w:val="0"/>
                <w:color w:val="auto"/>
                <w:sz w:val="24"/>
                <w:highlight w:val="none"/>
                <w:u w:val="single"/>
                <w:lang w:val="en-US" w:eastAsia="zh-CN"/>
              </w:rPr>
              <w:t xml:space="preserve">0</w:t>
            </w:r>
            <w:r>
              <w:rPr>
                <w:rFonts w:hint="eastAsia" w:asciiTheme="minorEastAsia" w:hAnsiTheme="minorEastAsia"/>
                <w:b w:val="0"/>
                <w:bCs/>
                <w:i/>
                <w:iCs w:val="0"/>
                <w:color w:val="auto"/>
                <w:sz w:val="24"/>
                <w:highlight w:val="none"/>
                <w:u w:val="single"/>
              </w:rPr>
              <w:t xml:space="preserve">月底前完成项目建设。运维期3年。（进场时间以甲方通知为准）</w:t>
            </w:r>
            <w:r/>
          </w:p>
        </w:tc>
      </w:tr>
      <w:tr>
        <w:trPr>
          <w:jc w:val="center"/>
        </w:trPr>
        <w:tc>
          <w:tcPr>
            <w:tcW w:w="485" w:type="pct"/>
            <w:textDirection w:val="lrTb"/>
            <w:noWrap w:val="false"/>
          </w:tcPr>
          <w:p>
            <w:pPr>
              <w:jc w:val="center"/>
              <w:spacing w:line="360" w:lineRule="auto"/>
              <w:rPr>
                <w:rFonts w:hint="eastAsia" w:asciiTheme="minorEastAsia" w:hAnsiTheme="minorEastAsia"/>
                <w:bCs/>
                <w:i/>
                <w:sz w:val="24"/>
                <w:szCs w:val="24"/>
                <w:u w:val="single"/>
              </w:rPr>
            </w:pPr>
            <w:r>
              <w:rPr>
                <w:rFonts w:hint="eastAsia" w:asciiTheme="minorEastAsia" w:hAnsiTheme="minorEastAsia"/>
                <w:bCs/>
                <w:i/>
                <w:sz w:val="24"/>
                <w:szCs w:val="24"/>
                <w:u w:val="single"/>
              </w:rPr>
              <w:t xml:space="preserve">3</w:t>
            </w:r>
            <w:r/>
          </w:p>
        </w:tc>
        <w:tc>
          <w:tcPr>
            <w:tcW w:w="4514" w:type="pct"/>
            <w:vAlign w:val="center"/>
            <w:textDirection w:val="lrTb"/>
            <w:noWrap w:val="false"/>
          </w:tcPr>
          <w:p>
            <w:pPr>
              <w:spacing w:line="360" w:lineRule="auto"/>
              <w:rPr>
                <w:rFonts w:hint="eastAsia" w:ascii="宋体" w:hAnsi="宋体" w:cs="宋体"/>
                <w:bCs/>
                <w:i/>
                <w:iCs/>
                <w:sz w:val="24"/>
                <w:szCs w:val="24"/>
                <w:u w:val="single"/>
              </w:rPr>
            </w:pPr>
            <w:r>
              <w:rPr>
                <w:rFonts w:hint="eastAsia" w:ascii="宋体" w:hAnsi="宋体" w:cs="宋体"/>
                <w:bCs/>
                <w:i/>
                <w:iCs/>
                <w:sz w:val="24"/>
                <w:szCs w:val="24"/>
                <w:u w:val="single"/>
              </w:rPr>
              <w:t xml:space="preserve">十八、付款方式</w:t>
            </w:r>
            <w:r/>
          </w:p>
          <w:p>
            <w:pPr>
              <w:ind w:firstLine="480"/>
              <w:jc w:val="left"/>
              <w:spacing w:line="360" w:lineRule="auto"/>
              <w:rPr>
                <w:rFonts w:hint="eastAsia" w:ascii="宋体" w:hAnsi="宋体" w:cs="宋体"/>
                <w:i/>
                <w:iCs/>
                <w:sz w:val="24"/>
                <w:szCs w:val="24"/>
                <w:highlight w:val="none"/>
                <w:u w:val="single"/>
              </w:rPr>
            </w:pPr>
            <w:r>
              <w:rPr>
                <w:rFonts w:hint="eastAsia" w:ascii="宋体" w:hAnsi="宋体" w:eastAsia="宋体" w:cs="宋体"/>
                <w:i/>
                <w:iCs/>
                <w:sz w:val="24"/>
                <w:szCs w:val="24"/>
                <w:highlight w:val="none"/>
                <w:u w:val="single"/>
              </w:rPr>
              <w:t xml:space="preserve">项目系统数据上线运行付到合同总金额的20%，</w:t>
            </w:r>
            <w:r>
              <w:rPr>
                <w:rFonts w:hint="eastAsia" w:ascii="宋体" w:hAnsi="宋体" w:cs="宋体"/>
                <w:i/>
                <w:iCs/>
                <w:sz w:val="24"/>
                <w:szCs w:val="24"/>
                <w:highlight w:val="none"/>
                <w:u w:val="single"/>
              </w:rPr>
              <w:t xml:space="preserve">项目完工验收合格后付</w:t>
            </w:r>
            <w:r>
              <w:rPr>
                <w:rFonts w:hint="eastAsia" w:ascii="宋体" w:hAnsi="宋体" w:cs="宋体"/>
                <w:i/>
                <w:iCs/>
                <w:sz w:val="24"/>
                <w:szCs w:val="24"/>
                <w:highlight w:val="none"/>
                <w:u w:val="single"/>
                <w:lang w:val="en-US" w:eastAsia="zh-CN"/>
              </w:rPr>
              <w:t xml:space="preserve">至审计</w:t>
            </w:r>
            <w:r>
              <w:rPr>
                <w:rFonts w:hint="eastAsia" w:ascii="宋体" w:hAnsi="宋体" w:eastAsia="宋体" w:cs="宋体"/>
                <w:i/>
                <w:iCs/>
                <w:sz w:val="24"/>
                <w:szCs w:val="24"/>
                <w:highlight w:val="none"/>
                <w:u w:val="single"/>
              </w:rPr>
              <w:t xml:space="preserve">总金额的</w:t>
            </w:r>
            <w:r>
              <w:rPr>
                <w:rFonts w:hint="eastAsia" w:ascii="宋体" w:hAnsi="宋体" w:cs="宋体"/>
                <w:i/>
                <w:iCs/>
                <w:sz w:val="24"/>
                <w:szCs w:val="24"/>
                <w:highlight w:val="none"/>
                <w:u w:val="single"/>
              </w:rPr>
              <w:t xml:space="preserve">60%，一年运维结束付至</w:t>
            </w:r>
            <w:r>
              <w:rPr>
                <w:rFonts w:hint="eastAsia" w:ascii="宋体" w:hAnsi="宋体" w:cs="宋体"/>
                <w:i/>
                <w:iCs/>
                <w:sz w:val="24"/>
                <w:szCs w:val="24"/>
                <w:highlight w:val="none"/>
                <w:u w:val="single"/>
                <w:lang w:val="en-US" w:eastAsia="zh-CN"/>
              </w:rPr>
              <w:t xml:space="preserve">审计</w:t>
            </w:r>
            <w:r>
              <w:rPr>
                <w:rFonts w:hint="eastAsia" w:ascii="宋体" w:hAnsi="宋体" w:eastAsia="宋体" w:cs="宋体"/>
                <w:i/>
                <w:iCs/>
                <w:sz w:val="24"/>
                <w:szCs w:val="24"/>
                <w:highlight w:val="none"/>
                <w:u w:val="single"/>
              </w:rPr>
              <w:t xml:space="preserve">总金额的</w:t>
            </w:r>
            <w:r>
              <w:rPr>
                <w:rFonts w:hint="eastAsia" w:ascii="宋体" w:hAnsi="宋体" w:cs="宋体"/>
                <w:i/>
                <w:iCs/>
                <w:sz w:val="24"/>
                <w:szCs w:val="24"/>
                <w:highlight w:val="none"/>
                <w:u w:val="single"/>
              </w:rPr>
              <w:t xml:space="preserve">80%，两年运维结束付至</w:t>
            </w:r>
            <w:r>
              <w:rPr>
                <w:rFonts w:hint="eastAsia" w:ascii="宋体" w:hAnsi="宋体" w:cs="宋体"/>
                <w:i/>
                <w:iCs/>
                <w:sz w:val="24"/>
                <w:szCs w:val="24"/>
                <w:highlight w:val="none"/>
                <w:u w:val="single"/>
                <w:lang w:val="en-US" w:eastAsia="zh-CN"/>
              </w:rPr>
              <w:t xml:space="preserve">审计</w:t>
            </w:r>
            <w:r>
              <w:rPr>
                <w:rFonts w:hint="eastAsia" w:ascii="宋体" w:hAnsi="宋体" w:eastAsia="宋体" w:cs="宋体"/>
                <w:i/>
                <w:iCs/>
                <w:sz w:val="24"/>
                <w:szCs w:val="24"/>
                <w:highlight w:val="none"/>
                <w:u w:val="single"/>
              </w:rPr>
              <w:t xml:space="preserve">总金额的</w:t>
            </w:r>
            <w:r>
              <w:rPr>
                <w:rFonts w:hint="eastAsia" w:ascii="宋体" w:hAnsi="宋体" w:cs="宋体"/>
                <w:i/>
                <w:iCs/>
                <w:sz w:val="24"/>
                <w:szCs w:val="24"/>
                <w:highlight w:val="none"/>
                <w:u w:val="single"/>
              </w:rPr>
              <w:t xml:space="preserve">90%，三年运维结束</w:t>
            </w:r>
            <w:r>
              <w:rPr>
                <w:rFonts w:hint="eastAsia" w:ascii="宋体" w:hAnsi="宋体" w:cs="宋体"/>
                <w:b w:val="0"/>
                <w:bCs w:val="0"/>
                <w:i/>
                <w:iCs/>
                <w:sz w:val="24"/>
                <w:szCs w:val="24"/>
                <w:highlight w:val="none"/>
                <w:u w:val="single"/>
              </w:rPr>
              <w:t xml:space="preserve">付至</w:t>
            </w:r>
            <w:r>
              <w:rPr>
                <w:rFonts w:hint="eastAsia" w:ascii="宋体" w:hAnsi="宋体" w:cs="宋体"/>
                <w:b w:val="0"/>
                <w:bCs w:val="0"/>
                <w:i/>
                <w:iCs/>
                <w:sz w:val="24"/>
                <w:szCs w:val="24"/>
                <w:highlight w:val="none"/>
                <w:u w:val="single"/>
                <w:lang w:val="en-US" w:eastAsia="zh-CN"/>
              </w:rPr>
              <w:t xml:space="preserve">审计</w:t>
            </w:r>
            <w:r>
              <w:rPr>
                <w:rFonts w:hint="eastAsia" w:ascii="宋体" w:hAnsi="宋体" w:eastAsia="宋体" w:cs="宋体"/>
                <w:b w:val="0"/>
                <w:bCs w:val="0"/>
                <w:i/>
                <w:iCs/>
                <w:sz w:val="24"/>
                <w:szCs w:val="24"/>
                <w:highlight w:val="none"/>
                <w:u w:val="single"/>
              </w:rPr>
              <w:t xml:space="preserve">总金额</w:t>
            </w:r>
            <w:r>
              <w:rPr>
                <w:rFonts w:hint="eastAsia" w:ascii="宋体" w:hAnsi="宋体" w:eastAsia="宋体" w:cs="宋体"/>
                <w:i/>
                <w:iCs/>
                <w:sz w:val="24"/>
                <w:szCs w:val="24"/>
                <w:highlight w:val="none"/>
                <w:u w:val="single"/>
              </w:rPr>
              <w:t xml:space="preserve">的</w:t>
            </w:r>
            <w:r>
              <w:rPr>
                <w:rFonts w:hint="eastAsia" w:ascii="宋体" w:hAnsi="宋体" w:cs="宋体"/>
                <w:i/>
                <w:iCs/>
                <w:sz w:val="24"/>
                <w:szCs w:val="24"/>
                <w:highlight w:val="none"/>
                <w:u w:val="single"/>
              </w:rPr>
              <w:t xml:space="preserve">100%。</w:t>
            </w:r>
            <w:r/>
          </w:p>
          <w:p>
            <w:pPr>
              <w:spacing w:line="360" w:lineRule="auto"/>
              <w:rPr>
                <w:rFonts w:hint="eastAsia" w:ascii="宋体" w:hAnsi="宋体" w:cs="宋体"/>
                <w:i/>
                <w:iCs/>
                <w:sz w:val="24"/>
                <w:szCs w:val="24"/>
                <w:u w:val="single"/>
              </w:rPr>
            </w:pPr>
            <w:r>
              <w:rPr>
                <w:rFonts w:hint="eastAsia" w:ascii="宋体" w:hAnsi="宋体" w:cs="宋体"/>
                <w:i/>
                <w:iCs/>
                <w:sz w:val="24"/>
                <w:szCs w:val="24"/>
                <w:highlight w:val="none"/>
                <w:u w:val="single"/>
              </w:rPr>
              <w:t xml:space="preserve">每次付款前乙方向甲方开具正规发票，甲方自收到发票后10工作日内将资金支付至合同约定的乙方账户（发票开具日期计算）</w:t>
            </w:r>
            <w:r/>
          </w:p>
        </w:tc>
      </w:tr>
      <w:tr>
        <w:trPr>
          <w:jc w:val="center"/>
        </w:trPr>
        <w:tc>
          <w:tcPr>
            <w:tcW w:w="485" w:type="pct"/>
            <w:textDirection w:val="lrTb"/>
            <w:noWrap w:val="false"/>
          </w:tcPr>
          <w:p>
            <w:pPr>
              <w:jc w:val="center"/>
              <w:spacing w:line="360" w:lineRule="auto"/>
              <w:rPr>
                <w:rFonts w:hint="eastAsia" w:asciiTheme="minorEastAsia" w:hAnsiTheme="minorEastAsia"/>
                <w:bCs/>
                <w:i/>
                <w:sz w:val="24"/>
                <w:szCs w:val="24"/>
                <w:u w:val="single"/>
              </w:rPr>
            </w:pPr>
            <w:r/>
            <w:bookmarkStart w:id="20" w:name="_Toc155796360"/>
            <w:r>
              <w:rPr>
                <w:rFonts w:hint="eastAsia" w:asciiTheme="minorEastAsia" w:hAnsiTheme="minorEastAsia"/>
                <w:bCs/>
                <w:i/>
                <w:sz w:val="24"/>
                <w:szCs w:val="24"/>
                <w:u w:val="single"/>
              </w:rPr>
              <w:t xml:space="preserve">4</w:t>
            </w:r>
            <w:r/>
          </w:p>
        </w:tc>
        <w:tc>
          <w:tcPr>
            <w:tcW w:w="4514" w:type="pct"/>
            <w:vAlign w:val="center"/>
            <w:textDirection w:val="lrTb"/>
            <w:noWrap w:val="false"/>
          </w:tcPr>
          <w:p>
            <w:pPr>
              <w:spacing w:line="360" w:lineRule="auto"/>
              <w:rPr>
                <w:rFonts w:hint="eastAsia" w:ascii="宋体" w:hAnsi="宋体" w:eastAsia="宋体" w:cs="宋体"/>
                <w:bCs/>
                <w:i/>
                <w:iCs/>
                <w:sz w:val="24"/>
                <w:szCs w:val="24"/>
                <w:highlight w:val="cyan"/>
                <w:u w:val="single"/>
                <w:lang w:eastAsia="zh-CN"/>
              </w:rPr>
            </w:pPr>
            <w:r>
              <w:rPr>
                <w:rFonts w:hint="eastAsia" w:ascii="宋体" w:hAnsi="宋体"/>
                <w:i/>
                <w:iCs/>
                <w:color w:val="auto"/>
                <w:sz w:val="24"/>
                <w:szCs w:val="24"/>
                <w:highlight w:val="none"/>
                <w:u w:val="single"/>
              </w:rPr>
              <w:t xml:space="preserve">本项目配备项目组成员不少于10名</w:t>
            </w:r>
            <w:r>
              <w:rPr>
                <w:rFonts w:hint="eastAsia" w:ascii="宋体" w:hAnsi="宋体"/>
                <w:b/>
                <w:bCs/>
                <w:i/>
                <w:iCs/>
                <w:color w:val="auto"/>
                <w:sz w:val="24"/>
                <w:szCs w:val="24"/>
                <w:highlight w:val="none"/>
                <w:u w:val="single"/>
              </w:rPr>
              <w:t xml:space="preserve">（包含运维驻场</w:t>
            </w:r>
            <w:r>
              <w:rPr>
                <w:rFonts w:hint="eastAsia" w:ascii="宋体" w:hAnsi="宋体"/>
                <w:b/>
                <w:bCs/>
                <w:i/>
                <w:iCs/>
                <w:color w:val="auto"/>
                <w:sz w:val="24"/>
                <w:szCs w:val="24"/>
                <w:highlight w:val="none"/>
                <w:u w:val="single"/>
                <w:lang w:val="en-US" w:eastAsia="zh-CN"/>
              </w:rPr>
              <w:t xml:space="preserve">2</w:t>
            </w:r>
            <w:r>
              <w:rPr>
                <w:rFonts w:hint="eastAsia" w:ascii="宋体" w:hAnsi="宋体"/>
                <w:b/>
                <w:bCs/>
                <w:i/>
                <w:iCs/>
                <w:color w:val="auto"/>
                <w:sz w:val="24"/>
                <w:szCs w:val="24"/>
                <w:highlight w:val="none"/>
                <w:u w:val="single"/>
              </w:rPr>
              <w:t xml:space="preserve">人）</w:t>
            </w:r>
            <w:r/>
          </w:p>
        </w:tc>
      </w:tr>
    </w:tbl>
    <w:p>
      <w:pPr>
        <w:ind w:firstLine="480"/>
        <w:jc w:val="left"/>
        <w:spacing w:line="500" w:lineRule="exact"/>
        <w:rPr>
          <w:rFonts w:hint="eastAsia"/>
          <w:b/>
          <w:bCs/>
          <w:color w:val="ff0000"/>
          <w:sz w:val="24"/>
          <w:szCs w:val="24"/>
        </w:rPr>
      </w:pPr>
      <w:r>
        <w:rPr>
          <w:rFonts w:hint="eastAsia"/>
          <w:b/>
          <w:bCs/>
          <w:color w:val="ff0000"/>
          <w:sz w:val="24"/>
          <w:szCs w:val="24"/>
          <w:lang w:val="en-US" w:eastAsia="zh-CN"/>
        </w:rPr>
        <w:t xml:space="preserve">3、</w:t>
      </w:r>
      <w:r>
        <w:rPr>
          <w:rFonts w:hint="eastAsia"/>
          <w:b/>
          <w:bCs/>
          <w:color w:val="ff0000"/>
          <w:sz w:val="24"/>
          <w:szCs w:val="24"/>
        </w:rPr>
        <w:t xml:space="preserve">政府采购中实施本国产品标准及相关政策</w:t>
      </w:r>
      <w:r/>
    </w:p>
    <w:p>
      <w:pPr>
        <w:ind w:firstLine="480"/>
        <w:jc w:val="left"/>
        <w:spacing w:line="500" w:lineRule="exact"/>
        <w:rPr>
          <w:rFonts w:hint="eastAsia"/>
          <w:sz w:val="24"/>
          <w:szCs w:val="24"/>
        </w:rPr>
      </w:pPr>
      <w:r>
        <w:rPr>
          <w:rFonts w:hint="eastAsia"/>
          <w:sz w:val="24"/>
          <w:szCs w:val="24"/>
          <w:lang w:val="en-US" w:eastAsia="zh-CN"/>
        </w:rPr>
        <w:t xml:space="preserve">3.</w:t>
      </w:r>
      <w:r>
        <w:rPr>
          <w:rFonts w:hint="eastAsia"/>
          <w:sz w:val="24"/>
          <w:szCs w:val="24"/>
        </w:rPr>
        <w:t xml:space="preserve">1.本项目对采购本国产品给予政策支持，具体内容见招标文件“第五章 评标方法与评标标准”。</w:t>
      </w:r>
      <w:r/>
    </w:p>
    <w:p>
      <w:pPr>
        <w:ind w:firstLine="480"/>
        <w:jc w:val="left"/>
        <w:spacing w:line="500" w:lineRule="exact"/>
        <w:rPr>
          <w:rFonts w:hint="eastAsia"/>
          <w:sz w:val="24"/>
          <w:szCs w:val="24"/>
        </w:rPr>
      </w:pPr>
      <w:r>
        <w:rPr>
          <w:rFonts w:hint="eastAsia"/>
          <w:sz w:val="24"/>
          <w:szCs w:val="24"/>
          <w:lang w:val="en-US" w:eastAsia="zh-CN"/>
        </w:rPr>
        <w:t xml:space="preserve">3.</w:t>
      </w:r>
      <w:r>
        <w:rPr>
          <w:rFonts w:hint="eastAsia"/>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eastAsia="宋体"/>
          <w:sz w:val="24"/>
          <w:szCs w:val="24"/>
          <w:lang w:val="en-US" w:eastAsia="zh-CN"/>
        </w:rPr>
      </w:pPr>
      <w:r>
        <w:rPr>
          <w:rFonts w:hint="eastAsia"/>
          <w:sz w:val="24"/>
          <w:szCs w:val="24"/>
          <w:lang w:val="en-US" w:eastAsia="zh-CN"/>
        </w:rPr>
        <w:t xml:space="preserve">3.</w:t>
      </w:r>
      <w:r>
        <w:rPr>
          <w:rFonts w:hint="eastAsia"/>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一、项目背景及概况</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为全面贯彻落实省委、省政府和市委、市政府决策部署，</w:t>
      </w:r>
      <w:r>
        <w:rPr>
          <w:rFonts w:hint="eastAsia" w:ascii="宋体" w:hAnsi="宋体"/>
          <w:color w:val="000000"/>
          <w:sz w:val="24"/>
          <w:szCs w:val="24"/>
        </w:rPr>
        <w:t xml:space="preserve">立足东海县实际，坚持集约化、科学化、实用化原则，</w:t>
      </w:r>
      <w:r>
        <w:rPr>
          <w:rFonts w:hint="eastAsia" w:asciiTheme="minorEastAsia" w:hAnsiTheme="minorEastAsia"/>
          <w:sz w:val="24"/>
          <w:szCs w:val="24"/>
        </w:rPr>
        <w:t xml:space="preserve">加快推进连云港市东海县城市生命线安全工程建设工作，全面接入市级监管平台，实现市、县两级互联互通、数据共享、业务协同，</w:t>
      </w:r>
      <w:r>
        <w:rPr>
          <w:rFonts w:hint="eastAsia" w:ascii="宋体" w:hAnsi="宋体"/>
          <w:color w:val="000000"/>
          <w:sz w:val="24"/>
          <w:szCs w:val="24"/>
        </w:rPr>
        <w:t xml:space="preserve">主要覆盖1个综合应用场景+7个专项（燃气、供水、排水、道路、桥梁、第三方施工和地下管线交互）应用场景+1个特色（防震）应用场景，实现对城市基础设施运行状况进行实时监测、动态预警、精准溯源、协同处置，及早发现和管控风险隐患，有效防范事故发生。</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二、建设目标</w:t>
      </w:r>
      <w:r/>
    </w:p>
    <w:p>
      <w:pPr>
        <w:ind w:firstLine="480"/>
        <w:spacing w:line="360" w:lineRule="auto"/>
        <w:rPr>
          <w:rFonts w:hint="eastAsia" w:asciiTheme="minorEastAsia" w:hAnsiTheme="minorEastAsia"/>
          <w:sz w:val="24"/>
          <w:szCs w:val="24"/>
        </w:rPr>
      </w:pPr>
      <w:r/>
      <w:bookmarkStart w:id="21" w:name="_Hlk163161471"/>
      <w:r>
        <w:rPr>
          <w:rFonts w:hint="eastAsia" w:asciiTheme="minorEastAsia" w:hAnsiTheme="minorEastAsia"/>
          <w:sz w:val="24"/>
          <w:szCs w:val="24"/>
        </w:rPr>
        <w:t xml:space="preserve">按照“切合实际、需求导向、因地制宜、节约资金</w:t>
      </w:r>
      <w:bookmarkEnd w:id="21"/>
      <w:r>
        <w:rPr>
          <w:rFonts w:hint="eastAsia" w:asciiTheme="minorEastAsia" w:hAnsiTheme="minorEastAsia"/>
          <w:sz w:val="24"/>
          <w:szCs w:val="24"/>
        </w:rPr>
        <w:t xml:space="preserve">”目标，按照</w:t>
      </w:r>
      <w:bookmarkStart w:id="22" w:name="_Hlk163161477"/>
      <w:r>
        <w:rPr>
          <w:rFonts w:hint="eastAsia" w:asciiTheme="minorEastAsia" w:hAnsiTheme="minorEastAsia"/>
          <w:sz w:val="24"/>
          <w:szCs w:val="24"/>
        </w:rPr>
        <w:t xml:space="preserve">“统筹规划、突出重点、市县一体、分步实施</w:t>
      </w:r>
      <w:bookmarkEnd w:id="22"/>
      <w:r>
        <w:rPr>
          <w:rFonts w:hint="eastAsia" w:asciiTheme="minorEastAsia" w:hAnsiTheme="minorEastAsia"/>
          <w:sz w:val="24"/>
          <w:szCs w:val="24"/>
        </w:rPr>
        <w:t xml:space="preserve">”的建设原则，立足我市实际，遵循“综</w:t>
      </w:r>
      <w:bookmarkStart w:id="23" w:name="_Hlk163161485"/>
      <w:r>
        <w:rPr>
          <w:rFonts w:hint="eastAsia" w:asciiTheme="minorEastAsia" w:hAnsiTheme="minorEastAsia"/>
          <w:sz w:val="24"/>
          <w:szCs w:val="24"/>
        </w:rPr>
        <w:t xml:space="preserve">合监管+智慧监测</w:t>
      </w:r>
      <w:bookmarkEnd w:id="23"/>
      <w:r>
        <w:rPr>
          <w:rFonts w:hint="eastAsia" w:asciiTheme="minorEastAsia" w:hAnsiTheme="minorEastAsia"/>
          <w:sz w:val="24"/>
          <w:szCs w:val="24"/>
        </w:rPr>
        <w:t xml:space="preserve">”整体思路，坚持统一标准、统一规划、统一监管，围绕日常监管、部门协同、资源共享、信息融合、智能监测等方面建立健全城市生命线安全监管工作机制，聚焦燃气、供水、排水、桥梁、道路、地下管线交互、第三方施工、防震减灾等八大风险场景，实现“省-市-县”三级监管系统数据共享、业务协同、互联互通，推动监管效能显著提升、设施运行高效规范、安全风险有效防控，使城市生命线安全管理从“被动应对”向“主动监管”转变，系统提升城市基础设施规范化、智慧化管理水平，全面提升城市本质安全水平。</w:t>
      </w:r>
      <w:r/>
    </w:p>
    <w:p>
      <w:pPr>
        <w:pStyle w:val="695"/>
        <w:ind w:firstLine="482"/>
        <w:spacing w:before="120" w:after="120"/>
        <w:rPr>
          <w:rFonts w:asciiTheme="minorEastAsia" w:hAnsiTheme="minorEastAsia"/>
          <w:b/>
          <w:bCs/>
          <w:sz w:val="24"/>
          <w:szCs w:val="24"/>
        </w:rPr>
      </w:pPr>
      <w:r>
        <w:rPr>
          <w:rFonts w:hint="eastAsia" w:asciiTheme="majorEastAsia" w:hAnsiTheme="majorEastAsia" w:eastAsiaTheme="majorEastAsia" w:cstheme="majorEastAsia"/>
          <w:b/>
          <w:sz w:val="24"/>
          <w:szCs w:val="24"/>
        </w:rPr>
        <w:t xml:space="preserve">三、服务技术要求</w:t>
      </w:r>
      <w:r/>
    </w:p>
    <w:p>
      <w:pPr>
        <w:pStyle w:val="696"/>
        <w:ind w:firstLine="480"/>
        <w:spacing w:before="120" w:after="120"/>
        <w:rPr>
          <w:rFonts w:hint="eastAsia" w:ascii="宋体" w:hAnsi="宋体" w:eastAsia="宋体" w:cs="宋体"/>
          <w:sz w:val="24"/>
          <w:szCs w:val="20"/>
        </w:rPr>
      </w:pPr>
      <w:r>
        <w:rPr>
          <w:rFonts w:hint="eastAsia" w:ascii="宋体" w:hAnsi="宋体" w:eastAsia="宋体" w:cs="宋体"/>
          <w:sz w:val="24"/>
          <w:szCs w:val="20"/>
        </w:rPr>
        <w:t xml:space="preserve">3.1.项目建设整体要求</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结合东海县实际情况，通过梳理城市生命线本信息系统现状，对现状问题进行全面分析梳理，从业务需求、功能需求等内容予以分析并给出解决策略，进而明确城市生命线系统的建设目标、建设思路和建设内容。</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基于对现状的分析和需求理解，从总体架构、网络架构、数据架构、平台架构、系统部署对接等方面，对本次建设的城市生命线系统的总体思路进行全面、系统的分析。</w:t>
      </w:r>
      <w:r/>
    </w:p>
    <w:p>
      <w:pPr>
        <w:pStyle w:val="696"/>
        <w:ind w:firstLine="482"/>
        <w:spacing w:before="120" w:after="120"/>
        <w:rPr>
          <w:rFonts w:hint="eastAsia" w:ascii="宋体" w:hAnsi="宋体" w:eastAsia="宋体" w:cs="宋体"/>
          <w:b/>
          <w:sz w:val="24"/>
          <w:szCs w:val="20"/>
        </w:rPr>
      </w:pPr>
      <w:r>
        <w:rPr>
          <w:rFonts w:hint="eastAsia" w:ascii="宋体" w:hAnsi="宋体" w:eastAsia="宋体" w:cs="宋体"/>
          <w:b/>
          <w:sz w:val="24"/>
          <w:szCs w:val="20"/>
        </w:rPr>
        <w:t xml:space="preserve">3.2.项目建设具体服务技术要求</w:t>
      </w:r>
      <w:r/>
    </w:p>
    <w:p>
      <w:pPr>
        <w:pStyle w:val="697"/>
        <w:numPr>
          <w:ilvl w:val="0"/>
          <w:numId w:val="2"/>
        </w:numPr>
        <w:ind w:firstLine="482"/>
        <w:spacing w:before="120" w:after="0"/>
        <w:rPr>
          <w:rFonts w:hint="eastAsia" w:ascii="宋体" w:hAnsi="宋体" w:eastAsia="宋体" w:cs="宋体"/>
          <w:sz w:val="24"/>
          <w:szCs w:val="21"/>
        </w:rPr>
      </w:pPr>
      <w:r>
        <w:rPr>
          <w:rFonts w:hint="eastAsia" w:ascii="宋体" w:hAnsi="宋体" w:eastAsia="宋体" w:cs="宋体"/>
          <w:sz w:val="24"/>
          <w:szCs w:val="21"/>
        </w:rPr>
        <w:t xml:space="preserve">数据汇聚治理</w:t>
      </w:r>
      <w:r/>
    </w:p>
    <w:p>
      <w:pPr>
        <w:ind w:firstLine="480"/>
        <w:spacing w:line="360" w:lineRule="auto"/>
      </w:pPr>
      <w:r>
        <w:rPr>
          <w:rFonts w:asciiTheme="minorEastAsia" w:hAnsiTheme="minorEastAsia"/>
          <w:sz w:val="24"/>
          <w:szCs w:val="24"/>
        </w:rPr>
        <w:t xml:space="preserve">按照省市数据标准、数据对接规范、管线数据处理技术方案及省市设施基础数据整合归集工作要求，开展基础设施数据、行业监管数据、物联感知监测数据的汇聚治理整合、脱密脱敏等工作。推动数据资源整合共享和动态更新，实现数据上下贯通、实时交互、充分共享。</w:t>
      </w:r>
      <w:r/>
    </w:p>
    <w:tbl>
      <w:tblPr>
        <w:tblStyle w:val="70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4394"/>
        <w:gridCol w:w="1599"/>
        <w:gridCol w:w="1548"/>
      </w:tblGrid>
      <w:tr>
        <w:trPr>
          <w:jc w:val="center"/>
          <w:trHeight w:val="340"/>
          <w:tblHeader/>
        </w:trPr>
        <w:tc>
          <w:tcPr>
            <w:gridSpan w:val="4"/>
            <w:tcW w:w="5000" w:type="pct"/>
            <w:vAlign w:val="center"/>
            <w:textDirection w:val="lrTb"/>
            <w:noWrap w:val="false"/>
          </w:tcPr>
          <w:p>
            <w:pPr>
              <w:jc w:val="center"/>
              <w:spacing w:line="400" w:lineRule="exact"/>
              <w:rPr>
                <w:rFonts w:hint="eastAsia" w:asciiTheme="minorEastAsia" w:hAnsiTheme="minorEastAsia" w:eastAsiaTheme="minorEastAsia"/>
                <w:b/>
                <w:bCs/>
                <w:color w:val="000000"/>
                <w:sz w:val="24"/>
                <w:szCs w:val="24"/>
              </w:rPr>
            </w:pPr>
            <w:r>
              <w:rPr>
                <w:rFonts w:hint="eastAsia" w:asciiTheme="minorEastAsia" w:hAnsiTheme="minorEastAsia"/>
                <w:b/>
                <w:bCs/>
                <w:color w:val="000000"/>
                <w:sz w:val="24"/>
                <w:szCs w:val="24"/>
              </w:rPr>
              <w:t xml:space="preserve">数据汇聚治理</w:t>
            </w:r>
            <w:r/>
          </w:p>
        </w:tc>
      </w:tr>
      <w:tr>
        <w:trPr>
          <w:jc w:val="center"/>
          <w:trHeight w:val="340"/>
          <w:tblHeader/>
        </w:trPr>
        <w:tc>
          <w:tcPr>
            <w:tcW w:w="576" w:type="pct"/>
            <w:vAlign w:val="center"/>
            <w:textDirection w:val="lrTb"/>
            <w:noWrap w:val="false"/>
          </w:tcPr>
          <w:p>
            <w:pPr>
              <w:jc w:val="center"/>
              <w:spacing w:line="400" w:lineRule="exact"/>
              <w:rPr>
                <w:rFonts w:hint="eastAsia" w:asciiTheme="minorEastAsia" w:hAnsiTheme="minorEastAsia"/>
                <w:b/>
                <w:bCs/>
                <w:color w:val="000000"/>
                <w:sz w:val="24"/>
                <w:szCs w:val="24"/>
              </w:rPr>
            </w:pPr>
            <w:r>
              <w:rPr>
                <w:rFonts w:asciiTheme="minorEastAsia" w:hAnsiTheme="minorEastAsia"/>
                <w:b/>
                <w:bCs/>
                <w:color w:val="000000"/>
                <w:sz w:val="24"/>
                <w:szCs w:val="24"/>
              </w:rPr>
              <w:t xml:space="preserve">序号</w:t>
            </w:r>
            <w:r/>
          </w:p>
        </w:tc>
        <w:tc>
          <w:tcPr>
            <w:tcW w:w="2578" w:type="pct"/>
            <w:vAlign w:val="center"/>
            <w:textDirection w:val="lrTb"/>
            <w:noWrap w:val="false"/>
          </w:tcPr>
          <w:p>
            <w:pPr>
              <w:jc w:val="center"/>
              <w:spacing w:line="400" w:lineRule="exact"/>
              <w:rPr>
                <w:rFonts w:hint="eastAsia" w:asciiTheme="minorEastAsia" w:hAnsiTheme="minorEastAsia"/>
                <w:b/>
                <w:bCs/>
                <w:color w:val="000000"/>
                <w:sz w:val="24"/>
                <w:szCs w:val="24"/>
              </w:rPr>
            </w:pPr>
            <w:r>
              <w:rPr>
                <w:rFonts w:asciiTheme="minorEastAsia" w:hAnsiTheme="minorEastAsia"/>
                <w:b/>
                <w:bCs/>
                <w:color w:val="000000"/>
                <w:sz w:val="24"/>
                <w:szCs w:val="24"/>
              </w:rPr>
              <w:t xml:space="preserve">分项名称</w:t>
            </w:r>
            <w:r/>
          </w:p>
        </w:tc>
        <w:tc>
          <w:tcPr>
            <w:tcW w:w="938" w:type="pct"/>
            <w:vAlign w:val="center"/>
            <w:textDirection w:val="lrTb"/>
            <w:noWrap w:val="false"/>
          </w:tcPr>
          <w:p>
            <w:pPr>
              <w:jc w:val="center"/>
              <w:spacing w:line="400" w:lineRule="exact"/>
              <w:rPr>
                <w:rFonts w:hint="eastAsia" w:asciiTheme="minorEastAsia" w:hAnsiTheme="minorEastAsia"/>
                <w:b/>
                <w:bCs/>
                <w:color w:val="000000"/>
                <w:sz w:val="24"/>
                <w:szCs w:val="24"/>
              </w:rPr>
            </w:pPr>
            <w:r>
              <w:rPr>
                <w:rFonts w:asciiTheme="minorEastAsia" w:hAnsiTheme="minorEastAsia"/>
                <w:b/>
                <w:bCs/>
                <w:color w:val="000000"/>
                <w:sz w:val="24"/>
                <w:szCs w:val="24"/>
              </w:rPr>
              <w:t xml:space="preserve">数量</w:t>
            </w:r>
            <w:r/>
          </w:p>
        </w:tc>
        <w:tc>
          <w:tcPr>
            <w:tcW w:w="907" w:type="pct"/>
            <w:vAlign w:val="center"/>
            <w:textDirection w:val="lrTb"/>
            <w:noWrap w:val="false"/>
          </w:tcPr>
          <w:p>
            <w:pPr>
              <w:jc w:val="center"/>
              <w:spacing w:line="400" w:lineRule="exact"/>
              <w:rPr>
                <w:rFonts w:hint="eastAsia" w:asciiTheme="minorEastAsia" w:hAnsiTheme="minorEastAsia"/>
                <w:b/>
                <w:bCs/>
                <w:color w:val="000000"/>
                <w:sz w:val="24"/>
                <w:szCs w:val="24"/>
              </w:rPr>
            </w:pPr>
            <w:r>
              <w:rPr>
                <w:rFonts w:asciiTheme="minorEastAsia" w:hAnsiTheme="minorEastAsia"/>
                <w:b/>
                <w:bCs/>
                <w:color w:val="000000"/>
                <w:sz w:val="24"/>
                <w:szCs w:val="24"/>
              </w:rPr>
              <w:t xml:space="preserve">单位</w:t>
            </w:r>
            <w:r/>
          </w:p>
        </w:tc>
      </w:tr>
      <w:tr>
        <w:trPr>
          <w:jc w:val="center"/>
          <w:trHeight w:val="340"/>
        </w:trPr>
        <w:tc>
          <w:tcPr>
            <w:tcW w:w="576" w:type="pct"/>
            <w:vAlign w:val="center"/>
            <w:textDirection w:val="lrTb"/>
            <w:noWrap w:val="false"/>
          </w:tcPr>
          <w:p>
            <w:pPr>
              <w:jc w:val="center"/>
              <w:spacing w:line="400" w:lineRule="exact"/>
              <w:rPr>
                <w:rFonts w:hint="eastAsia" w:asciiTheme="minorEastAsia" w:hAnsiTheme="minorEastAsia"/>
                <w:b/>
                <w:bCs/>
                <w:sz w:val="24"/>
                <w:szCs w:val="24"/>
              </w:rPr>
            </w:pPr>
            <w:r>
              <w:rPr>
                <w:rFonts w:hint="eastAsia" w:asciiTheme="minorEastAsia" w:hAnsiTheme="minorEastAsia"/>
                <w:b/>
                <w:bCs/>
                <w:sz w:val="24"/>
                <w:szCs w:val="24"/>
              </w:rPr>
              <w:t xml:space="preserve">1</w:t>
            </w:r>
            <w:r/>
          </w:p>
        </w:tc>
        <w:tc>
          <w:tcPr>
            <w:gridSpan w:val="3"/>
            <w:tcW w:w="4423" w:type="pct"/>
            <w:textDirection w:val="lrTb"/>
            <w:noWrap w:val="false"/>
          </w:tcPr>
          <w:p>
            <w:pPr>
              <w:jc w:val="left"/>
              <w:spacing w:line="400" w:lineRule="exact"/>
              <w:rPr>
                <w:rFonts w:hint="eastAsia" w:asciiTheme="minorEastAsia" w:hAnsiTheme="minorEastAsia"/>
                <w:b/>
                <w:bCs/>
                <w:color w:val="000000"/>
                <w:sz w:val="24"/>
                <w:szCs w:val="24"/>
              </w:rPr>
            </w:pPr>
            <w:r>
              <w:rPr>
                <w:rFonts w:hint="eastAsia" w:asciiTheme="minorEastAsia" w:hAnsiTheme="minorEastAsia"/>
                <w:b/>
                <w:bCs/>
                <w:sz w:val="24"/>
                <w:szCs w:val="24"/>
              </w:rPr>
              <w:t xml:space="preserve">数据治理实施</w:t>
            </w:r>
            <w:r/>
          </w:p>
        </w:tc>
      </w:tr>
      <w:tr>
        <w:trPr>
          <w:jc w:val="center"/>
          <w:trHeight w:val="340"/>
        </w:trPr>
        <w:tc>
          <w:tcPr>
            <w:tcW w:w="576" w:type="pct"/>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1.1</w:t>
            </w:r>
            <w:r/>
          </w:p>
        </w:tc>
        <w:tc>
          <w:tcPr>
            <w:tcW w:w="2578" w:type="pct"/>
            <w:textDirection w:val="lrTb"/>
            <w:noWrap w:val="false"/>
          </w:tcPr>
          <w:p>
            <w:pPr>
              <w:jc w:val="left"/>
              <w:spacing w:line="400" w:lineRule="exact"/>
              <w:rPr>
                <w:rFonts w:hint="eastAsia" w:asciiTheme="minorEastAsia" w:hAnsiTheme="minorEastAsia"/>
                <w:sz w:val="24"/>
                <w:szCs w:val="24"/>
              </w:rPr>
            </w:pPr>
            <w:r>
              <w:rPr>
                <w:rFonts w:hint="eastAsia" w:asciiTheme="minorEastAsia" w:hAnsiTheme="minorEastAsia"/>
                <w:sz w:val="24"/>
                <w:szCs w:val="24"/>
              </w:rPr>
              <w:t xml:space="preserve">数据资源现状梳理</w:t>
            </w:r>
            <w:r/>
          </w:p>
        </w:tc>
        <w:tc>
          <w:tcPr>
            <w:tcW w:w="938" w:type="pct"/>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907" w:type="pct"/>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576" w:type="pct"/>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1.2</w:t>
            </w:r>
            <w:r/>
          </w:p>
        </w:tc>
        <w:tc>
          <w:tcPr>
            <w:tcW w:w="2578" w:type="pct"/>
            <w:textDirection w:val="lrTb"/>
            <w:noWrap w:val="false"/>
          </w:tcPr>
          <w:p>
            <w:pPr>
              <w:jc w:val="left"/>
              <w:spacing w:line="400" w:lineRule="exact"/>
              <w:rPr>
                <w:rFonts w:hint="eastAsia" w:asciiTheme="minorEastAsia" w:hAnsiTheme="minorEastAsia"/>
                <w:sz w:val="24"/>
                <w:szCs w:val="24"/>
              </w:rPr>
            </w:pPr>
            <w:r>
              <w:rPr>
                <w:rFonts w:hint="eastAsia" w:asciiTheme="minorEastAsia" w:hAnsiTheme="minorEastAsia"/>
                <w:sz w:val="24"/>
                <w:szCs w:val="24"/>
              </w:rPr>
              <w:t xml:space="preserve">数据汇聚</w:t>
            </w:r>
            <w:r/>
          </w:p>
        </w:tc>
        <w:tc>
          <w:tcPr>
            <w:tcW w:w="938" w:type="pct"/>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907" w:type="pct"/>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576" w:type="pct"/>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1.3</w:t>
            </w:r>
            <w:r/>
          </w:p>
        </w:tc>
        <w:tc>
          <w:tcPr>
            <w:tcW w:w="2578" w:type="pct"/>
            <w:textDirection w:val="lrTb"/>
            <w:noWrap w:val="false"/>
          </w:tcPr>
          <w:p>
            <w:pPr>
              <w:jc w:val="left"/>
              <w:spacing w:line="400" w:lineRule="exact"/>
              <w:rPr>
                <w:rFonts w:hint="eastAsia" w:asciiTheme="minorEastAsia" w:hAnsiTheme="minorEastAsia"/>
                <w:sz w:val="24"/>
                <w:szCs w:val="24"/>
              </w:rPr>
            </w:pPr>
            <w:r>
              <w:rPr>
                <w:rFonts w:hint="eastAsia" w:asciiTheme="minorEastAsia" w:hAnsiTheme="minorEastAsia"/>
                <w:sz w:val="24"/>
                <w:szCs w:val="24"/>
              </w:rPr>
              <w:t xml:space="preserve">数据开发实施</w:t>
            </w:r>
            <w:r/>
          </w:p>
        </w:tc>
        <w:tc>
          <w:tcPr>
            <w:tcW w:w="938" w:type="pct"/>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907" w:type="pct"/>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576" w:type="pct"/>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1.4</w:t>
            </w:r>
            <w:r/>
          </w:p>
        </w:tc>
        <w:tc>
          <w:tcPr>
            <w:tcW w:w="2578" w:type="pct"/>
            <w:textDirection w:val="lrTb"/>
            <w:noWrap w:val="false"/>
          </w:tcPr>
          <w:p>
            <w:pPr>
              <w:jc w:val="left"/>
              <w:spacing w:line="400" w:lineRule="exact"/>
              <w:rPr>
                <w:rFonts w:hint="eastAsia" w:asciiTheme="minorEastAsia" w:hAnsiTheme="minorEastAsia"/>
                <w:sz w:val="24"/>
                <w:szCs w:val="24"/>
              </w:rPr>
            </w:pPr>
            <w:r>
              <w:rPr>
                <w:rFonts w:hint="eastAsia" w:asciiTheme="minorEastAsia" w:hAnsiTheme="minorEastAsia"/>
                <w:sz w:val="24"/>
                <w:szCs w:val="24"/>
              </w:rPr>
              <w:t xml:space="preserve">数据资源池建设</w:t>
            </w:r>
            <w:r/>
          </w:p>
        </w:tc>
        <w:tc>
          <w:tcPr>
            <w:tcW w:w="938" w:type="pct"/>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907" w:type="pct"/>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576" w:type="pct"/>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1.5</w:t>
            </w:r>
            <w:r/>
          </w:p>
        </w:tc>
        <w:tc>
          <w:tcPr>
            <w:tcW w:w="2578" w:type="pct"/>
            <w:textDirection w:val="lrTb"/>
            <w:noWrap w:val="false"/>
          </w:tcPr>
          <w:p>
            <w:pPr>
              <w:jc w:val="left"/>
              <w:spacing w:line="400" w:lineRule="exact"/>
              <w:rPr>
                <w:rFonts w:hint="eastAsia" w:asciiTheme="minorEastAsia" w:hAnsiTheme="minorEastAsia"/>
                <w:sz w:val="24"/>
                <w:szCs w:val="24"/>
              </w:rPr>
            </w:pPr>
            <w:r>
              <w:rPr>
                <w:rFonts w:hint="eastAsia" w:asciiTheme="minorEastAsia" w:hAnsiTheme="minorEastAsia"/>
                <w:sz w:val="24"/>
                <w:szCs w:val="24"/>
              </w:rPr>
              <w:t xml:space="preserve">数据服务封装实施</w:t>
            </w:r>
            <w:r/>
          </w:p>
        </w:tc>
        <w:tc>
          <w:tcPr>
            <w:tcW w:w="938" w:type="pct"/>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907" w:type="pct"/>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576" w:type="pct"/>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1.6</w:t>
            </w:r>
            <w:r/>
          </w:p>
        </w:tc>
        <w:tc>
          <w:tcPr>
            <w:tcW w:w="2578" w:type="pct"/>
            <w:textDirection w:val="lrTb"/>
            <w:noWrap w:val="false"/>
          </w:tcPr>
          <w:p>
            <w:pPr>
              <w:jc w:val="left"/>
              <w:spacing w:line="400" w:lineRule="exact"/>
              <w:rPr>
                <w:rFonts w:hint="eastAsia" w:asciiTheme="minorEastAsia" w:hAnsiTheme="minorEastAsia"/>
                <w:sz w:val="24"/>
                <w:szCs w:val="24"/>
              </w:rPr>
            </w:pPr>
            <w:r>
              <w:rPr>
                <w:rFonts w:hint="eastAsia" w:asciiTheme="minorEastAsia" w:hAnsiTheme="minorEastAsia"/>
                <w:sz w:val="24"/>
                <w:szCs w:val="24"/>
              </w:rPr>
              <w:t xml:space="preserve">数据运维</w:t>
            </w:r>
            <w:r/>
          </w:p>
        </w:tc>
        <w:tc>
          <w:tcPr>
            <w:tcW w:w="938" w:type="pct"/>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907" w:type="pct"/>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576" w:type="pct"/>
            <w:vAlign w:val="center"/>
            <w:textDirection w:val="lrTb"/>
            <w:noWrap w:val="false"/>
          </w:tcPr>
          <w:p>
            <w:pPr>
              <w:jc w:val="center"/>
              <w:spacing w:line="400" w:lineRule="exact"/>
              <w:rPr>
                <w:rFonts w:hint="eastAsia" w:asciiTheme="minorEastAsia" w:hAnsiTheme="minorEastAsia" w:eastAsiaTheme="minorEastAsia"/>
                <w:b/>
                <w:bCs/>
                <w:sz w:val="24"/>
                <w:szCs w:val="24"/>
              </w:rPr>
            </w:pPr>
            <w:r>
              <w:rPr>
                <w:rFonts w:hint="eastAsia" w:asciiTheme="minorEastAsia" w:hAnsiTheme="minorEastAsia"/>
                <w:b/>
                <w:bCs/>
                <w:sz w:val="24"/>
                <w:szCs w:val="24"/>
              </w:rPr>
              <w:t xml:space="preserve">2</w:t>
            </w:r>
            <w:r/>
          </w:p>
        </w:tc>
        <w:tc>
          <w:tcPr>
            <w:tcW w:w="2578" w:type="pct"/>
            <w:textDirection w:val="lrTb"/>
            <w:noWrap w:val="false"/>
          </w:tcPr>
          <w:p>
            <w:pPr>
              <w:jc w:val="left"/>
              <w:spacing w:line="400" w:lineRule="exact"/>
              <w:rPr>
                <w:rFonts w:hint="eastAsia" w:asciiTheme="minorEastAsia" w:hAnsiTheme="minorEastAsia"/>
                <w:b/>
                <w:bCs/>
                <w:sz w:val="24"/>
                <w:szCs w:val="24"/>
              </w:rPr>
            </w:pPr>
            <w:r>
              <w:rPr>
                <w:rFonts w:hint="eastAsia" w:asciiTheme="minorEastAsia" w:hAnsiTheme="minorEastAsia"/>
                <w:b/>
                <w:bCs/>
                <w:sz w:val="24"/>
                <w:szCs w:val="24"/>
              </w:rPr>
              <w:t xml:space="preserve">信息资源共享</w:t>
            </w:r>
            <w:r/>
          </w:p>
        </w:tc>
        <w:tc>
          <w:tcPr>
            <w:tcW w:w="938" w:type="pct"/>
            <w:vAlign w:val="center"/>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907" w:type="pct"/>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项</w:t>
            </w:r>
            <w:r/>
          </w:p>
        </w:tc>
      </w:tr>
      <w:tr>
        <w:trPr>
          <w:jc w:val="center"/>
          <w:trHeight w:val="340"/>
        </w:trPr>
        <w:tc>
          <w:tcPr>
            <w:tcW w:w="576" w:type="pct"/>
            <w:vAlign w:val="center"/>
            <w:textDirection w:val="lrTb"/>
            <w:noWrap w:val="false"/>
          </w:tcPr>
          <w:p>
            <w:pPr>
              <w:jc w:val="center"/>
              <w:spacing w:line="400" w:lineRule="exact"/>
              <w:rPr>
                <w:rFonts w:hint="eastAsia" w:asciiTheme="minorEastAsia" w:hAnsiTheme="minorEastAsia" w:eastAsiaTheme="minorEastAsia"/>
                <w:b/>
                <w:bCs/>
                <w:sz w:val="24"/>
                <w:szCs w:val="24"/>
              </w:rPr>
            </w:pPr>
            <w:r>
              <w:rPr>
                <w:rFonts w:hint="eastAsia" w:asciiTheme="minorEastAsia" w:hAnsiTheme="minorEastAsia"/>
                <w:b/>
                <w:bCs/>
                <w:sz w:val="24"/>
                <w:szCs w:val="24"/>
              </w:rPr>
              <w:t xml:space="preserve">3</w:t>
            </w:r>
            <w:r/>
          </w:p>
        </w:tc>
        <w:tc>
          <w:tcPr>
            <w:tcW w:w="2578" w:type="pct"/>
            <w:textDirection w:val="lrTb"/>
            <w:noWrap w:val="false"/>
          </w:tcPr>
          <w:p>
            <w:pPr>
              <w:jc w:val="left"/>
              <w:spacing w:line="400" w:lineRule="exact"/>
              <w:widowControl/>
              <w:rPr>
                <w:rFonts w:hint="eastAsia" w:asciiTheme="minorEastAsia" w:hAnsiTheme="minorEastAsia"/>
                <w:b/>
                <w:bCs/>
                <w:sz w:val="24"/>
                <w:szCs w:val="24"/>
              </w:rPr>
            </w:pPr>
            <w:r>
              <w:rPr>
                <w:rFonts w:hint="eastAsia" w:asciiTheme="minorEastAsia" w:hAnsiTheme="minorEastAsia"/>
                <w:b/>
                <w:bCs/>
                <w:sz w:val="24"/>
                <w:szCs w:val="24"/>
              </w:rPr>
              <w:t xml:space="preserve">与市级数据对接</w:t>
            </w:r>
            <w:r/>
          </w:p>
        </w:tc>
        <w:tc>
          <w:tcPr>
            <w:tcW w:w="938" w:type="pct"/>
            <w:vAlign w:val="center"/>
            <w:textDirection w:val="lrTb"/>
            <w:noWrap w:val="false"/>
          </w:tcPr>
          <w:p>
            <w:pPr>
              <w:jc w:val="center"/>
              <w:spacing w:line="400" w:lineRule="exact"/>
              <w:rPr>
                <w:rFonts w:hint="eastAsia" w:asciiTheme="minorEastAsia" w:hAnsiTheme="minorEastAsia"/>
                <w:sz w:val="24"/>
                <w:szCs w:val="24"/>
              </w:rPr>
            </w:pPr>
            <w:r>
              <w:rPr>
                <w:rFonts w:asciiTheme="minorEastAsia" w:hAnsiTheme="minorEastAsia"/>
                <w:sz w:val="24"/>
                <w:szCs w:val="24"/>
              </w:rPr>
              <w:t xml:space="preserve">1</w:t>
            </w:r>
            <w:r/>
          </w:p>
        </w:tc>
        <w:tc>
          <w:tcPr>
            <w:tcW w:w="907" w:type="pct"/>
            <w:textDirection w:val="lrTb"/>
            <w:noWrap w:val="false"/>
          </w:tcPr>
          <w:p>
            <w:pPr>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项</w:t>
            </w:r>
            <w:r/>
          </w:p>
        </w:tc>
      </w:tr>
    </w:tbl>
    <w:p>
      <w:pPr>
        <w:ind w:firstLine="482"/>
        <w:spacing w:line="360" w:lineRule="auto"/>
        <w:rPr>
          <w:rFonts w:hint="eastAsia" w:asciiTheme="minorEastAsia" w:hAnsiTheme="minorEastAsia"/>
          <w:b/>
          <w:bCs/>
          <w:sz w:val="24"/>
          <w:szCs w:val="24"/>
        </w:rPr>
      </w:pPr>
      <w:r>
        <w:rPr>
          <w:rFonts w:hint="eastAsia" w:asciiTheme="minorEastAsia" w:hAnsiTheme="minorEastAsia"/>
          <w:b/>
          <w:bCs/>
          <w:sz w:val="24"/>
          <w:szCs w:val="24"/>
        </w:rPr>
        <w:t xml:space="preserve">具体要求如下：</w:t>
      </w:r>
      <w:r/>
    </w:p>
    <w:p>
      <w:pPr>
        <w:ind w:firstLine="482"/>
        <w:spacing w:line="360" w:lineRule="auto"/>
        <w:rPr>
          <w:rFonts w:hint="eastAsia" w:asciiTheme="minorEastAsia" w:hAnsiTheme="minorEastAsia"/>
          <w:b/>
          <w:bCs/>
          <w:sz w:val="24"/>
          <w:szCs w:val="24"/>
        </w:rPr>
      </w:pPr>
      <w:r>
        <w:rPr>
          <w:rFonts w:hint="eastAsia" w:asciiTheme="minorEastAsia" w:hAnsiTheme="minorEastAsia"/>
          <w:b/>
          <w:bCs/>
          <w:sz w:val="24"/>
          <w:szCs w:val="24"/>
        </w:rPr>
        <w:t xml:space="preserve">1.数据治理实施要求</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本项目需制定详细的数据资源梳理、数据汇聚、数据开发实施、数据资源池建设、数据服务封装实施、数据运维等数据治理服务方案，为上层业务应用提供数据支持和服务支撑。</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1.1</w:t>
      </w:r>
      <w:r>
        <w:rPr>
          <w:rFonts w:asciiTheme="minorEastAsia" w:hAnsiTheme="minorEastAsia"/>
          <w:sz w:val="24"/>
          <w:szCs w:val="24"/>
        </w:rPr>
        <w:t xml:space="preserve">数据资源</w:t>
      </w:r>
      <w:r>
        <w:rPr>
          <w:rFonts w:hint="eastAsia" w:asciiTheme="minorEastAsia" w:hAnsiTheme="minorEastAsia"/>
          <w:sz w:val="24"/>
          <w:szCs w:val="24"/>
        </w:rPr>
        <w:t xml:space="preserve">现状</w:t>
      </w:r>
      <w:r>
        <w:rPr>
          <w:rFonts w:asciiTheme="minorEastAsia" w:hAnsiTheme="minorEastAsia"/>
          <w:sz w:val="24"/>
          <w:szCs w:val="24"/>
        </w:rPr>
        <w:t xml:space="preserve">梳理</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制定业务数据需求模版，通过梳理、调研对接、会议评审等方式完成业务数据需求清单，需包括梳理后的业务数据需求、数据来源，梳理后的数据资源核对、梳理后的数据资源任务、数据资源梳理成果输出等工作。</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1.2</w:t>
      </w:r>
      <w:r>
        <w:rPr>
          <w:rFonts w:asciiTheme="minorEastAsia" w:hAnsiTheme="minorEastAsia"/>
          <w:sz w:val="24"/>
          <w:szCs w:val="24"/>
        </w:rPr>
        <w:t xml:space="preserve">数据汇聚</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通过定义数据汇聚环节的流程、方法和流转机制，</w:t>
      </w:r>
      <w:r>
        <w:rPr>
          <w:rFonts w:hint="eastAsia" w:asciiTheme="minorEastAsia" w:hAnsiTheme="minorEastAsia"/>
          <w:sz w:val="24"/>
          <w:szCs w:val="24"/>
        </w:rPr>
        <w:t xml:space="preserve">结合省、市数据数据对接规范，确定东海县</w:t>
      </w:r>
      <w:r>
        <w:rPr>
          <w:rFonts w:asciiTheme="minorEastAsia" w:hAnsiTheme="minorEastAsia"/>
          <w:sz w:val="24"/>
          <w:szCs w:val="24"/>
        </w:rPr>
        <w:t xml:space="preserve">城市生命线汇聚数据的范围、信息分类、信息项、信息源头等数据描述，汇聚</w:t>
      </w:r>
      <w:r>
        <w:rPr>
          <w:rFonts w:hint="eastAsia" w:asciiTheme="minorEastAsia" w:hAnsiTheme="minorEastAsia"/>
          <w:sz w:val="24"/>
          <w:szCs w:val="24"/>
        </w:rPr>
        <w:t xml:space="preserve">住建局、应急局等监管</w:t>
      </w:r>
      <w:r>
        <w:rPr>
          <w:rFonts w:asciiTheme="minorEastAsia" w:hAnsiTheme="minorEastAsia"/>
          <w:sz w:val="24"/>
          <w:szCs w:val="24"/>
        </w:rPr>
        <w:t xml:space="preserve">部门行业监管系统，燃气</w:t>
      </w:r>
      <w:r>
        <w:rPr>
          <w:rFonts w:hint="eastAsia" w:asciiTheme="minorEastAsia" w:hAnsiTheme="minorEastAsia"/>
          <w:sz w:val="24"/>
          <w:szCs w:val="24"/>
        </w:rPr>
        <w:t xml:space="preserve">企业</w:t>
      </w:r>
      <w:r>
        <w:rPr>
          <w:rFonts w:asciiTheme="minorEastAsia" w:hAnsiTheme="minorEastAsia"/>
          <w:sz w:val="24"/>
          <w:szCs w:val="24"/>
        </w:rPr>
        <w:t xml:space="preserve">、</w:t>
      </w:r>
      <w:r>
        <w:rPr>
          <w:rFonts w:hint="eastAsia" w:asciiTheme="minorEastAsia" w:hAnsiTheme="minorEastAsia"/>
          <w:sz w:val="24"/>
          <w:szCs w:val="24"/>
        </w:rPr>
        <w:t xml:space="preserve">自来水</w:t>
      </w:r>
      <w:r>
        <w:rPr>
          <w:rFonts w:asciiTheme="minorEastAsia" w:hAnsiTheme="minorEastAsia"/>
          <w:sz w:val="24"/>
          <w:szCs w:val="24"/>
        </w:rPr>
        <w:t xml:space="preserve">公司等权属单位信息系统数据，提供数据汇聚对接方案，需包括数据汇聚对接方式、前置库实施、数据汇聚实施流程、专项数据汇聚对接等。</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1.3</w:t>
      </w:r>
      <w:r>
        <w:rPr>
          <w:rFonts w:asciiTheme="minorEastAsia" w:hAnsiTheme="minorEastAsia"/>
          <w:sz w:val="24"/>
          <w:szCs w:val="24"/>
        </w:rPr>
        <w:t xml:space="preserve">数据开发实施</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通过对数据进行加工处理，完成对目标数据的高标准、高质量、高可用的转变，需包括数据治理流程、数据治理对象、数据探查实施、数据标准检测、数据质量稽查、数据模型开发、数据资产管理等工作。</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1.4</w:t>
      </w:r>
      <w:r>
        <w:rPr>
          <w:rFonts w:asciiTheme="minorEastAsia" w:hAnsiTheme="minorEastAsia"/>
          <w:sz w:val="24"/>
          <w:szCs w:val="24"/>
        </w:rPr>
        <w:t xml:space="preserve">数据资源池建设</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按照数据标准要求，统一规划资源，通过对数据资源进行标准统一、流程规范的组织与挖掘，整合城市生命线基础设施数据、监测数据、监管数据，依托</w:t>
      </w:r>
      <w:r>
        <w:rPr>
          <w:rFonts w:hint="eastAsia" w:asciiTheme="minorEastAsia" w:hAnsiTheme="minorEastAsia"/>
          <w:sz w:val="24"/>
          <w:szCs w:val="24"/>
        </w:rPr>
        <w:t xml:space="preserve">连云港市城市生命线安全建设一期工程（城市基础设施安全运行智慧监管系统）</w:t>
      </w:r>
      <w:r>
        <w:rPr>
          <w:rFonts w:asciiTheme="minorEastAsia" w:hAnsiTheme="minorEastAsia"/>
          <w:sz w:val="24"/>
          <w:szCs w:val="24"/>
        </w:rPr>
        <w:t xml:space="preserve">数据治理中心工具，建设数据库，为综合展示、数据服务、领导决策等提供数据支撑，需包括归集库、主题库、专题库等建设。</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1.5</w:t>
      </w:r>
      <w:r>
        <w:rPr>
          <w:rFonts w:asciiTheme="minorEastAsia" w:hAnsiTheme="minorEastAsia"/>
          <w:sz w:val="24"/>
          <w:szCs w:val="24"/>
        </w:rPr>
        <w:t xml:space="preserve">数据服务封装实施</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依托</w:t>
      </w:r>
      <w:r>
        <w:rPr>
          <w:rFonts w:hint="eastAsia" w:asciiTheme="minorEastAsia" w:hAnsiTheme="minorEastAsia"/>
          <w:sz w:val="24"/>
          <w:szCs w:val="24"/>
        </w:rPr>
        <w:t xml:space="preserve">连云港市城市生命线安全建设一期工程（城市基础设施安全运行智慧监管系统）</w:t>
      </w:r>
      <w:r>
        <w:rPr>
          <w:rFonts w:asciiTheme="minorEastAsia" w:hAnsiTheme="minorEastAsia"/>
          <w:sz w:val="24"/>
          <w:szCs w:val="24"/>
        </w:rPr>
        <w:t xml:space="preserve">数据服务工具，开发各类数据接口并组织整合，针对外部系统和跨行业应用，提供数据资源池中的数据资源查询和下载服务。</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1.6</w:t>
      </w:r>
      <w:r>
        <w:rPr>
          <w:rFonts w:asciiTheme="minorEastAsia" w:hAnsiTheme="minorEastAsia"/>
          <w:sz w:val="24"/>
          <w:szCs w:val="24"/>
        </w:rPr>
        <w:t xml:space="preserve">数据运维</w:t>
      </w:r>
      <w:r/>
    </w:p>
    <w:p>
      <w:pPr>
        <w:ind w:firstLine="480"/>
        <w:spacing w:line="360" w:lineRule="auto"/>
        <w:rPr>
          <w:rFonts w:hint="eastAsia" w:asciiTheme="minorEastAsia" w:hAnsiTheme="minorEastAsia"/>
          <w:sz w:val="24"/>
          <w:szCs w:val="24"/>
        </w:rPr>
      </w:pPr>
      <w:r>
        <w:rPr>
          <w:rFonts w:asciiTheme="minorEastAsia" w:hAnsiTheme="minorEastAsia"/>
          <w:sz w:val="24"/>
          <w:szCs w:val="24"/>
        </w:rPr>
        <w:t xml:space="preserve">包括数据资产管理实施、数据汇聚实施、数据开发实施、数据服务封装实施等过程监控，对异常状态进行告警和处置，实现对数据治理各个环节的实时监控和管理。</w:t>
      </w:r>
      <w:r/>
    </w:p>
    <w:p>
      <w:pPr>
        <w:pStyle w:val="710"/>
        <w:ind w:firstLine="482"/>
        <w:spacing w:line="360" w:lineRule="auto"/>
        <w:rPr>
          <w:rFonts w:hint="eastAsia" w:asciiTheme="minorEastAsia" w:hAnsiTheme="minorEastAsia" w:eastAsiaTheme="minorEastAsia"/>
          <w:b/>
          <w:bCs/>
          <w:sz w:val="24"/>
          <w:szCs w:val="24"/>
        </w:rPr>
      </w:pPr>
      <w:r>
        <w:rPr>
          <w:rFonts w:hint="eastAsia" w:asciiTheme="minorEastAsia" w:hAnsiTheme="minorEastAsia"/>
          <w:b/>
          <w:bCs/>
          <w:sz w:val="24"/>
          <w:szCs w:val="24"/>
        </w:rPr>
        <w:t xml:space="preserve">2</w:t>
      </w:r>
      <w:r>
        <w:rPr>
          <w:rFonts w:hint="eastAsia" w:asciiTheme="minorEastAsia" w:hAnsiTheme="minorEastAsia" w:eastAsiaTheme="minorEastAsia"/>
          <w:b/>
          <w:bCs/>
          <w:sz w:val="24"/>
          <w:szCs w:val="24"/>
        </w:rPr>
        <w:t xml:space="preserve">.信息资源共享</w:t>
      </w:r>
      <w:r/>
    </w:p>
    <w:p>
      <w:pPr>
        <w:pStyle w:val="710"/>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根据相关建设要求，本项目需将主题库、专题库中的数据进行整理，通过</w:t>
      </w:r>
      <w:r>
        <w:rPr>
          <w:rFonts w:hint="eastAsia" w:asciiTheme="minorEastAsia" w:hAnsiTheme="minorEastAsia"/>
          <w:sz w:val="24"/>
          <w:szCs w:val="24"/>
        </w:rPr>
        <w:t xml:space="preserve">连云港市城市生命线安全建设一期工程（城市基础设施安全运行智慧监管系统）</w:t>
      </w:r>
      <w:r>
        <w:rPr>
          <w:rFonts w:asciiTheme="minorEastAsia" w:hAnsiTheme="minorEastAsia" w:eastAsiaTheme="minorEastAsia"/>
          <w:sz w:val="24"/>
          <w:szCs w:val="24"/>
        </w:rPr>
        <w:t xml:space="preserve">进行数据共享，供相关部门使用，需结合本项目实际情况，</w:t>
      </w:r>
      <w:r>
        <w:rPr>
          <w:rFonts w:hint="eastAsia" w:asciiTheme="minorEastAsia" w:hAnsiTheme="minorEastAsia" w:eastAsiaTheme="minorEastAsia"/>
          <w:sz w:val="24"/>
          <w:szCs w:val="24"/>
        </w:rPr>
        <w:t xml:space="preserve">制定</w:t>
      </w:r>
      <w:r>
        <w:rPr>
          <w:rFonts w:asciiTheme="minorEastAsia" w:hAnsiTheme="minorEastAsia" w:eastAsiaTheme="minorEastAsia"/>
          <w:sz w:val="24"/>
          <w:szCs w:val="24"/>
        </w:rPr>
        <w:t xml:space="preserve">本项目的信息资源共享方案。</w:t>
      </w:r>
      <w:r/>
    </w:p>
    <w:p>
      <w:pPr>
        <w:pStyle w:val="710"/>
        <w:ind w:firstLine="482"/>
        <w:spacing w:line="360" w:lineRule="auto"/>
        <w:rPr>
          <w:rFonts w:hint="eastAsia" w:asciiTheme="minorEastAsia" w:hAnsiTheme="minorEastAsia" w:eastAsiaTheme="minorEastAsia"/>
          <w:b/>
          <w:bCs/>
          <w:sz w:val="24"/>
          <w:szCs w:val="24"/>
        </w:rPr>
      </w:pPr>
      <w:r>
        <w:rPr>
          <w:rFonts w:hint="eastAsia" w:asciiTheme="minorEastAsia" w:hAnsiTheme="minorEastAsia"/>
          <w:b/>
          <w:bCs/>
          <w:sz w:val="24"/>
          <w:szCs w:val="24"/>
        </w:rPr>
        <w:t xml:space="preserve">3</w:t>
      </w:r>
      <w:r>
        <w:rPr>
          <w:rFonts w:hint="eastAsia" w:asciiTheme="minorEastAsia" w:hAnsiTheme="minorEastAsia" w:eastAsiaTheme="minorEastAsia"/>
          <w:b/>
          <w:bCs/>
          <w:sz w:val="24"/>
          <w:szCs w:val="24"/>
        </w:rPr>
        <w:t xml:space="preserve">.</w:t>
      </w:r>
      <w:r>
        <w:rPr>
          <w:rFonts w:hint="eastAsia" w:asciiTheme="minorEastAsia" w:hAnsiTheme="minorEastAsia"/>
          <w:b/>
          <w:bCs/>
          <w:sz w:val="24"/>
          <w:szCs w:val="24"/>
        </w:rPr>
        <w:t xml:space="preserve">与</w:t>
      </w:r>
      <w:r>
        <w:rPr>
          <w:rFonts w:hint="eastAsia" w:asciiTheme="minorEastAsia" w:hAnsiTheme="minorEastAsia" w:eastAsiaTheme="minorEastAsia"/>
          <w:b/>
          <w:bCs/>
          <w:sz w:val="24"/>
          <w:szCs w:val="24"/>
        </w:rPr>
        <w:t xml:space="preserve">市</w:t>
      </w:r>
      <w:r>
        <w:rPr>
          <w:rFonts w:hint="eastAsia" w:asciiTheme="minorEastAsia" w:hAnsiTheme="minorEastAsia"/>
          <w:b/>
          <w:bCs/>
          <w:sz w:val="24"/>
          <w:szCs w:val="24"/>
        </w:rPr>
        <w:t xml:space="preserve">级</w:t>
      </w:r>
      <w:r>
        <w:rPr>
          <w:rFonts w:hint="eastAsia" w:asciiTheme="minorEastAsia" w:hAnsiTheme="minorEastAsia" w:eastAsiaTheme="minorEastAsia"/>
          <w:b/>
          <w:bCs/>
          <w:sz w:val="24"/>
          <w:szCs w:val="24"/>
        </w:rPr>
        <w:t xml:space="preserve">数据对接</w:t>
      </w:r>
      <w:r/>
    </w:p>
    <w:p>
      <w:pPr>
        <w:pStyle w:val="710"/>
        <w:ind w:firstLine="480"/>
        <w:spacing w:line="360" w:lineRule="auto"/>
      </w:pPr>
      <w:r>
        <w:rPr>
          <w:rFonts w:asciiTheme="minorEastAsia" w:hAnsiTheme="minorEastAsia" w:eastAsiaTheme="minorEastAsia"/>
          <w:sz w:val="24"/>
          <w:szCs w:val="24"/>
        </w:rPr>
        <w:t xml:space="preserve">从市</w:t>
      </w:r>
      <w:r>
        <w:rPr>
          <w:rFonts w:hint="eastAsia" w:asciiTheme="minorEastAsia" w:hAnsiTheme="minorEastAsia"/>
          <w:sz w:val="24"/>
          <w:szCs w:val="24"/>
        </w:rPr>
        <w:t xml:space="preserve">级</w:t>
      </w:r>
      <w:r>
        <w:rPr>
          <w:rFonts w:asciiTheme="minorEastAsia" w:hAnsiTheme="minorEastAsia" w:eastAsiaTheme="minorEastAsia"/>
          <w:sz w:val="24"/>
          <w:szCs w:val="24"/>
        </w:rPr>
        <w:t xml:space="preserve">数据对接</w:t>
      </w:r>
      <w:r>
        <w:rPr>
          <w:rFonts w:hint="eastAsia" w:asciiTheme="minorEastAsia" w:hAnsiTheme="minorEastAsia"/>
          <w:sz w:val="24"/>
          <w:szCs w:val="24"/>
        </w:rPr>
        <w:t xml:space="preserve">要求</w:t>
      </w:r>
      <w:r>
        <w:rPr>
          <w:rFonts w:asciiTheme="minorEastAsia" w:hAnsiTheme="minorEastAsia" w:eastAsiaTheme="minorEastAsia"/>
          <w:sz w:val="24"/>
          <w:szCs w:val="24"/>
        </w:rPr>
        <w:t xml:space="preserve">方面提出</w:t>
      </w:r>
      <w:r>
        <w:rPr>
          <w:rFonts w:hint="eastAsia" w:asciiTheme="minorEastAsia" w:hAnsiTheme="minorEastAsia"/>
          <w:sz w:val="24"/>
          <w:szCs w:val="24"/>
        </w:rPr>
        <w:t xml:space="preserve">东海县</w:t>
      </w:r>
      <w:r>
        <w:rPr>
          <w:rFonts w:asciiTheme="minorEastAsia" w:hAnsiTheme="minorEastAsia" w:eastAsiaTheme="minorEastAsia"/>
          <w:sz w:val="24"/>
          <w:szCs w:val="24"/>
        </w:rPr>
        <w:t xml:space="preserve">城市生命线库表、消息、文件、视频等类型数据的接入、治理、同步上传的市</w:t>
      </w:r>
      <w:r>
        <w:rPr>
          <w:rFonts w:hint="eastAsia" w:asciiTheme="minorEastAsia" w:hAnsiTheme="minorEastAsia"/>
          <w:sz w:val="24"/>
          <w:szCs w:val="24"/>
        </w:rPr>
        <w:t xml:space="preserve">级</w:t>
      </w:r>
      <w:r>
        <w:rPr>
          <w:rFonts w:asciiTheme="minorEastAsia" w:hAnsiTheme="minorEastAsia" w:eastAsiaTheme="minorEastAsia"/>
          <w:sz w:val="24"/>
          <w:szCs w:val="24"/>
        </w:rPr>
        <w:t xml:space="preserve">数据对接实施。</w:t>
      </w:r>
      <w:r/>
    </w:p>
    <w:p>
      <w:pPr>
        <w:pStyle w:val="697"/>
        <w:numPr>
          <w:ilvl w:val="0"/>
          <w:numId w:val="2"/>
        </w:numPr>
        <w:ind w:firstLine="482"/>
        <w:spacing w:before="120" w:after="0"/>
        <w:rPr>
          <w:rFonts w:hint="eastAsia" w:ascii="宋体" w:hAnsi="宋体" w:eastAsia="宋体" w:cs="宋体"/>
          <w:sz w:val="24"/>
          <w:szCs w:val="21"/>
        </w:rPr>
      </w:pPr>
      <w:r>
        <w:rPr>
          <w:rFonts w:hint="eastAsia" w:ascii="宋体" w:hAnsi="宋体" w:eastAsia="宋体" w:cs="宋体"/>
          <w:sz w:val="24"/>
          <w:szCs w:val="21"/>
        </w:rPr>
        <w:t xml:space="preserve">地下管线数据脱敏脱密</w:t>
      </w:r>
      <w:r/>
    </w:p>
    <w:p>
      <w:pPr>
        <w:ind w:firstLine="482"/>
        <w:spacing w:line="360" w:lineRule="auto"/>
        <w:rPr>
          <w:rFonts w:hint="eastAsia" w:asciiTheme="minorEastAsia" w:hAnsiTheme="minorEastAsia"/>
          <w:sz w:val="24"/>
          <w:szCs w:val="24"/>
        </w:rPr>
      </w:pPr>
      <w:r>
        <w:rPr>
          <w:rFonts w:asciiTheme="minorEastAsia" w:hAnsiTheme="minorEastAsia" w:eastAsiaTheme="minorEastAsia"/>
          <w:sz w:val="24"/>
          <w:szCs w:val="24"/>
        </w:rPr>
        <w:t xml:space="preserve">按照国家保密部门、自然资源部门及住房城乡建设部门关于秘密数据管理和使用要求，依据《江苏省城市生命线安全建设一期工程管线数据处理方案》和《城市基础设施安全运行智慧监管系统-数据标准》，</w:t>
      </w:r>
      <w:r>
        <w:rPr>
          <w:rFonts w:hint="eastAsia" w:asciiTheme="minorEastAsia" w:hAnsiTheme="minorEastAsia"/>
          <w:sz w:val="24"/>
          <w:szCs w:val="24"/>
        </w:rPr>
        <w:t xml:space="preserve">本项目中涉及的地下管线数据属于涉密数据，需根据有关保密要求，委托江苏省测绘资料档案馆进行脱密处理，委托第三方服务公司进行脱敏处理，并对管线数据的存储进行特殊设计，来保证管线数据的安全。</w:t>
      </w:r>
      <w:r/>
    </w:p>
    <w:p>
      <w:pPr>
        <w:pStyle w:val="697"/>
        <w:numPr>
          <w:ilvl w:val="0"/>
          <w:numId w:val="2"/>
        </w:numPr>
        <w:ind w:firstLine="482"/>
        <w:spacing w:before="120" w:after="0"/>
        <w:rPr>
          <w:rFonts w:hint="eastAsia" w:ascii="宋体" w:hAnsi="宋体" w:eastAsia="宋体" w:cs="宋体"/>
          <w:sz w:val="24"/>
          <w:szCs w:val="21"/>
        </w:rPr>
      </w:pPr>
      <w:r>
        <w:rPr>
          <w:rFonts w:hint="eastAsia" w:ascii="宋体" w:hAnsi="宋体" w:eastAsia="宋体" w:cs="宋体"/>
          <w:sz w:val="24"/>
          <w:szCs w:val="21"/>
        </w:rPr>
        <w:t xml:space="preserve">智慧监测设备布设</w:t>
      </w:r>
      <w:r/>
    </w:p>
    <w:p>
      <w:pPr>
        <w:pStyle w:val="710"/>
        <w:ind w:firstLine="480"/>
        <w:spacing w:line="360" w:lineRule="auto"/>
        <w:rPr>
          <w:rFonts w:hint="eastAsia" w:asciiTheme="minorEastAsia" w:hAnsiTheme="minorEastAsia"/>
          <w:b/>
          <w:bCs/>
          <w:sz w:val="24"/>
          <w:szCs w:val="24"/>
        </w:rPr>
      </w:pPr>
      <w:r>
        <w:rPr>
          <w:rFonts w:hint="eastAsia" w:asciiTheme="minorEastAsia" w:hAnsiTheme="minorEastAsia"/>
          <w:b/>
          <w:bCs/>
          <w:sz w:val="24"/>
          <w:szCs w:val="24"/>
        </w:rPr>
        <w:t xml:space="preserve">1.配置清单</w:t>
      </w:r>
      <w:r/>
    </w:p>
    <w:tbl>
      <w:tblPr>
        <w:tblStyle w:val="704"/>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941"/>
        <w:gridCol w:w="3831"/>
        <w:gridCol w:w="1852"/>
        <w:gridCol w:w="1895"/>
      </w:tblGrid>
      <w:tr>
        <w:trPr>
          <w:jc w:val="center"/>
          <w:trHeight w:val="403"/>
          <w:tblHeader/>
        </w:trPr>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设备名称</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1111"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1</w:t>
            </w:r>
            <w:r/>
          </w:p>
        </w:tc>
        <w:tc>
          <w:tcPr>
            <w:gridSpan w:val="3"/>
            <w:tcBorders>
              <w:top w:val="single" w:color="000000" w:sz="4" w:space="0"/>
              <w:left w:val="single" w:color="000000" w:sz="4" w:space="0"/>
              <w:bottom w:val="single" w:color="000000" w:sz="4" w:space="0"/>
              <w:right w:val="single" w:color="000000" w:sz="4" w:space="0"/>
            </w:tcBorders>
            <w:tcW w:w="4447" w:type="pct"/>
            <w:vAlign w:val="center"/>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排水专项</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液位计</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电子水尺</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37</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视频监控</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35</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2</w:t>
            </w:r>
            <w:r/>
          </w:p>
        </w:tc>
        <w:tc>
          <w:tcPr>
            <w:gridSpan w:val="3"/>
            <w:tcBorders>
              <w:top w:val="single" w:color="000000" w:sz="4" w:space="0"/>
              <w:left w:val="single" w:color="000000" w:sz="4" w:space="0"/>
              <w:bottom w:val="single" w:color="000000" w:sz="4" w:space="0"/>
              <w:right w:val="single" w:color="000000" w:sz="4" w:space="0"/>
            </w:tcBorders>
            <w:tcW w:w="4447" w:type="pct"/>
            <w:vAlign w:val="center"/>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道路专项</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2.1</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三维地质探地雷达（车载）</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35</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公里</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3</w:t>
            </w:r>
            <w:r/>
          </w:p>
        </w:tc>
        <w:tc>
          <w:tcPr>
            <w:gridSpan w:val="3"/>
            <w:tcBorders>
              <w:top w:val="single" w:color="000000" w:sz="4" w:space="0"/>
              <w:left w:val="single" w:color="000000" w:sz="4" w:space="0"/>
              <w:bottom w:val="single" w:color="000000" w:sz="4" w:space="0"/>
              <w:right w:val="single" w:color="000000" w:sz="4" w:space="0"/>
            </w:tcBorders>
            <w:tcW w:w="4447" w:type="pct"/>
            <w:vAlign w:val="center"/>
            <w:textDirection w:val="lrTb"/>
            <w:noWrap w:val="false"/>
          </w:tcPr>
          <w:p>
            <w:pPr>
              <w:jc w:val="left"/>
              <w:widowControl/>
              <w:rPr>
                <w:rFonts w:hint="eastAsia" w:ascii="宋体" w:hAnsi="宋体" w:cs="宋体"/>
                <w:b/>
                <w:bCs/>
                <w:color w:val="000000"/>
                <w:szCs w:val="21"/>
              </w:rPr>
            </w:pPr>
            <w:r>
              <w:rPr>
                <w:rFonts w:hint="eastAsia" w:ascii="宋体" w:hAnsi="宋体" w:cs="宋体"/>
                <w:b/>
                <w:bCs/>
                <w:color w:val="000000"/>
                <w:szCs w:val="21"/>
                <w:lang w:bidi="ar"/>
              </w:rPr>
              <w:t xml:space="preserve">桥梁专项</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温湿度计</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振弦式应变计（带温度）</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光电挠度仪</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位移计</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倾角仪</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加速度传感器</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裂缝计</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磁通量传感器</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高清球机</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3.10 </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综合采集仪</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3.11</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振弦智能采集终端</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3.12</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磁弹仪</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3.13</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加速度信号调理仪</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3.14</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工控机</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3.15</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ascii="Times New Roman" w:hAnsi="Times New Roman"/>
                <w:color w:val="000000"/>
                <w:szCs w:val="21"/>
              </w:rPr>
            </w:pPr>
            <w:r>
              <w:rPr>
                <w:rStyle w:val="918"/>
                <w:lang w:bidi="ar"/>
              </w:rPr>
              <w:t xml:space="preserve">UPS</w:t>
            </w:r>
            <w:r>
              <w:rPr>
                <w:rStyle w:val="919"/>
                <w:rFonts w:hint="default"/>
                <w:lang w:bidi="ar"/>
              </w:rPr>
              <w:t xml:space="preserve">电源</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3.16</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网络交换机</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3.17</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光纤收发器</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3.18</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串口服务器</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3.19</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机柜</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ascii="Times New Roman" w:hAnsi="Times New Roman"/>
                <w:color w:val="000000"/>
                <w:szCs w:val="21"/>
              </w:rPr>
            </w:pPr>
            <w:r>
              <w:rPr>
                <w:rFonts w:ascii="Times New Roman" w:hAnsi="Times New Roman"/>
                <w:color w:val="000000"/>
                <w:szCs w:val="21"/>
                <w:lang w:bidi="ar"/>
              </w:rPr>
              <w:t xml:space="preserve">3.20 </w:t>
            </w:r>
            <w:r/>
          </w:p>
        </w:tc>
        <w:tc>
          <w:tcPr>
            <w:tcBorders>
              <w:top w:val="single" w:color="000000" w:sz="4" w:space="0"/>
              <w:left w:val="single" w:color="000000" w:sz="4" w:space="0"/>
              <w:bottom w:val="single" w:color="000000" w:sz="4" w:space="0"/>
              <w:right w:val="single" w:color="000000" w:sz="4" w:space="0"/>
            </w:tcBorders>
            <w:tcW w:w="2248"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lang w:bidi="ar"/>
              </w:rPr>
              <w:t xml:space="preserve">硬盘录像机及硬盘</w:t>
            </w:r>
            <w:r/>
          </w:p>
        </w:tc>
        <w:tc>
          <w:tcPr>
            <w:tcBorders>
              <w:top w:val="single" w:color="000000" w:sz="4" w:space="0"/>
              <w:left w:val="single" w:color="000000" w:sz="4" w:space="0"/>
              <w:bottom w:val="single" w:color="000000" w:sz="4" w:space="0"/>
              <w:right w:val="single" w:color="000000" w:sz="4" w:space="0"/>
            </w:tcBorders>
            <w:tcW w:w="1087"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11" w:type="pct"/>
            <w:vAlign w:val="center"/>
            <w:textDirection w:val="lrTb"/>
            <w:noWrap/>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套</w:t>
            </w:r>
            <w:r/>
          </w:p>
        </w:tc>
      </w:tr>
    </w:tbl>
    <w:p>
      <w:pPr>
        <w:pStyle w:val="710"/>
        <w:ind w:firstLine="480"/>
        <w:spacing w:line="360" w:lineRule="auto"/>
        <w:rPr>
          <w:rFonts w:hint="eastAsia" w:asciiTheme="minorEastAsia" w:hAnsiTheme="minorEastAsia"/>
          <w:b/>
          <w:bCs/>
          <w:sz w:val="24"/>
          <w:szCs w:val="24"/>
        </w:rPr>
      </w:pPr>
      <w:r>
        <w:rPr>
          <w:rFonts w:hint="eastAsia" w:asciiTheme="minorEastAsia" w:hAnsiTheme="minorEastAsia"/>
          <w:b/>
          <w:bCs/>
          <w:sz w:val="24"/>
          <w:szCs w:val="24"/>
        </w:rPr>
        <w:t xml:space="preserve">2.技术参数及布点方案</w:t>
      </w:r>
      <w:r/>
    </w:p>
    <w:p>
      <w:pPr>
        <w:pStyle w:val="710"/>
        <w:ind w:firstLine="480"/>
        <w:spacing w:line="360" w:lineRule="auto"/>
        <w:rPr>
          <w:rFonts w:hint="eastAsia" w:asciiTheme="minorEastAsia" w:hAnsiTheme="minorEastAsia"/>
          <w:b/>
          <w:bCs/>
          <w:sz w:val="24"/>
          <w:szCs w:val="24"/>
        </w:rPr>
      </w:pPr>
      <w:r>
        <w:rPr>
          <w:rFonts w:hint="eastAsia" w:asciiTheme="minorEastAsia" w:hAnsiTheme="minorEastAsia"/>
          <w:b/>
          <w:bCs/>
          <w:sz w:val="24"/>
          <w:szCs w:val="24"/>
        </w:rPr>
        <w:t xml:space="preserve">（1）排水专项</w:t>
      </w:r>
      <w:r/>
    </w:p>
    <w:p>
      <w:pPr>
        <w:pStyle w:val="710"/>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技术参数：</w:t>
      </w:r>
      <w:r/>
    </w:p>
    <w:tbl>
      <w:tblPr>
        <w:tblStyle w:val="7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1"/>
        <w:gridCol w:w="1548"/>
        <w:gridCol w:w="6051"/>
      </w:tblGrid>
      <w:tr>
        <w:trPr>
          <w:trHeight w:val="454"/>
          <w:tblHeader/>
        </w:trPr>
        <w:tc>
          <w:tcPr>
            <w:shd w:val="clear" w:color="auto" w:fill="d7d7d7" w:themeFill="background1" w:themeFillShade="D8"/>
            <w:tcW w:w="541" w:type="pct"/>
            <w:vAlign w:val="center"/>
            <w:textDirection w:val="lrTb"/>
            <w:noWrap w:val="false"/>
          </w:tcPr>
          <w:p>
            <w:pPr>
              <w:pStyle w:val="910"/>
              <w:rPr>
                <w:rFonts w:hint="eastAsia" w:asciiTheme="minorEastAsia" w:hAnsiTheme="minorEastAsia" w:eastAsiaTheme="minorEastAsia"/>
                <w:b/>
                <w:bCs/>
                <w:sz w:val="24"/>
                <w:szCs w:val="24"/>
              </w:rPr>
            </w:pPr>
            <w:r>
              <w:rPr>
                <w:rFonts w:asciiTheme="minorEastAsia" w:hAnsiTheme="minorEastAsia" w:eastAsiaTheme="minorEastAsia"/>
                <w:b/>
                <w:bCs/>
                <w:sz w:val="24"/>
                <w:szCs w:val="24"/>
              </w:rPr>
              <w:t xml:space="preserve">序号</w:t>
            </w:r>
            <w:r/>
          </w:p>
        </w:tc>
        <w:tc>
          <w:tcPr>
            <w:shd w:val="clear" w:color="auto" w:fill="d7d7d7" w:themeFill="background1" w:themeFillShade="D8"/>
            <w:tcW w:w="908" w:type="pct"/>
            <w:vAlign w:val="center"/>
            <w:textDirection w:val="lrTb"/>
            <w:noWrap w:val="false"/>
          </w:tcPr>
          <w:p>
            <w:pPr>
              <w:pStyle w:val="910"/>
              <w:rPr>
                <w:rFonts w:hint="eastAsia" w:asciiTheme="minorEastAsia" w:hAnsiTheme="minorEastAsia" w:eastAsiaTheme="minorEastAsia"/>
                <w:b/>
                <w:bCs/>
                <w:sz w:val="24"/>
                <w:szCs w:val="24"/>
              </w:rPr>
            </w:pPr>
            <w:r>
              <w:rPr>
                <w:rFonts w:asciiTheme="minorEastAsia" w:hAnsiTheme="minorEastAsia" w:eastAsiaTheme="minorEastAsia"/>
                <w:b/>
                <w:bCs/>
                <w:sz w:val="24"/>
                <w:szCs w:val="24"/>
              </w:rPr>
              <w:t xml:space="preserve">设备</w:t>
            </w:r>
            <w:r>
              <w:rPr>
                <w:rFonts w:hint="eastAsia" w:asciiTheme="minorEastAsia" w:hAnsiTheme="minorEastAsia" w:eastAsiaTheme="minorEastAsia"/>
                <w:b/>
                <w:bCs/>
                <w:sz w:val="24"/>
                <w:szCs w:val="24"/>
              </w:rPr>
              <w:t xml:space="preserve">名称</w:t>
            </w:r>
            <w:r/>
          </w:p>
        </w:tc>
        <w:tc>
          <w:tcPr>
            <w:shd w:val="clear" w:color="auto" w:fill="d7d7d7" w:themeFill="background1" w:themeFillShade="D8"/>
            <w:tcW w:w="3550" w:type="pct"/>
            <w:vAlign w:val="center"/>
            <w:textDirection w:val="lrTb"/>
            <w:noWrap w:val="false"/>
          </w:tcPr>
          <w:p>
            <w:pPr>
              <w:pStyle w:val="910"/>
              <w:rPr>
                <w:rFonts w:hint="eastAsia" w:asciiTheme="minorEastAsia" w:hAnsiTheme="minorEastAsia" w:eastAsiaTheme="minorEastAsia"/>
                <w:b/>
                <w:bCs/>
                <w:sz w:val="24"/>
                <w:szCs w:val="24"/>
              </w:rPr>
            </w:pPr>
            <w:r>
              <w:rPr>
                <w:rFonts w:hint="eastAsia" w:asciiTheme="minorEastAsia" w:hAnsiTheme="minorEastAsia"/>
                <w:b/>
                <w:bCs/>
                <w:sz w:val="24"/>
                <w:szCs w:val="24"/>
              </w:rPr>
              <w:t xml:space="preserve">主要参数要求</w:t>
            </w:r>
            <w:r/>
          </w:p>
        </w:tc>
      </w:tr>
      <w:tr>
        <w:trPr>
          <w:trHeight w:val="454"/>
        </w:trPr>
        <w:tc>
          <w:tcPr>
            <w:tcW w:w="541" w:type="pct"/>
            <w:vAlign w:val="center"/>
            <w:textDirection w:val="lrTb"/>
            <w:noWrap w:val="false"/>
          </w:tcPr>
          <w:p>
            <w:pPr>
              <w:pStyle w:val="91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548" w:type="dxa"/>
            <w:vAlign w:val="center"/>
            <w:textDirection w:val="lrTb"/>
            <w:noWrap w:val="false"/>
          </w:tcPr>
          <w:p>
            <w:pPr>
              <w:jc w:val="left"/>
              <w:spacing w:line="360" w:lineRule="auto"/>
              <w:widowControl/>
              <w:rPr>
                <w:rFonts w:hint="eastAsia" w:asciiTheme="minorEastAsia" w:hAnsiTheme="minorEastAsia" w:eastAsiaTheme="minorEastAsia"/>
                <w:sz w:val="24"/>
                <w:szCs w:val="24"/>
              </w:rPr>
            </w:pPr>
            <w:r>
              <w:rPr>
                <w:rFonts w:hint="eastAsia" w:ascii="宋体" w:hAnsi="宋体" w:cs="宋体"/>
                <w:sz w:val="24"/>
                <w:szCs w:val="24"/>
              </w:rPr>
              <w:t xml:space="preserve">液位计</w:t>
            </w:r>
            <w:r/>
          </w:p>
        </w:tc>
        <w:tc>
          <w:tcPr>
            <w:tcW w:w="6051" w:type="dxa"/>
            <w:vAlign w:val="top"/>
            <w:textDirection w:val="lrTb"/>
            <w:noWrap w:val="false"/>
          </w:tcPr>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1、防护等级：≥IP68；</w:t>
            </w:r>
            <w:r/>
          </w:p>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2、外壳材质：耐腐蚀；</w:t>
            </w:r>
            <w:r/>
          </w:p>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3、满足防爆要求；</w:t>
            </w:r>
            <w:r/>
          </w:p>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4、测量量程：10cm~30m；</w:t>
            </w:r>
            <w:r/>
          </w:p>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5、测量精度：± 1cm；</w:t>
            </w:r>
            <w:r/>
          </w:p>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6、采集和传输频率：在1~60min/条范围内可设置，最高频次可设置为1次/1min；</w:t>
            </w:r>
            <w:r/>
          </w:p>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7、设备通信方式：NB-IoT、中继器内置GPRS等；</w:t>
            </w:r>
            <w:r/>
          </w:p>
          <w:p>
            <w:pPr>
              <w:pStyle w:val="910"/>
              <w:jc w:val="left"/>
              <w:spacing w:line="360" w:lineRule="auto"/>
              <w:rPr>
                <w:rFonts w:hint="eastAsia" w:asciiTheme="minorEastAsia" w:hAnsiTheme="minorEastAsia"/>
                <w:color w:val="000000"/>
                <w:sz w:val="24"/>
                <w:szCs w:val="24"/>
              </w:rPr>
            </w:pPr>
            <w:r>
              <w:rPr>
                <w:rFonts w:hint="eastAsia" w:ascii="宋体" w:hAnsi="宋体" w:cs="宋体"/>
                <w:sz w:val="24"/>
                <w:szCs w:val="24"/>
              </w:rPr>
              <w:t xml:space="preserve">8、电池：续航时长2年以上；</w:t>
            </w:r>
            <w:r/>
          </w:p>
        </w:tc>
      </w:tr>
      <w:tr>
        <w:trPr>
          <w:trHeight w:val="454"/>
        </w:trPr>
        <w:tc>
          <w:tcPr>
            <w:tcW w:w="541" w:type="pct"/>
            <w:vAlign w:val="center"/>
            <w:textDirection w:val="lrTb"/>
            <w:noWrap w:val="false"/>
          </w:tcPr>
          <w:p>
            <w:pPr>
              <w:pStyle w:val="91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1548" w:type="dxa"/>
            <w:vAlign w:val="center"/>
            <w:textDirection w:val="lrTb"/>
            <w:noWrap w:val="false"/>
          </w:tcPr>
          <w:p>
            <w:pPr>
              <w:jc w:val="left"/>
              <w:spacing w:line="360" w:lineRule="auto"/>
              <w:widowControl/>
              <w:rPr>
                <w:rFonts w:hint="eastAsia" w:cs="宋体" w:asciiTheme="minorEastAsia" w:hAnsiTheme="minorEastAsia" w:eastAsiaTheme="minorEastAsia"/>
                <w:sz w:val="24"/>
                <w:szCs w:val="24"/>
              </w:rPr>
            </w:pPr>
            <w:r>
              <w:rPr>
                <w:rFonts w:hint="eastAsia" w:ascii="宋体" w:hAnsi="宋体" w:cs="宋体"/>
                <w:sz w:val="24"/>
                <w:szCs w:val="24"/>
              </w:rPr>
              <w:t xml:space="preserve">电子水尺</w:t>
            </w:r>
            <w:r/>
          </w:p>
        </w:tc>
        <w:tc>
          <w:tcPr>
            <w:tcW w:w="6051" w:type="dxa"/>
            <w:vAlign w:val="top"/>
            <w:textDirection w:val="lrTb"/>
            <w:noWrap w:val="false"/>
          </w:tcPr>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1、量程：0~1.2m</w:t>
            </w:r>
            <w:r/>
          </w:p>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2、精度：≤1cm</w:t>
            </w:r>
            <w:r/>
          </w:p>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3、远程通信：NB-IoT/4G/5G</w:t>
            </w:r>
            <w:r/>
          </w:p>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4、防护等级：≥IP68</w:t>
            </w:r>
            <w:r/>
          </w:p>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5、工作温度：-20～+60℃</w:t>
            </w:r>
            <w:r/>
          </w:p>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6、电源：太阳能供电/电池供电，至少满足三年续航要求;</w:t>
            </w:r>
            <w:r/>
          </w:p>
          <w:p>
            <w:pPr>
              <w:pStyle w:val="910"/>
              <w:jc w:val="left"/>
              <w:spacing w:line="360" w:lineRule="auto"/>
              <w:rPr>
                <w:rFonts w:hint="eastAsia" w:asciiTheme="minorEastAsia" w:hAnsiTheme="minorEastAsia"/>
                <w:color w:val="000000"/>
                <w:sz w:val="24"/>
                <w:szCs w:val="24"/>
              </w:rPr>
            </w:pPr>
            <w:r>
              <w:rPr>
                <w:rFonts w:hint="eastAsia" w:ascii="宋体" w:hAnsi="宋体" w:cs="宋体"/>
                <w:sz w:val="24"/>
                <w:szCs w:val="24"/>
              </w:rPr>
              <w:t xml:space="preserve">7、可靠性：平均无故障工作时间≥1年</w:t>
            </w:r>
            <w:r/>
          </w:p>
        </w:tc>
      </w:tr>
      <w:tr>
        <w:trPr>
          <w:trHeight w:val="454"/>
        </w:trPr>
        <w:tc>
          <w:tcPr>
            <w:tcW w:w="541" w:type="pct"/>
            <w:vAlign w:val="center"/>
            <w:textDirection w:val="lrTb"/>
            <w:noWrap w:val="false"/>
          </w:tcPr>
          <w:p>
            <w:pPr>
              <w:pStyle w:val="91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1548" w:type="dxa"/>
            <w:vAlign w:val="center"/>
            <w:textDirection w:val="lrTb"/>
            <w:noWrap w:val="false"/>
          </w:tcPr>
          <w:p>
            <w:pPr>
              <w:jc w:val="left"/>
              <w:spacing w:line="360" w:lineRule="auto"/>
              <w:widowControl/>
              <w:rPr>
                <w:rFonts w:hint="eastAsia" w:asciiTheme="minorEastAsia" w:hAnsiTheme="minorEastAsia" w:eastAsiaTheme="minorEastAsia"/>
                <w:sz w:val="24"/>
                <w:szCs w:val="24"/>
              </w:rPr>
            </w:pPr>
            <w:r>
              <w:rPr>
                <w:rFonts w:hint="eastAsia" w:ascii="宋体" w:hAnsi="宋体" w:cs="宋体"/>
                <w:sz w:val="24"/>
                <w:szCs w:val="24"/>
              </w:rPr>
              <w:t xml:space="preserve">视频监控</w:t>
            </w:r>
            <w:r/>
          </w:p>
        </w:tc>
        <w:tc>
          <w:tcPr>
            <w:tcW w:w="6051" w:type="dxa"/>
            <w:vAlign w:val="top"/>
            <w:textDirection w:val="lrTb"/>
            <w:noWrap w:val="false"/>
          </w:tcPr>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1、分辨率：400W+600W； </w:t>
            </w:r>
            <w:r/>
          </w:p>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2、帧率：≥30 fps；</w:t>
            </w:r>
            <w:r/>
          </w:p>
          <w:p>
            <w:pPr>
              <w:pStyle w:val="910"/>
              <w:jc w:val="left"/>
              <w:spacing w:line="360" w:lineRule="auto"/>
              <w:rPr>
                <w:rFonts w:hint="eastAsia" w:ascii="宋体" w:hAnsi="宋体" w:cs="宋体"/>
                <w:sz w:val="24"/>
                <w:szCs w:val="24"/>
              </w:rPr>
            </w:pPr>
            <w:r>
              <w:rPr>
                <w:rFonts w:hint="eastAsia" w:ascii="宋体" w:hAnsi="宋体" w:cs="宋体"/>
                <w:sz w:val="24"/>
                <w:szCs w:val="24"/>
              </w:rPr>
              <w:t xml:space="preserve">3、防护等级：≥IP67</w:t>
            </w:r>
            <w:r/>
          </w:p>
          <w:p>
            <w:pPr>
              <w:pStyle w:val="910"/>
              <w:jc w:val="left"/>
              <w:spacing w:line="360" w:lineRule="auto"/>
              <w:rPr>
                <w:rFonts w:hint="eastAsia" w:asciiTheme="minorEastAsia" w:hAnsiTheme="minorEastAsia"/>
                <w:color w:val="000000"/>
                <w:sz w:val="24"/>
                <w:szCs w:val="24"/>
              </w:rPr>
            </w:pPr>
            <w:r>
              <w:rPr>
                <w:rFonts w:hint="eastAsia" w:ascii="宋体" w:hAnsi="宋体" w:cs="宋体"/>
                <w:sz w:val="24"/>
                <w:szCs w:val="24"/>
              </w:rPr>
              <w:t xml:space="preserve">4、视角：全方位覆盖监测目标区域。</w:t>
            </w:r>
            <w:r/>
          </w:p>
        </w:tc>
      </w:tr>
    </w:tbl>
    <w:p>
      <w:pPr>
        <w:pStyle w:val="710"/>
        <w:ind w:firstLine="480"/>
        <w:spacing w:line="360" w:lineRule="auto"/>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布点清单：</w:t>
      </w:r>
      <w:r/>
    </w:p>
    <w:tbl>
      <w:tblPr>
        <w:tblStyle w:val="70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656"/>
        <w:gridCol w:w="2341"/>
        <w:gridCol w:w="1127"/>
        <w:gridCol w:w="1299"/>
        <w:gridCol w:w="1398"/>
      </w:tblGrid>
      <w:tr>
        <w:trPr>
          <w:trHeight w:val="454"/>
          <w:tblHeader/>
        </w:trPr>
        <w:tc>
          <w:tcPr>
            <w:shd w:val="clear" w:color="auto" w:fill="d7d7d7" w:themeFill="background1" w:themeFillShade="D8"/>
            <w:tcW w:w="441" w:type="pct"/>
            <w:vAlign w:val="center"/>
            <w:vMerge w:val="restart"/>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shd w:val="clear" w:color="auto" w:fill="d7d7d7" w:themeFill="background1" w:themeFillShade="D8"/>
            <w:tcW w:w="737" w:type="pct"/>
            <w:vAlign w:val="center"/>
            <w:vMerge w:val="restart"/>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监测对象</w:t>
            </w:r>
            <w:r/>
          </w:p>
        </w:tc>
        <w:tc>
          <w:tcPr>
            <w:shd w:val="clear" w:color="auto" w:fill="d7d7d7" w:themeFill="background1" w:themeFillShade="D8"/>
            <w:tcW w:w="1436" w:type="pct"/>
            <w:vAlign w:val="center"/>
            <w:vMerge w:val="restart"/>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布设位置</w:t>
            </w:r>
            <w:r/>
          </w:p>
        </w:tc>
        <w:tc>
          <w:tcPr>
            <w:gridSpan w:val="3"/>
            <w:shd w:val="clear" w:color="auto" w:fill="d7d7d7" w:themeFill="background1" w:themeFillShade="D8"/>
            <w:tcW w:w="2384" w:type="pct"/>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监测设备类型及数量/个</w:t>
            </w:r>
            <w:r/>
          </w:p>
        </w:tc>
      </w:tr>
      <w:tr>
        <w:trPr>
          <w:trHeight w:val="454"/>
          <w:tblHeader/>
        </w:trPr>
        <w:tc>
          <w:tcPr>
            <w:shd w:val="clear" w:color="auto" w:fill="d7d7d7" w:themeFill="background1" w:themeFillShade="D8"/>
            <w:tcW w:w="441" w:type="pct"/>
            <w:vAlign w:val="center"/>
            <w:vMerge w:val="continue"/>
            <w:textDirection w:val="lrTb"/>
            <w:noWrap/>
          </w:tcPr>
          <w:p>
            <w:pPr>
              <w:widowControl/>
              <w:rPr>
                <w:rFonts w:hint="eastAsia" w:ascii="宋体" w:hAnsi="宋体" w:cs="宋体"/>
                <w:sz w:val="24"/>
                <w:szCs w:val="24"/>
              </w:rPr>
            </w:pPr>
            <w:r>
              <w:rPr>
                <w:rFonts w:hint="eastAsia" w:ascii="宋体" w:hAnsi="宋体" w:cs="宋体"/>
                <w:sz w:val="24"/>
                <w:szCs w:val="24"/>
              </w:rPr>
            </w:r>
            <w:r/>
          </w:p>
        </w:tc>
        <w:tc>
          <w:tcPr>
            <w:shd w:val="clear" w:color="auto" w:fill="d7d7d7" w:themeFill="background1" w:themeFillShade="D8"/>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shd w:val="clear" w:color="auto" w:fill="d7d7d7" w:themeFill="background1" w:themeFillShade="D8"/>
            <w:tcW w:w="1436" w:type="pct"/>
            <w:vAlign w:val="center"/>
            <w:vMerge w:val="continue"/>
            <w:textDirection w:val="lrTb"/>
            <w:noWrap/>
          </w:tcPr>
          <w:p>
            <w:pPr>
              <w:widowControl/>
              <w:rPr>
                <w:rFonts w:hint="eastAsia" w:ascii="宋体" w:hAnsi="宋体" w:cs="宋体"/>
                <w:sz w:val="24"/>
                <w:szCs w:val="24"/>
              </w:rPr>
            </w:pPr>
            <w:r>
              <w:rPr>
                <w:rFonts w:hint="eastAsia" w:ascii="宋体" w:hAnsi="宋体" w:cs="宋体"/>
                <w:sz w:val="24"/>
                <w:szCs w:val="24"/>
              </w:rPr>
            </w:r>
            <w:r/>
          </w:p>
        </w:tc>
        <w:tc>
          <w:tcPr>
            <w:shd w:val="clear" w:color="auto" w:fill="d7d7d7" w:themeFill="background1" w:themeFillShade="D8"/>
            <w:tcW w:w="708" w:type="pct"/>
            <w:vAlign w:val="center"/>
            <w:textDirection w:val="lrTb"/>
            <w:noWrap/>
          </w:tcPr>
          <w:p>
            <w:pPr>
              <w:jc w:val="center"/>
              <w:widowControl/>
              <w:rPr>
                <w:rFonts w:hint="eastAsia" w:ascii="宋体" w:hAnsi="宋体" w:cs="宋体"/>
                <w:b/>
                <w:bCs/>
                <w:color w:val="000000"/>
                <w:sz w:val="24"/>
                <w:szCs w:val="24"/>
              </w:rPr>
            </w:pPr>
            <w:r>
              <w:rPr>
                <w:rFonts w:hint="eastAsia" w:asciiTheme="minorEastAsia" w:hAnsiTheme="minorEastAsia" w:eastAsiaTheme="minorEastAsia"/>
                <w:b/>
                <w:bCs/>
                <w:sz w:val="24"/>
                <w:szCs w:val="24"/>
              </w:rPr>
              <w:t xml:space="preserve">液位计</w:t>
            </w:r>
            <w:r/>
          </w:p>
        </w:tc>
        <w:tc>
          <w:tcPr>
            <w:shd w:val="clear" w:color="auto" w:fill="d7d7d7" w:themeFill="background1" w:themeFillShade="D8"/>
            <w:tcW w:w="809" w:type="pct"/>
            <w:vAlign w:val="center"/>
            <w:textDirection w:val="lrTb"/>
            <w:noWrap/>
          </w:tcPr>
          <w:p>
            <w:pPr>
              <w:jc w:val="center"/>
              <w:widowControl/>
              <w:rPr>
                <w:rFonts w:hint="eastAsia" w:ascii="宋体" w:hAnsi="宋体" w:cs="宋体"/>
                <w:b/>
                <w:bCs/>
                <w:color w:val="000000"/>
                <w:sz w:val="24"/>
                <w:szCs w:val="24"/>
              </w:rPr>
            </w:pPr>
            <w:r>
              <w:rPr>
                <w:rFonts w:hint="eastAsia" w:asciiTheme="minorEastAsia" w:hAnsiTheme="minorEastAsia" w:eastAsiaTheme="minorEastAsia"/>
                <w:b/>
                <w:bCs/>
                <w:sz w:val="24"/>
                <w:szCs w:val="24"/>
              </w:rPr>
              <w:t xml:space="preserve">电子水尺</w:t>
            </w:r>
            <w:r/>
          </w:p>
        </w:tc>
        <w:tc>
          <w:tcPr>
            <w:shd w:val="clear" w:color="auto" w:fill="d7d7d7" w:themeFill="background1" w:themeFillShade="D8"/>
            <w:tcW w:w="866" w:type="pct"/>
            <w:vAlign w:val="center"/>
            <w:textDirection w:val="lrTb"/>
            <w:noWrap/>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视频监控</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W w:w="737" w:type="pct"/>
            <w:vAlign w:val="center"/>
            <w:vMerge w:val="restart"/>
            <w:textDirection w:val="lrTb"/>
            <w:noWrap/>
          </w:tcPr>
          <w:p>
            <w:pPr>
              <w:jc w:val="center"/>
              <w:widowControl/>
              <w:rPr>
                <w:rFonts w:hint="eastAsia" w:ascii="宋体" w:hAnsi="宋体" w:cs="宋体"/>
                <w:color w:val="000000"/>
                <w:sz w:val="24"/>
                <w:szCs w:val="24"/>
              </w:rPr>
            </w:pPr>
            <w:r>
              <w:rPr>
                <w:rFonts w:hint="eastAsia"/>
              </w:rPr>
              <w:t xml:space="preserve">易淹易涝点</w:t>
            </w:r>
            <w:r/>
          </w:p>
        </w:tc>
        <w:tc>
          <w:tcPr>
            <w:tcW w:w="1436" w:type="pct"/>
            <w:vAlign w:val="center"/>
            <w:textDirection w:val="lrTb"/>
            <w:noWrap w:val="false"/>
          </w:tcPr>
          <w:p>
            <w:pPr>
              <w:pStyle w:val="910"/>
              <w:rPr>
                <w:rFonts w:asciiTheme="minorHAnsi" w:hAnsiTheme="minorHAnsi" w:eastAsiaTheme="minorEastAsia" w:cstheme="minorBidi"/>
                <w:sz w:val="24"/>
              </w:rPr>
            </w:pPr>
            <w:r>
              <w:rPr>
                <w:rFonts w:hint="eastAsia"/>
              </w:rPr>
              <w:t xml:space="preserve">富国路幸福路交叉口</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rPr>
              <w:t xml:space="preserve">富国路振兴路交叉口</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pStyle w:val="910"/>
              <w:rPr>
                <w:rFonts w:asciiTheme="minorHAnsi" w:hAnsiTheme="minorHAnsi" w:eastAsiaTheme="minorEastAsia" w:cstheme="minorBidi"/>
                <w:sz w:val="24"/>
              </w:rPr>
            </w:pPr>
            <w:r>
              <w:rPr>
                <w:rFonts w:hint="eastAsia"/>
              </w:rPr>
              <w:t xml:space="preserve">黄河路慢车道</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rPr>
              <w:t xml:space="preserve">铁路北侧晶澳太阳能、乔博公司门前、太阳光公司门前容易积水</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pStyle w:val="910"/>
              <w:rPr>
                <w:rFonts w:asciiTheme="minorHAnsi" w:hAnsiTheme="minorHAnsi" w:eastAsiaTheme="minorEastAsia" w:cstheme="minorBidi"/>
                <w:sz w:val="24"/>
              </w:rPr>
            </w:pPr>
            <w:r>
              <w:rPr>
                <w:rFonts w:hint="eastAsia"/>
              </w:rPr>
              <w:t xml:space="preserve">园区麒麟大道以北湖西路以西石湖村地块</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6</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rPr>
              <w:t xml:space="preserve">建管所周边</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7</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pStyle w:val="910"/>
              <w:rPr>
                <w:rFonts w:asciiTheme="minorHAnsi" w:hAnsiTheme="minorHAnsi" w:eastAsiaTheme="minorEastAsia" w:cstheme="minorBidi"/>
                <w:sz w:val="24"/>
              </w:rPr>
            </w:pPr>
            <w:r>
              <w:rPr>
                <w:rFonts w:hint="eastAsia"/>
              </w:rPr>
              <w:t xml:space="preserve">榴贵苑门前</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8</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rPr>
              <w:t xml:space="preserve">卫生院门前红绿灯</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9</w:t>
            </w:r>
            <w:r/>
          </w:p>
        </w:tc>
        <w:tc>
          <w:tcPr>
            <w:tcW w:w="737" w:type="pct"/>
            <w:vAlign w:val="center"/>
            <w:vMerge w:val="restart"/>
            <w:textDirection w:val="lrTb"/>
            <w:noWrap/>
          </w:tcPr>
          <w:p>
            <w:pPr>
              <w:jc w:val="center"/>
              <w:widowControl/>
              <w:rPr>
                <w:rFonts w:hint="eastAsia" w:ascii="宋体" w:hAnsi="宋体" w:cs="宋体"/>
                <w:sz w:val="24"/>
                <w:szCs w:val="24"/>
              </w:rPr>
            </w:pPr>
            <w:r>
              <w:rPr>
                <w:rFonts w:hint="eastAsia" w:ascii="宋体" w:hAnsi="宋体" w:cs="宋体"/>
                <w:color w:val="000000"/>
                <w:sz w:val="24"/>
                <w:szCs w:val="24"/>
                <w:lang w:bidi="ar"/>
              </w:rPr>
              <w:t xml:space="preserve">重点保障对象</w:t>
            </w:r>
            <w:r/>
          </w:p>
        </w:tc>
        <w:tc>
          <w:tcPr>
            <w:tcW w:w="1436" w:type="pct"/>
            <w:vAlign w:val="center"/>
            <w:textDirection w:val="lrTb"/>
            <w:noWrap w:val="false"/>
          </w:tcPr>
          <w:p>
            <w:pPr>
              <w:jc w:val="center"/>
              <w:widowControl/>
              <w:rPr>
                <w:rFonts w:asciiTheme="minorHAnsi" w:hAnsiTheme="minorHAnsi" w:eastAsiaTheme="minorEastAsia" w:cstheme="minorBidi"/>
                <w:sz w:val="24"/>
                <w:szCs w:val="21"/>
              </w:rPr>
            </w:pPr>
            <w:r>
              <w:rPr>
                <w:rFonts w:hint="eastAsia" w:ascii="宋体" w:hAnsi="宋体" w:cs="宋体"/>
                <w:color w:val="000000"/>
                <w:szCs w:val="21"/>
                <w:lang w:bidi="ar"/>
              </w:rPr>
              <w:t xml:space="preserve">东海县人民医院</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10</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东海县人民医院（城南分院）</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11</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东海县中医院</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12</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东海县妇幼保健院（新院区）</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13</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幸福路下穿</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14</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振兴路下穿</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15</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湖东路下穿</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16</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东海县站</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17</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东海县交通运输局</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18</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东海县人民政府</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19</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东海县公安局</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20</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东海县应急管理局</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21</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w:t>
            </w:r>
            <w:r>
              <w:rPr>
                <w:rStyle w:val="920"/>
                <w:lang w:bidi="ar"/>
              </w:rPr>
              <w:t xml:space="preserve">120</w:t>
            </w:r>
            <w:r>
              <w:rPr>
                <w:rStyle w:val="921"/>
                <w:rFonts w:hint="default"/>
                <w:lang w:bidi="ar"/>
              </w:rPr>
              <w:t xml:space="preserve">急救指挥中心</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22</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东海县气象局</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23</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东海县消防大队</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24</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东海县实验中学</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25</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石榴初级中学</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26</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石榴高级中学</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27</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东海晶都双语学校</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28</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东海县初级中学</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29</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东海县培仁学校</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30</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东海县朱自清中学</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31</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东海县高级中学</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32</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江苏省东海高级中学（城北校区）</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33</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东海富国路中学</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34</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江苏省东海中等专业学校</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35</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东海县第二中学</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36</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东海外国语学校（中华路）</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37</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Cs w:val="21"/>
                <w:lang w:bidi="ar"/>
              </w:rPr>
              <w:t xml:space="preserve">东海县特殊教育学校</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38</w:t>
            </w:r>
            <w:r/>
          </w:p>
        </w:tc>
        <w:tc>
          <w:tcPr>
            <w:tcW w:w="737" w:type="pct"/>
            <w:vAlign w:val="center"/>
            <w:vMerge w:val="restart"/>
            <w:textDirection w:val="lrTb"/>
            <w:noWrap/>
          </w:tcPr>
          <w:p>
            <w:pPr>
              <w:jc w:val="center"/>
              <w:widowControl/>
              <w:rPr>
                <w:rFonts w:hint="eastAsia" w:ascii="宋体" w:hAnsi="宋体" w:cs="宋体"/>
                <w:sz w:val="24"/>
                <w:szCs w:val="24"/>
              </w:rPr>
            </w:pPr>
            <w:r>
              <w:rPr>
                <w:rFonts w:hint="eastAsia" w:ascii="宋体" w:hAnsi="宋体" w:cs="宋体"/>
                <w:sz w:val="24"/>
                <w:szCs w:val="24"/>
              </w:rPr>
              <w:t xml:space="preserve">重要泵站</w:t>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rPr>
              <w:t xml:space="preserve">幸福路与陇海铁路立交处</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39</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jc w:val="center"/>
              <w:widowControl/>
              <w:rPr>
                <w:rFonts w:hint="eastAsia" w:ascii="宋体" w:hAnsi="宋体" w:cs="宋体"/>
                <w:color w:val="000000"/>
                <w:sz w:val="24"/>
                <w:szCs w:val="24"/>
              </w:rPr>
            </w:pPr>
            <w:r>
              <w:rPr>
                <w:rFonts w:hint="eastAsia"/>
              </w:rPr>
              <w:t xml:space="preserve">振兴路与陇海铁路立交处</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r>
      <w:tr>
        <w:trPr>
          <w:trHeight w:val="454"/>
        </w:trPr>
        <w:tc>
          <w:tcPr>
            <w:tcW w:w="441"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40</w:t>
            </w:r>
            <w:r/>
          </w:p>
        </w:tc>
        <w:tc>
          <w:tcPr>
            <w:tcW w:w="737" w:type="pct"/>
            <w:vAlign w:val="center"/>
            <w:vMerge w:val="continue"/>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1436" w:type="pct"/>
            <w:vAlign w:val="center"/>
            <w:textDirection w:val="lrTb"/>
            <w:noWrap w:val="false"/>
          </w:tcPr>
          <w:p>
            <w:pPr>
              <w:pStyle w:val="910"/>
              <w:rPr>
                <w:rFonts w:asciiTheme="minorHAnsi" w:hAnsiTheme="minorHAnsi" w:eastAsiaTheme="minorEastAsia" w:cstheme="minorBidi"/>
                <w:sz w:val="24"/>
              </w:rPr>
            </w:pPr>
            <w:r>
              <w:rPr>
                <w:rFonts w:hint="eastAsia"/>
              </w:rPr>
              <w:t xml:space="preserve">湖东路与陇海铁路立交处</w:t>
            </w:r>
            <w:r/>
          </w:p>
        </w:tc>
        <w:tc>
          <w:tcPr>
            <w:tcW w:w="708"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tcW w:w="809"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rPr>
              <w:t xml:space="preserve">/</w:t>
            </w:r>
            <w:r/>
          </w:p>
        </w:tc>
        <w:tc>
          <w:tcPr>
            <w:tcW w:w="866" w:type="pct"/>
            <w:vAlign w:val="center"/>
            <w:textDirection w:val="lrTb"/>
            <w:noWrap/>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r>
    </w:tbl>
    <w:p>
      <w:pPr>
        <w:ind w:firstLine="480"/>
      </w:pPr>
      <w:r>
        <w:rPr>
          <w:rFonts w:hint="eastAsia" w:ascii="宋体" w:hAnsi="宋体" w:cs="宋体"/>
          <w:sz w:val="24"/>
          <w:szCs w:val="24"/>
        </w:rPr>
        <w:t xml:space="preserve">实际布设位置，最终依据采购人需求为主。</w:t>
      </w:r>
      <w:r/>
    </w:p>
    <w:p>
      <w:pPr>
        <w:pStyle w:val="710"/>
        <w:ind w:firstLine="482"/>
        <w:spacing w:line="360" w:lineRule="auto"/>
        <w:rPr>
          <w:rFonts w:hint="eastAsia" w:asciiTheme="minorEastAsia" w:hAnsiTheme="minorEastAsia"/>
          <w:b/>
          <w:bCs/>
          <w:sz w:val="24"/>
          <w:szCs w:val="24"/>
        </w:rPr>
      </w:pPr>
      <w:r>
        <w:rPr>
          <w:rFonts w:hint="eastAsia" w:asciiTheme="minorEastAsia" w:hAnsiTheme="minorEastAsia"/>
          <w:b/>
          <w:bCs/>
          <w:sz w:val="24"/>
          <w:szCs w:val="24"/>
        </w:rPr>
        <w:t xml:space="preserve">（2）道路专项</w:t>
      </w:r>
      <w:r/>
    </w:p>
    <w:p>
      <w:pPr>
        <w:pStyle w:val="710"/>
        <w:ind w:firstLine="480"/>
        <w:spacing w:line="360" w:lineRule="auto"/>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技术参数：</w:t>
      </w:r>
      <w:r/>
    </w:p>
    <w:tbl>
      <w:tblPr>
        <w:tblStyle w:val="70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1668"/>
        <w:gridCol w:w="5927"/>
      </w:tblGrid>
      <w:tr>
        <w:trPr>
          <w:jc w:val="center"/>
          <w:trHeight w:val="340"/>
          <w:tblHeader/>
        </w:trPr>
        <w:tc>
          <w:tcPr>
            <w:shd w:val="clear" w:color="auto" w:fill="d7d7d7" w:themeFill="background1" w:themeFillShade="D8"/>
            <w:tcW w:w="542" w:type="pct"/>
            <w:vAlign w:val="center"/>
            <w:textDirection w:val="lrTb"/>
            <w:noWrap w:val="false"/>
          </w:tcPr>
          <w:p>
            <w:pPr>
              <w:jc w:val="center"/>
              <w:rPr>
                <w:rFonts w:hint="eastAsia" w:asciiTheme="minorEastAsia" w:hAnsiTheme="minorEastAsia"/>
                <w:b/>
                <w:bCs/>
                <w:sz w:val="24"/>
                <w:szCs w:val="24"/>
              </w:rPr>
            </w:pPr>
            <w:r>
              <w:rPr>
                <w:rFonts w:hint="eastAsia" w:asciiTheme="minorEastAsia" w:hAnsiTheme="minorEastAsia"/>
                <w:b/>
                <w:bCs/>
                <w:sz w:val="24"/>
                <w:szCs w:val="24"/>
              </w:rPr>
              <w:t xml:space="preserve">序号</w:t>
            </w:r>
            <w:r/>
          </w:p>
        </w:tc>
        <w:tc>
          <w:tcPr>
            <w:shd w:val="clear" w:color="auto" w:fill="d7d7d7" w:themeFill="background1" w:themeFillShade="D8"/>
            <w:tcW w:w="979" w:type="pct"/>
            <w:vAlign w:val="center"/>
            <w:textDirection w:val="lrTb"/>
            <w:noWrap w:val="false"/>
          </w:tcPr>
          <w:p>
            <w:pPr>
              <w:jc w:val="center"/>
              <w:rPr>
                <w:rFonts w:hint="eastAsia" w:asciiTheme="minorEastAsia" w:hAnsiTheme="minorEastAsia"/>
                <w:b/>
                <w:bCs/>
                <w:sz w:val="24"/>
                <w:szCs w:val="24"/>
              </w:rPr>
            </w:pPr>
            <w:r>
              <w:rPr>
                <w:rFonts w:hint="eastAsia" w:asciiTheme="minorEastAsia" w:hAnsiTheme="minorEastAsia"/>
                <w:b/>
                <w:bCs/>
                <w:sz w:val="24"/>
                <w:szCs w:val="24"/>
              </w:rPr>
              <w:t xml:space="preserve">设备名称</w:t>
            </w:r>
            <w:r/>
          </w:p>
        </w:tc>
        <w:tc>
          <w:tcPr>
            <w:shd w:val="clear" w:color="auto" w:fill="d7d7d7" w:themeFill="background1" w:themeFillShade="D8"/>
            <w:tcW w:w="3478" w:type="pct"/>
            <w:vAlign w:val="center"/>
            <w:textDirection w:val="lrTb"/>
            <w:noWrap w:val="false"/>
          </w:tcPr>
          <w:p>
            <w:pPr>
              <w:jc w:val="center"/>
              <w:rPr>
                <w:rFonts w:hint="eastAsia" w:asciiTheme="minorEastAsia" w:hAnsiTheme="minorEastAsia"/>
                <w:b/>
                <w:bCs/>
                <w:sz w:val="24"/>
                <w:szCs w:val="24"/>
              </w:rPr>
            </w:pPr>
            <w:r>
              <w:rPr>
                <w:rFonts w:hint="eastAsia" w:asciiTheme="minorEastAsia" w:hAnsiTheme="minorEastAsia"/>
                <w:b/>
                <w:bCs/>
                <w:sz w:val="24"/>
                <w:szCs w:val="24"/>
              </w:rPr>
              <w:t xml:space="preserve">主要参数要求</w:t>
            </w:r>
            <w:r/>
          </w:p>
        </w:tc>
      </w:tr>
      <w:tr>
        <w:trPr>
          <w:jc w:val="center"/>
          <w:trHeight w:val="340"/>
        </w:trPr>
        <w:tc>
          <w:tcPr>
            <w:tcW w:w="542" w:type="pct"/>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color w:val="000000"/>
                <w:sz w:val="24"/>
                <w:szCs w:val="24"/>
              </w:rPr>
              <w:t xml:space="preserve">1</w:t>
            </w:r>
            <w:r/>
          </w:p>
        </w:tc>
        <w:tc>
          <w:tcPr>
            <w:tcW w:w="1668"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color w:val="000000"/>
                <w:sz w:val="24"/>
                <w:szCs w:val="24"/>
              </w:rPr>
              <w:t xml:space="preserve">三维地质探地雷达（车载）（服务）</w:t>
            </w:r>
            <w:r/>
          </w:p>
        </w:tc>
        <w:tc>
          <w:tcPr>
            <w:tcW w:w="5927" w:type="dxa"/>
            <w:vAlign w:val="top"/>
            <w:textDirection w:val="lrTb"/>
            <w:noWrap w:val="false"/>
          </w:tcPr>
          <w:p>
            <w:pPr>
              <w:pStyle w:val="910"/>
              <w:jc w:val="left"/>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1、雷达主机：探测深度：1~5m</w:t>
            </w:r>
            <w:r/>
          </w:p>
          <w:p>
            <w:pPr>
              <w:pStyle w:val="910"/>
              <w:jc w:val="left"/>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2、实现方式：实时采样脉冲雷达中心频率：450MHz</w:t>
            </w:r>
            <w:r/>
          </w:p>
          <w:p>
            <w:pPr>
              <w:pStyle w:val="910"/>
              <w:jc w:val="left"/>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3、信噪比：＞126dB</w:t>
            </w:r>
            <w:r/>
          </w:p>
          <w:p>
            <w:pPr>
              <w:pStyle w:val="910"/>
              <w:jc w:val="left"/>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4、数据位数：16或32bit</w:t>
            </w:r>
            <w:r/>
          </w:p>
          <w:p>
            <w:pPr>
              <w:pStyle w:val="910"/>
              <w:jc w:val="left"/>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5、回复频率：160MHz</w:t>
            </w:r>
            <w:r/>
          </w:p>
          <w:p>
            <w:pPr>
              <w:pStyle w:val="910"/>
              <w:jc w:val="left"/>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6、扫描/秒＞800</w:t>
            </w:r>
            <w:r/>
          </w:p>
          <w:p>
            <w:pPr>
              <w:pStyle w:val="910"/>
              <w:jc w:val="left"/>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7、采集时速：60-130Km/h@5cm</w:t>
            </w:r>
            <w:r/>
          </w:p>
          <w:p>
            <w:pPr>
              <w:pStyle w:val="910"/>
              <w:jc w:val="left"/>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8、水平采样间距（道间距）</w:t>
            </w:r>
            <w:r/>
          </w:p>
          <w:p>
            <w:pPr>
              <w:pStyle w:val="910"/>
              <w:jc w:val="left"/>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9、时窗：166ns带宽＞120%</w:t>
            </w:r>
            <w:r/>
          </w:p>
          <w:p>
            <w:pPr>
              <w:pStyle w:val="910"/>
              <w:jc w:val="left"/>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10、分数宽度，-10dB</w:t>
            </w:r>
            <w:r/>
          </w:p>
          <w:p>
            <w:pPr>
              <w:pStyle w:val="910"/>
              <w:jc w:val="left"/>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11、采集模式：测距轮触发，时间触发或手动触发</w:t>
            </w:r>
            <w:r/>
          </w:p>
          <w:p>
            <w:pPr>
              <w:pStyle w:val="910"/>
              <w:jc w:val="left"/>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12、定位：测距轮，</w:t>
            </w:r>
            <w:r>
              <w:rPr>
                <w:rFonts w:hint="eastAsia" w:ascii="宋体" w:hAnsi="宋体" w:cs="宋体"/>
                <w:color w:val="000000"/>
                <w:sz w:val="24"/>
                <w:szCs w:val="24"/>
              </w:rPr>
              <w:t xml:space="preserve">外接高精度，可连接定位系统</w:t>
            </w:r>
            <w:r/>
          </w:p>
          <w:p>
            <w:pPr>
              <w:pStyle w:val="910"/>
              <w:jc w:val="left"/>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13、通道数：</w:t>
            </w:r>
            <w:r>
              <w:rPr>
                <w:rFonts w:hint="eastAsia" w:ascii="宋体" w:hAnsi="宋体" w:cs="宋体"/>
                <w:sz w:val="24"/>
                <w:szCs w:val="24"/>
              </w:rPr>
              <w:t xml:space="preserve">≥</w:t>
            </w:r>
            <w:r>
              <w:rPr>
                <w:rFonts w:hint="eastAsia" w:ascii="宋体" w:hAnsi="宋体" w:cs="宋体"/>
                <w:color w:val="000000"/>
                <w:sz w:val="24"/>
                <w:szCs w:val="24"/>
              </w:rPr>
              <w:t xml:space="preserve">10通道</w:t>
            </w:r>
            <w:r/>
          </w:p>
          <w:p>
            <w:pPr>
              <w:pStyle w:val="910"/>
              <w:jc w:val="left"/>
              <w:spacing w:line="360" w:lineRule="auto"/>
              <w:widowControl w:val="off"/>
              <w:rPr>
                <w:rFonts w:hint="eastAsia" w:asciiTheme="minorEastAsia" w:hAnsiTheme="minorEastAsia"/>
                <w:color w:val="000000"/>
                <w:sz w:val="24"/>
                <w:szCs w:val="24"/>
              </w:rPr>
            </w:pPr>
            <w:r>
              <w:rPr>
                <w:rFonts w:hint="eastAsia" w:ascii="宋体" w:hAnsi="宋体" w:cs="宋体"/>
                <w:color w:val="000000"/>
                <w:sz w:val="24"/>
                <w:szCs w:val="24"/>
              </w:rPr>
              <w:t xml:space="preserve">提供检测服务，道路公里数35km，车道公里数70km。</w:t>
            </w:r>
            <w:r/>
          </w:p>
        </w:tc>
      </w:tr>
    </w:tbl>
    <w:p>
      <w:pPr>
        <w:pStyle w:val="710"/>
        <w:ind w:firstLine="480"/>
        <w:spacing w:line="360" w:lineRule="auto"/>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布点清单：</w:t>
      </w:r>
      <w:r/>
    </w:p>
    <w:tbl>
      <w:tblPr>
        <w:tblStyle w:val="70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80"/>
        <w:gridCol w:w="1665"/>
        <w:gridCol w:w="2359"/>
        <w:gridCol w:w="2231"/>
        <w:gridCol w:w="1384"/>
      </w:tblGrid>
      <w:tr>
        <w:trPr>
          <w:trHeight w:val="454"/>
          <w:tblHeader/>
        </w:trPr>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517" w:type="pct"/>
            <w:vAlign w:val="center"/>
            <w:vMerge w:val="restart"/>
            <w:textDirection w:val="lrTb"/>
            <w:noWrap/>
          </w:tcPr>
          <w:p>
            <w:pPr>
              <w:pStyle w:val="910"/>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77" w:type="pct"/>
            <w:vAlign w:val="center"/>
            <w:vMerge w:val="restart"/>
            <w:textDirection w:val="lrTb"/>
            <w:noWrap/>
          </w:tcPr>
          <w:p>
            <w:pPr>
              <w:pStyle w:val="910"/>
              <w:rPr>
                <w:rFonts w:hint="eastAsia" w:ascii="宋体" w:hAnsi="宋体" w:cs="宋体"/>
                <w:b/>
                <w:bCs/>
                <w:sz w:val="24"/>
                <w:szCs w:val="24"/>
              </w:rPr>
            </w:pPr>
            <w:r>
              <w:rPr>
                <w:rFonts w:hint="eastAsia" w:ascii="宋体" w:hAnsi="宋体" w:cs="宋体"/>
                <w:b/>
                <w:bCs/>
                <w:sz w:val="24"/>
                <w:szCs w:val="24"/>
              </w:rPr>
              <w:t xml:space="preserve">道路名称</w:t>
            </w:r>
            <w:r/>
          </w:p>
        </w:tc>
        <w:tc>
          <w:tcPr>
            <w:gridSpan w:val="2"/>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2693" w:type="pct"/>
            <w:vAlign w:val="center"/>
            <w:textDirection w:val="lrTb"/>
            <w:noWrap/>
          </w:tcPr>
          <w:p>
            <w:pPr>
              <w:pStyle w:val="910"/>
              <w:rPr>
                <w:rFonts w:hint="eastAsia" w:ascii="宋体" w:hAnsi="宋体" w:cs="宋体"/>
                <w:b/>
                <w:bCs/>
                <w:sz w:val="24"/>
                <w:szCs w:val="24"/>
              </w:rPr>
            </w:pPr>
            <w:r>
              <w:rPr>
                <w:rFonts w:hint="eastAsia" w:ascii="宋体" w:hAnsi="宋体" w:cs="宋体"/>
                <w:b/>
                <w:bCs/>
                <w:sz w:val="24"/>
                <w:szCs w:val="24"/>
              </w:rPr>
              <w:t xml:space="preserve">起止点</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812" w:type="pct"/>
            <w:vAlign w:val="center"/>
            <w:vMerge w:val="restart"/>
            <w:textDirection w:val="lrTb"/>
            <w:noWrap w:val="false"/>
          </w:tcPr>
          <w:p>
            <w:pPr>
              <w:pStyle w:val="910"/>
              <w:rPr>
                <w:rFonts w:hint="eastAsia" w:ascii="宋体" w:hAnsi="宋体" w:cs="宋体"/>
                <w:b/>
                <w:bCs/>
                <w:sz w:val="24"/>
                <w:szCs w:val="24"/>
              </w:rPr>
            </w:pPr>
            <w:r>
              <w:rPr>
                <w:rFonts w:hint="eastAsia" w:ascii="宋体" w:hAnsi="宋体" w:cs="宋体"/>
                <w:b/>
                <w:bCs/>
                <w:sz w:val="24"/>
                <w:szCs w:val="24"/>
              </w:rPr>
              <w:t xml:space="preserve">长度（m）</w:t>
            </w:r>
            <w:r/>
          </w:p>
        </w:tc>
      </w:tr>
      <w:tr>
        <w:trPr>
          <w:trHeight w:val="454"/>
          <w:tblHeader/>
        </w:trPr>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517" w:type="pct"/>
            <w:vAlign w:val="center"/>
            <w:vMerge w:val="continue"/>
            <w:textDirection w:val="lrTb"/>
            <w:noWrap/>
          </w:tcPr>
          <w:p>
            <w:pPr>
              <w:pStyle w:val="910"/>
              <w:rPr>
                <w:rFonts w:hint="eastAsia" w:ascii="宋体" w:hAnsi="宋体" w:cs="宋体"/>
                <w:sz w:val="24"/>
                <w:szCs w:val="24"/>
              </w:rPr>
            </w:pPr>
            <w:r>
              <w:rPr>
                <w:rFonts w:hint="eastAsia" w:ascii="宋体" w:hAnsi="宋体" w:cs="宋体"/>
                <w:sz w:val="24"/>
                <w:szCs w:val="24"/>
              </w:rPr>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77" w:type="pct"/>
            <w:vAlign w:val="center"/>
            <w:vMerge w:val="continue"/>
            <w:textDirection w:val="lrTb"/>
            <w:noWrap/>
          </w:tcPr>
          <w:p>
            <w:pPr>
              <w:pStyle w:val="910"/>
              <w:rPr>
                <w:rFonts w:hint="eastAsia" w:ascii="宋体" w:hAnsi="宋体" w:cs="宋体"/>
                <w:sz w:val="24"/>
                <w:szCs w:val="24"/>
              </w:rPr>
            </w:pPr>
            <w:r>
              <w:rPr>
                <w:rFonts w:hint="eastAsia" w:ascii="宋体" w:hAnsi="宋体" w:cs="宋体"/>
                <w:sz w:val="24"/>
                <w:szCs w:val="24"/>
              </w:rPr>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hint="eastAsia" w:ascii="宋体" w:hAnsi="宋体" w:cs="宋体"/>
                <w:b/>
                <w:bCs/>
                <w:sz w:val="24"/>
                <w:szCs w:val="24"/>
              </w:rPr>
            </w:pPr>
            <w:r>
              <w:rPr>
                <w:rFonts w:hint="eastAsia" w:ascii="宋体" w:hAnsi="宋体" w:cs="宋体"/>
                <w:b/>
                <w:bCs/>
                <w:sz w:val="24"/>
                <w:szCs w:val="24"/>
              </w:rPr>
              <w:t xml:space="preserve">起点</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hint="eastAsia" w:ascii="宋体" w:hAnsi="宋体" w:cs="宋体"/>
                <w:b/>
                <w:bCs/>
                <w:sz w:val="24"/>
                <w:szCs w:val="24"/>
              </w:rPr>
            </w:pPr>
            <w:r>
              <w:rPr>
                <w:rFonts w:hint="eastAsia" w:ascii="宋体" w:hAnsi="宋体" w:cs="宋体"/>
                <w:b/>
                <w:bCs/>
                <w:sz w:val="24"/>
                <w:szCs w:val="24"/>
              </w:rPr>
              <w:t xml:space="preserve">终点</w:t>
            </w:r>
            <w:r/>
          </w:p>
        </w:tc>
        <w:tc>
          <w:tcPr>
            <w:tcBorders>
              <w:top w:val="single" w:color="000000" w:sz="4" w:space="0"/>
              <w:left w:val="single" w:color="000000" w:sz="4" w:space="0"/>
              <w:bottom w:val="single" w:color="000000" w:sz="4" w:space="0"/>
              <w:right w:val="single" w:color="000000" w:sz="4" w:space="0"/>
            </w:tcBorders>
            <w:tcW w:w="812" w:type="pct"/>
            <w:vAlign w:val="center"/>
            <w:vMerge w:val="continue"/>
            <w:textDirection w:val="lrTb"/>
            <w:noWrap w:val="false"/>
          </w:tcPr>
          <w:p>
            <w:pPr>
              <w:pStyle w:val="910"/>
              <w:rPr>
                <w:rFonts w:hint="eastAsia" w:ascii="宋体" w:hAnsi="宋体" w:cs="宋体"/>
                <w:sz w:val="24"/>
                <w:szCs w:val="24"/>
              </w:rPr>
            </w:pPr>
            <w:r>
              <w:rPr>
                <w:rFonts w:hint="eastAsia" w:ascii="宋体" w:hAnsi="宋体" w:cs="宋体"/>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晶都大道</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hint="eastAsia" w:ascii="宋体" w:hAnsi="宋体" w:cs="宋体"/>
                <w:sz w:val="24"/>
                <w:szCs w:val="24"/>
              </w:rPr>
            </w:pPr>
            <w:r>
              <w:rPr>
                <w:rFonts w:hint="eastAsia"/>
              </w:rPr>
              <w:t xml:space="preserve">湖西桥</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hint="eastAsia" w:ascii="宋体" w:hAnsi="宋体" w:cs="宋体"/>
                <w:sz w:val="24"/>
                <w:szCs w:val="24"/>
              </w:rPr>
            </w:pPr>
            <w:r>
              <w:rPr>
                <w:rFonts w:hint="eastAsia"/>
              </w:rPr>
              <w:t xml:space="preserve">中华路</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hint="eastAsia" w:ascii="宋体" w:hAnsi="宋体" w:cs="宋体"/>
                <w:sz w:val="24"/>
                <w:szCs w:val="24"/>
              </w:rPr>
            </w:pPr>
            <w:r>
              <w:rPr>
                <w:rFonts w:hint="eastAsia"/>
              </w:rPr>
              <w:t xml:space="preserve">3165</w:t>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晶都大道</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asciiTheme="minorHAnsi" w:hAnsiTheme="minorHAnsi" w:eastAsiaTheme="minorEastAsia" w:cstheme="minorBidi"/>
                <w:sz w:val="24"/>
              </w:rPr>
            </w:pPr>
            <w:r>
              <w:rPr>
                <w:rFonts w:hint="eastAsia"/>
              </w:rPr>
              <w:t xml:space="preserve">245省道（迎宾大道）</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asciiTheme="minorHAnsi" w:hAnsiTheme="minorHAnsi" w:eastAsiaTheme="minorEastAsia" w:cstheme="minorBidi"/>
                <w:sz w:val="24"/>
              </w:rPr>
            </w:pPr>
            <w:r>
              <w:rPr>
                <w:rFonts w:hint="eastAsia"/>
              </w:rPr>
              <w:t xml:space="preserve">236省道</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asciiTheme="minorHAnsi" w:hAnsiTheme="minorHAnsi" w:eastAsiaTheme="minorEastAsia" w:cstheme="minorBidi"/>
                <w:sz w:val="24"/>
              </w:rPr>
            </w:pPr>
            <w:r>
              <w:rPr>
                <w:rFonts w:hint="eastAsia"/>
              </w:rPr>
              <w:t xml:space="preserve">4942</w:t>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和平路</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asciiTheme="minorHAnsi" w:hAnsiTheme="minorHAnsi" w:eastAsiaTheme="minorEastAsia" w:cstheme="minorBidi"/>
                <w:sz w:val="24"/>
              </w:rPr>
            </w:pPr>
            <w:r>
              <w:rPr>
                <w:rFonts w:hint="eastAsia"/>
              </w:rPr>
              <w:t xml:space="preserve">幸福路</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asciiTheme="minorHAnsi" w:hAnsiTheme="minorHAnsi" w:eastAsiaTheme="minorEastAsia" w:cstheme="minorBidi"/>
                <w:sz w:val="24"/>
              </w:rPr>
            </w:pPr>
            <w:r>
              <w:rPr>
                <w:rFonts w:hint="eastAsia"/>
              </w:rPr>
              <w:t xml:space="preserve">牛山路</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asciiTheme="minorHAnsi" w:hAnsiTheme="minorHAnsi" w:eastAsiaTheme="minorEastAsia" w:cstheme="minorBidi"/>
                <w:sz w:val="24"/>
              </w:rPr>
            </w:pPr>
            <w:r>
              <w:rPr>
                <w:rFonts w:hint="eastAsia"/>
              </w:rPr>
              <w:t xml:space="preserve">543</w:t>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和平路</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asciiTheme="minorHAnsi" w:hAnsiTheme="minorHAnsi" w:eastAsiaTheme="minorEastAsia" w:cstheme="minorBidi"/>
                <w:sz w:val="24"/>
              </w:rPr>
            </w:pPr>
            <w:r>
              <w:rPr>
                <w:rFonts w:hint="eastAsia"/>
              </w:rPr>
              <w:t xml:space="preserve">牛山路</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asciiTheme="minorHAnsi" w:hAnsiTheme="minorHAnsi" w:eastAsiaTheme="minorEastAsia" w:cstheme="minorBidi"/>
                <w:sz w:val="24"/>
              </w:rPr>
            </w:pPr>
            <w:r>
              <w:rPr>
                <w:rFonts w:hint="eastAsia"/>
              </w:rPr>
              <w:t xml:space="preserve">果园路</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asciiTheme="minorHAnsi" w:hAnsiTheme="minorHAnsi" w:eastAsiaTheme="minorEastAsia" w:cstheme="minorBidi"/>
                <w:sz w:val="24"/>
              </w:rPr>
            </w:pPr>
            <w:r>
              <w:rPr>
                <w:rFonts w:hint="eastAsia"/>
              </w:rPr>
              <w:t xml:space="preserve">592</w:t>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和平路</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asciiTheme="minorHAnsi" w:hAnsiTheme="minorHAnsi" w:eastAsiaTheme="minorEastAsia" w:cstheme="minorBidi"/>
                <w:sz w:val="24"/>
              </w:rPr>
            </w:pPr>
            <w:r>
              <w:rPr>
                <w:rFonts w:hint="eastAsia"/>
              </w:rPr>
              <w:t xml:space="preserve">果园路</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asciiTheme="minorHAnsi" w:hAnsiTheme="minorHAnsi" w:eastAsiaTheme="minorEastAsia" w:cstheme="minorBidi"/>
                <w:sz w:val="24"/>
              </w:rPr>
            </w:pPr>
            <w:r>
              <w:rPr>
                <w:rFonts w:hint="eastAsia"/>
              </w:rPr>
              <w:t xml:space="preserve">迎宾大道</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asciiTheme="minorHAnsi" w:hAnsiTheme="minorHAnsi" w:eastAsiaTheme="minorEastAsia" w:cstheme="minorBidi"/>
                <w:sz w:val="24"/>
              </w:rPr>
            </w:pPr>
            <w:r>
              <w:rPr>
                <w:rFonts w:hint="eastAsia"/>
              </w:rPr>
              <w:t xml:space="preserve">1063</w:t>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振兴路</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asciiTheme="minorHAnsi" w:hAnsiTheme="minorHAnsi" w:eastAsiaTheme="minorEastAsia" w:cstheme="minorBidi"/>
                <w:sz w:val="24"/>
              </w:rPr>
            </w:pPr>
            <w:r>
              <w:rPr>
                <w:rFonts w:hint="eastAsia"/>
              </w:rPr>
              <w:t xml:space="preserve">振兴桥</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asciiTheme="minorHAnsi" w:hAnsiTheme="minorHAnsi" w:eastAsiaTheme="minorEastAsia" w:cstheme="minorBidi"/>
                <w:sz w:val="24"/>
              </w:rPr>
            </w:pPr>
            <w:r>
              <w:rPr>
                <w:rFonts w:hint="eastAsia"/>
              </w:rPr>
              <w:t xml:space="preserve">利民路</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asciiTheme="minorHAnsi" w:hAnsiTheme="minorHAnsi" w:eastAsiaTheme="minorEastAsia" w:cstheme="minorBidi"/>
                <w:sz w:val="24"/>
              </w:rPr>
            </w:pPr>
            <w:r>
              <w:rPr>
                <w:rFonts w:hint="eastAsia"/>
              </w:rPr>
              <w:t xml:space="preserve">2034</w:t>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幸福路</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asciiTheme="minorHAnsi" w:hAnsiTheme="minorHAnsi" w:eastAsiaTheme="minorEastAsia" w:cstheme="minorBidi"/>
                <w:sz w:val="24"/>
              </w:rPr>
            </w:pPr>
            <w:r>
              <w:rPr>
                <w:rFonts w:hint="eastAsia"/>
              </w:rPr>
              <w:t xml:space="preserve">晶都大道</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asciiTheme="minorHAnsi" w:hAnsiTheme="minorHAnsi" w:eastAsiaTheme="minorEastAsia" w:cstheme="minorBidi"/>
                <w:sz w:val="24"/>
              </w:rPr>
            </w:pPr>
            <w:r>
              <w:rPr>
                <w:rFonts w:hint="eastAsia"/>
              </w:rPr>
              <w:t xml:space="preserve">地下桥</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asciiTheme="minorHAnsi" w:hAnsiTheme="minorHAnsi" w:eastAsiaTheme="minorEastAsia" w:cstheme="minorBidi"/>
                <w:sz w:val="24"/>
              </w:rPr>
            </w:pPr>
            <w:r>
              <w:rPr>
                <w:rFonts w:hint="eastAsia"/>
              </w:rPr>
              <w:t xml:space="preserve">2900</w:t>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幸福路</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asciiTheme="minorHAnsi" w:hAnsiTheme="minorHAnsi" w:eastAsiaTheme="minorEastAsia" w:cstheme="minorBidi"/>
                <w:sz w:val="24"/>
              </w:rPr>
            </w:pPr>
            <w:r>
              <w:rPr>
                <w:rFonts w:hint="eastAsia"/>
              </w:rPr>
              <w:t xml:space="preserve">地下桥</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asciiTheme="minorHAnsi" w:hAnsiTheme="minorHAnsi" w:eastAsiaTheme="minorEastAsia" w:cstheme="minorBidi"/>
                <w:sz w:val="24"/>
              </w:rPr>
            </w:pPr>
            <w:r>
              <w:t xml:space="preserve">323</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asciiTheme="minorHAnsi" w:hAnsiTheme="minorHAnsi" w:eastAsiaTheme="minorEastAsia" w:cstheme="minorBidi"/>
                <w:sz w:val="24"/>
              </w:rPr>
            </w:pPr>
            <w:r>
              <w:rPr>
                <w:rFonts w:hint="eastAsia"/>
              </w:rPr>
              <w:t xml:space="preserve">1861</w:t>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明珠路</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asciiTheme="minorHAnsi" w:hAnsiTheme="minorHAnsi" w:eastAsiaTheme="minorEastAsia" w:cstheme="minorBidi"/>
                <w:sz w:val="24"/>
              </w:rPr>
            </w:pPr>
            <w:r>
              <w:rPr>
                <w:rFonts w:hint="eastAsia"/>
              </w:rPr>
              <w:t xml:space="preserve">晶都大道</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asciiTheme="minorHAnsi" w:hAnsiTheme="minorHAnsi" w:eastAsiaTheme="minorEastAsia" w:cstheme="minorBidi"/>
                <w:sz w:val="24"/>
              </w:rPr>
            </w:pPr>
            <w:r>
              <w:t xml:space="preserve">323</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asciiTheme="minorHAnsi" w:hAnsiTheme="minorHAnsi" w:eastAsiaTheme="minorEastAsia" w:cstheme="minorBidi"/>
                <w:sz w:val="24"/>
              </w:rPr>
            </w:pPr>
            <w:r>
              <w:rPr>
                <w:rFonts w:hint="eastAsia"/>
              </w:rPr>
              <w:t xml:space="preserve">1400</w:t>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北辰路</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asciiTheme="minorHAnsi" w:hAnsiTheme="minorHAnsi" w:eastAsiaTheme="minorEastAsia" w:cstheme="minorBidi"/>
                <w:sz w:val="24"/>
              </w:rPr>
            </w:pPr>
            <w:r>
              <w:rPr>
                <w:rFonts w:hint="eastAsia"/>
              </w:rPr>
              <w:t xml:space="preserve">英疃村</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asciiTheme="minorHAnsi" w:hAnsiTheme="minorHAnsi" w:eastAsiaTheme="minorEastAsia" w:cstheme="minorBidi"/>
                <w:sz w:val="24"/>
              </w:rPr>
            </w:pPr>
            <w:r>
              <w:rPr>
                <w:rFonts w:hint="eastAsia"/>
              </w:rPr>
              <w:t xml:space="preserve">湖滨路</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asciiTheme="minorHAnsi" w:hAnsiTheme="minorHAnsi" w:eastAsiaTheme="minorEastAsia" w:cstheme="minorBidi"/>
                <w:sz w:val="24"/>
              </w:rPr>
            </w:pPr>
            <w:r>
              <w:rPr>
                <w:rFonts w:hint="eastAsia"/>
              </w:rPr>
              <w:t xml:space="preserve">4180</w:t>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牛山路</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asciiTheme="minorHAnsi" w:hAnsiTheme="minorHAnsi" w:eastAsiaTheme="minorEastAsia" w:cstheme="minorBidi"/>
                <w:sz w:val="24"/>
              </w:rPr>
            </w:pPr>
            <w:r>
              <w:rPr>
                <w:rFonts w:hint="eastAsia"/>
              </w:rPr>
              <w:t xml:space="preserve">贯庄桥</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asciiTheme="minorHAnsi" w:hAnsiTheme="minorHAnsi" w:eastAsiaTheme="minorEastAsia" w:cstheme="minorBidi"/>
                <w:sz w:val="24"/>
              </w:rPr>
            </w:pPr>
            <w:r>
              <w:rPr>
                <w:rFonts w:hint="eastAsia"/>
              </w:rPr>
              <w:t xml:space="preserve">海陵路</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asciiTheme="minorHAnsi" w:hAnsiTheme="minorHAnsi" w:eastAsiaTheme="minorEastAsia" w:cstheme="minorBidi"/>
                <w:sz w:val="24"/>
              </w:rPr>
            </w:pPr>
            <w:r>
              <w:rPr>
                <w:rFonts w:hint="eastAsia"/>
              </w:rPr>
              <w:t xml:space="preserve">2069</w:t>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牛山路</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asciiTheme="minorHAnsi" w:hAnsiTheme="minorHAnsi" w:eastAsiaTheme="minorEastAsia" w:cstheme="minorBidi"/>
                <w:sz w:val="24"/>
              </w:rPr>
            </w:pPr>
            <w:r>
              <w:rPr>
                <w:rFonts w:hint="eastAsia"/>
              </w:rPr>
              <w:t xml:space="preserve">海陵路</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asciiTheme="minorHAnsi" w:hAnsiTheme="minorHAnsi" w:eastAsiaTheme="minorEastAsia" w:cstheme="minorBidi"/>
                <w:sz w:val="24"/>
              </w:rPr>
            </w:pPr>
            <w:r>
              <w:rPr>
                <w:rFonts w:hint="eastAsia"/>
              </w:rPr>
              <w:t xml:space="preserve">火车站</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asciiTheme="minorHAnsi" w:hAnsiTheme="minorHAnsi" w:eastAsiaTheme="minorEastAsia" w:cstheme="minorBidi"/>
                <w:sz w:val="24"/>
              </w:rPr>
            </w:pPr>
            <w:r>
              <w:rPr>
                <w:rFonts w:hint="eastAsia"/>
              </w:rPr>
              <w:t xml:space="preserve">1092</w:t>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利民路</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asciiTheme="minorHAnsi" w:hAnsiTheme="minorHAnsi" w:eastAsiaTheme="minorEastAsia" w:cstheme="minorBidi"/>
                <w:sz w:val="24"/>
              </w:rPr>
            </w:pPr>
            <w:r>
              <w:rPr>
                <w:rFonts w:hint="eastAsia"/>
              </w:rPr>
              <w:t xml:space="preserve">振兴路</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asciiTheme="minorHAnsi" w:hAnsiTheme="minorHAnsi" w:eastAsiaTheme="minorEastAsia" w:cstheme="minorBidi"/>
                <w:sz w:val="24"/>
              </w:rPr>
            </w:pPr>
            <w:r>
              <w:rPr>
                <w:rFonts w:hint="eastAsia"/>
              </w:rPr>
              <w:t xml:space="preserve">迎宾大道</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asciiTheme="minorHAnsi" w:hAnsiTheme="minorHAnsi" w:eastAsiaTheme="minorEastAsia" w:cstheme="minorBidi"/>
                <w:sz w:val="24"/>
              </w:rPr>
            </w:pPr>
            <w:r>
              <w:rPr>
                <w:rFonts w:hint="eastAsia"/>
              </w:rPr>
              <w:t xml:space="preserve">3270</w:t>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菜市街</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asciiTheme="minorHAnsi" w:hAnsiTheme="minorHAnsi" w:eastAsiaTheme="minorEastAsia" w:cstheme="minorBidi"/>
                <w:sz w:val="24"/>
              </w:rPr>
            </w:pPr>
            <w:r>
              <w:rPr>
                <w:rFonts w:hint="eastAsia"/>
              </w:rPr>
              <w:t xml:space="preserve">幸福路</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asciiTheme="minorHAnsi" w:hAnsiTheme="minorHAnsi" w:eastAsiaTheme="minorEastAsia" w:cstheme="minorBidi"/>
                <w:sz w:val="24"/>
              </w:rPr>
            </w:pPr>
            <w:r>
              <w:rPr>
                <w:rFonts w:hint="eastAsia"/>
              </w:rPr>
              <w:t xml:space="preserve">康乐南巷</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asciiTheme="minorHAnsi" w:hAnsiTheme="minorHAnsi" w:eastAsiaTheme="minorEastAsia" w:cstheme="minorBidi"/>
                <w:sz w:val="24"/>
              </w:rPr>
            </w:pPr>
            <w:r>
              <w:rPr>
                <w:rFonts w:hint="eastAsia"/>
              </w:rPr>
              <w:t xml:space="preserve">1800</w:t>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东海路</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asciiTheme="minorHAnsi" w:hAnsiTheme="minorHAnsi" w:eastAsiaTheme="minorEastAsia" w:cstheme="minorBidi"/>
                <w:sz w:val="24"/>
              </w:rPr>
            </w:pPr>
            <w:r>
              <w:rPr>
                <w:rFonts w:hint="eastAsia"/>
              </w:rPr>
              <w:t xml:space="preserve">海陵路</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asciiTheme="minorHAnsi" w:hAnsiTheme="minorHAnsi" w:eastAsiaTheme="minorEastAsia" w:cstheme="minorBidi"/>
                <w:sz w:val="24"/>
              </w:rPr>
            </w:pPr>
            <w:r>
              <w:rPr>
                <w:rFonts w:hint="eastAsia"/>
              </w:rPr>
              <w:t xml:space="preserve">站前街</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asciiTheme="minorHAnsi" w:hAnsiTheme="minorHAnsi" w:eastAsiaTheme="minorEastAsia" w:cstheme="minorBidi"/>
                <w:sz w:val="24"/>
              </w:rPr>
            </w:pPr>
            <w:r>
              <w:rPr>
                <w:rFonts w:hint="eastAsia"/>
              </w:rPr>
              <w:t xml:space="preserve">1110</w:t>
            </w:r>
            <w:r/>
          </w:p>
        </w:tc>
      </w:tr>
      <w:tr>
        <w:trPr>
          <w:trHeight w:val="454"/>
        </w:trPr>
        <w:tc>
          <w:tcPr>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977" w:type="pct"/>
            <w:vAlign w:val="center"/>
            <w:textDirection w:val="lrTb"/>
            <w:noWrap/>
          </w:tcPr>
          <w:p>
            <w:pPr>
              <w:pStyle w:val="910"/>
              <w:rPr>
                <w:rFonts w:asciiTheme="minorHAnsi" w:hAnsiTheme="minorHAnsi" w:eastAsiaTheme="minorEastAsia" w:cstheme="minorBidi"/>
                <w:sz w:val="24"/>
              </w:rPr>
            </w:pPr>
            <w:r>
              <w:rPr>
                <w:rFonts w:hint="eastAsia"/>
              </w:rPr>
              <w:t xml:space="preserve">花园路</w:t>
            </w:r>
            <w:r/>
          </w:p>
        </w:tc>
        <w:tc>
          <w:tcPr>
            <w:tcBorders>
              <w:top w:val="single" w:color="000000" w:sz="4" w:space="0"/>
              <w:left w:val="single" w:color="000000" w:sz="4" w:space="0"/>
              <w:bottom w:val="single" w:color="000000" w:sz="4" w:space="0"/>
              <w:right w:val="single" w:color="000000" w:sz="4" w:space="0"/>
            </w:tcBorders>
            <w:tcW w:w="1384" w:type="pct"/>
            <w:vAlign w:val="center"/>
            <w:textDirection w:val="lrTb"/>
            <w:noWrap/>
          </w:tcPr>
          <w:p>
            <w:pPr>
              <w:pStyle w:val="910"/>
              <w:rPr>
                <w:rFonts w:asciiTheme="minorHAnsi" w:hAnsiTheme="minorHAnsi" w:eastAsiaTheme="minorEastAsia" w:cstheme="minorBidi"/>
                <w:sz w:val="24"/>
              </w:rPr>
            </w:pPr>
            <w:r>
              <w:rPr>
                <w:rFonts w:hint="eastAsia"/>
              </w:rPr>
              <w:t xml:space="preserve">富国路</w:t>
            </w:r>
            <w:r/>
          </w:p>
        </w:tc>
        <w:tc>
          <w:tcPr>
            <w:tcBorders>
              <w:top w:val="single" w:color="000000" w:sz="4" w:space="0"/>
              <w:left w:val="single" w:color="000000" w:sz="4" w:space="0"/>
              <w:bottom w:val="single" w:color="000000" w:sz="4" w:space="0"/>
              <w:right w:val="single" w:color="000000" w:sz="4" w:space="0"/>
            </w:tcBorders>
            <w:tcW w:w="1309" w:type="pct"/>
            <w:vAlign w:val="center"/>
            <w:textDirection w:val="lrTb"/>
            <w:noWrap/>
          </w:tcPr>
          <w:p>
            <w:pPr>
              <w:pStyle w:val="910"/>
              <w:rPr>
                <w:rFonts w:asciiTheme="minorHAnsi" w:hAnsiTheme="minorHAnsi" w:eastAsiaTheme="minorEastAsia" w:cstheme="minorBidi"/>
                <w:sz w:val="24"/>
              </w:rPr>
            </w:pPr>
            <w:r>
              <w:rPr>
                <w:rFonts w:hint="eastAsia"/>
              </w:rPr>
              <w:t xml:space="preserve">泄洪渠</w:t>
            </w:r>
            <w:r/>
          </w:p>
        </w:tc>
        <w:tc>
          <w:tcPr>
            <w:tcBorders>
              <w:top w:val="single" w:color="000000" w:sz="4" w:space="0"/>
              <w:left w:val="single" w:color="000000" w:sz="4" w:space="0"/>
              <w:bottom w:val="single" w:color="000000" w:sz="4" w:space="0"/>
              <w:right w:val="single" w:color="000000" w:sz="4" w:space="0"/>
            </w:tcBorders>
            <w:tcW w:w="812" w:type="pct"/>
            <w:vAlign w:val="center"/>
            <w:textDirection w:val="lrTb"/>
            <w:noWrap/>
          </w:tcPr>
          <w:p>
            <w:pPr>
              <w:pStyle w:val="910"/>
              <w:rPr>
                <w:rFonts w:asciiTheme="minorHAnsi" w:hAnsiTheme="minorHAnsi" w:eastAsiaTheme="minorEastAsia" w:cstheme="minorBidi"/>
                <w:sz w:val="24"/>
              </w:rPr>
            </w:pPr>
            <w:r>
              <w:rPr>
                <w:rFonts w:hint="eastAsia"/>
              </w:rPr>
              <w:t xml:space="preserve">2975</w:t>
            </w:r>
            <w:r/>
          </w:p>
        </w:tc>
      </w:tr>
    </w:tbl>
    <w:p>
      <w:pPr>
        <w:ind w:firstLine="480"/>
      </w:pPr>
      <w:r>
        <w:rPr>
          <w:rFonts w:hint="eastAsia" w:ascii="宋体" w:hAnsi="宋体" w:cs="宋体"/>
          <w:sz w:val="24"/>
          <w:szCs w:val="24"/>
        </w:rPr>
        <w:t xml:space="preserve">实际探测的道路名称，最终依据采购人需求为主。</w:t>
      </w:r>
      <w:r/>
    </w:p>
    <w:p>
      <w:pPr>
        <w:pStyle w:val="710"/>
        <w:ind w:left="480"/>
        <w:spacing w:line="360" w:lineRule="auto"/>
        <w:rPr>
          <w:rFonts w:hint="eastAsia" w:asciiTheme="minorEastAsia" w:hAnsiTheme="minorEastAsia"/>
          <w:b/>
          <w:bCs/>
          <w:sz w:val="24"/>
          <w:szCs w:val="24"/>
        </w:rPr>
      </w:pPr>
      <w:r>
        <w:rPr>
          <w:rFonts w:hint="eastAsia" w:asciiTheme="minorEastAsia" w:hAnsiTheme="minorEastAsia"/>
          <w:b/>
          <w:bCs/>
          <w:sz w:val="24"/>
          <w:szCs w:val="24"/>
        </w:rPr>
        <w:t xml:space="preserve">（3）桥梁专项</w:t>
      </w:r>
      <w:r/>
    </w:p>
    <w:p>
      <w:pPr>
        <w:pStyle w:val="710"/>
        <w:ind w:firstLine="480"/>
        <w:spacing w:line="360" w:lineRule="auto"/>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技术参数：</w:t>
      </w:r>
      <w:r/>
    </w:p>
    <w:tbl>
      <w:tblPr>
        <w:tblStyle w:val="7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09"/>
        <w:gridCol w:w="1620"/>
        <w:gridCol w:w="5784"/>
      </w:tblGrid>
      <w:tr>
        <w:trPr>
          <w:trHeight w:val="454"/>
          <w:tblHeader/>
        </w:trPr>
        <w:tc>
          <w:tcPr>
            <w:shd w:val="clear" w:color="auto" w:fill="d7d7d7" w:themeFill="background1" w:themeFillShade="D8"/>
            <w:tcW w:w="547" w:type="pct"/>
            <w:vAlign w:val="center"/>
            <w:textDirection w:val="lrTb"/>
            <w:noWrap w:val="false"/>
          </w:tcPr>
          <w:p>
            <w:pPr>
              <w:pStyle w:val="910"/>
              <w:rPr>
                <w:rFonts w:hint="eastAsia" w:ascii="宋体" w:hAnsi="宋体" w:cs="宋体"/>
                <w:b/>
                <w:bCs/>
                <w:sz w:val="24"/>
                <w:szCs w:val="24"/>
              </w:rPr>
            </w:pPr>
            <w:r>
              <w:rPr>
                <w:rFonts w:hint="eastAsia" w:ascii="宋体" w:hAnsi="宋体" w:cs="宋体"/>
                <w:b/>
                <w:bCs/>
                <w:sz w:val="24"/>
                <w:szCs w:val="24"/>
              </w:rPr>
              <w:t xml:space="preserve">序号</w:t>
            </w:r>
            <w:r/>
          </w:p>
        </w:tc>
        <w:tc>
          <w:tcPr>
            <w:shd w:val="clear" w:color="auto" w:fill="d7d7d7" w:themeFill="background1" w:themeFillShade="D8"/>
            <w:tcW w:w="974" w:type="pct"/>
            <w:vAlign w:val="center"/>
            <w:textDirection w:val="lrTb"/>
            <w:noWrap w:val="false"/>
          </w:tcPr>
          <w:p>
            <w:pPr>
              <w:pStyle w:val="910"/>
              <w:rPr>
                <w:rFonts w:hint="eastAsia" w:ascii="宋体" w:hAnsi="宋体" w:cs="宋体"/>
                <w:b/>
                <w:bCs/>
                <w:sz w:val="24"/>
                <w:szCs w:val="24"/>
              </w:rPr>
            </w:pPr>
            <w:r>
              <w:rPr>
                <w:rFonts w:hint="eastAsia" w:ascii="宋体" w:hAnsi="宋体" w:cs="宋体"/>
                <w:b/>
                <w:bCs/>
                <w:sz w:val="24"/>
                <w:szCs w:val="24"/>
              </w:rPr>
              <w:t xml:space="preserve">设备名称</w:t>
            </w:r>
            <w:r/>
          </w:p>
        </w:tc>
        <w:tc>
          <w:tcPr>
            <w:shd w:val="clear" w:color="auto" w:fill="d7d7d7" w:themeFill="background1" w:themeFillShade="D8"/>
            <w:tcW w:w="3478" w:type="pct"/>
            <w:vAlign w:val="center"/>
            <w:textDirection w:val="lrTb"/>
            <w:noWrap w:val="false"/>
          </w:tcPr>
          <w:p>
            <w:pPr>
              <w:pStyle w:val="910"/>
              <w:rPr>
                <w:rFonts w:hint="eastAsia" w:ascii="宋体" w:hAnsi="宋体" w:cs="宋体"/>
                <w:b/>
                <w:bCs/>
                <w:sz w:val="24"/>
                <w:szCs w:val="24"/>
              </w:rPr>
            </w:pPr>
            <w:r>
              <w:rPr>
                <w:rFonts w:hint="eastAsia" w:ascii="宋体" w:hAnsi="宋体" w:cs="宋体"/>
                <w:b/>
                <w:bCs/>
                <w:sz w:val="24"/>
                <w:szCs w:val="24"/>
              </w:rPr>
              <w:t xml:space="preserve">主要参数要求</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1</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温湿度计</w:t>
            </w:r>
            <w:r/>
          </w:p>
        </w:tc>
        <w:tc>
          <w:tcPr>
            <w:tcW w:w="5784" w:type="dxa"/>
            <w:vAlign w:val="top"/>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t xml:space="preserve">1.温度传感器：</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①量程：量程上限宜超出大气温度年极大值30℃以上，量程下限宜低于年极小值20℃以上；</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②最大允许误差：±0.5℃；</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③分辨力：≤0.1℃；</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2.湿度传感器：</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①量程：0~100%RH(非凝露)；</w:t>
            </w:r>
            <w:r/>
          </w:p>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②最大允许误差：±2%RH；</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2</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振弦式应变计（带温度）</w:t>
            </w:r>
            <w:r/>
          </w:p>
        </w:tc>
        <w:tc>
          <w:tcPr>
            <w:tcW w:w="5784" w:type="dxa"/>
            <w:vAlign w:val="top"/>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t xml:space="preserve">1、应变传感器量程：≥1000με；</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2、静应变传感器量程：≥1.2倍被测量预计变化范围；</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3、动应变传感器量程：≥2倍预测被测量变化范围；</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4、分辨率：≤1με；</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5、温度测量精度：0.5℃；</w:t>
            </w:r>
            <w:r/>
          </w:p>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6、防护等级： ≥IP67；</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3</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光电挠度仪</w:t>
            </w:r>
            <w:r/>
          </w:p>
        </w:tc>
        <w:tc>
          <w:tcPr>
            <w:tcW w:w="5784" w:type="dxa"/>
            <w:vAlign w:val="top"/>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t xml:space="preserve">1、测量精度：10m@（±0.1mm），50m@(±0.2mm)，100@(±0.5mm)，100~200m@(±2mm)；</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2、通讯方式：3G/4G/LORA自动续传；</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3、采样频率：≥25Hz；</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4、工作温度 ：-20℃～+60℃；</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5、防护等级： ≥IP67；</w:t>
            </w:r>
            <w:r/>
          </w:p>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6、供电方案：市电/太阳能可选；</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4</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位移计</w:t>
            </w:r>
            <w:r/>
          </w:p>
        </w:tc>
        <w:tc>
          <w:tcPr>
            <w:tcW w:w="5784" w:type="dxa"/>
            <w:vAlign w:val="top"/>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t xml:space="preserve">1.量程：0-200mm；</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2.分辨率：≤0.1mm；</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3.精度：≤1mm；</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4.工作温度范围：-20～+60℃；</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5.输出信号：0-5v；4-20MA；RS485；</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6.工作电压：9~28V；</w:t>
            </w:r>
            <w:r/>
          </w:p>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7.防护等级：≥IP67。</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5</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倾角仪</w:t>
            </w:r>
            <w:r/>
          </w:p>
        </w:tc>
        <w:tc>
          <w:tcPr>
            <w:tcW w:w="5784" w:type="dxa"/>
            <w:vAlign w:val="top"/>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t xml:space="preserve">1.角度量程：±5°；</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2.角度误差：≤0.02°；</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3.零点重复性：±5"；</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4.测量轴数：双轴；</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6.横轴误差：±0.2%FS；</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7.输出方式：RS485；</w:t>
            </w:r>
            <w:r/>
          </w:p>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9.防护等级：≥IP67；</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6</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加速度传感器</w:t>
            </w:r>
            <w:r/>
          </w:p>
        </w:tc>
        <w:tc>
          <w:tcPr>
            <w:tcW w:w="5784" w:type="dxa"/>
            <w:vAlign w:val="top"/>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1、量程：＞1.2倍计算分析振动响应最大值且宜≥±1g</w:t>
            </w:r>
            <w:r>
              <w:rPr>
                <w:rFonts w:hint="eastAsia" w:ascii="宋体" w:hAnsi="宋体" w:cs="宋体"/>
                <w:sz w:val="24"/>
                <w:szCs w:val="24"/>
              </w:rPr>
              <w:br/>
            </w:r>
            <w:r>
              <w:rPr>
                <w:rFonts w:hint="eastAsia" w:ascii="宋体" w:hAnsi="宋体" w:cs="宋体"/>
                <w:sz w:val="24"/>
                <w:szCs w:val="24"/>
              </w:rPr>
              <w:t xml:space="preserve">2、横向灵敏度：≤5%</w:t>
            </w:r>
            <w:r>
              <w:rPr>
                <w:rFonts w:hint="eastAsia" w:ascii="宋体" w:hAnsi="宋体" w:cs="宋体"/>
                <w:sz w:val="24"/>
                <w:szCs w:val="24"/>
              </w:rPr>
              <w:br/>
            </w:r>
            <w:r>
              <w:rPr>
                <w:rFonts w:hint="eastAsia" w:ascii="宋体" w:hAnsi="宋体" w:cs="宋体"/>
                <w:sz w:val="24"/>
                <w:szCs w:val="24"/>
              </w:rPr>
              <w:t xml:space="preserve">3、频响范围：0Hz~100Hz</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7</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裂缝计</w:t>
            </w:r>
            <w:r/>
          </w:p>
        </w:tc>
        <w:tc>
          <w:tcPr>
            <w:tcW w:w="5784" w:type="dxa"/>
            <w:vAlign w:val="top"/>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t xml:space="preserve">1.量程：＞5倍规范容许裂缝宽度；</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2.测量最大允许误差：≤0.02mm；</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3、工作温度 ：-20℃～60℃；</w:t>
            </w:r>
            <w:r/>
          </w:p>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4、防护等级：≥IP67；</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8</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磁通量传感器</w:t>
            </w:r>
            <w:r/>
          </w:p>
        </w:tc>
        <w:tc>
          <w:tcPr>
            <w:tcW w:w="5784" w:type="dxa"/>
            <w:vAlign w:val="top"/>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t xml:space="preserve">1.测量范围:0~屈服应力</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2.测量精度:≤3% F·S</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3.工作温度范围:-20℃～60℃</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4.激励电压范围:30V~280V</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5.温度测量精度:-20℃~-10℃测温精度在0.2℃内，-10℃～60℃测温精度在 0.5℃内</w:t>
            </w:r>
            <w:r/>
          </w:p>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6.最大接线长度:≤200m</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9</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高清摄像机</w:t>
            </w:r>
            <w:r/>
          </w:p>
        </w:tc>
        <w:tc>
          <w:tcPr>
            <w:tcW w:w="5784" w:type="dxa"/>
            <w:vAlign w:val="top"/>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t xml:space="preserve">1.像素：≥400万；</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2.帧率：≥25FPS；</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3.动态范围：≥55dB；</w:t>
            </w:r>
            <w:r/>
          </w:p>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4.应具备自动光圈、变焦镜头、昼/夜自动转换功能、防护罩。</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 w:val="24"/>
                <w:szCs w:val="24"/>
              </w:rPr>
              <w:t xml:space="preserve">10</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综合采集仪</w:t>
            </w:r>
            <w:r/>
          </w:p>
        </w:tc>
        <w:tc>
          <w:tcPr>
            <w:tcW w:w="5784" w:type="dxa"/>
            <w:vAlign w:val="top"/>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1、支持标准电压、电流信号采集</w:t>
            </w:r>
            <w:r>
              <w:rPr>
                <w:rFonts w:hint="eastAsia" w:ascii="宋体" w:hAnsi="宋体" w:cs="宋体"/>
                <w:sz w:val="24"/>
                <w:szCs w:val="24"/>
              </w:rPr>
              <w:br/>
            </w:r>
            <w:r>
              <w:rPr>
                <w:rFonts w:hint="eastAsia" w:ascii="宋体" w:hAnsi="宋体" w:cs="宋体"/>
                <w:sz w:val="24"/>
                <w:szCs w:val="24"/>
              </w:rPr>
              <w:t xml:space="preserve">2、通道数：16通道以上</w:t>
            </w:r>
            <w:r>
              <w:rPr>
                <w:rFonts w:hint="eastAsia" w:ascii="宋体" w:hAnsi="宋体" w:cs="宋体"/>
                <w:sz w:val="24"/>
                <w:szCs w:val="24"/>
              </w:rPr>
              <w:br/>
            </w:r>
            <w:r>
              <w:rPr>
                <w:rFonts w:hint="eastAsia" w:ascii="宋体" w:hAnsi="宋体" w:cs="宋体"/>
                <w:sz w:val="24"/>
                <w:szCs w:val="24"/>
              </w:rPr>
              <w:t xml:space="preserve">3、数据接口：USB、RJ45、RS485、WIFI；</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Cs w:val="24"/>
              </w:rPr>
              <w:t xml:space="preserve">11</w:t>
            </w:r>
            <w:r/>
          </w:p>
        </w:tc>
        <w:tc>
          <w:tcPr>
            <w:tcW w:w="1620" w:type="dxa"/>
            <w:vAlign w:val="center"/>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t xml:space="preserve">振弦智能采集终端</w:t>
            </w:r>
            <w:r/>
          </w:p>
        </w:tc>
        <w:tc>
          <w:tcPr>
            <w:tcW w:w="5784" w:type="dxa"/>
            <w:vAlign w:val="top"/>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t xml:space="preserve">1.测量范围：400-6000Hz；</w:t>
            </w:r>
            <w:r>
              <w:rPr>
                <w:rFonts w:hint="eastAsia" w:ascii="宋体" w:hAnsi="宋体" w:cs="宋体"/>
                <w:sz w:val="24"/>
                <w:szCs w:val="24"/>
              </w:rPr>
              <w:br/>
            </w:r>
            <w:r>
              <w:rPr>
                <w:rFonts w:hint="eastAsia" w:ascii="宋体" w:hAnsi="宋体" w:cs="宋体"/>
                <w:sz w:val="24"/>
                <w:szCs w:val="24"/>
              </w:rPr>
              <w:t xml:space="preserve">2.通道数：≥16通道(可扩展）；</w:t>
            </w:r>
            <w:r>
              <w:rPr>
                <w:rFonts w:hint="eastAsia" w:ascii="宋体" w:hAnsi="宋体" w:cs="宋体"/>
                <w:sz w:val="24"/>
                <w:szCs w:val="24"/>
              </w:rPr>
              <w:br/>
            </w:r>
            <w:r>
              <w:rPr>
                <w:rFonts w:hint="eastAsia" w:ascii="宋体" w:hAnsi="宋体" w:cs="宋体"/>
                <w:sz w:val="24"/>
                <w:szCs w:val="24"/>
              </w:rPr>
              <w:t xml:space="preserve">3.分辨率：≤0.01Hz；</w:t>
            </w:r>
            <w:r>
              <w:rPr>
                <w:rFonts w:hint="eastAsia" w:ascii="宋体" w:hAnsi="宋体" w:cs="宋体"/>
                <w:sz w:val="24"/>
                <w:szCs w:val="24"/>
              </w:rPr>
              <w:br/>
            </w:r>
            <w:r>
              <w:rPr>
                <w:rFonts w:hint="eastAsia" w:ascii="宋体" w:hAnsi="宋体" w:cs="宋体"/>
                <w:sz w:val="24"/>
                <w:szCs w:val="24"/>
              </w:rPr>
              <w:t xml:space="preserve">4.精度：≤0.1Hz；</w:t>
            </w:r>
            <w:r>
              <w:rPr>
                <w:rFonts w:hint="eastAsia" w:ascii="宋体" w:hAnsi="宋体" w:cs="宋体"/>
                <w:sz w:val="24"/>
                <w:szCs w:val="24"/>
              </w:rPr>
              <w:br/>
            </w:r>
            <w:r>
              <w:rPr>
                <w:rFonts w:hint="eastAsia" w:ascii="宋体" w:hAnsi="宋体" w:cs="宋体"/>
                <w:sz w:val="24"/>
                <w:szCs w:val="24"/>
              </w:rPr>
              <w:t xml:space="preserve">5.工作温度范围：-20℃～60℃；</w:t>
            </w:r>
            <w:r>
              <w:rPr>
                <w:rFonts w:hint="eastAsia" w:ascii="宋体" w:hAnsi="宋体" w:cs="宋体"/>
                <w:sz w:val="24"/>
                <w:szCs w:val="24"/>
              </w:rPr>
              <w:br/>
            </w:r>
            <w:r>
              <w:rPr>
                <w:rFonts w:hint="eastAsia" w:ascii="宋体" w:hAnsi="宋体" w:cs="宋体"/>
                <w:sz w:val="24"/>
                <w:szCs w:val="24"/>
              </w:rPr>
              <w:t xml:space="preserve">6.供电电压：9-36V；</w:t>
            </w:r>
            <w:r>
              <w:rPr>
                <w:rFonts w:hint="eastAsia" w:ascii="宋体" w:hAnsi="宋体" w:cs="宋体"/>
                <w:sz w:val="24"/>
                <w:szCs w:val="24"/>
              </w:rPr>
              <w:br/>
            </w:r>
            <w:r>
              <w:rPr>
                <w:rFonts w:hint="eastAsia" w:ascii="宋体" w:hAnsi="宋体" w:cs="宋体"/>
                <w:sz w:val="24"/>
                <w:szCs w:val="24"/>
              </w:rPr>
              <w:t xml:space="preserve">7.通信接口：RS485；</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Cs w:val="24"/>
              </w:rPr>
              <w:t xml:space="preserve">12</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磁弹仪</w:t>
            </w:r>
            <w:r/>
          </w:p>
        </w:tc>
        <w:tc>
          <w:tcPr>
            <w:tcW w:w="5784" w:type="dxa"/>
            <w:vAlign w:val="top"/>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1、支持磁通量信号采集</w:t>
            </w:r>
            <w:r>
              <w:rPr>
                <w:rFonts w:hint="eastAsia" w:ascii="宋体" w:hAnsi="宋体" w:cs="宋体"/>
                <w:sz w:val="24"/>
                <w:szCs w:val="24"/>
              </w:rPr>
              <w:br/>
            </w:r>
            <w:r>
              <w:rPr>
                <w:rFonts w:hint="eastAsia" w:ascii="宋体" w:hAnsi="宋体" w:cs="宋体"/>
                <w:sz w:val="24"/>
                <w:szCs w:val="24"/>
              </w:rPr>
              <w:t xml:space="preserve">2、通道数：16通道以上</w:t>
            </w:r>
            <w:r>
              <w:rPr>
                <w:rFonts w:hint="eastAsia" w:ascii="宋体" w:hAnsi="宋体" w:cs="宋体"/>
                <w:sz w:val="24"/>
                <w:szCs w:val="24"/>
              </w:rPr>
              <w:br/>
            </w:r>
            <w:r>
              <w:rPr>
                <w:rFonts w:hint="eastAsia" w:ascii="宋体" w:hAnsi="宋体" w:cs="宋体"/>
                <w:sz w:val="24"/>
                <w:szCs w:val="24"/>
              </w:rPr>
              <w:t xml:space="preserve">3、数据接口：USB、RJ45、RS485、WIFI；</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Cs w:val="24"/>
              </w:rPr>
              <w:t xml:space="preserve">13</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加速度信号调理仪</w:t>
            </w:r>
            <w:r/>
          </w:p>
        </w:tc>
        <w:tc>
          <w:tcPr>
            <w:tcW w:w="5784" w:type="dxa"/>
            <w:vAlign w:val="top"/>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t xml:space="preserve">1.支持加速度信号采集；</w:t>
            </w:r>
            <w:r>
              <w:rPr>
                <w:rFonts w:hint="eastAsia" w:ascii="宋体" w:hAnsi="宋体" w:cs="宋体"/>
                <w:sz w:val="24"/>
                <w:szCs w:val="24"/>
              </w:rPr>
              <w:br/>
            </w:r>
            <w:r>
              <w:rPr>
                <w:rFonts w:hint="eastAsia" w:ascii="宋体" w:hAnsi="宋体" w:cs="宋体"/>
                <w:sz w:val="24"/>
                <w:szCs w:val="24"/>
              </w:rPr>
              <w:t xml:space="preserve">2.通道数：≥16通道(可扩展）；</w:t>
            </w:r>
            <w:r>
              <w:rPr>
                <w:rFonts w:hint="eastAsia" w:ascii="宋体" w:hAnsi="宋体" w:cs="宋体"/>
                <w:sz w:val="24"/>
                <w:szCs w:val="24"/>
              </w:rPr>
              <w:br/>
            </w:r>
            <w:r>
              <w:rPr>
                <w:rFonts w:hint="eastAsia" w:ascii="宋体" w:hAnsi="宋体" w:cs="宋体"/>
                <w:sz w:val="24"/>
                <w:szCs w:val="24"/>
              </w:rPr>
              <w:t xml:space="preserve">3.数据接口：USB、RJ45；</w:t>
            </w:r>
            <w:r>
              <w:rPr>
                <w:rFonts w:hint="eastAsia" w:ascii="宋体" w:hAnsi="宋体" w:cs="宋体"/>
                <w:sz w:val="24"/>
                <w:szCs w:val="24"/>
              </w:rPr>
              <w:br/>
            </w:r>
            <w:r>
              <w:rPr>
                <w:rFonts w:hint="eastAsia" w:ascii="宋体" w:hAnsi="宋体" w:cs="宋体"/>
                <w:sz w:val="24"/>
                <w:szCs w:val="24"/>
              </w:rPr>
              <w:t xml:space="preserve">4.24位ADC，单通道最高100ksps；</w:t>
            </w:r>
            <w:r>
              <w:rPr>
                <w:rFonts w:hint="eastAsia" w:ascii="宋体" w:hAnsi="宋体" w:cs="宋体"/>
                <w:sz w:val="24"/>
                <w:szCs w:val="24"/>
              </w:rPr>
              <w:br/>
            </w:r>
            <w:r>
              <w:rPr>
                <w:rFonts w:hint="eastAsia" w:ascii="宋体" w:hAnsi="宋体" w:cs="宋体"/>
                <w:sz w:val="24"/>
                <w:szCs w:val="24"/>
              </w:rPr>
              <w:t xml:space="preserve">5.量程：±10V；</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Cs w:val="24"/>
              </w:rPr>
              <w:t xml:space="preserve">14</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工控机</w:t>
            </w:r>
            <w:r/>
          </w:p>
        </w:tc>
        <w:tc>
          <w:tcPr>
            <w:tcW w:w="5784" w:type="dxa"/>
            <w:vAlign w:val="top"/>
            <w:textDirection w:val="lrTb"/>
            <w:noWrap w:val="false"/>
          </w:tcPr>
          <w:p>
            <w:pPr>
              <w:jc w:val="left"/>
              <w:spacing w:line="360" w:lineRule="auto"/>
              <w:widowControl/>
              <w:rPr>
                <w:rFonts w:hint="eastAsia" w:ascii="宋体" w:hAnsi="宋体" w:cs="宋体"/>
                <w:sz w:val="24"/>
                <w:szCs w:val="24"/>
              </w:rPr>
            </w:pPr>
            <w:r>
              <w:rPr>
                <w:rFonts w:hint="eastAsia" w:ascii="宋体" w:hAnsi="宋体" w:cs="宋体"/>
                <w:sz w:val="24"/>
                <w:szCs w:val="24"/>
              </w:rPr>
              <w:t xml:space="preserve">1、CPU：PM2.8G</w:t>
            </w:r>
            <w:r>
              <w:rPr>
                <w:rFonts w:hint="eastAsia" w:ascii="宋体" w:hAnsi="宋体" w:cs="宋体"/>
                <w:sz w:val="24"/>
                <w:szCs w:val="24"/>
              </w:rPr>
              <w:br/>
            </w:r>
            <w:r>
              <w:rPr>
                <w:rFonts w:hint="eastAsia" w:ascii="宋体" w:hAnsi="宋体" w:cs="宋体"/>
                <w:sz w:val="24"/>
                <w:szCs w:val="24"/>
              </w:rPr>
              <w:t xml:space="preserve">2、内存：DDR8G</w:t>
            </w:r>
            <w:r>
              <w:rPr>
                <w:rFonts w:hint="eastAsia" w:ascii="宋体" w:hAnsi="宋体" w:cs="宋体"/>
                <w:sz w:val="24"/>
                <w:szCs w:val="24"/>
              </w:rPr>
              <w:br/>
            </w:r>
            <w:r>
              <w:rPr>
                <w:rFonts w:hint="eastAsia" w:ascii="宋体" w:hAnsi="宋体" w:cs="宋体"/>
                <w:sz w:val="24"/>
                <w:szCs w:val="24"/>
              </w:rPr>
              <w:t xml:space="preserve">3、硬盘：MT146G</w:t>
            </w:r>
            <w:r>
              <w:rPr>
                <w:rFonts w:hint="eastAsia" w:ascii="宋体" w:hAnsi="宋体" w:cs="宋体"/>
                <w:sz w:val="24"/>
                <w:szCs w:val="24"/>
              </w:rPr>
              <w:br/>
            </w:r>
            <w:r>
              <w:rPr>
                <w:rFonts w:hint="eastAsia" w:ascii="宋体" w:hAnsi="宋体" w:cs="宋体"/>
                <w:sz w:val="24"/>
                <w:szCs w:val="24"/>
              </w:rPr>
              <w:t xml:space="preserve">4、网口：10/100M</w:t>
            </w:r>
            <w:r>
              <w:rPr>
                <w:rFonts w:hint="eastAsia" w:ascii="宋体" w:hAnsi="宋体" w:cs="宋体"/>
                <w:sz w:val="24"/>
                <w:szCs w:val="24"/>
              </w:rPr>
              <w:br/>
            </w:r>
            <w:r>
              <w:rPr>
                <w:rFonts w:hint="eastAsia" w:ascii="宋体" w:hAnsi="宋体" w:cs="宋体"/>
                <w:sz w:val="24"/>
                <w:szCs w:val="24"/>
              </w:rPr>
              <w:t xml:space="preserve">5、串口：≥4个</w:t>
            </w:r>
            <w:r>
              <w:rPr>
                <w:rFonts w:hint="eastAsia" w:ascii="宋体" w:hAnsi="宋体" w:cs="宋体"/>
                <w:sz w:val="24"/>
                <w:szCs w:val="24"/>
              </w:rPr>
              <w:br/>
            </w:r>
            <w:r>
              <w:rPr>
                <w:rFonts w:hint="eastAsia" w:ascii="宋体" w:hAnsi="宋体" w:cs="宋体"/>
                <w:sz w:val="24"/>
                <w:szCs w:val="24"/>
              </w:rPr>
              <w:t xml:space="preserve">6、CD－ROM：40速</w:t>
            </w:r>
            <w:r>
              <w:rPr>
                <w:rFonts w:hint="eastAsia" w:ascii="宋体" w:hAnsi="宋体" w:cs="宋体"/>
                <w:sz w:val="24"/>
                <w:szCs w:val="24"/>
              </w:rPr>
              <w:br/>
            </w:r>
            <w:r>
              <w:rPr>
                <w:rFonts w:hint="eastAsia" w:ascii="宋体" w:hAnsi="宋体" w:cs="宋体"/>
                <w:sz w:val="24"/>
                <w:szCs w:val="24"/>
              </w:rPr>
              <w:t xml:space="preserve">7、机箱大小：4U标准机箱</w:t>
            </w:r>
            <w:r>
              <w:rPr>
                <w:rFonts w:hint="eastAsia" w:ascii="宋体" w:hAnsi="宋体" w:cs="宋体"/>
                <w:sz w:val="24"/>
                <w:szCs w:val="24"/>
              </w:rPr>
              <w:br/>
            </w:r>
            <w:r>
              <w:rPr>
                <w:rFonts w:hint="eastAsia" w:ascii="宋体" w:hAnsi="宋体" w:cs="宋体"/>
                <w:sz w:val="24"/>
                <w:szCs w:val="24"/>
              </w:rPr>
              <w:t xml:space="preserve">8、前置的USB及键盘接口</w:t>
            </w:r>
            <w:r>
              <w:rPr>
                <w:rFonts w:hint="eastAsia" w:ascii="宋体" w:hAnsi="宋体" w:cs="宋体"/>
                <w:sz w:val="24"/>
                <w:szCs w:val="24"/>
              </w:rPr>
              <w:br/>
            </w:r>
            <w:r>
              <w:rPr>
                <w:rFonts w:hint="eastAsia" w:ascii="宋体" w:hAnsi="宋体" w:cs="宋体"/>
                <w:sz w:val="24"/>
                <w:szCs w:val="24"/>
              </w:rPr>
              <w:t xml:space="preserve">9、工作湿度：10～85%无凝霜</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Cs w:val="24"/>
              </w:rPr>
              <w:t xml:space="preserve">15</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ascii="宋体" w:hAnsi="宋体" w:cs="宋体"/>
                <w:sz w:val="24"/>
                <w:szCs w:val="24"/>
              </w:rPr>
              <w:t xml:space="preserve">UPS</w:t>
            </w:r>
            <w:r>
              <w:rPr>
                <w:rFonts w:hint="eastAsia" w:ascii="宋体" w:hAnsi="宋体" w:cs="宋体"/>
                <w:sz w:val="24"/>
                <w:szCs w:val="24"/>
              </w:rPr>
              <w:t xml:space="preserve">电源</w:t>
            </w:r>
            <w:r/>
          </w:p>
        </w:tc>
        <w:tc>
          <w:tcPr>
            <w:tcW w:w="5784" w:type="dxa"/>
            <w:vAlign w:val="top"/>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1、额定容量：≥800W；</w:t>
            </w:r>
            <w:r>
              <w:rPr>
                <w:rFonts w:hint="eastAsia" w:ascii="宋体" w:hAnsi="宋体" w:cs="宋体"/>
                <w:sz w:val="24"/>
                <w:szCs w:val="24"/>
              </w:rPr>
              <w:br/>
            </w:r>
            <w:r>
              <w:rPr>
                <w:rFonts w:hint="eastAsia" w:ascii="宋体" w:hAnsi="宋体" w:cs="宋体"/>
                <w:sz w:val="24"/>
                <w:szCs w:val="24"/>
              </w:rPr>
              <w:t xml:space="preserve">2、输入电压：110~300VAC；</w:t>
            </w:r>
            <w:r>
              <w:rPr>
                <w:rFonts w:hint="eastAsia" w:ascii="宋体" w:hAnsi="宋体" w:cs="宋体"/>
                <w:sz w:val="24"/>
                <w:szCs w:val="24"/>
              </w:rPr>
              <w:br/>
            </w:r>
            <w:r>
              <w:rPr>
                <w:rFonts w:hint="eastAsia" w:ascii="宋体" w:hAnsi="宋体" w:cs="宋体"/>
                <w:sz w:val="24"/>
                <w:szCs w:val="24"/>
              </w:rPr>
              <w:t xml:space="preserve">3、输出电压：220VAC±10%（电池模式下）</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Cs w:val="24"/>
              </w:rPr>
              <w:t xml:space="preserve">16</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网络交换机</w:t>
            </w:r>
            <w:r/>
          </w:p>
        </w:tc>
        <w:tc>
          <w:tcPr>
            <w:tcW w:w="5784" w:type="dxa"/>
            <w:vAlign w:val="top"/>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1、2个10/100M自适应RJ45端口；</w:t>
            </w:r>
            <w:r>
              <w:rPr>
                <w:rFonts w:hint="eastAsia" w:ascii="宋体" w:hAnsi="宋体" w:cs="宋体"/>
                <w:sz w:val="24"/>
                <w:szCs w:val="24"/>
              </w:rPr>
              <w:br/>
            </w:r>
            <w:r>
              <w:rPr>
                <w:rFonts w:hint="eastAsia" w:ascii="宋体" w:hAnsi="宋体" w:cs="宋体"/>
                <w:sz w:val="24"/>
                <w:szCs w:val="24"/>
              </w:rPr>
              <w:t xml:space="preserve">2、5VDC/0.4A直流电源供电</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Cs w:val="24"/>
              </w:rPr>
              <w:t xml:space="preserve">17</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光纤收发器</w:t>
            </w:r>
            <w:r/>
          </w:p>
        </w:tc>
        <w:tc>
          <w:tcPr>
            <w:tcW w:w="5784" w:type="dxa"/>
            <w:vAlign w:val="top"/>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1、1个2.5Gbps单纤SC口；</w:t>
            </w:r>
            <w:r>
              <w:rPr>
                <w:rFonts w:hint="eastAsia" w:ascii="宋体" w:hAnsi="宋体" w:cs="宋体"/>
                <w:sz w:val="24"/>
                <w:szCs w:val="24"/>
              </w:rPr>
              <w:br/>
            </w:r>
            <w:r>
              <w:rPr>
                <w:rFonts w:hint="eastAsia" w:ascii="宋体" w:hAnsi="宋体" w:cs="宋体"/>
                <w:sz w:val="24"/>
                <w:szCs w:val="24"/>
              </w:rPr>
              <w:t xml:space="preserve">2、1个1Gbps/2.5GbpsRJ45口；</w:t>
            </w:r>
            <w:r>
              <w:rPr>
                <w:rFonts w:hint="eastAsia" w:ascii="宋体" w:hAnsi="宋体" w:cs="宋体"/>
                <w:sz w:val="24"/>
                <w:szCs w:val="24"/>
              </w:rPr>
              <w:br/>
            </w:r>
            <w:r>
              <w:rPr>
                <w:rFonts w:hint="eastAsia" w:ascii="宋体" w:hAnsi="宋体" w:cs="宋体"/>
                <w:sz w:val="24"/>
                <w:szCs w:val="24"/>
              </w:rPr>
              <w:t xml:space="preserve">3、5VDC/0.4A直流电源供电。</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Cs w:val="24"/>
              </w:rPr>
              <w:t xml:space="preserve">18</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串口服务器</w:t>
            </w:r>
            <w:r/>
          </w:p>
        </w:tc>
        <w:tc>
          <w:tcPr>
            <w:tcW w:w="5784" w:type="dxa"/>
            <w:vAlign w:val="top"/>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1、传输速率：300bps-115.2Kbps；</w:t>
            </w:r>
            <w:r>
              <w:rPr>
                <w:rFonts w:hint="eastAsia" w:ascii="宋体" w:hAnsi="宋体" w:cs="宋体"/>
                <w:sz w:val="24"/>
                <w:szCs w:val="24"/>
              </w:rPr>
              <w:br/>
            </w:r>
            <w:r>
              <w:rPr>
                <w:rFonts w:hint="eastAsia" w:ascii="宋体" w:hAnsi="宋体" w:cs="宋体"/>
                <w:sz w:val="24"/>
                <w:szCs w:val="24"/>
              </w:rPr>
              <w:t xml:space="preserve">2、工作环境：-40℃-85℃；</w:t>
            </w:r>
            <w:r>
              <w:rPr>
                <w:rFonts w:hint="eastAsia" w:ascii="宋体" w:hAnsi="宋体" w:cs="宋体"/>
                <w:sz w:val="24"/>
                <w:szCs w:val="24"/>
              </w:rPr>
              <w:br/>
            </w:r>
            <w:r>
              <w:rPr>
                <w:rFonts w:hint="eastAsia" w:ascii="宋体" w:hAnsi="宋体" w:cs="宋体"/>
                <w:sz w:val="24"/>
                <w:szCs w:val="24"/>
              </w:rPr>
              <w:t xml:space="preserve">3、传输介质：双绞线</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Cs w:val="24"/>
              </w:rPr>
              <w:t xml:space="preserve">19</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机柜</w:t>
            </w:r>
            <w:r/>
          </w:p>
        </w:tc>
        <w:tc>
          <w:tcPr>
            <w:tcW w:w="5784" w:type="dxa"/>
            <w:vAlign w:val="top"/>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根据现场实际情况进行定制</w:t>
            </w:r>
            <w:r/>
          </w:p>
        </w:tc>
      </w:tr>
      <w:tr>
        <w:trPr>
          <w:trHeight w:val="454"/>
        </w:trPr>
        <w:tc>
          <w:tcPr>
            <w:tcW w:w="547" w:type="pct"/>
            <w:vAlign w:val="center"/>
            <w:textDirection w:val="lrTb"/>
            <w:noWrap w:val="false"/>
          </w:tcPr>
          <w:p>
            <w:pPr>
              <w:pStyle w:val="910"/>
              <w:rPr>
                <w:rFonts w:hint="eastAsia" w:ascii="宋体" w:hAnsi="宋体" w:cs="宋体"/>
                <w:sz w:val="24"/>
                <w:szCs w:val="24"/>
              </w:rPr>
            </w:pPr>
            <w:r>
              <w:rPr>
                <w:rFonts w:hint="eastAsia" w:ascii="宋体" w:hAnsi="宋体" w:cs="宋体"/>
                <w:szCs w:val="24"/>
              </w:rPr>
              <w:t xml:space="preserve">20</w:t>
            </w:r>
            <w:r/>
          </w:p>
        </w:tc>
        <w:tc>
          <w:tcPr>
            <w:tcW w:w="1620" w:type="dxa"/>
            <w:vAlign w:val="center"/>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硬盘录像机及硬盘</w:t>
            </w:r>
            <w:r/>
          </w:p>
        </w:tc>
        <w:tc>
          <w:tcPr>
            <w:tcW w:w="5784" w:type="dxa"/>
            <w:vAlign w:val="top"/>
            <w:textDirection w:val="lrTb"/>
            <w:noWrap w:val="false"/>
          </w:tcPr>
          <w:p>
            <w:pPr>
              <w:jc w:val="left"/>
              <w:spacing w:line="360" w:lineRule="auto"/>
              <w:widowControl/>
              <w:rPr>
                <w:rFonts w:hint="eastAsia" w:asciiTheme="minorEastAsia" w:hAnsiTheme="minorEastAsia"/>
                <w:color w:val="000000"/>
                <w:sz w:val="24"/>
                <w:szCs w:val="24"/>
              </w:rPr>
            </w:pPr>
            <w:r>
              <w:rPr>
                <w:rFonts w:hint="eastAsia" w:ascii="宋体" w:hAnsi="宋体" w:cs="宋体"/>
                <w:sz w:val="24"/>
                <w:szCs w:val="24"/>
              </w:rPr>
              <w:t xml:space="preserve">1、视频输入：≥2路</w:t>
            </w:r>
            <w:r>
              <w:rPr>
                <w:rFonts w:hint="eastAsia" w:ascii="宋体" w:hAnsi="宋体" w:cs="宋体"/>
                <w:sz w:val="24"/>
                <w:szCs w:val="24"/>
              </w:rPr>
              <w:br/>
            </w:r>
            <w:r>
              <w:rPr>
                <w:rFonts w:hint="eastAsia" w:ascii="宋体" w:hAnsi="宋体" w:cs="宋体"/>
                <w:sz w:val="24"/>
                <w:szCs w:val="24"/>
              </w:rPr>
              <w:t xml:space="preserve">2、网络接口：10/100M自适应</w:t>
            </w:r>
            <w:r>
              <w:rPr>
                <w:rFonts w:hint="eastAsia" w:ascii="宋体" w:hAnsi="宋体" w:cs="宋体"/>
                <w:sz w:val="24"/>
                <w:szCs w:val="24"/>
              </w:rPr>
              <w:br/>
            </w:r>
            <w:r>
              <w:rPr>
                <w:rFonts w:hint="eastAsia" w:ascii="宋体" w:hAnsi="宋体" w:cs="宋体"/>
                <w:sz w:val="24"/>
                <w:szCs w:val="24"/>
              </w:rPr>
              <w:t xml:space="preserve">3、硬盘容量：≥1TB</w:t>
            </w:r>
            <w:r>
              <w:rPr>
                <w:rFonts w:hint="eastAsia" w:ascii="宋体" w:hAnsi="宋体" w:cs="宋体"/>
                <w:sz w:val="24"/>
                <w:szCs w:val="24"/>
              </w:rPr>
              <w:br/>
            </w:r>
            <w:r>
              <w:rPr>
                <w:rFonts w:hint="eastAsia" w:ascii="宋体" w:hAnsi="宋体" w:cs="宋体"/>
                <w:sz w:val="24"/>
                <w:szCs w:val="24"/>
              </w:rPr>
              <w:t xml:space="preserve">4、配备视频监控软件，具有数据回放与查询功能</w:t>
            </w:r>
            <w:r/>
          </w:p>
        </w:tc>
      </w:tr>
    </w:tbl>
    <w:p>
      <w:pPr>
        <w:pStyle w:val="710"/>
        <w:ind w:firstLine="480"/>
        <w:spacing w:line="360" w:lineRule="auto"/>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布点清单：</w:t>
      </w:r>
      <w:r/>
    </w:p>
    <w:tbl>
      <w:tblPr>
        <w:tblStyle w:val="70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27"/>
        <w:gridCol w:w="1499"/>
        <w:gridCol w:w="1422"/>
        <w:gridCol w:w="1081"/>
        <w:gridCol w:w="1105"/>
        <w:gridCol w:w="1394"/>
        <w:gridCol w:w="1183"/>
      </w:tblGrid>
      <w:tr>
        <w:trPr>
          <w:jc w:val="center"/>
          <w:trHeight w:val="567"/>
          <w:tblHeader/>
        </w:trPr>
        <w:tc>
          <w:tcPr>
            <w:shd w:val="clear" w:color="auto" w:fill="d7d7d7" w:themeFill="background1" w:themeFillShade="D8"/>
            <w:tcW w:w="377" w:type="pct"/>
            <w:vAlign w:val="center"/>
            <w:textDirection w:val="lrTb"/>
            <w:noWrap w:val="false"/>
          </w:tcPr>
          <w:p>
            <w:pPr>
              <w:pStyle w:val="910"/>
              <w:rPr>
                <w:b/>
                <w:bCs/>
              </w:rPr>
            </w:pPr>
            <w:r>
              <w:rPr>
                <w:rFonts w:hint="eastAsia"/>
                <w:b/>
                <w:bCs/>
              </w:rPr>
              <w:t xml:space="preserve">序号</w:t>
            </w:r>
            <w:r/>
          </w:p>
        </w:tc>
        <w:tc>
          <w:tcPr>
            <w:shd w:val="clear" w:color="auto" w:fill="d7d7d7" w:themeFill="background1" w:themeFillShade="D8"/>
            <w:tcW w:w="901" w:type="pct"/>
            <w:vAlign w:val="center"/>
            <w:textDirection w:val="lrTb"/>
            <w:noWrap w:val="false"/>
          </w:tcPr>
          <w:p>
            <w:pPr>
              <w:pStyle w:val="910"/>
              <w:rPr>
                <w:b/>
                <w:bCs/>
              </w:rPr>
            </w:pPr>
            <w:r>
              <w:rPr>
                <w:rFonts w:hint="eastAsia"/>
                <w:b/>
                <w:bCs/>
              </w:rPr>
              <w:t xml:space="preserve">监测类型</w:t>
            </w:r>
            <w:r/>
          </w:p>
        </w:tc>
        <w:tc>
          <w:tcPr>
            <w:shd w:val="clear" w:color="auto" w:fill="d7d7d7" w:themeFill="background1" w:themeFillShade="D8"/>
            <w:tcW w:w="855" w:type="pct"/>
            <w:vAlign w:val="center"/>
            <w:textDirection w:val="lrTb"/>
            <w:noWrap w:val="false"/>
          </w:tcPr>
          <w:p>
            <w:pPr>
              <w:pStyle w:val="910"/>
              <w:rPr>
                <w:b/>
                <w:bCs/>
              </w:rPr>
            </w:pPr>
            <w:r>
              <w:rPr>
                <w:rFonts w:hint="eastAsia"/>
                <w:b/>
                <w:bCs/>
              </w:rPr>
              <w:t xml:space="preserve">桥梁名称</w:t>
            </w:r>
            <w:r/>
          </w:p>
        </w:tc>
        <w:tc>
          <w:tcPr>
            <w:shd w:val="clear" w:color="auto" w:fill="d7d7d7" w:themeFill="background1" w:themeFillShade="D8"/>
            <w:tcW w:w="650" w:type="pct"/>
            <w:vAlign w:val="center"/>
            <w:textDirection w:val="lrTb"/>
            <w:noWrap w:val="false"/>
          </w:tcPr>
          <w:p>
            <w:pPr>
              <w:pStyle w:val="910"/>
              <w:rPr>
                <w:b/>
                <w:bCs/>
              </w:rPr>
            </w:pPr>
            <w:r>
              <w:rPr>
                <w:rFonts w:hint="eastAsia"/>
                <w:b/>
                <w:bCs/>
              </w:rPr>
              <w:t xml:space="preserve">结构形式</w:t>
            </w:r>
            <w:r/>
          </w:p>
        </w:tc>
        <w:tc>
          <w:tcPr>
            <w:shd w:val="clear" w:color="auto" w:fill="d7d7d7" w:themeFill="background1" w:themeFillShade="D8"/>
            <w:tcW w:w="664" w:type="pct"/>
            <w:vAlign w:val="center"/>
            <w:textDirection w:val="lrTb"/>
            <w:noWrap w:val="false"/>
          </w:tcPr>
          <w:p>
            <w:pPr>
              <w:pStyle w:val="910"/>
              <w:rPr>
                <w:b/>
                <w:bCs/>
              </w:rPr>
            </w:pPr>
            <w:r>
              <w:rPr>
                <w:rFonts w:hint="eastAsia"/>
                <w:b/>
                <w:bCs/>
              </w:rPr>
              <w:t xml:space="preserve">养护类别</w:t>
            </w:r>
            <w:r/>
          </w:p>
        </w:tc>
        <w:tc>
          <w:tcPr>
            <w:shd w:val="clear" w:color="auto" w:fill="d7d7d7" w:themeFill="background1" w:themeFillShade="D8"/>
            <w:tcW w:w="838" w:type="pct"/>
            <w:vAlign w:val="center"/>
            <w:textDirection w:val="lrTb"/>
            <w:noWrap w:val="false"/>
          </w:tcPr>
          <w:p>
            <w:pPr>
              <w:pStyle w:val="910"/>
              <w:rPr>
                <w:b/>
                <w:bCs/>
              </w:rPr>
            </w:pPr>
            <w:r>
              <w:rPr>
                <w:rFonts w:hint="eastAsia"/>
                <w:b/>
                <w:bCs/>
              </w:rPr>
              <w:t xml:space="preserve">主桥跨径组合</w:t>
            </w:r>
            <w:r/>
          </w:p>
        </w:tc>
        <w:tc>
          <w:tcPr>
            <w:shd w:val="clear" w:color="auto" w:fill="d7d7d7" w:themeFill="background1" w:themeFillShade="D8"/>
            <w:tcW w:w="711" w:type="pct"/>
            <w:vAlign w:val="center"/>
            <w:textDirection w:val="lrTb"/>
            <w:noWrap w:val="false"/>
          </w:tcPr>
          <w:p>
            <w:pPr>
              <w:pStyle w:val="910"/>
              <w:rPr>
                <w:b/>
                <w:bCs/>
              </w:rPr>
            </w:pPr>
            <w:r>
              <w:rPr>
                <w:rFonts w:hint="eastAsia"/>
                <w:b/>
                <w:bCs/>
              </w:rPr>
              <w:t xml:space="preserve">风险等级</w:t>
            </w:r>
            <w:r/>
          </w:p>
        </w:tc>
      </w:tr>
      <w:tr>
        <w:trPr>
          <w:jc w:val="center"/>
          <w:trHeight w:val="567"/>
        </w:trPr>
        <w:tc>
          <w:tcPr>
            <w:tcW w:w="377" w:type="pct"/>
            <w:vAlign w:val="center"/>
            <w:textDirection w:val="lrTb"/>
            <w:noWrap w:val="false"/>
          </w:tcPr>
          <w:p>
            <w:pPr>
              <w:pStyle w:val="910"/>
            </w:pPr>
            <w:r>
              <w:rPr>
                <w:rFonts w:hint="eastAsia"/>
              </w:rPr>
              <w:t xml:space="preserve">1</w:t>
            </w:r>
            <w:r/>
          </w:p>
        </w:tc>
        <w:tc>
          <w:tcPr>
            <w:tcW w:w="901" w:type="pct"/>
            <w:vAlign w:val="center"/>
            <w:textDirection w:val="lrTb"/>
            <w:noWrap w:val="false"/>
          </w:tcPr>
          <w:p>
            <w:pPr>
              <w:pStyle w:val="910"/>
            </w:pPr>
            <w:r>
              <w:rPr>
                <w:rFonts w:hint="eastAsia"/>
              </w:rPr>
              <w:t xml:space="preserve">轻量化监测</w:t>
            </w:r>
            <w:r/>
          </w:p>
        </w:tc>
        <w:tc>
          <w:tcPr>
            <w:tcW w:w="855" w:type="pct"/>
            <w:vAlign w:val="center"/>
            <w:textDirection w:val="lrTb"/>
            <w:noWrap w:val="false"/>
          </w:tcPr>
          <w:p>
            <w:pPr>
              <w:pStyle w:val="910"/>
            </w:pPr>
            <w:r>
              <w:rPr>
                <w:rFonts w:hint="eastAsia"/>
              </w:rPr>
              <w:t xml:space="preserve">幸福桥</w:t>
            </w:r>
            <w:r/>
          </w:p>
        </w:tc>
        <w:tc>
          <w:tcPr>
            <w:tcW w:w="650" w:type="pct"/>
            <w:vAlign w:val="center"/>
            <w:textDirection w:val="lrTb"/>
            <w:noWrap w:val="false"/>
          </w:tcPr>
          <w:p>
            <w:pPr>
              <w:pStyle w:val="910"/>
            </w:pPr>
            <w:r>
              <w:rPr>
                <w:rFonts w:hint="eastAsia"/>
              </w:rPr>
              <w:t xml:space="preserve">组合桥型</w:t>
            </w:r>
            <w:r/>
          </w:p>
        </w:tc>
        <w:tc>
          <w:tcPr>
            <w:tcW w:w="664" w:type="pct"/>
            <w:vAlign w:val="center"/>
            <w:textDirection w:val="lrTb"/>
            <w:noWrap w:val="false"/>
          </w:tcPr>
          <w:p>
            <w:pPr>
              <w:pStyle w:val="910"/>
            </w:pPr>
            <w:r>
              <w:rPr>
                <w:rFonts w:hint="eastAsia"/>
              </w:rPr>
              <w:t xml:space="preserve">Ⅲ类</w:t>
            </w:r>
            <w:r/>
          </w:p>
        </w:tc>
        <w:tc>
          <w:tcPr>
            <w:tcW w:w="838" w:type="pct"/>
            <w:vAlign w:val="center"/>
            <w:textDirection w:val="lrTb"/>
            <w:noWrap w:val="false"/>
          </w:tcPr>
          <w:p>
            <w:pPr>
              <w:pStyle w:val="910"/>
            </w:pPr>
            <w:r>
              <w:rPr>
                <w:rFonts w:hint="eastAsia"/>
              </w:rPr>
              <w:t xml:space="preserve">22+40+22</w:t>
            </w:r>
            <w:r/>
          </w:p>
        </w:tc>
        <w:tc>
          <w:tcPr>
            <w:tcW w:w="711" w:type="pct"/>
            <w:vAlign w:val="center"/>
            <w:textDirection w:val="lrTb"/>
            <w:noWrap w:val="false"/>
          </w:tcPr>
          <w:p>
            <w:pPr>
              <w:pStyle w:val="910"/>
            </w:pPr>
            <w:r>
              <w:rPr>
                <w:rFonts w:hint="eastAsia"/>
              </w:rPr>
              <w:t xml:space="preserve">Ⅱ级</w:t>
            </w:r>
            <w:r/>
          </w:p>
        </w:tc>
      </w:tr>
      <w:tr>
        <w:trPr>
          <w:jc w:val="center"/>
          <w:trHeight w:val="567"/>
        </w:trPr>
        <w:tc>
          <w:tcPr>
            <w:tcW w:w="377" w:type="pct"/>
            <w:vAlign w:val="center"/>
            <w:textDirection w:val="lrTb"/>
            <w:noWrap w:val="false"/>
          </w:tcPr>
          <w:p>
            <w:pPr>
              <w:pStyle w:val="910"/>
              <w:rPr>
                <w:rFonts w:eastAsiaTheme="minorEastAsia"/>
              </w:rPr>
            </w:pPr>
            <w:r>
              <w:rPr>
                <w:rFonts w:hint="eastAsia"/>
              </w:rPr>
              <w:t xml:space="preserve">2</w:t>
            </w:r>
            <w:r/>
          </w:p>
        </w:tc>
        <w:tc>
          <w:tcPr>
            <w:tcW w:w="901" w:type="pct"/>
            <w:vAlign w:val="center"/>
            <w:textDirection w:val="lrTb"/>
            <w:noWrap w:val="false"/>
          </w:tcPr>
          <w:p>
            <w:pPr>
              <w:pStyle w:val="910"/>
            </w:pPr>
            <w:r>
              <w:rPr>
                <w:rFonts w:hint="eastAsia"/>
              </w:rPr>
              <w:t xml:space="preserve">标准化监测</w:t>
            </w:r>
            <w:r/>
          </w:p>
        </w:tc>
        <w:tc>
          <w:tcPr>
            <w:tcW w:w="855" w:type="pct"/>
            <w:vAlign w:val="center"/>
            <w:textDirection w:val="lrTb"/>
            <w:noWrap w:val="false"/>
          </w:tcPr>
          <w:p>
            <w:pPr>
              <w:pStyle w:val="910"/>
            </w:pPr>
            <w:r>
              <w:rPr>
                <w:rFonts w:hint="eastAsia"/>
              </w:rPr>
              <w:t xml:space="preserve">振兴桥</w:t>
            </w:r>
            <w:r/>
          </w:p>
        </w:tc>
        <w:tc>
          <w:tcPr>
            <w:tcW w:w="650" w:type="pct"/>
            <w:vAlign w:val="center"/>
            <w:textDirection w:val="lrTb"/>
            <w:noWrap w:val="false"/>
          </w:tcPr>
          <w:p>
            <w:pPr>
              <w:pStyle w:val="910"/>
            </w:pPr>
            <w:r>
              <w:rPr>
                <w:rFonts w:hint="eastAsia"/>
              </w:rPr>
              <w:t xml:space="preserve">组合桥型</w:t>
            </w:r>
            <w:r/>
          </w:p>
        </w:tc>
        <w:tc>
          <w:tcPr>
            <w:tcW w:w="664" w:type="pct"/>
            <w:vAlign w:val="center"/>
            <w:textDirection w:val="lrTb"/>
            <w:noWrap w:val="false"/>
          </w:tcPr>
          <w:p>
            <w:pPr>
              <w:pStyle w:val="910"/>
            </w:pPr>
            <w:r>
              <w:rPr>
                <w:rFonts w:hint="eastAsia"/>
              </w:rPr>
              <w:t xml:space="preserve">Ⅲ类</w:t>
            </w:r>
            <w:r/>
          </w:p>
        </w:tc>
        <w:tc>
          <w:tcPr>
            <w:tcW w:w="838" w:type="pct"/>
            <w:vAlign w:val="center"/>
            <w:textDirection w:val="lrTb"/>
            <w:noWrap w:val="false"/>
          </w:tcPr>
          <w:p>
            <w:pPr>
              <w:pStyle w:val="910"/>
            </w:pPr>
            <w:r>
              <w:rPr>
                <w:rFonts w:hint="eastAsia"/>
              </w:rPr>
              <w:t xml:space="preserve">10+73+10</w:t>
            </w:r>
            <w:r/>
          </w:p>
        </w:tc>
        <w:tc>
          <w:tcPr>
            <w:tcW w:w="711" w:type="pct"/>
            <w:vAlign w:val="center"/>
            <w:textDirection w:val="lrTb"/>
            <w:noWrap w:val="false"/>
          </w:tcPr>
          <w:p>
            <w:pPr>
              <w:pStyle w:val="910"/>
            </w:pPr>
            <w:r>
              <w:rPr>
                <w:rFonts w:hint="eastAsia"/>
              </w:rPr>
              <w:t xml:space="preserve">Ⅱ级</w:t>
            </w:r>
            <w:r/>
          </w:p>
        </w:tc>
      </w:tr>
    </w:tbl>
    <w:p>
      <w:pPr>
        <w:ind w:firstLine="480"/>
        <w:rPr>
          <w:rFonts w:hint="eastAsia" w:ascii="宋体" w:hAnsi="宋体" w:cs="宋体"/>
          <w:sz w:val="24"/>
          <w:szCs w:val="24"/>
        </w:rPr>
      </w:pPr>
      <w:r>
        <w:rPr>
          <w:rFonts w:hint="eastAsia" w:ascii="宋体" w:hAnsi="宋体" w:cs="宋体"/>
          <w:sz w:val="24"/>
          <w:szCs w:val="24"/>
        </w:rPr>
        <w:t xml:space="preserve">实际布设位置，最终依据采购人需求为主。</w:t>
      </w:r>
      <w:r/>
    </w:p>
    <w:p>
      <w:pPr>
        <w:pStyle w:val="697"/>
        <w:numPr>
          <w:ilvl w:val="0"/>
          <w:numId w:val="2"/>
        </w:numPr>
        <w:ind w:firstLine="482"/>
        <w:spacing w:before="120" w:after="0"/>
        <w:rPr>
          <w:rFonts w:hint="eastAsia" w:ascii="宋体" w:hAnsi="宋体" w:eastAsia="宋体" w:cs="宋体"/>
          <w:sz w:val="24"/>
          <w:szCs w:val="21"/>
        </w:rPr>
      </w:pPr>
      <w:r>
        <w:rPr>
          <w:rFonts w:hint="eastAsia" w:ascii="宋体" w:hAnsi="宋体" w:eastAsia="宋体" w:cs="宋体"/>
          <w:sz w:val="24"/>
          <w:szCs w:val="21"/>
        </w:rPr>
        <w:t xml:space="preserve">市级综合监管平台适配</w:t>
      </w:r>
      <w:r/>
    </w:p>
    <w:p>
      <w:pPr>
        <w:ind w:firstLine="480"/>
        <w:spacing w:line="360" w:lineRule="auto"/>
        <w:rPr>
          <w:sz w:val="24"/>
          <w:szCs w:val="28"/>
        </w:rPr>
      </w:pPr>
      <w:r>
        <w:rPr>
          <w:sz w:val="24"/>
          <w:szCs w:val="28"/>
        </w:rPr>
        <w:t xml:space="preserve">依托连云港市城市生命线安全建设一期工程</w:t>
      </w:r>
      <w:r>
        <w:rPr>
          <w:rFonts w:hint="eastAsia"/>
          <w:sz w:val="24"/>
          <w:szCs w:val="28"/>
        </w:rPr>
        <w:t xml:space="preserve">（</w:t>
      </w:r>
      <w:r>
        <w:rPr>
          <w:sz w:val="24"/>
          <w:szCs w:val="28"/>
        </w:rPr>
        <w:t xml:space="preserve">城市基础设施安全运行智慧监管系统</w:t>
      </w:r>
      <w:r>
        <w:rPr>
          <w:rFonts w:hint="eastAsia"/>
          <w:sz w:val="24"/>
          <w:szCs w:val="28"/>
        </w:rPr>
        <w:t xml:space="preserve">）</w:t>
      </w:r>
      <w:r>
        <w:rPr>
          <w:sz w:val="24"/>
          <w:szCs w:val="28"/>
        </w:rPr>
        <w:t xml:space="preserve">开通的账号进行区级使用，并根据</w:t>
      </w:r>
      <w:r>
        <w:rPr>
          <w:rFonts w:hint="eastAsia"/>
          <w:sz w:val="24"/>
          <w:szCs w:val="28"/>
        </w:rPr>
        <w:t xml:space="preserve">东海</w:t>
      </w:r>
      <w:r>
        <w:rPr>
          <w:sz w:val="24"/>
          <w:szCs w:val="28"/>
        </w:rPr>
        <w:t xml:space="preserve">县的实际需求开展</w:t>
      </w:r>
      <w:r>
        <w:rPr>
          <w:rFonts w:hint="eastAsia"/>
          <w:sz w:val="24"/>
          <w:szCs w:val="28"/>
        </w:rPr>
        <w:t xml:space="preserve">综合</w:t>
      </w:r>
      <w:r>
        <w:rPr>
          <w:sz w:val="24"/>
          <w:szCs w:val="28"/>
        </w:rPr>
        <w:t xml:space="preserve">、燃气、供水、排水、地下管线、道路、桥梁、第三方施工破坏、防震专项场景</w:t>
      </w:r>
      <w:r>
        <w:rPr>
          <w:rFonts w:hint="eastAsia"/>
          <w:sz w:val="24"/>
          <w:szCs w:val="28"/>
        </w:rPr>
        <w:t xml:space="preserve">的</w:t>
      </w:r>
      <w:r>
        <w:rPr>
          <w:sz w:val="24"/>
          <w:szCs w:val="28"/>
        </w:rPr>
        <w:t xml:space="preserve">定制开发和适配工作。包括各专项一张图大屏</w:t>
      </w:r>
      <w:r>
        <w:rPr>
          <w:rFonts w:hint="eastAsia"/>
          <w:sz w:val="24"/>
          <w:szCs w:val="28"/>
        </w:rPr>
        <w:t xml:space="preserve">展示开发或调整</w:t>
      </w:r>
      <w:r>
        <w:rPr>
          <w:sz w:val="24"/>
          <w:szCs w:val="28"/>
        </w:rPr>
        <w:t xml:space="preserve">、</w:t>
      </w:r>
      <w:r>
        <w:rPr>
          <w:rFonts w:hint="eastAsia"/>
          <w:sz w:val="24"/>
          <w:szCs w:val="28"/>
        </w:rPr>
        <w:t xml:space="preserve">大屏</w:t>
      </w:r>
      <w:r>
        <w:rPr>
          <w:sz w:val="24"/>
          <w:szCs w:val="28"/>
        </w:rPr>
        <w:t xml:space="preserve">分辨率适配、事件处置流程适配、业务审批闭环适配等工作。</w:t>
      </w:r>
      <w:r/>
    </w:p>
    <w:p>
      <w:pPr>
        <w:pStyle w:val="697"/>
        <w:numPr>
          <w:ilvl w:val="0"/>
          <w:numId w:val="2"/>
        </w:numPr>
        <w:ind w:firstLine="482"/>
        <w:spacing w:before="120" w:after="0"/>
        <w:rPr>
          <w:rFonts w:hint="eastAsia" w:ascii="宋体" w:hAnsi="宋体" w:eastAsia="宋体" w:cs="宋体"/>
          <w:sz w:val="24"/>
          <w:szCs w:val="21"/>
        </w:rPr>
      </w:pPr>
      <w:r>
        <w:rPr>
          <w:rFonts w:hint="eastAsia" w:ascii="宋体" w:hAnsi="宋体" w:eastAsia="宋体" w:cs="宋体"/>
          <w:sz w:val="24"/>
          <w:szCs w:val="21"/>
        </w:rPr>
        <w:t xml:space="preserve">政务云租赁</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本项目须基于连云港市城市生命线安全建设一期工程（城市基础设施安全运行智慧监管系统）现有的信创云资源，针对东海县级所需的云资源进行扩容，租赁期限为3年。具体要求如下：</w:t>
      </w:r>
      <w:r/>
    </w:p>
    <w:tbl>
      <w:tblPr>
        <w:tblStyle w:val="704"/>
        <w:tblW w:w="4846" w:type="pct"/>
        <w:tblInd w:w="171" w:type="dxa"/>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1051"/>
        <w:gridCol w:w="4801"/>
        <w:gridCol w:w="1277"/>
        <w:gridCol w:w="1131"/>
      </w:tblGrid>
      <w:tr>
        <w:trPr>
          <w:trHeight w:val="567"/>
        </w:trPr>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服务器名称</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分项单位</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p>
        </w:tc>
      </w:tr>
      <w:tr>
        <w:trPr>
          <w:trHeight w:val="56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0"/>
                <w:szCs w:val="20"/>
                <w:lang w:bidi="ar"/>
              </w:rPr>
              <w:t xml:space="preserve">电子政务外网区-云主机(信创)-CPU</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0"/>
                <w:szCs w:val="20"/>
                <w:lang w:bidi="ar"/>
              </w:rPr>
              <w:t xml:space="preserve">256</w:t>
            </w:r>
            <w:r/>
          </w:p>
        </w:tc>
      </w:tr>
      <w:tr>
        <w:trPr>
          <w:trHeight w:val="56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0"/>
                <w:szCs w:val="20"/>
                <w:lang w:bidi="ar"/>
              </w:rPr>
              <w:t xml:space="preserve">电子政务外网区-云主机(信创)-内存</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GB</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0"/>
                <w:szCs w:val="20"/>
                <w:lang w:bidi="ar"/>
              </w:rPr>
              <w:t xml:space="preserve">512</w:t>
            </w:r>
            <w:r/>
          </w:p>
        </w:tc>
      </w:tr>
      <w:tr>
        <w:trPr>
          <w:trHeight w:val="56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0"/>
                <w:szCs w:val="20"/>
                <w:lang w:bidi="ar"/>
              </w:rPr>
              <w:t xml:space="preserve">电子政务外网区-云主机存储（信创）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TB</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0"/>
                <w:szCs w:val="20"/>
                <w:lang w:bidi="ar"/>
              </w:rPr>
              <w:t xml:space="preserve">22</w:t>
            </w:r>
            <w:r/>
          </w:p>
        </w:tc>
      </w:tr>
      <w:tr>
        <w:trPr>
          <w:trHeight w:val="567"/>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905" w:type="pct"/>
            <w:vAlign w:val="center"/>
            <w:textDirection w:val="lrTb"/>
            <w:noWrap w:val="false"/>
          </w:tcPr>
          <w:p>
            <w:pPr>
              <w:jc w:val="left"/>
              <w:widowControl/>
              <w:rPr>
                <w:rFonts w:hint="eastAsia" w:ascii="宋体" w:hAnsi="宋体" w:cs="宋体"/>
                <w:color w:val="000000"/>
                <w:sz w:val="24"/>
                <w:szCs w:val="24"/>
              </w:rPr>
            </w:pPr>
            <w:r>
              <w:rPr>
                <w:rFonts w:hint="eastAsia" w:ascii="宋体" w:hAnsi="宋体" w:cs="宋体"/>
                <w:color w:val="000000"/>
                <w:sz w:val="20"/>
                <w:szCs w:val="20"/>
                <w:lang w:bidi="ar"/>
              </w:rPr>
              <w:t xml:space="preserve">操作系统（信创）</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核</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widowControl/>
              <w:rPr>
                <w:rFonts w:hint="eastAsia" w:ascii="宋体" w:hAnsi="宋体" w:cs="宋体"/>
                <w:color w:val="000000"/>
                <w:sz w:val="24"/>
                <w:szCs w:val="24"/>
              </w:rPr>
            </w:pPr>
            <w:r>
              <w:rPr>
                <w:rFonts w:hint="eastAsia" w:ascii="宋体" w:hAnsi="宋体" w:cs="宋体"/>
                <w:color w:val="000000"/>
                <w:sz w:val="20"/>
                <w:szCs w:val="20"/>
                <w:lang w:bidi="ar"/>
              </w:rPr>
              <w:t xml:space="preserve">10</w:t>
            </w:r>
            <w:r/>
          </w:p>
        </w:tc>
      </w:tr>
    </w:tbl>
    <w:p>
      <w:pPr>
        <w:pStyle w:val="697"/>
        <w:numPr>
          <w:ilvl w:val="0"/>
          <w:numId w:val="2"/>
        </w:numPr>
        <w:ind w:firstLine="482"/>
        <w:spacing w:before="120" w:after="0"/>
        <w:rPr>
          <w:rFonts w:hint="eastAsia" w:ascii="宋体" w:hAnsi="宋体" w:eastAsia="宋体" w:cs="宋体"/>
          <w:sz w:val="24"/>
          <w:szCs w:val="21"/>
        </w:rPr>
      </w:pPr>
      <w:r>
        <w:rPr>
          <w:rFonts w:hint="eastAsia" w:ascii="宋体" w:hAnsi="宋体" w:eastAsia="宋体" w:cs="宋体"/>
          <w:sz w:val="24"/>
          <w:szCs w:val="21"/>
        </w:rPr>
        <w:t xml:space="preserve">网络专线租赁</w:t>
      </w:r>
      <w:r/>
    </w:p>
    <w:p>
      <w:pPr>
        <w:ind w:firstLine="480"/>
        <w:spacing w:line="360" w:lineRule="auto"/>
      </w:pPr>
      <w:r>
        <w:rPr>
          <w:rFonts w:hint="eastAsia" w:asciiTheme="minorEastAsia" w:hAnsiTheme="minorEastAsia"/>
          <w:sz w:val="24"/>
          <w:szCs w:val="24"/>
        </w:rPr>
        <w:t xml:space="preserve">本项目须实现连云港市城市生命线安全建设一期工程（城市基础设施安全运行智慧监管系统）与各权属单位、监测设备布设点位之间的数据交互及共享。与各权属单位及行业监管部门之间采用</w:t>
      </w:r>
      <w:r>
        <w:rPr>
          <w:rFonts w:asciiTheme="minorEastAsia" w:hAnsiTheme="minorEastAsia"/>
          <w:sz w:val="24"/>
          <w:szCs w:val="24"/>
        </w:rPr>
        <w:t xml:space="preserve">100Mbps</w:t>
      </w:r>
      <w:r>
        <w:rPr>
          <w:rFonts w:hint="eastAsia" w:asciiTheme="minorEastAsia" w:hAnsiTheme="minorEastAsia"/>
          <w:sz w:val="24"/>
          <w:szCs w:val="24"/>
        </w:rPr>
        <w:t xml:space="preserve">传输带宽，与各监测点位的视频监控和监测设备之前采用5</w:t>
      </w:r>
      <w:r>
        <w:rPr>
          <w:rFonts w:asciiTheme="minorEastAsia" w:hAnsiTheme="minorEastAsia"/>
          <w:sz w:val="24"/>
          <w:szCs w:val="24"/>
        </w:rPr>
        <w:t xml:space="preserve">0Mbps</w:t>
      </w:r>
      <w:r>
        <w:rPr>
          <w:rFonts w:hint="eastAsia" w:asciiTheme="minorEastAsia" w:hAnsiTheme="minorEastAsia"/>
          <w:sz w:val="24"/>
          <w:szCs w:val="24"/>
        </w:rPr>
        <w:t xml:space="preserve">传输带宽，租赁期限为3年。具体要求如下：</w:t>
      </w:r>
      <w:r/>
    </w:p>
    <w:tbl>
      <w:tblPr>
        <w:tblStyle w:val="704"/>
        <w:tblW w:w="0" w:type="auto"/>
        <w:tblInd w:w="98" w:type="dxa"/>
        <w:tblLayout w:type="autofit"/>
        <w:tblCellMar>
          <w:left w:w="108" w:type="dxa"/>
          <w:top w:w="0" w:type="dxa"/>
          <w:right w:w="108" w:type="dxa"/>
          <w:bottom w:w="0" w:type="dxa"/>
        </w:tblCellMar>
        <w:tblLook w:val="04A0" w:firstRow="1" w:lastRow="0" w:firstColumn="1" w:lastColumn="0" w:noHBand="0" w:noVBand="1"/>
      </w:tblPr>
      <w:tblGrid>
        <w:gridCol w:w="820"/>
        <w:gridCol w:w="1411"/>
        <w:gridCol w:w="4184"/>
        <w:gridCol w:w="1041"/>
        <w:gridCol w:w="968"/>
      </w:tblGrid>
      <w:tr>
        <w:trPr>
          <w:trHeight w:val="567"/>
        </w:trPr>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序号</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场景</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center"/>
              <w:widowControl/>
              <w:rPr>
                <w:rFonts w:hint="eastAsia" w:ascii="宋体" w:hAnsi="宋体" w:cs="宋体"/>
                <w:b/>
                <w:bCs/>
                <w:color w:val="000000"/>
                <w:sz w:val="22"/>
              </w:rPr>
            </w:pPr>
            <w:r>
              <w:rPr>
                <w:rFonts w:hint="eastAsia" w:asciiTheme="minorEastAsia" w:hAnsiTheme="minorEastAsia" w:eastAsiaTheme="minorEastAsia" w:cstheme="minorEastAsia"/>
                <w:b/>
                <w:bCs/>
                <w:color w:val="000000"/>
                <w:sz w:val="24"/>
                <w:szCs w:val="24"/>
                <w:lang w:bidi="ar"/>
              </w:rPr>
              <w:t xml:space="preserve">接入位置</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带宽</w:t>
            </w:r>
            <w:r/>
          </w:p>
        </w:tc>
        <w:tc>
          <w:tcPr>
            <w:shd w:val="clear" w:color="auto" w:fill="d7d7d7" w:themeFill="background1" w:themeFillShade="D8"/>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widowControl/>
              <w:rPr>
                <w:rFonts w:hint="eastAsia" w:ascii="宋体" w:hAnsi="宋体" w:cs="宋体"/>
                <w:b/>
                <w:bCs/>
                <w:color w:val="000000"/>
                <w:sz w:val="22"/>
              </w:rPr>
            </w:pPr>
            <w:r>
              <w:rPr>
                <w:rFonts w:hint="eastAsia" w:ascii="宋体" w:hAnsi="宋体" w:cs="宋体"/>
                <w:b/>
                <w:bCs/>
                <w:color w:val="000000"/>
                <w:sz w:val="22"/>
                <w:lang w:bidi="ar"/>
              </w:rPr>
              <w:t xml:space="preserve">数量</w:t>
            </w:r>
            <w:r/>
          </w:p>
        </w:tc>
      </w:tr>
      <w:tr>
        <w:trPr>
          <w:trHeight w:val="567"/>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625" w:type="dxa"/>
            <w:vAlign w:val="center"/>
            <w:vMerge w:val="restart"/>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燃气</w:t>
            </w:r>
            <w:r/>
          </w:p>
        </w:tc>
        <w:tc>
          <w:tcPr>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东海县昆仑燃气</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100M</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625" w:type="dxa"/>
            <w:vAlign w:val="center"/>
            <w:vMerge w:val="continue"/>
            <w:textDirection w:val="lrTb"/>
            <w:noWrap w:val="false"/>
          </w:tcPr>
          <w:p>
            <w:pPr>
              <w:jc w:val="center"/>
              <w:rPr>
                <w:rFonts w:hint="eastAsia" w:ascii="宋体" w:hAnsi="宋体" w:cs="宋体"/>
                <w:color w:val="000000"/>
                <w:sz w:val="22"/>
              </w:rPr>
            </w:pPr>
            <w:r>
              <w:rPr>
                <w:rFonts w:hint="eastAsia"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东海县奥德燃气</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100M</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供水</w:t>
            </w:r>
            <w:r/>
          </w:p>
        </w:tc>
        <w:tc>
          <w:tcPr>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东海县自来水公司</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100M</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1</w:t>
            </w:r>
            <w:r/>
          </w:p>
        </w:tc>
      </w:tr>
      <w:tr>
        <w:trPr>
          <w:trHeight w:val="567"/>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内涝</w:t>
            </w:r>
            <w:r/>
          </w:p>
        </w:tc>
        <w:tc>
          <w:tcPr>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6个易淹易涝点、26个重要保障对象、3个重要泵站的视频专项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50M</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35</w:t>
            </w:r>
            <w:r/>
          </w:p>
        </w:tc>
      </w:tr>
      <w:tr>
        <w:trPr>
          <w:trHeight w:val="567"/>
        </w:trPr>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桥梁</w:t>
            </w:r>
            <w:r/>
          </w:p>
        </w:tc>
        <w:tc>
          <w:tcPr>
            <w:tcBorders>
              <w:top w:val="single" w:color="000000" w:sz="4" w:space="0"/>
              <w:left w:val="single" w:color="000000" w:sz="4" w:space="0"/>
              <w:bottom w:val="single" w:color="000000" w:sz="4" w:space="0"/>
              <w:right w:val="single" w:color="000000" w:sz="4" w:space="0"/>
            </w:tcBorders>
            <w:tcW w:w="4958"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4座桥梁监测设备及视频专线</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50M</w:t>
            </w:r>
            <w:r/>
          </w:p>
        </w:tc>
        <w:tc>
          <w:tcPr>
            <w:tcBorders>
              <w:top w:val="single" w:color="000000" w:sz="4" w:space="0"/>
              <w:left w:val="single" w:color="000000" w:sz="4" w:space="0"/>
              <w:bottom w:val="single" w:color="000000" w:sz="4" w:space="0"/>
              <w:right w:val="single" w:color="000000" w:sz="4" w:space="0"/>
            </w:tcBorders>
            <w:tcW w:w="1084" w:type="dxa"/>
            <w:vAlign w:val="center"/>
            <w:textDirection w:val="lrTb"/>
            <w:noWrap w:val="false"/>
          </w:tcPr>
          <w:p>
            <w:pPr>
              <w:jc w:val="center"/>
              <w:widowControl/>
              <w:rPr>
                <w:rFonts w:hint="eastAsia" w:ascii="宋体" w:hAnsi="宋体" w:cs="宋体"/>
                <w:color w:val="000000"/>
                <w:sz w:val="22"/>
              </w:rPr>
            </w:pPr>
            <w:r>
              <w:rPr>
                <w:rFonts w:hint="eastAsia" w:ascii="宋体" w:hAnsi="宋体" w:cs="宋体"/>
                <w:color w:val="000000"/>
                <w:sz w:val="22"/>
                <w:lang w:bidi="ar"/>
              </w:rPr>
              <w:t xml:space="preserve">4</w:t>
            </w:r>
            <w:r/>
          </w:p>
        </w:tc>
      </w:tr>
    </w:tbl>
    <w:p>
      <w:pPr>
        <w:pStyle w:val="696"/>
        <w:ind w:firstLine="482"/>
        <w:spacing w:before="120" w:after="120"/>
        <w:rPr>
          <w:rFonts w:hint="eastAsia" w:ascii="宋体" w:hAnsi="宋体" w:eastAsia="宋体" w:cs="宋体"/>
          <w:b/>
          <w:sz w:val="24"/>
          <w:szCs w:val="20"/>
        </w:rPr>
      </w:pPr>
      <w:r>
        <w:rPr>
          <w:rFonts w:hint="eastAsia" w:ascii="宋体" w:hAnsi="宋体" w:eastAsia="宋体" w:cs="宋体"/>
          <w:b/>
          <w:sz w:val="24"/>
          <w:szCs w:val="20"/>
          <w:lang w:val="en-US" w:eastAsia="zh-CN"/>
        </w:rPr>
        <w:t xml:space="preserve">4</w:t>
      </w:r>
      <w:r>
        <w:rPr>
          <w:rFonts w:hint="eastAsia" w:ascii="宋体" w:hAnsi="宋体" w:eastAsia="宋体" w:cs="宋体"/>
          <w:b/>
          <w:sz w:val="24"/>
          <w:szCs w:val="20"/>
        </w:rPr>
        <w:t xml:space="preserve">.数据安全要求</w:t>
      </w:r>
      <w:r/>
    </w:p>
    <w:p>
      <w:pPr>
        <w:ind w:firstLine="480"/>
        <w:spacing w:line="360" w:lineRule="auto"/>
        <w:rPr>
          <w:sz w:val="24"/>
          <w:szCs w:val="24"/>
        </w:rPr>
      </w:pPr>
      <w:r>
        <w:rPr>
          <w:rFonts w:asciiTheme="minorEastAsia" w:hAnsiTheme="minorEastAsia"/>
          <w:sz w:val="24"/>
          <w:szCs w:val="24"/>
        </w:rPr>
        <w:t xml:space="preserve">按照《数据安全法》、《个人信息保护法》、《信息安全技术网络安全等级保护基本要求》(GB/T22239-</w:t>
      </w:r>
      <w:r>
        <w:rPr>
          <w:rFonts w:asciiTheme="minorEastAsia" w:hAnsiTheme="minorEastAsia"/>
          <w:sz w:val="24"/>
          <w:szCs w:val="24"/>
        </w:rPr>
        <w:t xml:space="preserve">2019)、《信息安全技术—政务信息共享—数据安全技术要求》（GB/T 39477-2020）等标准的要求，以技术保障为基础、以监测预警为核心、以协同响应为目标，围绕国家在数据安全防护体系核心合规性标准要求，在数据、人、工具、管理安全等方面进行积极防御，全面建成全方位数据安全体系。根据数据安全的相关需求，经过专业化实施，采用独立的生产数据脱敏环境，实现数据脱敏的自动化及可视化，保障数据安全，加强数据调用管理，提升操作效率，建设一套高安全、高性能、高可靠、易管理、易操作的数据安全系统及数据安全风险评估办法。 </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四、与市级对接要求</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项目建设须根据市级平台要求，结合东海县实际情况，充分使用市级监管系统提供的应用功能及预测预警算法模型分析演算能力，从系统架构层面提出满足我县城市生命线监测监管建设需求的方案；从系统应用层面提出满足我县建设需求的方案；从省市数据对接方面提出并制定东海县城市生命线库表、消息、文件、视频等类型数据的接入、治理、同步上传的市平台数据对接实施方案。如投标人需要更详细了解对接相关要求及数据等内容，可联系采购人。</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五、与现有系统对接要求</w:t>
      </w:r>
      <w:r/>
    </w:p>
    <w:p>
      <w:pPr>
        <w:ind w:firstLine="482"/>
        <w:spacing w:line="360" w:lineRule="auto"/>
        <w:rPr>
          <w:rFonts w:hint="eastAsia" w:asciiTheme="minorEastAsia" w:hAnsiTheme="minorEastAsia"/>
          <w:sz w:val="24"/>
          <w:szCs w:val="24"/>
        </w:rPr>
      </w:pPr>
      <w:r>
        <w:rPr>
          <w:rFonts w:hint="eastAsia" w:asciiTheme="minorEastAsia" w:hAnsiTheme="minorEastAsia"/>
          <w:sz w:val="24"/>
          <w:szCs w:val="24"/>
        </w:rPr>
        <w:t xml:space="preserve">完成与东海县燃气、供水、排水等平台的对接工作，获取城市生命线系统正常运行所需要的数据信息，满足省级下发的《城市生命线安全工程——城市基础设施安全运行智慧监管系统数据标准（试行）》以及《省市数据对接规范（修订版）》要求。</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六、项目实施其他要求</w:t>
      </w:r>
      <w:r/>
    </w:p>
    <w:p>
      <w:pPr>
        <w:pStyle w:val="696"/>
        <w:ind w:firstLine="482"/>
        <w:spacing w:before="120" w:after="120"/>
        <w:rPr>
          <w:rFonts w:hint="eastAsia" w:ascii="宋体" w:hAnsi="宋体"/>
          <w:sz w:val="24"/>
          <w:szCs w:val="24"/>
        </w:rPr>
      </w:pPr>
      <w:r>
        <w:rPr>
          <w:rFonts w:hint="eastAsia" w:ascii="宋体" w:hAnsi="宋体" w:eastAsia="宋体" w:cs="宋体"/>
          <w:b/>
          <w:sz w:val="24"/>
          <w:szCs w:val="20"/>
        </w:rPr>
        <w:t xml:space="preserve">1.供货要求</w:t>
      </w:r>
      <w:r/>
    </w:p>
    <w:p>
      <w:pPr>
        <w:ind w:firstLine="480"/>
        <w:jc w:val="left"/>
        <w:spacing w:line="360" w:lineRule="auto"/>
        <w:rPr>
          <w:rFonts w:hint="eastAsia" w:asciiTheme="minorEastAsia" w:hAnsiTheme="minorEastAsia" w:cstheme="minorBidi"/>
          <w:bCs/>
          <w:i/>
          <w:iCs/>
          <w:sz w:val="24"/>
          <w:szCs w:val="24"/>
          <w:u w:val="single"/>
        </w:rPr>
      </w:pPr>
      <w:r>
        <w:rPr>
          <w:rFonts w:hint="eastAsia" w:asciiTheme="minorEastAsia" w:hAnsiTheme="minorEastAsia" w:eastAsiaTheme="minorEastAsia" w:cstheme="minorBidi"/>
          <w:bCs/>
          <w:i/>
          <w:iCs/>
          <w:sz w:val="24"/>
          <w:szCs w:val="24"/>
          <w:u w:val="single"/>
        </w:rPr>
        <w:t xml:space="preserve">为保证实际供货与投标人所投产品一致</w:t>
      </w:r>
      <w:r>
        <w:rPr>
          <w:rFonts w:hint="eastAsia" w:asciiTheme="minorEastAsia" w:hAnsiTheme="minorEastAsia" w:cstheme="minorBidi"/>
          <w:bCs/>
          <w:i/>
          <w:iCs/>
          <w:sz w:val="24"/>
          <w:szCs w:val="24"/>
          <w:u w:val="single"/>
        </w:rPr>
        <w:t xml:space="preserve">，供应商须提供承诺书承诺</w:t>
      </w:r>
      <w:r>
        <w:rPr>
          <w:rFonts w:hint="eastAsia" w:asciiTheme="minorEastAsia" w:hAnsiTheme="minorEastAsia" w:eastAsiaTheme="minorEastAsia" w:cstheme="minorBidi"/>
          <w:bCs/>
          <w:i/>
          <w:iCs/>
          <w:sz w:val="24"/>
          <w:szCs w:val="24"/>
          <w:u w:val="single"/>
        </w:rPr>
        <w:t xml:space="preserve">，</w:t>
      </w:r>
      <w:r>
        <w:rPr>
          <w:rFonts w:hint="eastAsia" w:asciiTheme="minorEastAsia" w:hAnsiTheme="minorEastAsia" w:cstheme="minorBidi"/>
          <w:bCs/>
          <w:i/>
          <w:iCs/>
          <w:sz w:val="24"/>
          <w:szCs w:val="24"/>
          <w:u w:val="single"/>
        </w:rPr>
        <w:t xml:space="preserve">承诺</w:t>
      </w:r>
      <w:r>
        <w:rPr>
          <w:rFonts w:hint="eastAsia" w:asciiTheme="minorEastAsia" w:hAnsiTheme="minorEastAsia" w:eastAsiaTheme="minorEastAsia" w:cstheme="minorBidi"/>
          <w:bCs/>
          <w:i/>
          <w:iCs/>
          <w:sz w:val="24"/>
          <w:szCs w:val="24"/>
          <w:u w:val="single"/>
        </w:rPr>
        <w:t xml:space="preserve">中标结果公示后，签订合同前，</w:t>
      </w:r>
      <w:r>
        <w:rPr>
          <w:rFonts w:hint="eastAsia" w:asciiTheme="minorEastAsia" w:hAnsiTheme="minorEastAsia" w:cstheme="minorBidi"/>
          <w:bCs/>
          <w:i/>
          <w:iCs/>
          <w:sz w:val="24"/>
          <w:szCs w:val="24"/>
          <w:u w:val="single"/>
        </w:rPr>
        <w:t xml:space="preserve">若该单位中标，则</w:t>
      </w:r>
      <w:r>
        <w:rPr>
          <w:rFonts w:hint="eastAsia" w:asciiTheme="minorEastAsia" w:hAnsiTheme="minorEastAsia" w:eastAsiaTheme="minorEastAsia" w:cstheme="minorBidi"/>
          <w:bCs/>
          <w:i/>
          <w:iCs/>
          <w:sz w:val="24"/>
          <w:szCs w:val="24"/>
          <w:u w:val="single"/>
        </w:rPr>
        <w:t xml:space="preserve">向采购人提供投标文件中所载明的证书等证明材料原件供采购人核查，如提供的材料与其投标文件不一致则视为虚假响应，其中标资格无效，采购人将按相关对规定报送主管部门处理。</w:t>
      </w:r>
      <w:r>
        <w:rPr>
          <w:rFonts w:hint="eastAsia" w:asciiTheme="minorEastAsia" w:hAnsiTheme="minorEastAsia" w:cstheme="minorBidi"/>
          <w:bCs/>
          <w:i/>
          <w:iCs/>
          <w:sz w:val="24"/>
          <w:szCs w:val="24"/>
          <w:u w:val="single"/>
        </w:rPr>
        <w:t xml:space="preserve">（不提供视为无效响应）</w:t>
      </w:r>
      <w:r/>
    </w:p>
    <w:p>
      <w:pPr>
        <w:ind w:firstLine="480"/>
        <w:jc w:val="left"/>
        <w:spacing w:line="360" w:lineRule="auto"/>
        <w:rPr>
          <w:rFonts w:hint="eastAsia" w:ascii="宋体" w:hAnsi="宋体"/>
          <w:sz w:val="24"/>
          <w:szCs w:val="24"/>
        </w:rPr>
      </w:pPr>
      <w:r>
        <w:rPr>
          <w:rFonts w:hint="eastAsia" w:ascii="宋体" w:hAnsi="宋体"/>
          <w:sz w:val="24"/>
          <w:szCs w:val="24"/>
        </w:rPr>
        <w:t xml:space="preserve">提供的软硬件设备（含配件辅材）应是全新的合格正品，外观和内在质量都不得有任何问题。技术指标符合采购文件要求和国家规定的出厂要求，其产品的质量性能、技术指标和使用功能达到合同要求。使用说明书、随配附件和工具以及清单一并附于货物内。</w:t>
      </w:r>
      <w:r/>
    </w:p>
    <w:p>
      <w:pPr>
        <w:ind w:firstLine="480"/>
        <w:jc w:val="left"/>
        <w:spacing w:line="360" w:lineRule="auto"/>
        <w:rPr>
          <w:rFonts w:hint="eastAsia" w:ascii="宋体" w:hAnsi="宋体"/>
          <w:sz w:val="24"/>
          <w:szCs w:val="24"/>
        </w:rPr>
      </w:pPr>
      <w:r>
        <w:rPr>
          <w:rFonts w:hint="eastAsia" w:ascii="宋体" w:hAnsi="宋体"/>
          <w:sz w:val="24"/>
          <w:szCs w:val="24"/>
        </w:rPr>
        <w:t xml:space="preserve">货物送达指定地点后，采购人现场开箱检查，根据合同对货物的质量、规格、数量进行检验，如有缺漏、损坏，由中标人负责调换、补齐；如未能按合同约定供货，采购人有权向中标人提出索赔。根据验货情况做开箱记录，双方签字确认。</w:t>
      </w:r>
      <w:r/>
    </w:p>
    <w:p>
      <w:pPr>
        <w:ind w:firstLine="480"/>
        <w:jc w:val="left"/>
        <w:spacing w:line="360" w:lineRule="auto"/>
        <w:rPr>
          <w:rFonts w:hint="eastAsia" w:ascii="宋体" w:hAnsi="宋体"/>
          <w:sz w:val="24"/>
          <w:szCs w:val="24"/>
        </w:rPr>
      </w:pPr>
      <w:r>
        <w:rPr>
          <w:rFonts w:hint="eastAsia" w:ascii="宋体" w:hAnsi="宋体"/>
          <w:sz w:val="24"/>
          <w:szCs w:val="24"/>
        </w:rPr>
        <w:t xml:space="preserve">所提供的技术资料（包含货物及软件系统）完整正确，数据和资料准确无误，能够保证项目顺利进行，正确地安装调试和验收，满足正常运行和维修保养的需要。</w:t>
      </w:r>
      <w:r/>
    </w:p>
    <w:p>
      <w:pPr>
        <w:ind w:firstLine="480"/>
        <w:jc w:val="left"/>
        <w:spacing w:line="360" w:lineRule="auto"/>
        <w:rPr>
          <w:rFonts w:hint="eastAsia" w:ascii="宋体" w:hAnsi="宋体"/>
          <w:sz w:val="24"/>
          <w:szCs w:val="24"/>
        </w:rPr>
      </w:pPr>
      <w:r>
        <w:rPr>
          <w:rFonts w:hint="eastAsia" w:ascii="宋体" w:hAnsi="宋体"/>
          <w:sz w:val="24"/>
          <w:szCs w:val="24"/>
        </w:rPr>
        <w:t xml:space="preserve">在未验收前，货物保管、安全均由中标人负责，货物送到采购人指定地点，并负责办理运输和装卸，费用由中标人负责。</w:t>
      </w:r>
      <w:r/>
    </w:p>
    <w:p>
      <w:pPr>
        <w:ind w:firstLine="480"/>
        <w:jc w:val="left"/>
        <w:spacing w:line="360" w:lineRule="auto"/>
        <w:rPr>
          <w:rFonts w:hint="eastAsia" w:ascii="宋体" w:hAnsi="宋体"/>
          <w:sz w:val="24"/>
          <w:szCs w:val="24"/>
        </w:rPr>
      </w:pPr>
      <w:r>
        <w:rPr>
          <w:rFonts w:hint="eastAsia" w:ascii="宋体" w:hAnsi="宋体"/>
          <w:sz w:val="24"/>
          <w:szCs w:val="24"/>
        </w:rPr>
        <w:t xml:space="preserve">本项目采购货物中如涉及到低挥发性原辅材料的，优先提供符合国家推荐性标准的涂料、胶黏剂、油墨、清洗剂等挥发性有机物产品。</w:t>
      </w:r>
      <w:r/>
    </w:p>
    <w:p>
      <w:pPr>
        <w:pStyle w:val="696"/>
        <w:ind w:firstLine="482"/>
        <w:spacing w:before="120" w:after="120"/>
        <w:rPr>
          <w:rFonts w:hint="eastAsia" w:ascii="宋体" w:hAnsi="宋体" w:eastAsia="宋体" w:cs="宋体"/>
          <w:b/>
          <w:sz w:val="24"/>
          <w:szCs w:val="20"/>
        </w:rPr>
      </w:pPr>
      <w:r>
        <w:rPr>
          <w:rFonts w:hint="eastAsia" w:ascii="宋体" w:hAnsi="宋体" w:eastAsia="宋体" w:cs="宋体"/>
          <w:b/>
          <w:sz w:val="24"/>
          <w:szCs w:val="20"/>
        </w:rPr>
        <w:t xml:space="preserve">2.调试要求</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内容主要包括但不限于软件、硬件安装调试、集成测试以及对接等内容。软硬件设备中标人要制定具体的现场安装计划（包括进度表与拟派技术人员）并与采购人进行确认；严格按照规定的时间、地点、环境进行安装，保证达到合同文件的要求。软件系统开发以及集成测试、系统对接达到合同规定要求，实现正常运行，达到稳定、流畅等项目预期需求和性能。</w:t>
      </w:r>
      <w:r/>
    </w:p>
    <w:p>
      <w:pPr>
        <w:pStyle w:val="696"/>
        <w:ind w:firstLine="482"/>
        <w:spacing w:before="120" w:after="120"/>
        <w:rPr>
          <w:rFonts w:hint="eastAsia" w:ascii="宋体" w:hAnsi="宋体" w:eastAsia="宋体" w:cs="宋体"/>
          <w:b/>
          <w:sz w:val="24"/>
          <w:szCs w:val="20"/>
        </w:rPr>
      </w:pPr>
      <w:r>
        <w:rPr>
          <w:rFonts w:hint="eastAsia" w:ascii="宋体" w:hAnsi="宋体" w:eastAsia="宋体" w:cs="宋体"/>
          <w:b/>
          <w:sz w:val="24"/>
          <w:szCs w:val="20"/>
        </w:rPr>
        <w:t xml:space="preserve">3.辅材、配件要求</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辅材包含但不限于穿线管、扎带、标签、网络跳线、网线</w:t>
      </w:r>
      <w:r>
        <w:rPr>
          <w:rFonts w:hint="eastAsia" w:asciiTheme="minorEastAsia" w:hAnsiTheme="minorEastAsia"/>
          <w:color w:val="000000"/>
          <w:sz w:val="24"/>
          <w:szCs w:val="21"/>
        </w:rPr>
        <w:t xml:space="preserve">等</w:t>
      </w:r>
      <w:r>
        <w:rPr>
          <w:rFonts w:hint="eastAsia" w:ascii="宋体" w:hAnsi="宋体" w:cs="宋体"/>
          <w:bCs/>
          <w:sz w:val="24"/>
          <w:szCs w:val="24"/>
        </w:rPr>
        <w:t xml:space="preserve">，包含招标文件中未列出而项目实施必需的软件、硬件辅材配件，以保证项目顺利进行。</w:t>
      </w:r>
      <w:r>
        <w:rPr>
          <w:rFonts w:hint="eastAsia" w:ascii="宋体" w:hAnsi="宋体" w:cs="宋体"/>
          <w:bCs/>
          <w:color w:val="000000"/>
          <w:sz w:val="24"/>
          <w:szCs w:val="24"/>
        </w:rPr>
        <w:t xml:space="preserve">因不同投标人的设备设计原理未必完全相同，投标人可视自身情况配置辅材，应能充分满足采购人需求的功能及参数要求。此部分包含在投标报价中。</w:t>
      </w:r>
      <w:r>
        <w:rPr>
          <w:rFonts w:hint="eastAsia" w:ascii="宋体" w:hAnsi="宋体" w:cs="宋体"/>
          <w:bCs/>
          <w:sz w:val="24"/>
          <w:szCs w:val="24"/>
        </w:rPr>
        <w:t xml:space="preserve">如果投标人中标并签署合同后，在供货或项目实施时出现辅材和配件的任何遗漏，均由中标人及时配齐，不影响项目正常实施，</w:t>
      </w:r>
      <w:r>
        <w:rPr>
          <w:rFonts w:hint="eastAsia" w:ascii="宋体" w:hAnsi="宋体"/>
          <w:bCs/>
          <w:color w:val="000000"/>
          <w:sz w:val="24"/>
          <w:szCs w:val="24"/>
        </w:rPr>
        <w:t xml:space="preserve">采购人不在额外支付费用</w:t>
      </w:r>
      <w:r>
        <w:rPr>
          <w:rFonts w:hint="eastAsia" w:ascii="宋体" w:hAnsi="宋体" w:cs="宋体"/>
          <w:bCs/>
          <w:sz w:val="24"/>
          <w:szCs w:val="24"/>
        </w:rPr>
        <w:t xml:space="preserve">。</w:t>
      </w:r>
      <w:r/>
    </w:p>
    <w:p>
      <w:pPr>
        <w:pStyle w:val="696"/>
        <w:ind w:firstLine="482"/>
        <w:spacing w:before="120" w:after="120"/>
        <w:rPr>
          <w:rFonts w:hint="eastAsia" w:ascii="宋体" w:hAnsi="宋体" w:eastAsia="宋体" w:cs="宋体"/>
          <w:b/>
          <w:sz w:val="24"/>
          <w:szCs w:val="20"/>
        </w:rPr>
      </w:pPr>
      <w:r>
        <w:rPr>
          <w:rFonts w:hint="eastAsia" w:ascii="宋体" w:hAnsi="宋体" w:eastAsia="宋体" w:cs="宋体"/>
          <w:b/>
          <w:sz w:val="24"/>
          <w:szCs w:val="20"/>
        </w:rPr>
        <w:t xml:space="preserve">4.项目实施管理要求</w:t>
      </w:r>
      <w:r/>
    </w:p>
    <w:p>
      <w:pPr>
        <w:ind w:firstLine="480"/>
        <w:spacing w:line="360" w:lineRule="auto"/>
        <w:rPr>
          <w:sz w:val="24"/>
          <w:szCs w:val="24"/>
        </w:rPr>
      </w:pPr>
      <w:r>
        <w:rPr>
          <w:rFonts w:hint="eastAsia"/>
          <w:sz w:val="24"/>
          <w:szCs w:val="24"/>
        </w:rPr>
        <w:t xml:space="preserve">由于项目包含城市基础地理数据及地下管线数据，数据安全要求较高，中标人需在采购人指定的区域、使用专用网络环境下处理项目数据。坚持科学的态度和实事求是的原则，确保信息数据的安全性，维护采购人合法权益。</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项目进度管理：采用科学合理的方法确定进度目标，并从制度上和技术上进行进度控制，在保证质量的基础上，实现整体计划目标。</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项目配置管理：建立项目配置文件管理库，保存项目实施中的记录性文件等。</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项目变更管理：建立项目变更管理办法，对于每项变更，都必须按照预先设计好的项目变更流程，提出变更请求，评估变更可能带来的影响，经采购人审批后，才能实施变更。变更工作完成后，需通知所有相关人员，确保项目能够协调一致地进行。</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项目质量管理：应当按照采购人要求制定出项目的质量管理标准，确保项目所有成员理解并执行该标准。在项目的实施过程中，中标人应安排专人对项目的质量情况进行跟踪，正确合理掌握项目建设的重难点理解及关键技术方案，通过项目的监控、检查、纠错、贯彻等阶段，及时的纠正可能引起目标偏差的问题，保证项目的实施过程符合预定的项目质量管理标准，保障项目质量管理的完整性、正确性和可追溯性。</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项目风险管理：针对项目实施的工作要求，详细分析实施过程中可能出现的各类风险，制定完善的风险管理策略，以有效控制风险发生。</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数据治理：投标人结合项目需求提供数据治理方案，方案包括但不限于数据资源现状梳理、数据建库及现有系统汇聚、数据治理实施、数据接入、数据实施监控等内容。</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项目实施方案：为了保证项目顺利推进，要求提供详细的项目实施管理方案，内容包括但不限于实施的管理制度、项目进度控制、项目风险控制、项目资源控制、项目范围控制、项目进度计划等内容。</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项目现状和需求理解：投标人根据江苏省城市生命线建设要求，针对东海县城市生命线项目情况编制建设背景、现状分析、需求分析等内容。</w:t>
      </w:r>
      <w:r/>
    </w:p>
    <w:p>
      <w:pPr>
        <w:ind w:firstLine="480"/>
        <w:jc w:val="left"/>
        <w:spacing w:line="360" w:lineRule="auto"/>
        <w:widowControl/>
        <w:rPr>
          <w:rFonts w:hint="eastAsia" w:ascii="宋体" w:hAnsi="宋体" w:cs="宋体"/>
          <w:bCs/>
          <w:sz w:val="24"/>
          <w:szCs w:val="24"/>
        </w:rPr>
      </w:pPr>
      <w:r>
        <w:rPr>
          <w:rFonts w:hint="eastAsia" w:ascii="宋体" w:hAnsi="宋体" w:cs="宋体"/>
          <w:bCs/>
          <w:sz w:val="24"/>
          <w:szCs w:val="24"/>
        </w:rPr>
        <w:t xml:space="preserve">监测设备方案：投标人结合项目需求编制监测设备方案，需覆盖排水、道路、桥梁场景，方案包括但不限于基本情况、布点依据、布点方案、设备安装、数据采集与存储、数据分析与应用</w:t>
      </w:r>
      <w:r>
        <w:rPr>
          <w:rFonts w:hint="eastAsia" w:ascii="宋体" w:hAnsi="宋体" w:cs="宋体"/>
          <w:bCs/>
          <w:sz w:val="24"/>
          <w:szCs w:val="24"/>
          <w:lang w:eastAsia="zh-CN"/>
        </w:rPr>
        <w:t xml:space="preserve">、数据回传</w:t>
      </w:r>
      <w:r>
        <w:rPr>
          <w:rFonts w:hint="eastAsia" w:ascii="宋体" w:hAnsi="宋体" w:cs="宋体"/>
          <w:bCs/>
          <w:sz w:val="24"/>
          <w:szCs w:val="24"/>
        </w:rPr>
        <w:t xml:space="preserve">等内容。</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七、知识产权要求</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中标人应保证采购人在使用、接受本合同中服务或其任何一部分时不受第三方提出侵犯其专利权、版权、商标权和工业设计权等知识产权的起诉。一旦出现侵权，由中标人负全部责任，既包括第三方的索赔责任，也包括第三方索赔给采购人造成的损失。</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2.本项目中建设的所有软件系统知识产权（包括但不限于著作权、专利权）归采购人所有，系统验收后中标人应向采购人移交中标人针对本项目自主开发部分的全部源代码，未经采购人书面同意，中标人不得将本项目相关源代码用于其他项目。</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八、保密要求</w:t>
      </w:r>
      <w:r/>
    </w:p>
    <w:p>
      <w:pPr>
        <w:pStyle w:val="710"/>
        <w:ind w:firstLine="480"/>
        <w:spacing w:line="360" w:lineRule="auto"/>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1.中标人应对采购人提供的有关合同或任何合同条文、规格、计划、图纸、样品或资料，以及因本项目所获得的所有内部资料、技术文档、数据和信息予以保密；即使向履行本合同有关的人员提供，也应注意保密并限于履行合同的必需范围。中标人应就上述要求与采购人签订保密协议并严格遵守，未经采购人书面许可，中标人不得以任何形式向第三方透露上述所有内容。</w:t>
      </w:r>
      <w:r/>
    </w:p>
    <w:p>
      <w:pPr>
        <w:pStyle w:val="710"/>
        <w:ind w:firstLine="480"/>
        <w:spacing w:line="360" w:lineRule="auto"/>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2.中标人驻场人员及与本项目有关的工作人员应签订保密承诺书，承诺内容需得到采购人认可。若中标人驻场及与本项目有关的工作人员因岗位或工作动发生调整，中标人应将变动调整情况及时告知采购人，并保证上述人员仍应履行保密要求。</w:t>
      </w:r>
      <w:r/>
    </w:p>
    <w:p>
      <w:pPr>
        <w:ind w:firstLine="480"/>
        <w:spacing w:line="360" w:lineRule="auto"/>
        <w:rPr>
          <w:sz w:val="24"/>
          <w:szCs w:val="24"/>
        </w:rPr>
      </w:pPr>
      <w:r>
        <w:rPr>
          <w:rFonts w:hint="eastAsia" w:asciiTheme="minorEastAsia" w:hAnsiTheme="minorEastAsia"/>
          <w:sz w:val="24"/>
          <w:szCs w:val="24"/>
        </w:rPr>
        <w:t xml:space="preserve">3.在</w:t>
      </w:r>
      <w:r>
        <w:rPr>
          <w:rFonts w:hint="eastAsia"/>
          <w:sz w:val="24"/>
          <w:szCs w:val="24"/>
        </w:rPr>
        <w:t xml:space="preserve">项目实施过程中，中标人必须严守保密规定，未经同意，不得将采购人信息数据向任何无关单位和个人提供和泄露，必须有严格的数据保密措施，如因操作不当导致数据泄密应追究相应法律责任。</w:t>
      </w:r>
      <w:r/>
    </w:p>
    <w:p>
      <w:pPr>
        <w:pStyle w:val="710"/>
        <w:ind w:firstLine="480"/>
        <w:spacing w:line="360" w:lineRule="auto"/>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4.中标人应将合同、保密协议一并提交给采购人。因中标人泄密给采购人造成的损失，由中标人承担所有赔偿及连带责任。</w:t>
      </w:r>
      <w:r/>
    </w:p>
    <w:p>
      <w:pPr>
        <w:ind w:firstLine="480"/>
        <w:spacing w:line="360" w:lineRule="auto"/>
        <w:rPr>
          <w:rFonts w:hint="eastAsia" w:ascii="宋体" w:hAnsi="宋体"/>
          <w:sz w:val="24"/>
          <w:szCs w:val="24"/>
        </w:rPr>
      </w:pPr>
      <w:r>
        <w:rPr>
          <w:rFonts w:hint="eastAsia" w:ascii="宋体" w:hAnsi="宋体"/>
          <w:sz w:val="24"/>
          <w:szCs w:val="24"/>
        </w:rPr>
        <w:t xml:space="preserve">5.本项目中涉及的地下管线数据属于涉密数据，需根据有关保密要求，由县住建局与县自然资源和规划局签订保密协议，导出综合管线数据。县住建局委托江苏省测绘资料档案馆进行脱密处理，委托第三方服务公司进行脱敏处理，并对管线数据的存储进行特殊设计，来保证管线数据的安全。</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九、系统更新及信创保障要求</w:t>
      </w:r>
      <w:r/>
    </w:p>
    <w:p>
      <w:pPr>
        <w:ind w:firstLine="480"/>
        <w:spacing w:line="360" w:lineRule="auto"/>
        <w:rPr>
          <w:sz w:val="24"/>
          <w:szCs w:val="24"/>
        </w:rPr>
      </w:pPr>
      <w:r>
        <w:rPr>
          <w:rFonts w:hint="eastAsia"/>
          <w:sz w:val="24"/>
          <w:szCs w:val="24"/>
        </w:rPr>
        <w:t xml:space="preserve">本项目所涵盖的定制软件开发工作，必须严格遵循省、市当前及未来五年内可能出台的国家、地区法律法规、文件规定以及行业相关政策要求。若中标人的软件系统未能满足上述要求，需按照相关规定无条件地对相关系统进行改造，以确保其软硬件达到最新的安全可靠性政策标准。此外，本项目涉及的信创产品在运维期内，若信创相关政策发生变动，中标人应积极响应，无条件协助完成系统的国产化适配和部署工作，以确保系统的持续合规性与适应性。该部分均包含在预算金额内，请投标人综合考虑报价，合同履约期间，采购人不在额外支付费用。</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十、人员配备要求</w:t>
      </w:r>
      <w:r/>
    </w:p>
    <w:p>
      <w:pPr>
        <w:ind w:firstLine="480"/>
        <w:spacing w:line="360" w:lineRule="auto"/>
        <w:rPr>
          <w:rFonts w:hint="eastAsia" w:asciiTheme="minorEastAsia" w:hAnsiTheme="minorEastAsia"/>
          <w:i/>
          <w:iCs/>
          <w:color w:val="auto"/>
          <w:sz w:val="24"/>
          <w:szCs w:val="24"/>
          <w:highlight w:val="none"/>
          <w:u w:val="single"/>
        </w:rPr>
      </w:pPr>
      <w:r>
        <w:rPr>
          <w:rFonts w:hint="eastAsia" w:ascii="宋体" w:hAnsi="宋体" w:cs="宋体"/>
          <w:sz w:val="24"/>
        </w:rPr>
        <w:t xml:space="preserve">1.本项目实施</w:t>
      </w:r>
      <w:r>
        <w:rPr>
          <w:rFonts w:hint="eastAsia" w:asciiTheme="minorEastAsia" w:hAnsiTheme="minorEastAsia"/>
          <w:sz w:val="24"/>
          <w:szCs w:val="24"/>
        </w:rPr>
        <w:t xml:space="preserve">涵盖综合应用、7个省选场景、1个地方特色场景，7个省选场景包括燃气、供水、排水、地下管线、道路、桥梁、第三方施工破坏专项场景，连云港市特色场景为防震专项场景。</w:t>
      </w:r>
      <w:r>
        <w:rPr>
          <w:rFonts w:hint="eastAsia" w:ascii="宋体" w:hAnsi="宋体" w:cs="宋体"/>
          <w:sz w:val="24"/>
        </w:rPr>
        <w:t xml:space="preserve">为保障项目的顺利实施，投标人应合理成立本项目的实施团队，确保有效人力和物力的投</w:t>
      </w:r>
      <w:r>
        <w:rPr>
          <w:rFonts w:hint="eastAsia" w:asciiTheme="minorEastAsia" w:hAnsiTheme="minorEastAsia"/>
          <w:sz w:val="24"/>
          <w:szCs w:val="24"/>
        </w:rPr>
        <w:t xml:space="preserve">入。</w:t>
      </w:r>
      <w:r>
        <w:rPr>
          <w:rFonts w:hint="eastAsia" w:ascii="宋体" w:hAnsi="宋体"/>
          <w:i/>
          <w:iCs/>
          <w:color w:val="auto"/>
          <w:sz w:val="24"/>
          <w:szCs w:val="24"/>
          <w:highlight w:val="none"/>
          <w:u w:val="single"/>
        </w:rPr>
        <w:t xml:space="preserve">本项目配备项目组成员不少于10名</w:t>
      </w:r>
      <w:r>
        <w:rPr>
          <w:rFonts w:hint="eastAsia" w:ascii="宋体" w:hAnsi="宋体"/>
          <w:b/>
          <w:bCs/>
          <w:i/>
          <w:iCs/>
          <w:color w:val="auto"/>
          <w:sz w:val="24"/>
          <w:szCs w:val="24"/>
          <w:highlight w:val="none"/>
          <w:u w:val="single"/>
        </w:rPr>
        <w:t xml:space="preserve">（包含运维驻场</w:t>
      </w:r>
      <w:r>
        <w:rPr>
          <w:rFonts w:hint="eastAsia" w:ascii="宋体" w:hAnsi="宋体"/>
          <w:b/>
          <w:bCs/>
          <w:i/>
          <w:iCs/>
          <w:color w:val="auto"/>
          <w:sz w:val="24"/>
          <w:szCs w:val="24"/>
          <w:highlight w:val="none"/>
          <w:u w:val="single"/>
          <w:lang w:val="en-US" w:eastAsia="zh-CN"/>
        </w:rPr>
        <w:t xml:space="preserve">2</w:t>
      </w:r>
      <w:r>
        <w:rPr>
          <w:rFonts w:hint="eastAsia" w:ascii="宋体" w:hAnsi="宋体"/>
          <w:b/>
          <w:bCs/>
          <w:i/>
          <w:iCs/>
          <w:color w:val="auto"/>
          <w:sz w:val="24"/>
          <w:szCs w:val="24"/>
          <w:highlight w:val="none"/>
          <w:u w:val="single"/>
        </w:rPr>
        <w:t xml:space="preserve">人）</w:t>
      </w:r>
      <w:r>
        <w:rPr>
          <w:rFonts w:hint="eastAsia" w:asciiTheme="minorEastAsia" w:hAnsiTheme="minorEastAsia"/>
          <w:i w:val="0"/>
          <w:iCs w:val="0"/>
          <w:color w:val="auto"/>
          <w:sz w:val="24"/>
          <w:szCs w:val="24"/>
          <w:highlight w:val="none"/>
          <w:u w:val="none"/>
        </w:rPr>
        <w:t xml:space="preserve">，其中：</w:t>
      </w:r>
      <w:r/>
    </w:p>
    <w:p>
      <w:pPr>
        <w:ind w:firstLine="480"/>
        <w:spacing w:line="360" w:lineRule="auto"/>
        <w:rPr>
          <w:rFonts w:hint="eastAsia" w:asciiTheme="minorEastAsia" w:hAnsiTheme="minorEastAsia"/>
          <w:i w:val="0"/>
          <w:iCs w:val="0"/>
          <w:sz w:val="24"/>
          <w:szCs w:val="24"/>
          <w:u w:val="none"/>
        </w:rPr>
      </w:pPr>
      <w:r>
        <w:rPr>
          <w:rFonts w:hint="eastAsia" w:asciiTheme="minorEastAsia" w:hAnsiTheme="minorEastAsia"/>
          <w:b/>
          <w:bCs/>
          <w:i w:val="0"/>
          <w:iCs w:val="0"/>
          <w:sz w:val="24"/>
          <w:szCs w:val="24"/>
          <w:u w:val="none"/>
        </w:rPr>
        <w:t xml:space="preserve">项目负责人</w:t>
      </w:r>
      <w:r>
        <w:rPr>
          <w:rFonts w:hint="eastAsia" w:asciiTheme="minorEastAsia" w:hAnsiTheme="minorEastAsia"/>
          <w:i w:val="0"/>
          <w:iCs w:val="0"/>
          <w:sz w:val="24"/>
          <w:szCs w:val="24"/>
          <w:u w:val="none"/>
        </w:rPr>
        <w:t xml:space="preserve">：须具有丰富的类似项目管理及运营服务工作经验，主要职责包括：主持本项目的技术、质量管理工作，对本项目技术、质量、进度全面负责。</w:t>
      </w:r>
      <w:r/>
    </w:p>
    <w:p>
      <w:pPr>
        <w:ind w:firstLine="480"/>
        <w:spacing w:line="360" w:lineRule="auto"/>
        <w:rPr>
          <w:rFonts w:ascii="宋体" w:hAnsi="宋体"/>
          <w:i w:val="0"/>
          <w:iCs w:val="0"/>
          <w:color w:val="auto"/>
          <w:sz w:val="24"/>
          <w:szCs w:val="24"/>
          <w:highlight w:val="none"/>
          <w:u w:val="none"/>
        </w:rPr>
      </w:pPr>
      <w:r>
        <w:rPr>
          <w:rFonts w:hint="eastAsia" w:ascii="宋体" w:hAnsi="宋体"/>
          <w:i w:val="0"/>
          <w:iCs w:val="0"/>
          <w:color w:val="auto"/>
          <w:sz w:val="24"/>
          <w:szCs w:val="24"/>
          <w:highlight w:val="none"/>
          <w:u w:val="none"/>
        </w:rPr>
        <w:t xml:space="preserve">运维驻场人员包括：软件数据运维</w:t>
      </w:r>
      <w:r>
        <w:rPr>
          <w:rFonts w:hint="eastAsia" w:ascii="宋体" w:hAnsi="宋体"/>
          <w:b w:val="0"/>
          <w:bCs w:val="0"/>
          <w:i w:val="0"/>
          <w:iCs w:val="0"/>
          <w:color w:val="auto"/>
          <w:sz w:val="24"/>
          <w:szCs w:val="24"/>
          <w:highlight w:val="none"/>
          <w:u w:val="none"/>
        </w:rPr>
        <w:t xml:space="preserve">人员1人、硬件传感设备运维人员1人。</w:t>
      </w:r>
      <w:r/>
    </w:p>
    <w:p>
      <w:pPr>
        <w:ind w:firstLine="480"/>
        <w:spacing w:line="360" w:lineRule="auto"/>
        <w:rPr>
          <w:rFonts w:ascii="宋体" w:hAnsi="宋体"/>
          <w:i w:val="0"/>
          <w:iCs w:val="0"/>
          <w:color w:val="auto"/>
          <w:sz w:val="24"/>
          <w:szCs w:val="24"/>
          <w:highlight w:val="none"/>
          <w:u w:val="none"/>
        </w:rPr>
      </w:pPr>
      <w:r>
        <w:rPr>
          <w:rFonts w:hint="eastAsia" w:ascii="宋体" w:hAnsi="宋体"/>
          <w:i w:val="0"/>
          <w:iCs w:val="0"/>
          <w:color w:val="auto"/>
          <w:sz w:val="24"/>
          <w:szCs w:val="24"/>
          <w:highlight w:val="none"/>
          <w:u w:val="none"/>
        </w:rPr>
        <w:t xml:space="preserve">软件数据运维人员：负责应用系统软件升级、维护性开发，应用系统技术支持，持续进行数据归集传输、数据定期更新，确保县级与省级、市级监管系统、市级其他系统平台的数据传输、数据采集</w:t>
      </w:r>
      <w:r>
        <w:rPr>
          <w:rFonts w:hint="eastAsia" w:ascii="宋体" w:hAnsi="宋体"/>
          <w:i w:val="0"/>
          <w:iCs w:val="0"/>
          <w:color w:val="auto"/>
          <w:sz w:val="24"/>
          <w:szCs w:val="24"/>
          <w:highlight w:val="none"/>
          <w:u w:val="none"/>
          <w:lang w:eastAsia="zh-CN"/>
        </w:rPr>
        <w:t xml:space="preserve">、</w:t>
      </w:r>
      <w:r>
        <w:rPr>
          <w:rFonts w:hint="eastAsia" w:ascii="宋体" w:hAnsi="宋体"/>
          <w:i w:val="0"/>
          <w:iCs w:val="0"/>
          <w:color w:val="auto"/>
          <w:sz w:val="24"/>
          <w:szCs w:val="24"/>
          <w:highlight w:val="none"/>
          <w:u w:val="none"/>
        </w:rPr>
        <w:t xml:space="preserve">负责监控及预警、应急及分级处置。</w:t>
      </w:r>
      <w:r/>
    </w:p>
    <w:p>
      <w:pPr>
        <w:ind w:firstLine="480"/>
        <w:spacing w:line="360" w:lineRule="auto"/>
        <w:rPr>
          <w:rFonts w:hint="eastAsia" w:asciiTheme="minorEastAsia" w:hAnsiTheme="minorEastAsia"/>
          <w:b/>
          <w:bCs/>
          <w:i w:val="0"/>
          <w:iCs w:val="0"/>
          <w:color w:val="auto"/>
          <w:sz w:val="24"/>
          <w:szCs w:val="24"/>
          <w:highlight w:val="none"/>
          <w:u w:val="none"/>
        </w:rPr>
      </w:pPr>
      <w:r>
        <w:rPr>
          <w:rFonts w:hint="eastAsia" w:ascii="宋体" w:hAnsi="宋体"/>
          <w:i w:val="0"/>
          <w:iCs w:val="0"/>
          <w:color w:val="auto"/>
          <w:sz w:val="24"/>
          <w:szCs w:val="24"/>
          <w:highlight w:val="none"/>
          <w:u w:val="none"/>
        </w:rPr>
        <w:t xml:space="preserve">硬件传感设备运维人员：负责智慧传感设备的定期维护</w:t>
      </w:r>
      <w:r>
        <w:rPr>
          <w:rFonts w:hint="eastAsia" w:ascii="宋体" w:hAnsi="宋体"/>
          <w:i w:val="0"/>
          <w:iCs w:val="0"/>
          <w:color w:val="auto"/>
          <w:sz w:val="24"/>
          <w:szCs w:val="24"/>
          <w:highlight w:val="none"/>
          <w:u w:val="none"/>
          <w:lang w:eastAsia="zh-CN"/>
        </w:rPr>
        <w:t xml:space="preserve">、</w:t>
      </w:r>
      <w:r>
        <w:rPr>
          <w:rFonts w:hint="eastAsia" w:ascii="宋体" w:hAnsi="宋体"/>
          <w:i w:val="0"/>
          <w:iCs w:val="0"/>
          <w:color w:val="auto"/>
          <w:sz w:val="24"/>
          <w:szCs w:val="24"/>
          <w:highlight w:val="none"/>
          <w:u w:val="none"/>
        </w:rPr>
        <w:t xml:space="preserve">负责监控及预警、应急及分级处置。</w:t>
      </w:r>
      <w:r/>
    </w:p>
    <w:p>
      <w:pPr>
        <w:ind w:firstLine="480"/>
        <w:spacing w:line="360" w:lineRule="auto"/>
        <w:rPr>
          <w:rFonts w:hint="eastAsia" w:asciiTheme="minorEastAsia" w:hAnsiTheme="minorEastAsia"/>
          <w:i w:val="0"/>
          <w:iCs w:val="0"/>
          <w:sz w:val="24"/>
          <w:szCs w:val="24"/>
          <w:u w:val="none"/>
        </w:rPr>
      </w:pPr>
      <w:r>
        <w:rPr>
          <w:rFonts w:hint="eastAsia" w:asciiTheme="minorEastAsia" w:hAnsiTheme="minorEastAsia"/>
          <w:b/>
          <w:bCs/>
          <w:i w:val="0"/>
          <w:iCs w:val="0"/>
          <w:sz w:val="24"/>
          <w:szCs w:val="24"/>
          <w:u w:val="none"/>
        </w:rPr>
        <w:t xml:space="preserve">排水专项技术负责人</w:t>
      </w:r>
      <w:r>
        <w:rPr>
          <w:rFonts w:hint="eastAsia" w:asciiTheme="minorEastAsia" w:hAnsiTheme="minorEastAsia"/>
          <w:i w:val="0"/>
          <w:iCs w:val="0"/>
          <w:sz w:val="24"/>
          <w:szCs w:val="24"/>
          <w:u w:val="none"/>
        </w:rPr>
        <w:t xml:space="preserve">：须具有供水和排水专业技术经验，主要负责本项目涉及供水专项和排水专项的技术方向、技术决策、技术管理和技术协调工作。</w:t>
      </w:r>
      <w:r/>
    </w:p>
    <w:p>
      <w:pPr>
        <w:ind w:firstLine="480"/>
        <w:spacing w:line="360" w:lineRule="auto"/>
        <w:rPr>
          <w:rFonts w:hint="eastAsia" w:asciiTheme="minorEastAsia" w:hAnsiTheme="minorEastAsia"/>
          <w:i w:val="0"/>
          <w:iCs w:val="0"/>
          <w:sz w:val="24"/>
          <w:szCs w:val="24"/>
          <w:u w:val="none"/>
        </w:rPr>
      </w:pPr>
      <w:r>
        <w:rPr>
          <w:rFonts w:hint="eastAsia" w:asciiTheme="minorEastAsia" w:hAnsiTheme="minorEastAsia"/>
          <w:b/>
          <w:bCs/>
          <w:i w:val="0"/>
          <w:iCs w:val="0"/>
          <w:sz w:val="24"/>
          <w:szCs w:val="24"/>
          <w:u w:val="none"/>
        </w:rPr>
        <w:t xml:space="preserve">道路专项技术负责人</w:t>
      </w:r>
      <w:r>
        <w:rPr>
          <w:rFonts w:hint="eastAsia" w:asciiTheme="minorEastAsia" w:hAnsiTheme="minorEastAsia"/>
          <w:i w:val="0"/>
          <w:iCs w:val="0"/>
          <w:sz w:val="24"/>
          <w:szCs w:val="24"/>
          <w:u w:val="none"/>
        </w:rPr>
        <w:t xml:space="preserve">：须具有道路专业技术经验，主要负责本项目涉及道路专项的技术方向、技术决策、技术管理和技术协调工作。</w:t>
      </w:r>
      <w:r/>
    </w:p>
    <w:p>
      <w:pPr>
        <w:ind w:firstLine="480"/>
        <w:spacing w:line="360" w:lineRule="auto"/>
        <w:rPr>
          <w:rFonts w:hint="eastAsia" w:asciiTheme="minorEastAsia" w:hAnsiTheme="minorEastAsia"/>
          <w:i w:val="0"/>
          <w:iCs w:val="0"/>
          <w:sz w:val="24"/>
          <w:szCs w:val="24"/>
          <w:u w:val="none"/>
        </w:rPr>
      </w:pPr>
      <w:r>
        <w:rPr>
          <w:rFonts w:hint="eastAsia" w:asciiTheme="minorEastAsia" w:hAnsiTheme="minorEastAsia"/>
          <w:b/>
          <w:bCs/>
          <w:i w:val="0"/>
          <w:iCs w:val="0"/>
          <w:sz w:val="24"/>
          <w:szCs w:val="24"/>
          <w:u w:val="none"/>
        </w:rPr>
        <w:t xml:space="preserve">桥梁专项技术负责人</w:t>
      </w:r>
      <w:r>
        <w:rPr>
          <w:rFonts w:hint="eastAsia" w:asciiTheme="minorEastAsia" w:hAnsiTheme="minorEastAsia"/>
          <w:i w:val="0"/>
          <w:iCs w:val="0"/>
          <w:sz w:val="24"/>
          <w:szCs w:val="24"/>
          <w:u w:val="none"/>
        </w:rPr>
        <w:t xml:space="preserve">：须具有桥梁专业技术经验，主要负责本项目涉及桥梁专项的技术方向、技术决策、技术管理和技术协调工作。</w:t>
      </w:r>
      <w:r/>
    </w:p>
    <w:p>
      <w:pPr>
        <w:ind w:firstLine="480"/>
        <w:spacing w:line="360" w:lineRule="auto"/>
        <w:rPr>
          <w:rFonts w:hint="eastAsia" w:asciiTheme="minorEastAsia" w:hAnsiTheme="minorEastAsia"/>
          <w:i w:val="0"/>
          <w:iCs w:val="0"/>
          <w:sz w:val="24"/>
          <w:szCs w:val="24"/>
          <w:u w:val="none"/>
        </w:rPr>
      </w:pPr>
      <w:r>
        <w:rPr>
          <w:rFonts w:hint="eastAsia" w:asciiTheme="minorEastAsia" w:hAnsiTheme="minorEastAsia"/>
          <w:b/>
          <w:bCs/>
          <w:i w:val="0"/>
          <w:iCs w:val="0"/>
          <w:sz w:val="24"/>
          <w:szCs w:val="24"/>
          <w:u w:val="none"/>
        </w:rPr>
        <w:t xml:space="preserve">信息安全技术负责人：</w:t>
      </w:r>
      <w:r>
        <w:rPr>
          <w:rFonts w:hint="eastAsia" w:asciiTheme="minorEastAsia" w:hAnsiTheme="minorEastAsia"/>
          <w:i w:val="0"/>
          <w:iCs w:val="0"/>
          <w:sz w:val="24"/>
          <w:szCs w:val="24"/>
          <w:u w:val="none"/>
        </w:rPr>
        <w:t xml:space="preserve">承担本项目信息安全规划、实施、管理工作，确保本项目信息安全体系的建立和有效运行。制定和实施信息安全策略，管理安全设备，处理安全事件，并进行合规审计和风险评估。‌</w:t>
      </w:r>
      <w:r/>
    </w:p>
    <w:p>
      <w:pPr>
        <w:ind w:firstLine="480"/>
        <w:spacing w:line="360" w:lineRule="auto"/>
        <w:rPr>
          <w:rFonts w:hint="eastAsia" w:asciiTheme="minorEastAsia" w:hAnsiTheme="minorEastAsia"/>
          <w:i w:val="0"/>
          <w:iCs w:val="0"/>
          <w:sz w:val="24"/>
          <w:szCs w:val="24"/>
          <w:u w:val="none"/>
        </w:rPr>
      </w:pPr>
      <w:r>
        <w:rPr>
          <w:rFonts w:hint="eastAsia" w:asciiTheme="minorEastAsia" w:hAnsiTheme="minorEastAsia"/>
          <w:b/>
          <w:bCs/>
          <w:i w:val="0"/>
          <w:iCs w:val="0"/>
          <w:sz w:val="24"/>
          <w:szCs w:val="24"/>
          <w:u w:val="none"/>
        </w:rPr>
        <w:t xml:space="preserve">现场安全负责人</w:t>
      </w:r>
      <w:r>
        <w:rPr>
          <w:rFonts w:hint="eastAsia" w:asciiTheme="minorEastAsia" w:hAnsiTheme="minorEastAsia"/>
          <w:i w:val="0"/>
          <w:iCs w:val="0"/>
          <w:sz w:val="24"/>
          <w:szCs w:val="24"/>
          <w:u w:val="none"/>
        </w:rPr>
        <w:t xml:space="preserve">：负责制定施工安全方案，监督施工现场的安全措施，确保设备安装人员的人身安全。</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2.投标人须配备详细的服务方案，建立健全保障项目顺利实施的各项管理制度和质量保证体系；安排专职的项目负责人和足够的高素质专业技术人员参加本项目建设工作。</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3.项目负责人须具有丰富的项目管理及运营服务工作经验，项目负责人全程负责本项目工作，不得无故更换，项目组成员一经确认，如需变更需征得采购人书面批准。</w:t>
      </w:r>
      <w:r/>
    </w:p>
    <w:p>
      <w:pPr>
        <w:ind w:firstLine="480"/>
        <w:jc w:val="left"/>
        <w:spacing w:line="440" w:lineRule="exact"/>
        <w:widowControl/>
        <w:rPr>
          <w:rFonts w:hint="eastAsia" w:ascii="宋体" w:hAnsi="宋体" w:cs="宋体"/>
          <w:sz w:val="24"/>
        </w:rPr>
      </w:pPr>
      <w:r>
        <w:rPr>
          <w:rFonts w:hint="eastAsia" w:ascii="宋体" w:hAnsi="宋体" w:cs="宋体"/>
          <w:sz w:val="24"/>
        </w:rPr>
        <w:t xml:space="preserve">4.实施双方成员的职责要明晰、确定，并且须落到实处。保证经采购人确认的项目组能够按照要求提供现场开发服务，现场实施人员须服从采购人统一管理。</w:t>
      </w:r>
      <w:r/>
    </w:p>
    <w:p>
      <w:pPr>
        <w:ind w:firstLine="480"/>
        <w:jc w:val="left"/>
        <w:spacing w:line="440" w:lineRule="exact"/>
        <w:widowControl/>
        <w:rPr>
          <w:rFonts w:hint="eastAsia" w:ascii="宋体" w:hAnsi="宋体" w:cs="宋体"/>
          <w:sz w:val="24"/>
          <w:highlight w:val="yellow"/>
        </w:rPr>
      </w:pPr>
      <w:r>
        <w:rPr>
          <w:rFonts w:hint="eastAsia" w:ascii="宋体" w:hAnsi="宋体" w:cs="宋体"/>
          <w:sz w:val="24"/>
        </w:rPr>
        <w:t xml:space="preserve">5.应具有较强的本地化服务能力，服务期限内能在本地提供持续的服务，非本地投标人中标后须在本地配有较强的技术队伍。</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十一、服务期限及进度安排</w:t>
      </w:r>
      <w:r/>
    </w:p>
    <w:p>
      <w:pPr>
        <w:ind w:firstLine="482"/>
        <w:spacing w:line="500" w:lineRule="exact"/>
        <w:rPr>
          <w:rFonts w:hint="eastAsia" w:asciiTheme="minorEastAsia" w:hAnsiTheme="minorEastAsia"/>
          <w:b w:val="0"/>
          <w:bCs w:val="0"/>
          <w:i/>
          <w:iCs/>
          <w:sz w:val="24"/>
          <w:highlight w:val="none"/>
          <w:u w:val="single"/>
        </w:rPr>
      </w:pPr>
      <w:r>
        <w:rPr>
          <w:rFonts w:hint="eastAsia" w:asciiTheme="minorEastAsia" w:hAnsiTheme="minorEastAsia"/>
          <w:b w:val="0"/>
          <w:bCs w:val="0"/>
          <w:i/>
          <w:iCs/>
          <w:sz w:val="24"/>
          <w:highlight w:val="none"/>
          <w:u w:val="single"/>
        </w:rPr>
        <w:t xml:space="preserve">1.服务期限：2026年1</w:t>
      </w:r>
      <w:r>
        <w:rPr>
          <w:rFonts w:hint="eastAsia" w:asciiTheme="minorEastAsia" w:hAnsiTheme="minorEastAsia"/>
          <w:b w:val="0"/>
          <w:bCs w:val="0"/>
          <w:i/>
          <w:iCs/>
          <w:sz w:val="24"/>
          <w:highlight w:val="none"/>
          <w:u w:val="single"/>
          <w:lang w:val="en-US" w:eastAsia="zh-CN"/>
        </w:rPr>
        <w:t xml:space="preserve">0</w:t>
      </w:r>
      <w:r>
        <w:rPr>
          <w:rFonts w:hint="eastAsia" w:asciiTheme="minorEastAsia" w:hAnsiTheme="minorEastAsia"/>
          <w:b w:val="0"/>
          <w:bCs w:val="0"/>
          <w:i/>
          <w:iCs/>
          <w:sz w:val="24"/>
          <w:highlight w:val="none"/>
          <w:u w:val="single"/>
        </w:rPr>
        <w:t xml:space="preserve">月底前完成项目建设。运维期3年。（进场时间以甲方通知为准）</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十二、售后服务要求</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本项目系统运维服务周期为3年，硬件质保3年，自系统验收通过之日起计算。运维期内所提供运维、技术服务涉及的费用含在本次报价中。运维期内，</w:t>
      </w:r>
      <w:r>
        <w:rPr>
          <w:rFonts w:hint="eastAsia" w:asciiTheme="minorEastAsia" w:hAnsiTheme="minorEastAsia"/>
          <w:sz w:val="24"/>
          <w:szCs w:val="24"/>
          <w:highlight w:val="none"/>
        </w:rPr>
        <w:t xml:space="preserve">提供至少</w:t>
      </w:r>
      <w:r>
        <w:rPr>
          <w:rFonts w:hint="eastAsia" w:asciiTheme="minorEastAsia" w:hAnsiTheme="minorEastAsia"/>
          <w:sz w:val="24"/>
          <w:szCs w:val="24"/>
          <w:highlight w:val="none"/>
          <w:lang w:val="en-US" w:eastAsia="zh-CN"/>
        </w:rPr>
        <w:t xml:space="preserve">2</w:t>
      </w:r>
      <w:r>
        <w:rPr>
          <w:rFonts w:hint="eastAsia" w:asciiTheme="minorEastAsia" w:hAnsiTheme="minorEastAsia"/>
          <w:sz w:val="24"/>
          <w:szCs w:val="24"/>
          <w:highlight w:val="none"/>
        </w:rPr>
        <w:t xml:space="preserve">人驻场运行维护团队，</w:t>
      </w:r>
      <w:r>
        <w:rPr>
          <w:rFonts w:hint="eastAsia" w:asciiTheme="minorEastAsia" w:hAnsiTheme="minorEastAsia"/>
          <w:sz w:val="24"/>
          <w:szCs w:val="24"/>
        </w:rPr>
        <w:t xml:space="preserve">支撑响应系统各类故障及日常服务器巡检与维护、平台运行等运行维护要求和数据分析、辅助决策等技术支持。中标人无条件对系统进行维护和升级，需要根据国家、省、市接口调整变更软件调整。驻点人员在东海县运行监测中心进行系统及数据的安全运行保障、异常情况配合处理以及软硬件维护等工作。</w:t>
      </w:r>
      <w:r/>
    </w:p>
    <w:p>
      <w:pPr>
        <w:ind w:firstLine="480"/>
        <w:jc w:val="left"/>
        <w:spacing w:line="360" w:lineRule="auto"/>
        <w:rPr>
          <w:rFonts w:ascii="Times New Roman" w:hAnsi="Times New Roman"/>
          <w:sz w:val="24"/>
          <w:szCs w:val="24"/>
        </w:rPr>
      </w:pPr>
      <w:r>
        <w:rPr>
          <w:rFonts w:hint="eastAsia" w:asciiTheme="minorEastAsia" w:hAnsiTheme="minorEastAsia"/>
          <w:sz w:val="24"/>
          <w:szCs w:val="24"/>
        </w:rPr>
        <w:t xml:space="preserve">1.第一部分硬件设备，3年内对城市生命线建设的硬件监测设备进行维护，确保设备的正常运行。</w:t>
      </w:r>
      <w:r>
        <w:rPr>
          <w:rFonts w:hint="eastAsia" w:ascii="Times New Roman" w:hAnsi="Times New Roman"/>
          <w:sz w:val="24"/>
          <w:szCs w:val="24"/>
        </w:rPr>
        <w:t xml:space="preserve">中标人承担维修、保养、安检、调换等，相关费用包含在预算内，采购方不再支付任何费用；对于采购方人为原因造成的故障，中标人只收取成本费用。出现质量问题，</w:t>
      </w:r>
      <w:r>
        <w:rPr>
          <w:rFonts w:hint="eastAsia" w:ascii="宋体" w:hAnsi="宋体" w:cs="宋体"/>
          <w:bCs/>
          <w:sz w:val="24"/>
          <w:szCs w:val="24"/>
        </w:rPr>
        <w:t xml:space="preserve">中标人需协调原厂商提供原厂保修服务。如需替换设备或零件，配置不得低于原有配置其中，所有硬件内置的定制软件、配套管理软件及附带软件提供采购人使用权。</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2.第三部分数据运维，提供针对本工程中所涉及的全生命周期的数据治理、数据对接、数据开发、数据报送的运维服务，保证数据在使用、共享时高质量和及时响应。</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3.投标人提供详细完整的售后服务方案，包括服务体系、服务方案、运营方案、售后服务团队、应急预案等。</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十三、培训要求</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1.中标人应负责对采购人单位相关使用人员进行全面的技术培训，</w:t>
      </w:r>
      <w:r>
        <w:rPr>
          <w:sz w:val="24"/>
          <w:szCs w:val="32"/>
        </w:rPr>
        <w:t xml:space="preserve">主要内容侧重于系统的使用及系统的基本维护、常见问题及解决办法等</w:t>
      </w:r>
      <w:r>
        <w:rPr>
          <w:rFonts w:hint="eastAsia"/>
          <w:sz w:val="24"/>
          <w:szCs w:val="32"/>
        </w:rPr>
        <w:t xml:space="preserve">，</w:t>
      </w:r>
      <w:r>
        <w:rPr>
          <w:rFonts w:hint="eastAsia" w:asciiTheme="minorEastAsia" w:hAnsiTheme="minorEastAsia"/>
          <w:sz w:val="24"/>
          <w:szCs w:val="24"/>
        </w:rPr>
        <w:t xml:space="preserve">保证使用人员能独立进行日常维护管理和简易故障处理等工作，以便所使用的软件产品能够正常、安全地运行。 </w:t>
      </w:r>
      <w:r/>
    </w:p>
    <w:p>
      <w:pPr>
        <w:ind w:firstLine="562"/>
        <w:jc w:val="left"/>
        <w:spacing w:line="360" w:lineRule="auto"/>
        <w:rPr>
          <w:rFonts w:hint="eastAsia" w:ascii="宋体" w:hAnsi="宋体"/>
          <w:bCs/>
          <w:sz w:val="24"/>
          <w:szCs w:val="24"/>
        </w:rPr>
      </w:pPr>
      <w:r>
        <w:rPr>
          <w:rFonts w:hint="eastAsia" w:asciiTheme="minorEastAsia" w:hAnsiTheme="minorEastAsia"/>
          <w:sz w:val="24"/>
          <w:szCs w:val="24"/>
        </w:rPr>
        <w:t xml:space="preserve">2.中标人的培训对象为系统管理员和系统使用人员，中标人需提供培训教材，</w:t>
      </w:r>
      <w:r>
        <w:rPr>
          <w:rFonts w:hint="eastAsia"/>
          <w:sz w:val="24"/>
          <w:szCs w:val="32"/>
        </w:rPr>
        <w:t xml:space="preserve">并提供理论与实操相结合的多样化培训方式</w:t>
      </w:r>
      <w:r>
        <w:rPr>
          <w:sz w:val="24"/>
          <w:szCs w:val="32"/>
        </w:rPr>
        <w:t xml:space="preserve">。采购人负责对培训质量的监控，并有权对培训内容提出改正意见</w:t>
      </w:r>
      <w:r>
        <w:rPr>
          <w:rFonts w:hint="eastAsia"/>
          <w:sz w:val="24"/>
          <w:szCs w:val="32"/>
        </w:rPr>
        <w:t xml:space="preserve">。</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十四、商品包装及快递包装要求</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本项目涉及的货物发运前应对其进行满足运输距离、防潮、防震、防锈和防破损装卸等要求包装，以保证货物安全运达采购人指定地点，符合《商品包装政府采购需求标准（试行）》、《快递包装政府采购需求标准（试行）》等规定。具体要求如下：</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（一）商品包装环保要求</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1.商品包装层数不得超过3 层，空隙率不大于40%；</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2.商品包装尽可能使用单一材质的包装材料，如因功能需求必需使用不同材质，不同材质间应便于分离；</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3.商品包装中铅、汞、镉、六价铬的总含量应不大于100mg/kg；</w:t>
      </w:r>
      <w:r/>
    </w:p>
    <w:p>
      <w:pPr>
        <w:ind w:left="479"/>
        <w:jc w:val="left"/>
        <w:spacing w:line="360" w:lineRule="auto"/>
        <w:rPr>
          <w:rFonts w:hint="eastAsia" w:ascii="宋体" w:hAnsi="宋体" w:cs="宋体"/>
          <w:sz w:val="24"/>
          <w:szCs w:val="24"/>
        </w:rPr>
      </w:pPr>
      <w:r>
        <w:rPr>
          <w:rFonts w:hint="eastAsia" w:ascii="宋体" w:hAnsi="宋体" w:cs="宋体"/>
          <w:sz w:val="24"/>
          <w:szCs w:val="24"/>
        </w:rPr>
        <w:t xml:space="preserve">4.商品包装印刷使用的油墨中挥发性有机化合物(VOCs)含量应不大于 5%（以重量计）；5.塑料材质商品包装上呈现的印刷颜色不得超过6色；</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6.纸质商品包装应使用 75%以上的可再生纤维原料生产；7.木质商品包装的原料应来源于可持续性森林。</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（二）快递包装环保要求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1.快递包装中重金属（铅、汞、镉、六价铬）总量应不大于 100mg/kg；</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2.快递包装印刷使用的油墨中不应添加邻苯二甲酸酯，其挥发性有机化合物(VOCs)含量应不大于5%（以重量计）；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3.快递包装中使用纸基材的包装材料，纸基材中的有机氯的含量应不大于 150 mg/kg；</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5.快递中使用的塑料包装袋不得使用聚氯乙烯作为原料，且原料应为单一材质制成，生物分解率大于60%；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6.快递中使用的充气类填充物不得使用聚氯乙烯作为原料，且原料为单一材质制成，生物分解率大于60%；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7.快递中使用的集装袋应为单一材质制成，其重复使用次数应不小于 80 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8.快递中应使用幅宽不大于45mm 的生物降解胶带；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9.快递包装中不得使用溶剂型胶粘剂；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10.快递应使用电子面单；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11.直接使用商品包装作为快递包装的商品，其商品包装满足《商品包装政府采购需求标准（试行）》即可；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12.快递包装产品质量和封装方式应符合相关国家或行业标准技术指标要求。</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十五、验收要求</w:t>
      </w:r>
      <w:r/>
    </w:p>
    <w:p>
      <w:pPr>
        <w:ind w:firstLine="480"/>
        <w:spacing w:line="360" w:lineRule="auto"/>
        <w:rPr>
          <w:sz w:val="24"/>
          <w:szCs w:val="24"/>
        </w:rPr>
      </w:pPr>
      <w:r>
        <w:rPr>
          <w:rFonts w:hint="eastAsia"/>
          <w:sz w:val="24"/>
          <w:szCs w:val="24"/>
        </w:rPr>
        <w:t xml:space="preserve">采购人根据国家有关规定、招标文件、中标人的投标文件、财务相关规定以及合同约定的内容和验收标准进行验收，验收情况作为支付货款的依据。因服务的质量问题发生争议的，应当邀请国家认可的质量检测机构对服务质量进行鉴定。符合标准的，鉴定费由采购人承担；不符合标准的，鉴定费由中标人承担。中标人要接受采购人确认的具有客观、公平、公正、具有良好职业操守的监理单位的监督管理。</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验收工作由采购人组织实施，中标人参与共同完成。中标人应配合完成验收工作，提交相关文档，经采购人单位确认后进行项目验收。相关要求包括但不限于：</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1.中标人应按照采购人要求，如期完成合同规定的各项工作。</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中标人应按照采购人要求，移交实施过程中的各类文档，并进行产出物的交付。产出物应提供电子和纸质两种介质，内容应清晰完整，并保持版本一致。中标人提供的交付物包括但不局限于以下内容：设备安装、运行、使用、软件开发、测试、诊断和维修的技术文件、配置相关文档、配件清单以及配套软件技术说明文档，根据具体情况进行调整。</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3.对验收中发现的问题，中标人应提出有效解决办法和措施，经采购人确认后实施。</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中标人按照要求调试完毕，硬件及系统各项功能满足采购清单及技术参数质量要求，正常运行，材料齐全即验收合格。采购人对各节点验收材料汇总后，签署到货验收报告，进入质量保障及维护期。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本项目执行《财政部生态环境部工业和信息化部关于印发《绿色数据中心政府采购需求标准（试行）&gt;的通知》（财库〔2023〕7号）的相关要求。涉及本次采购标的的设备(防火墙、交换机等)采购人有权在履约验收时对中标人提供的产品或服务进行抽查检测，必要时可委托取得相关资质的第三方机构对其进行检测、认证。</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十六、付款方式与履约保证金</w:t>
      </w:r>
      <w:r/>
    </w:p>
    <w:p>
      <w:pPr>
        <w:ind w:firstLine="480"/>
        <w:jc w:val="left"/>
        <w:spacing w:line="360" w:lineRule="auto"/>
        <w:rPr>
          <w:rFonts w:hint="eastAsia" w:ascii="宋体" w:hAnsi="宋体" w:cs="宋体"/>
          <w:b w:val="0"/>
          <w:bCs/>
          <w:i/>
          <w:iCs/>
          <w:color w:val="auto"/>
          <w:sz w:val="24"/>
          <w:szCs w:val="24"/>
          <w:highlight w:val="none"/>
          <w:u w:val="single"/>
        </w:rPr>
      </w:pPr>
      <w:r>
        <w:rPr>
          <w:rFonts w:hint="eastAsia" w:ascii="宋体" w:hAnsi="宋体" w:cs="宋体"/>
          <w:bCs/>
          <w:sz w:val="24"/>
          <w:szCs w:val="24"/>
          <w:highlight w:val="none"/>
        </w:rPr>
        <w:t xml:space="preserve">1.付款方式</w:t>
      </w:r>
      <w:r>
        <w:rPr>
          <w:rFonts w:hint="eastAsia" w:ascii="宋体" w:hAnsi="宋体" w:cs="宋体"/>
          <w:b w:val="0"/>
          <w:bCs/>
          <w:color w:val="auto"/>
          <w:sz w:val="24"/>
          <w:szCs w:val="24"/>
          <w:highlight w:val="none"/>
        </w:rPr>
        <w:t xml:space="preserve">：</w:t>
      </w:r>
      <w:r>
        <w:rPr>
          <w:rFonts w:hint="eastAsia" w:ascii="宋体" w:hAnsi="宋体" w:eastAsia="宋体" w:cs="宋体"/>
          <w:b w:val="0"/>
          <w:bCs/>
          <w:i/>
          <w:iCs/>
          <w:color w:val="auto"/>
          <w:sz w:val="24"/>
          <w:szCs w:val="24"/>
          <w:highlight w:val="none"/>
          <w:u w:val="single"/>
        </w:rPr>
        <w:t xml:space="preserve">项目系统数据上线运行付到合同总金额的20%，</w:t>
      </w:r>
      <w:r>
        <w:rPr>
          <w:rFonts w:hint="eastAsia" w:ascii="宋体" w:hAnsi="宋体" w:cs="宋体"/>
          <w:b w:val="0"/>
          <w:bCs/>
          <w:i/>
          <w:iCs/>
          <w:color w:val="auto"/>
          <w:sz w:val="24"/>
          <w:szCs w:val="24"/>
          <w:highlight w:val="none"/>
          <w:u w:val="single"/>
        </w:rPr>
        <w:t xml:space="preserve">项目完工验收合格后付</w:t>
      </w:r>
      <w:r>
        <w:rPr>
          <w:rFonts w:hint="eastAsia" w:ascii="宋体" w:hAnsi="宋体" w:cs="宋体"/>
          <w:b w:val="0"/>
          <w:bCs/>
          <w:i/>
          <w:iCs/>
          <w:color w:val="auto"/>
          <w:sz w:val="24"/>
          <w:szCs w:val="24"/>
          <w:highlight w:val="none"/>
          <w:u w:val="single"/>
          <w:lang w:val="en-US" w:eastAsia="zh-CN"/>
        </w:rPr>
        <w:t xml:space="preserve">至审计</w:t>
      </w:r>
      <w:r>
        <w:rPr>
          <w:rFonts w:hint="eastAsia" w:ascii="宋体" w:hAnsi="宋体" w:eastAsia="宋体" w:cs="宋体"/>
          <w:b w:val="0"/>
          <w:bCs/>
          <w:i/>
          <w:iCs/>
          <w:color w:val="auto"/>
          <w:sz w:val="24"/>
          <w:szCs w:val="24"/>
          <w:highlight w:val="none"/>
          <w:u w:val="single"/>
        </w:rPr>
        <w:t xml:space="preserve">总金额的</w:t>
      </w:r>
      <w:r>
        <w:rPr>
          <w:rFonts w:hint="eastAsia" w:ascii="宋体" w:hAnsi="宋体" w:cs="宋体"/>
          <w:b w:val="0"/>
          <w:bCs/>
          <w:i/>
          <w:iCs/>
          <w:color w:val="auto"/>
          <w:sz w:val="24"/>
          <w:szCs w:val="24"/>
          <w:highlight w:val="none"/>
          <w:u w:val="single"/>
        </w:rPr>
        <w:t xml:space="preserve">60%，一年运维结束付至</w:t>
      </w:r>
      <w:r>
        <w:rPr>
          <w:rFonts w:hint="eastAsia" w:ascii="宋体" w:hAnsi="宋体" w:cs="宋体"/>
          <w:b w:val="0"/>
          <w:bCs/>
          <w:i/>
          <w:iCs/>
          <w:color w:val="auto"/>
          <w:sz w:val="24"/>
          <w:szCs w:val="24"/>
          <w:highlight w:val="none"/>
          <w:u w:val="single"/>
          <w:lang w:val="en-US" w:eastAsia="zh-CN"/>
        </w:rPr>
        <w:t xml:space="preserve">审计</w:t>
      </w:r>
      <w:r>
        <w:rPr>
          <w:rFonts w:hint="eastAsia" w:ascii="宋体" w:hAnsi="宋体" w:eastAsia="宋体" w:cs="宋体"/>
          <w:b w:val="0"/>
          <w:bCs/>
          <w:i/>
          <w:iCs/>
          <w:color w:val="auto"/>
          <w:sz w:val="24"/>
          <w:szCs w:val="24"/>
          <w:highlight w:val="none"/>
          <w:u w:val="single"/>
        </w:rPr>
        <w:t xml:space="preserve">总金额的</w:t>
      </w:r>
      <w:r>
        <w:rPr>
          <w:rFonts w:hint="eastAsia" w:ascii="宋体" w:hAnsi="宋体" w:cs="宋体"/>
          <w:b w:val="0"/>
          <w:bCs/>
          <w:i/>
          <w:iCs/>
          <w:color w:val="auto"/>
          <w:sz w:val="24"/>
          <w:szCs w:val="24"/>
          <w:highlight w:val="none"/>
          <w:u w:val="single"/>
        </w:rPr>
        <w:t xml:space="preserve">80%，两年运维结束付至</w:t>
      </w:r>
      <w:r>
        <w:rPr>
          <w:rFonts w:hint="eastAsia" w:ascii="宋体" w:hAnsi="宋体" w:cs="宋体"/>
          <w:b w:val="0"/>
          <w:bCs/>
          <w:i/>
          <w:iCs/>
          <w:color w:val="auto"/>
          <w:sz w:val="24"/>
          <w:szCs w:val="24"/>
          <w:highlight w:val="none"/>
          <w:u w:val="single"/>
          <w:lang w:val="en-US" w:eastAsia="zh-CN"/>
        </w:rPr>
        <w:t xml:space="preserve">审计</w:t>
      </w:r>
      <w:r>
        <w:rPr>
          <w:rFonts w:hint="eastAsia" w:ascii="宋体" w:hAnsi="宋体" w:eastAsia="宋体" w:cs="宋体"/>
          <w:b w:val="0"/>
          <w:bCs/>
          <w:i/>
          <w:iCs/>
          <w:color w:val="auto"/>
          <w:sz w:val="24"/>
          <w:szCs w:val="24"/>
          <w:highlight w:val="none"/>
          <w:u w:val="single"/>
        </w:rPr>
        <w:t xml:space="preserve">总金额的</w:t>
      </w:r>
      <w:r>
        <w:rPr>
          <w:rFonts w:hint="eastAsia" w:ascii="宋体" w:hAnsi="宋体" w:cs="宋体"/>
          <w:b w:val="0"/>
          <w:bCs/>
          <w:i/>
          <w:iCs/>
          <w:color w:val="auto"/>
          <w:sz w:val="24"/>
          <w:szCs w:val="24"/>
          <w:highlight w:val="none"/>
          <w:u w:val="single"/>
        </w:rPr>
        <w:t xml:space="preserve">90%，三年运维结束付至</w:t>
      </w:r>
      <w:r>
        <w:rPr>
          <w:rFonts w:hint="eastAsia" w:ascii="宋体" w:hAnsi="宋体" w:cs="宋体"/>
          <w:b w:val="0"/>
          <w:bCs/>
          <w:i/>
          <w:iCs/>
          <w:color w:val="auto"/>
          <w:sz w:val="24"/>
          <w:szCs w:val="24"/>
          <w:highlight w:val="none"/>
          <w:u w:val="single"/>
          <w:lang w:val="en-US" w:eastAsia="zh-CN"/>
        </w:rPr>
        <w:t xml:space="preserve">审计</w:t>
      </w:r>
      <w:r>
        <w:rPr>
          <w:rFonts w:hint="eastAsia" w:ascii="宋体" w:hAnsi="宋体" w:eastAsia="宋体" w:cs="宋体"/>
          <w:b w:val="0"/>
          <w:bCs/>
          <w:i/>
          <w:iCs/>
          <w:color w:val="auto"/>
          <w:sz w:val="24"/>
          <w:szCs w:val="24"/>
          <w:highlight w:val="none"/>
          <w:u w:val="single"/>
        </w:rPr>
        <w:t xml:space="preserve">总金额的</w:t>
      </w:r>
      <w:r>
        <w:rPr>
          <w:rFonts w:hint="eastAsia" w:ascii="宋体" w:hAnsi="宋体" w:cs="宋体"/>
          <w:b w:val="0"/>
          <w:bCs/>
          <w:i/>
          <w:iCs/>
          <w:color w:val="auto"/>
          <w:sz w:val="24"/>
          <w:szCs w:val="24"/>
          <w:highlight w:val="none"/>
          <w:u w:val="single"/>
        </w:rPr>
        <w:t xml:space="preserve">100%。</w:t>
      </w:r>
      <w:r/>
    </w:p>
    <w:p>
      <w:pPr>
        <w:ind w:firstLine="480"/>
        <w:jc w:val="left"/>
        <w:spacing w:line="360" w:lineRule="auto"/>
        <w:rPr>
          <w:rFonts w:hint="eastAsia" w:ascii="宋体" w:hAnsi="宋体" w:cs="宋体"/>
          <w:b/>
          <w:i/>
          <w:iCs/>
          <w:sz w:val="24"/>
          <w:szCs w:val="24"/>
          <w:highlight w:val="none"/>
          <w:u w:val="single"/>
        </w:rPr>
      </w:pPr>
      <w:r>
        <w:rPr>
          <w:rFonts w:hint="eastAsia" w:ascii="宋体" w:hAnsi="宋体" w:cs="宋体"/>
          <w:i/>
          <w:iCs/>
          <w:sz w:val="24"/>
          <w:szCs w:val="24"/>
          <w:highlight w:val="none"/>
          <w:u w:val="single"/>
        </w:rPr>
        <w:t xml:space="preserve">每次付款前乙方向甲方开具正规发票，甲方自收到发票后10工作日内将资金支付至合同约定的乙方账户（发票开具日期计算）。</w:t>
      </w:r>
      <w:r/>
    </w:p>
    <w:p>
      <w:pPr>
        <w:ind w:firstLine="480"/>
        <w:jc w:val="left"/>
        <w:spacing w:line="360" w:lineRule="auto"/>
        <w:rPr>
          <w:rFonts w:hint="eastAsia" w:asciiTheme="minorEastAsia" w:hAnsiTheme="minorEastAsia"/>
          <w:sz w:val="24"/>
          <w:szCs w:val="24"/>
          <w:highlight w:val="none"/>
        </w:rPr>
      </w:pPr>
      <w:r>
        <w:rPr>
          <w:rFonts w:hint="eastAsia" w:asciiTheme="minorEastAsia" w:hAnsiTheme="minorEastAsia"/>
          <w:bCs/>
          <w:sz w:val="24"/>
          <w:szCs w:val="24"/>
          <w:highlight w:val="none"/>
        </w:rPr>
        <w:t xml:space="preserve">2.履约保证金：</w:t>
      </w:r>
      <w:r>
        <w:rPr>
          <w:rFonts w:hint="eastAsia" w:asciiTheme="minorEastAsia" w:hAnsiTheme="minorEastAsia"/>
          <w:sz w:val="24"/>
          <w:szCs w:val="24"/>
          <w:highlight w:val="none"/>
        </w:rPr>
        <w:t xml:space="preserve">本项目不收取履约保证金。</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十七、报价要求</w:t>
      </w:r>
      <w:r/>
    </w:p>
    <w:p>
      <w:pPr>
        <w:ind w:firstLine="480"/>
        <w:spacing w:line="360" w:lineRule="auto"/>
        <w:rPr>
          <w:sz w:val="24"/>
        </w:rPr>
      </w:pPr>
      <w:r>
        <w:rPr>
          <w:rFonts w:hint="eastAsia"/>
          <w:sz w:val="24"/>
        </w:rPr>
        <w:t xml:space="preserve">本项目报价不得超过预算价，应根据国家收费标准并结合市场实际进行报价，总价包干。</w:t>
      </w:r>
      <w:r>
        <w:rPr>
          <w:rFonts w:hint="eastAsia"/>
          <w:sz w:val="24"/>
          <w:szCs w:val="24"/>
        </w:rPr>
        <w:t xml:space="preserve">投标报价应是招标文件所确定的采购范围内的全部工作内容的价格体现，应涵盖采购人在招标文件中所要求的所有工作内容，</w:t>
      </w:r>
      <w:r>
        <w:rPr>
          <w:rFonts w:hint="eastAsia" w:asciiTheme="minorEastAsia" w:hAnsiTheme="minorEastAsia"/>
          <w:sz w:val="24"/>
        </w:rPr>
        <w:t xml:space="preserve">包含但不限于人员、设备、系统开发</w:t>
      </w:r>
      <w:r>
        <w:rPr>
          <w:rFonts w:hint="eastAsia" w:asciiTheme="minorEastAsia" w:hAnsiTheme="minorEastAsia"/>
          <w:sz w:val="24"/>
          <w:lang w:eastAsia="zh-CN"/>
        </w:rPr>
        <w:t xml:space="preserve">（</w:t>
      </w:r>
      <w:r>
        <w:rPr>
          <w:rFonts w:hint="eastAsia" w:asciiTheme="minorEastAsia" w:hAnsiTheme="minorEastAsia"/>
          <w:sz w:val="24"/>
          <w:lang w:val="en-US" w:eastAsia="zh-CN"/>
        </w:rPr>
        <w:t xml:space="preserve">接入</w:t>
      </w:r>
      <w:r>
        <w:rPr>
          <w:rFonts w:hint="eastAsia" w:asciiTheme="minorEastAsia" w:hAnsiTheme="minorEastAsia"/>
          <w:sz w:val="24"/>
          <w:lang w:eastAsia="zh-CN"/>
        </w:rPr>
        <w:t xml:space="preserve">）</w:t>
      </w:r>
      <w:r>
        <w:rPr>
          <w:rFonts w:hint="eastAsia" w:asciiTheme="minorEastAsia" w:hAnsiTheme="minorEastAsia"/>
          <w:sz w:val="24"/>
        </w:rPr>
        <w:t xml:space="preserve">、售后服务、伴随配套服务等所有含税费用。</w:t>
      </w:r>
      <w:r>
        <w:rPr>
          <w:rFonts w:hint="eastAsia"/>
          <w:sz w:val="24"/>
          <w:szCs w:val="24"/>
        </w:rPr>
        <w:t xml:space="preserve">报价时需充分考虑本项目技术支持与维护服务费用以及投标人确认为需要发生的其它费用等，直至交付至采购人使用时所需要的各种费用（包含所有隐含的费用），采购人不支付报价以外的任何费用。</w:t>
      </w:r>
      <w:r/>
    </w:p>
    <w:p>
      <w:pPr>
        <w:ind w:firstLine="480"/>
        <w:spacing w:line="360" w:lineRule="auto"/>
        <w:rPr>
          <w:sz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bookmarkStart w:id="38" w:name="_GoBack"/>
      <w:r/>
      <w:bookmarkEnd w:id="38"/>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ind w:firstLine="480"/>
        <w:spacing w:line="360" w:lineRule="auto"/>
        <w:rPr>
          <w:sz w:val="24"/>
        </w:rPr>
      </w:pPr>
      <w:r>
        <w:rPr>
          <w:sz w:val="24"/>
        </w:rPr>
      </w:r>
      <w:r/>
    </w:p>
    <w:p>
      <w:pPr>
        <w:pStyle w:val="879"/>
        <w:jc w:val="center"/>
        <w:spacing w:before="156" w:after="156" w:line="360" w:lineRule="auto"/>
        <w:rPr>
          <w:rFonts w:hint="eastAsia"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20"/>
      <w:r/>
      <w:r/>
    </w:p>
    <w:p>
      <w:pPr>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1、小微型企业价格扣除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（1）本项目对小型和微型企业给予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u w:val="single"/>
        </w:rPr>
        <w:t xml:space="preserve">4</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6、联合体各方均为小型、微型企业（残疾人福利单位、监狱企业）的，联合体享受10%价格扣除，用扣除后的价格参与评审。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7、采购本国产品的支持政策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7.1 本项目政府采购活动中既有本国产品又有非本国产品参与竞争的，依法对本国产品给予价格评审优惠，对本国产品的报价给予  20%的价格扣除，用扣除后的价格参与评审。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7.3 供应商需按照招标文件的要求提供《关于符合本国产品标准的声明函》（以下简称《声明函》），如不提供将不享受本国产品价格评审优惠。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jc w:val="left"/>
        <w:keepLines w:val="0"/>
        <w:keepNext w:val="0"/>
        <w:pageBreakBefore w:val="0"/>
        <w:spacing w:line="360" w:lineRule="auto"/>
        <w:widowControl w:val="off"/>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7.6本国产品标准适用于货物，包括政府采购货物项目和服务项目中涉及的货物。</w:t>
      </w:r>
      <w:r/>
    </w:p>
    <w:p>
      <w:pPr>
        <w:jc w:val="center"/>
        <w:spacing w:before="120" w:after="120" w:line="0" w:lineRule="atLeast"/>
        <w:rPr>
          <w:rFonts w:hint="eastAsia" w:ascii="黑体" w:hAnsi="黑体" w:eastAsia="黑体"/>
          <w:sz w:val="24"/>
          <w:szCs w:val="24"/>
        </w:rPr>
      </w:pPr>
      <w:r>
        <w:rPr>
          <w:rFonts w:hint="eastAsia" w:ascii="宋体" w:hAnsi="宋体"/>
          <w:b/>
          <w:sz w:val="32"/>
          <w:szCs w:val="24"/>
        </w:rPr>
        <w:t xml:space="preserve">评审方法与评审标准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综合评分法：是指投标文件满足招标文件全部实质性要求，且按照评审因素的量化指标评审得分最高的投标人为中标候选人的评标办法。</w:t>
      </w:r>
      <w:r/>
    </w:p>
    <w:p>
      <w:pPr>
        <w:ind w:firstLine="480"/>
        <w:jc w:val="left"/>
        <w:spacing w:line="500" w:lineRule="exact"/>
        <w:rPr>
          <w:rFonts w:hint="eastAsia"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三、中标标准</w:t>
      </w:r>
      <w:r/>
    </w:p>
    <w:p>
      <w:pPr>
        <w:ind w:firstLine="480"/>
        <w:jc w:val="left"/>
        <w:spacing w:line="500" w:lineRule="exact"/>
        <w:rPr>
          <w:sz w:val="24"/>
          <w:szCs w:val="24"/>
        </w:rPr>
      </w:pPr>
      <w:r>
        <w:rPr>
          <w:rFonts w:hint="eastAsia"/>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w:t>
      </w:r>
      <w:r>
        <w:rPr>
          <w:rFonts w:hint="eastAsia"/>
          <w:sz w:val="24"/>
          <w:szCs w:val="24"/>
          <w:lang w:val="en-US" w:eastAsia="zh-CN"/>
        </w:rPr>
        <w:t xml:space="preserve">3</w:t>
      </w:r>
      <w:r>
        <w:rPr>
          <w:rFonts w:hint="eastAsia"/>
          <w:sz w:val="24"/>
          <w:szCs w:val="24"/>
        </w:rPr>
        <w:t xml:space="preserve">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w:t>
      </w:r>
      <w:r>
        <w:rPr>
          <w:rFonts w:hint="eastAsia"/>
          <w:sz w:val="24"/>
          <w:szCs w:val="24"/>
          <w:lang w:val="en-US" w:eastAsia="zh-CN"/>
        </w:rPr>
        <w:t xml:space="preserve">3</w:t>
      </w:r>
      <w:r>
        <w:rPr>
          <w:rFonts w:hint="eastAsia"/>
          <w:sz w:val="24"/>
          <w:szCs w:val="24"/>
        </w:rPr>
        <w:t xml:space="preserve">0分</w:t>
      </w:r>
      <w:r/>
    </w:p>
    <w:p>
      <w:pPr>
        <w:ind w:firstLine="482"/>
        <w:spacing w:line="360" w:lineRule="auto"/>
        <w:rPr>
          <w:rFonts w:hint="eastAsia" w:asciiTheme="minorEastAsia" w:hAnsiTheme="minorEastAsia"/>
          <w:b/>
          <w:sz w:val="24"/>
          <w:szCs w:val="24"/>
        </w:rPr>
      </w:pPr>
      <w:r>
        <w:rPr>
          <w:rFonts w:hint="eastAsia" w:asciiTheme="minorEastAsia" w:hAnsiTheme="minorEastAsia"/>
          <w:b/>
          <w:sz w:val="24"/>
          <w:szCs w:val="24"/>
        </w:rPr>
        <w:t xml:space="preserve">2.技术分（</w:t>
      </w:r>
      <w:r>
        <w:rPr>
          <w:rFonts w:hint="eastAsia" w:asciiTheme="minorEastAsia" w:hAnsiTheme="minorEastAsia"/>
          <w:b/>
          <w:sz w:val="24"/>
          <w:szCs w:val="24"/>
          <w:lang w:val="en-US" w:eastAsia="zh-CN"/>
        </w:rPr>
        <w:t xml:space="preserve">35</w:t>
      </w:r>
      <w:r>
        <w:rPr>
          <w:rFonts w:hint="eastAsia" w:asciiTheme="minorEastAsia" w:hAnsiTheme="minorEastAsia"/>
          <w:b/>
          <w:sz w:val="24"/>
          <w:szCs w:val="24"/>
        </w:rPr>
        <w:t xml:space="preserve">分）</w:t>
      </w:r>
      <w:r/>
    </w:p>
    <w:tbl>
      <w:tblPr>
        <w:tblStyle w:val="704"/>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832"/>
        <w:gridCol w:w="6687"/>
      </w:tblGrid>
      <w:tr>
        <w:trPr>
          <w:trHeight w:val="510"/>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3924" w:type="pct"/>
            <w:vAlign w:val="center"/>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评审标准</w:t>
            </w:r>
            <w:r/>
          </w:p>
        </w:tc>
      </w:tr>
      <w:tr>
        <w:trPr>
          <w:trHeight w:val="2160"/>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1.项目现状和需求理解</w:t>
            </w:r>
            <w:r/>
          </w:p>
          <w:p>
            <w:pPr>
              <w:jc w:val="center"/>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3924" w:type="pct"/>
            <w:vAlign w:val="center"/>
            <w:textDirection w:val="lrTb"/>
            <w:noWrap w:val="false"/>
          </w:tcPr>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投标人根据江苏省城市生命线建设要求，针对东海县城市生命线项目情况编制建设背景、现状分析、需求分析等内容。</w:t>
            </w:r>
            <w:r/>
          </w:p>
          <w:p>
            <w:pPr>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投标人有合理完善的建设背景、现状分析，需求分析等内容</w:t>
            </w:r>
            <w:r>
              <w:rPr>
                <w:rFonts w:hint="eastAsia" w:ascii="宋体" w:hAnsi="宋体" w:cs="宋体"/>
                <w:sz w:val="24"/>
                <w:szCs w:val="24"/>
              </w:rPr>
              <w:t xml:space="preserve">贴合采购需求的得</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投标人有较合理完善的建设背景、现状分析，需求分析等内容较</w:t>
            </w:r>
            <w:r>
              <w:rPr>
                <w:rFonts w:hint="eastAsia" w:ascii="宋体" w:hAnsi="宋体" w:cs="宋体"/>
                <w:sz w:val="24"/>
                <w:szCs w:val="24"/>
              </w:rPr>
              <w:t xml:space="preserve">贴合采购需求的得</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p>
            <w:pPr>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投标人提供的建设背景、现状分析一般，需求分析等内容一般</w:t>
            </w:r>
            <w:r>
              <w:rPr>
                <w:rFonts w:hint="eastAsia" w:ascii="宋体" w:hAnsi="宋体" w:cs="宋体"/>
                <w:sz w:val="24"/>
                <w:szCs w:val="24"/>
              </w:rPr>
              <w:t xml:space="preserve">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jc w:val="left"/>
              <w:spacing w:line="360" w:lineRule="auto"/>
              <w:widowControl/>
              <w:rPr>
                <w:rFonts w:hint="eastAsia" w:ascii="宋体" w:hAnsi="宋体" w:cs="宋体"/>
                <w:color w:val="000000"/>
                <w:sz w:val="24"/>
                <w:szCs w:val="24"/>
                <w:lang w:bidi="ar"/>
              </w:rPr>
            </w:pPr>
            <w:r>
              <w:rPr>
                <w:rFonts w:hint="eastAsia" w:ascii="宋体" w:hAnsi="宋体" w:cs="宋体"/>
                <w:b/>
                <w:sz w:val="24"/>
                <w:szCs w:val="24"/>
              </w:rPr>
              <w:t xml:space="preserve">该项未见阐述不得分。</w:t>
            </w:r>
            <w:r/>
          </w:p>
        </w:tc>
      </w:tr>
      <w:tr>
        <w:trPr>
          <w:trHeight w:val="2160"/>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2.项目整体建设方案（</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3924" w:type="pct"/>
            <w:vAlign w:val="center"/>
            <w:textDirection w:val="lrTb"/>
            <w:noWrap w:val="false"/>
          </w:tcPr>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根据投标人提供的项目整体建设方案，包括：总体架构、网络架构、数据架构、平台架构、项目主要技术路线等内容。方案内容完整详实，优于或贴合项目需求，可实施性强的得</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方案内容较详细，较贴合项目需求，可实施性较强的得</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方案内容一般，与项目需求理解有偏差，可实施性一般的得</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br/>
            </w:r>
            <w:r>
              <w:rPr>
                <w:rFonts w:hint="eastAsia" w:ascii="宋体" w:hAnsi="宋体" w:cs="宋体"/>
                <w:b/>
                <w:sz w:val="24"/>
                <w:szCs w:val="24"/>
              </w:rPr>
              <w:t xml:space="preserve">该项未见阐述不得分。</w:t>
            </w:r>
            <w:r/>
          </w:p>
        </w:tc>
      </w:tr>
      <w:tr>
        <w:trPr>
          <w:trHeight w:val="1440"/>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3.重难点及关键技术理解</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3924" w:type="pct"/>
            <w:vAlign w:val="center"/>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投标人对本项目建设的重难点理解的正确性及其关键技术方案的合理性。</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理解正确，关键技术方案合理可行得得</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理解基本正确，关键技术方案较可行的得</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理解较合理，关键技术方案可行性笼统的得</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br/>
            </w:r>
            <w:r>
              <w:rPr>
                <w:rFonts w:hint="eastAsia" w:ascii="宋体" w:hAnsi="宋体" w:cs="宋体"/>
                <w:b/>
                <w:sz w:val="24"/>
                <w:szCs w:val="24"/>
              </w:rPr>
              <w:t xml:space="preserve">该项未见阐述不得分。</w:t>
            </w:r>
            <w:r/>
          </w:p>
        </w:tc>
      </w:tr>
      <w:tr>
        <w:trPr>
          <w:trHeight w:val="1920"/>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4.监测设备方案（</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3924" w:type="pct"/>
            <w:vAlign w:val="center"/>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投标人结合项目需求编制监测设备方案，需覆盖排水、道路、桥梁场景，方案包括但</w:t>
            </w:r>
            <w:r>
              <w:rPr>
                <w:rFonts w:hint="eastAsia" w:ascii="宋体" w:hAnsi="宋体" w:cs="宋体"/>
                <w:color w:val="auto"/>
                <w:sz w:val="24"/>
                <w:szCs w:val="24"/>
                <w:lang w:bidi="ar"/>
              </w:rPr>
              <w:t xml:space="preserve">不限于基本情况、布点依据、布点方案、设备安装、数据采集与存储、数据分析与应用、数据回传等内容。</w:t>
            </w:r>
            <w:r>
              <w:rPr>
                <w:rFonts w:hint="eastAsia" w:ascii="宋体" w:hAnsi="宋体" w:cs="宋体"/>
                <w:color w:val="auto"/>
                <w:sz w:val="24"/>
                <w:szCs w:val="24"/>
                <w:lang w:bidi="ar"/>
              </w:rPr>
              <w:br/>
            </w:r>
            <w:r>
              <w:rPr>
                <w:rFonts w:hint="eastAsia" w:ascii="宋体" w:hAnsi="宋体" w:cs="宋体"/>
                <w:color w:val="000000"/>
                <w:sz w:val="24"/>
                <w:szCs w:val="24"/>
                <w:lang w:bidi="ar"/>
              </w:rPr>
              <w:t xml:space="preserve">内容完整详实，优于或贴合项目需求，可实施性强的得</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内容较详细，较贴合项目需求，可实施性较强的得</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内容简单，与项目需求理解有偏差，可实施性一般的得</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br/>
            </w:r>
            <w:r>
              <w:rPr>
                <w:rFonts w:hint="eastAsia" w:ascii="宋体" w:hAnsi="宋体" w:cs="宋体"/>
                <w:b/>
                <w:sz w:val="24"/>
                <w:szCs w:val="24"/>
              </w:rPr>
              <w:t xml:space="preserve">该项未见阐述不得分。</w:t>
            </w:r>
            <w:r/>
          </w:p>
        </w:tc>
      </w:tr>
      <w:tr>
        <w:trPr>
          <w:trHeight w:val="90"/>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5.数据治理方案（</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3924" w:type="pct"/>
            <w:vAlign w:val="center"/>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投标人结合项目需求提供数据治理方案，方案包括但不限于数据资源现状梳理、数据建库及现有系统汇聚、数据治理实施、数据接入、数据实施监控等内容。</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内容完整详实，优于或贴合项目需求，可实施性强的得</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内容较详细，较贴合项目需求，可实施性较强的得</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内容简单，与项目需求理解有偏差，可实施性一般的得</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分；</w:t>
            </w:r>
            <w:r>
              <w:rPr>
                <w:rFonts w:hint="eastAsia" w:ascii="宋体" w:hAnsi="宋体" w:cs="宋体"/>
                <w:color w:val="000000"/>
                <w:sz w:val="24"/>
                <w:szCs w:val="24"/>
                <w:lang w:bidi="ar"/>
              </w:rPr>
              <w:br/>
            </w:r>
            <w:r>
              <w:rPr>
                <w:rFonts w:hint="eastAsia" w:ascii="宋体" w:hAnsi="宋体" w:cs="宋体"/>
                <w:b/>
                <w:sz w:val="24"/>
                <w:szCs w:val="24"/>
              </w:rPr>
              <w:t xml:space="preserve">该项未见阐述不得分。</w:t>
            </w:r>
            <w:r/>
          </w:p>
        </w:tc>
      </w:tr>
      <w:tr>
        <w:trPr>
          <w:trHeight w:val="1680"/>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6.项目实施方案（5分）</w:t>
            </w:r>
            <w:r/>
          </w:p>
        </w:tc>
        <w:tc>
          <w:tcPr>
            <w:tcBorders>
              <w:top w:val="single" w:color="000000" w:sz="4" w:space="0"/>
              <w:left w:val="single" w:color="000000" w:sz="4" w:space="0"/>
              <w:bottom w:val="single" w:color="000000" w:sz="4" w:space="0"/>
              <w:right w:val="single" w:color="000000" w:sz="4" w:space="0"/>
            </w:tcBorders>
            <w:tcW w:w="3924" w:type="pct"/>
            <w:vAlign w:val="center"/>
            <w:textDirection w:val="lrTb"/>
            <w:noWrap w:val="false"/>
          </w:tcPr>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项目实施方案：为了保证项目顺利推进，要求提供详细的</w:t>
            </w:r>
            <w:r>
              <w:rPr>
                <w:rFonts w:ascii="宋体" w:hAnsi="宋体" w:cs="宋体"/>
                <w:color w:val="000000"/>
                <w:sz w:val="24"/>
                <w:szCs w:val="24"/>
                <w:lang w:bidi="ar"/>
              </w:rPr>
              <w:t xml:space="preserve">项目实施管理方案，内容包括但不限于实施的管理制度、项目进度控制、项目风险控制、项目资源控制、项目范围控制、项目进度计划等内容，</w:t>
            </w:r>
            <w:r/>
          </w:p>
          <w:p>
            <w:pPr>
              <w:jc w:val="left"/>
              <w:spacing w:line="360" w:lineRule="auto"/>
              <w:widowControl/>
              <w:rPr>
                <w:rFonts w:hint="eastAsia" w:ascii="宋体" w:hAnsi="宋体" w:cs="宋体"/>
                <w:color w:val="000000"/>
                <w:sz w:val="24"/>
                <w:szCs w:val="24"/>
                <w:lang w:bidi="ar"/>
              </w:rPr>
            </w:pPr>
            <w:r>
              <w:rPr>
                <w:rFonts w:ascii="宋体" w:hAnsi="宋体" w:cs="宋体"/>
                <w:color w:val="000000"/>
                <w:sz w:val="24"/>
                <w:szCs w:val="24"/>
                <w:lang w:bidi="ar"/>
              </w:rPr>
              <w:t xml:space="preserve">方案针对性强、可操作性高的得</w:t>
            </w:r>
            <w:r>
              <w:rPr>
                <w:rFonts w:hint="eastAsia" w:ascii="宋体" w:hAnsi="宋体" w:cs="宋体"/>
                <w:color w:val="000000"/>
                <w:sz w:val="24"/>
                <w:szCs w:val="24"/>
                <w:lang w:bidi="ar"/>
              </w:rPr>
              <w:t xml:space="preserve">5</w:t>
            </w:r>
            <w:r>
              <w:rPr>
                <w:rFonts w:ascii="宋体" w:hAnsi="宋体" w:cs="宋体"/>
                <w:color w:val="000000"/>
                <w:sz w:val="24"/>
                <w:szCs w:val="24"/>
                <w:lang w:bidi="ar"/>
              </w:rPr>
              <w:t xml:space="preserve">分；</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方案针对性较强，可操作性较强的得3分；</w:t>
            </w:r>
            <w:r/>
          </w:p>
          <w:p>
            <w:pPr>
              <w:jc w:val="left"/>
              <w:spacing w:line="360" w:lineRule="auto"/>
              <w:widowControl/>
              <w:rPr>
                <w:rFonts w:hint="eastAsia" w:ascii="宋体" w:hAnsi="宋体" w:cs="宋体"/>
                <w:color w:val="000000"/>
                <w:sz w:val="24"/>
                <w:szCs w:val="24"/>
                <w:lang w:bidi="ar"/>
              </w:rPr>
            </w:pPr>
            <w:r>
              <w:rPr>
                <w:rFonts w:ascii="宋体" w:hAnsi="宋体" w:cs="宋体"/>
                <w:color w:val="000000"/>
                <w:sz w:val="24"/>
                <w:szCs w:val="24"/>
                <w:lang w:bidi="ar"/>
              </w:rPr>
              <w:t xml:space="preserve">方案针对性一般、可操作性一般的得</w:t>
            </w: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分；</w:t>
            </w:r>
            <w:r/>
          </w:p>
          <w:p>
            <w:pPr>
              <w:jc w:val="left"/>
              <w:spacing w:line="360" w:lineRule="auto"/>
              <w:widowControl/>
              <w:rPr>
                <w:rFonts w:hint="eastAsia" w:ascii="宋体" w:hAnsi="宋体" w:cs="宋体"/>
                <w:color w:val="000000"/>
                <w:sz w:val="24"/>
                <w:szCs w:val="24"/>
                <w:lang w:bidi="ar"/>
              </w:rPr>
            </w:pPr>
            <w:r>
              <w:rPr>
                <w:rFonts w:hint="eastAsia" w:ascii="宋体" w:hAnsi="宋体" w:cs="宋体"/>
                <w:b/>
                <w:sz w:val="24"/>
                <w:szCs w:val="24"/>
              </w:rPr>
              <w:t xml:space="preserve">该项未见阐述不得分。</w:t>
            </w:r>
            <w:r/>
          </w:p>
        </w:tc>
      </w:tr>
      <w:tr>
        <w:trPr>
          <w:trHeight w:val="90"/>
        </w:trPr>
        <w:tc>
          <w:tcPr>
            <w:tcBorders>
              <w:top w:val="single" w:color="000000" w:sz="4" w:space="0"/>
              <w:left w:val="single" w:color="000000" w:sz="4" w:space="0"/>
              <w:bottom w:val="single" w:color="000000" w:sz="4" w:space="0"/>
              <w:right w:val="single" w:color="000000" w:sz="4" w:space="0"/>
            </w:tcBorders>
            <w:tcW w:w="1075" w:type="pct"/>
            <w:vAlign w:val="center"/>
            <w:textDirection w:val="lrTb"/>
            <w:noWrap w:val="false"/>
          </w:tcPr>
          <w:p>
            <w:pPr>
              <w:jc w:val="center"/>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7.项目售后方案（5分）</w:t>
            </w:r>
            <w:r/>
          </w:p>
        </w:tc>
        <w:tc>
          <w:tcPr>
            <w:tcBorders>
              <w:top w:val="single" w:color="000000" w:sz="4" w:space="0"/>
              <w:left w:val="single" w:color="000000" w:sz="4" w:space="0"/>
              <w:bottom w:val="single" w:color="000000" w:sz="4" w:space="0"/>
              <w:right w:val="single" w:color="000000" w:sz="4" w:space="0"/>
            </w:tcBorders>
            <w:tcW w:w="3924" w:type="pct"/>
            <w:vAlign w:val="center"/>
            <w:textDirection w:val="lrTb"/>
            <w:noWrap w:val="false"/>
          </w:tcPr>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投标人提供详细完整的售后服务方案，包括服务体系、服务方案、运营方案、售后服务团队、应急预案等。</w:t>
            </w:r>
            <w:r/>
          </w:p>
          <w:p>
            <w:pPr>
              <w:jc w:val="left"/>
              <w:spacing w:line="360" w:lineRule="auto"/>
              <w:widowControl/>
              <w:rPr>
                <w:rFonts w:hint="eastAsia" w:ascii="宋体" w:hAnsi="宋体" w:cs="宋体"/>
                <w:color w:val="000000"/>
                <w:sz w:val="24"/>
                <w:szCs w:val="24"/>
                <w:lang w:bidi="ar"/>
              </w:rPr>
            </w:pPr>
            <w:r>
              <w:rPr>
                <w:rFonts w:ascii="宋体" w:hAnsi="宋体" w:cs="宋体"/>
                <w:color w:val="000000"/>
                <w:sz w:val="24"/>
                <w:szCs w:val="24"/>
                <w:lang w:bidi="ar"/>
              </w:rPr>
              <w:t xml:space="preserve">方案针对性强、可操作性高的得</w:t>
            </w:r>
            <w:r>
              <w:rPr>
                <w:rFonts w:hint="eastAsia" w:ascii="宋体" w:hAnsi="宋体" w:cs="宋体"/>
                <w:color w:val="000000"/>
                <w:sz w:val="24"/>
                <w:szCs w:val="24"/>
                <w:lang w:bidi="ar"/>
              </w:rPr>
              <w:t xml:space="preserve">5</w:t>
            </w:r>
            <w:r>
              <w:rPr>
                <w:rFonts w:ascii="宋体" w:hAnsi="宋体" w:cs="宋体"/>
                <w:color w:val="000000"/>
                <w:sz w:val="24"/>
                <w:szCs w:val="24"/>
                <w:lang w:bidi="ar"/>
              </w:rPr>
              <w:t xml:space="preserve">分；</w:t>
            </w:r>
            <w:r/>
          </w:p>
          <w:p>
            <w:pPr>
              <w:jc w:val="left"/>
              <w:spacing w:line="360" w:lineRule="auto"/>
              <w:widowControl/>
              <w:rPr>
                <w:rFonts w:hint="eastAsia" w:ascii="宋体" w:hAnsi="宋体" w:cs="宋体"/>
                <w:color w:val="000000"/>
                <w:sz w:val="24"/>
                <w:szCs w:val="24"/>
                <w:lang w:bidi="ar"/>
              </w:rPr>
            </w:pPr>
            <w:r>
              <w:rPr>
                <w:rFonts w:ascii="宋体" w:hAnsi="宋体" w:cs="宋体"/>
                <w:color w:val="000000"/>
                <w:sz w:val="24"/>
                <w:szCs w:val="24"/>
                <w:lang w:bidi="ar"/>
              </w:rPr>
              <w:t xml:space="preserve">方案针对性</w:t>
            </w:r>
            <w:r>
              <w:rPr>
                <w:rFonts w:hint="eastAsia" w:ascii="宋体" w:hAnsi="宋体" w:cs="宋体"/>
                <w:color w:val="000000"/>
                <w:sz w:val="24"/>
                <w:szCs w:val="24"/>
                <w:lang w:bidi="ar"/>
              </w:rPr>
              <w:t xml:space="preserve">较强</w:t>
            </w:r>
            <w:r>
              <w:rPr>
                <w:rFonts w:ascii="宋体" w:hAnsi="宋体" w:cs="宋体"/>
                <w:color w:val="000000"/>
                <w:sz w:val="24"/>
                <w:szCs w:val="24"/>
                <w:lang w:bidi="ar"/>
              </w:rPr>
              <w:t xml:space="preserve">、可操作性较</w:t>
            </w:r>
            <w:r>
              <w:rPr>
                <w:rFonts w:hint="eastAsia" w:ascii="宋体" w:hAnsi="宋体" w:cs="宋体"/>
                <w:color w:val="000000"/>
                <w:sz w:val="24"/>
                <w:szCs w:val="24"/>
                <w:lang w:bidi="ar"/>
              </w:rPr>
              <w:t xml:space="preserve">高</w:t>
            </w:r>
            <w:r>
              <w:rPr>
                <w:rFonts w:ascii="宋体" w:hAnsi="宋体" w:cs="宋体"/>
                <w:color w:val="000000"/>
                <w:sz w:val="24"/>
                <w:szCs w:val="24"/>
                <w:lang w:bidi="ar"/>
              </w:rPr>
              <w:t xml:space="preserve">的得</w:t>
            </w:r>
            <w:r>
              <w:rPr>
                <w:rFonts w:hint="eastAsia" w:ascii="宋体" w:hAnsi="宋体" w:cs="宋体"/>
                <w:color w:val="000000"/>
                <w:sz w:val="24"/>
                <w:szCs w:val="24"/>
                <w:lang w:bidi="ar"/>
              </w:rPr>
              <w:t xml:space="preserve">3</w:t>
            </w:r>
            <w:r>
              <w:rPr>
                <w:rFonts w:ascii="宋体" w:hAnsi="宋体" w:cs="宋体"/>
                <w:color w:val="000000"/>
                <w:sz w:val="24"/>
                <w:szCs w:val="24"/>
                <w:lang w:bidi="ar"/>
              </w:rPr>
              <w:t xml:space="preserve">分；</w:t>
            </w:r>
            <w:r/>
          </w:p>
          <w:p>
            <w:pPr>
              <w:jc w:val="left"/>
              <w:spacing w:line="360" w:lineRule="auto"/>
              <w:widowControl/>
              <w:rPr>
                <w:rFonts w:hint="eastAsia" w:ascii="宋体" w:hAnsi="宋体" w:cs="宋体"/>
                <w:color w:val="000000"/>
                <w:sz w:val="24"/>
                <w:szCs w:val="24"/>
                <w:lang w:bidi="ar"/>
              </w:rPr>
            </w:pPr>
            <w:r>
              <w:rPr>
                <w:rFonts w:ascii="宋体" w:hAnsi="宋体" w:cs="宋体"/>
                <w:color w:val="000000"/>
                <w:sz w:val="24"/>
                <w:szCs w:val="24"/>
                <w:lang w:bidi="ar"/>
              </w:rPr>
              <w:t xml:space="preserve">方案针对性</w:t>
            </w:r>
            <w:r>
              <w:rPr>
                <w:rFonts w:hint="eastAsia" w:ascii="宋体" w:hAnsi="宋体" w:cs="宋体"/>
                <w:color w:val="000000"/>
                <w:sz w:val="24"/>
                <w:szCs w:val="24"/>
                <w:lang w:bidi="ar"/>
              </w:rPr>
              <w:t xml:space="preserve">一般</w:t>
            </w:r>
            <w:r>
              <w:rPr>
                <w:rFonts w:ascii="宋体" w:hAnsi="宋体" w:cs="宋体"/>
                <w:color w:val="000000"/>
                <w:sz w:val="24"/>
                <w:szCs w:val="24"/>
                <w:lang w:bidi="ar"/>
              </w:rPr>
              <w:t xml:space="preserve">、可操作性</w:t>
            </w:r>
            <w:r>
              <w:rPr>
                <w:rFonts w:hint="eastAsia" w:ascii="宋体" w:hAnsi="宋体" w:cs="宋体"/>
                <w:color w:val="000000"/>
                <w:sz w:val="24"/>
                <w:szCs w:val="24"/>
                <w:lang w:bidi="ar"/>
              </w:rPr>
              <w:t xml:space="preserve">一般</w:t>
            </w:r>
            <w:r>
              <w:rPr>
                <w:rFonts w:ascii="宋体" w:hAnsi="宋体" w:cs="宋体"/>
                <w:color w:val="000000"/>
                <w:sz w:val="24"/>
                <w:szCs w:val="24"/>
                <w:lang w:bidi="ar"/>
              </w:rPr>
              <w:t xml:space="preserve">的得</w:t>
            </w: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分；</w:t>
            </w:r>
            <w:r/>
          </w:p>
          <w:p>
            <w:pPr>
              <w:jc w:val="left"/>
              <w:spacing w:line="360" w:lineRule="auto"/>
              <w:widowControl/>
              <w:rPr>
                <w:rFonts w:hint="eastAsia" w:ascii="宋体" w:hAnsi="宋体" w:cs="宋体"/>
                <w:color w:val="000000"/>
                <w:sz w:val="24"/>
                <w:szCs w:val="24"/>
                <w:lang w:bidi="ar"/>
              </w:rPr>
            </w:pPr>
            <w:r>
              <w:rPr>
                <w:rFonts w:hint="eastAsia" w:ascii="宋体" w:hAnsi="宋体" w:cs="宋体"/>
                <w:b/>
                <w:sz w:val="24"/>
                <w:szCs w:val="24"/>
              </w:rPr>
              <w:t xml:space="preserve">该项未见阐述不得分。</w:t>
            </w:r>
            <w:r/>
          </w:p>
        </w:tc>
      </w:tr>
    </w:tbl>
    <w:p>
      <w:pPr>
        <w:ind w:firstLine="482"/>
        <w:spacing w:line="360" w:lineRule="auto"/>
        <w:rPr>
          <w:rFonts w:hint="eastAsia" w:asciiTheme="minorEastAsia" w:hAnsiTheme="minorEastAsia"/>
          <w:b/>
          <w:sz w:val="24"/>
          <w:szCs w:val="24"/>
        </w:rPr>
      </w:pPr>
      <w:r>
        <w:rPr>
          <w:rFonts w:hint="eastAsia" w:asciiTheme="minorEastAsia" w:hAnsiTheme="minorEastAsia"/>
          <w:b/>
          <w:sz w:val="24"/>
          <w:szCs w:val="24"/>
        </w:rPr>
        <w:t xml:space="preserve">3.商务分（</w:t>
      </w:r>
      <w:r>
        <w:rPr>
          <w:rFonts w:hint="eastAsia" w:asciiTheme="minorEastAsia" w:hAnsiTheme="minorEastAsia"/>
          <w:b/>
          <w:sz w:val="24"/>
          <w:szCs w:val="24"/>
          <w:lang w:val="en-US" w:eastAsia="zh-CN"/>
        </w:rPr>
        <w:t xml:space="preserve">35</w:t>
      </w:r>
      <w:r>
        <w:rPr>
          <w:rFonts w:hint="eastAsia" w:asciiTheme="minorEastAsia" w:hAnsiTheme="minorEastAsia"/>
          <w:b/>
          <w:sz w:val="24"/>
          <w:szCs w:val="24"/>
        </w:rPr>
        <w:t xml:space="preserve">分）</w:t>
      </w:r>
      <w:r/>
    </w:p>
    <w:tbl>
      <w:tblPr>
        <w:tblStyle w:val="704"/>
        <w:tblW w:w="4994" w:type="pct"/>
        <w:tblInd w:w="0" w:type="dxa"/>
        <w:tblLayout w:type="autofit"/>
        <w:tblCellMar>
          <w:left w:w="108" w:type="dxa"/>
          <w:top w:w="0" w:type="dxa"/>
          <w:right w:w="108" w:type="dxa"/>
          <w:bottom w:w="0" w:type="dxa"/>
        </w:tblCellMar>
        <w:tblLook w:val="04A0" w:firstRow="1" w:lastRow="0" w:firstColumn="1" w:lastColumn="0" w:noHBand="0" w:noVBand="1"/>
      </w:tblPr>
      <w:tblGrid>
        <w:gridCol w:w="1837"/>
        <w:gridCol w:w="6675"/>
      </w:tblGrid>
      <w:tr>
        <w:trPr>
          <w:trHeight w:val="440"/>
        </w:trPr>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评审因素</w:t>
            </w:r>
            <w:r/>
          </w:p>
        </w:tc>
        <w:tc>
          <w:tcPr>
            <w:tcBorders>
              <w:top w:val="single" w:color="000000" w:sz="4" w:space="0"/>
              <w:left w:val="single" w:color="000000" w:sz="4" w:space="0"/>
              <w:bottom w:val="single" w:color="000000" w:sz="4" w:space="0"/>
              <w:right w:val="single" w:color="000000" w:sz="4" w:space="0"/>
            </w:tcBorders>
            <w:tcW w:w="3920" w:type="pct"/>
            <w:vAlign w:val="center"/>
            <w:textDirection w:val="lrTb"/>
            <w:noWrap w:val="false"/>
          </w:tcPr>
          <w:p>
            <w:pPr>
              <w:jc w:val="left"/>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评审标准</w:t>
            </w:r>
            <w:r/>
          </w:p>
        </w:tc>
      </w:tr>
      <w:tr>
        <w:trPr>
          <w:trHeight w:val="543"/>
        </w:trPr>
        <w:tc>
          <w:tcPr>
            <w:tcBorders>
              <w:top w:val="single" w:color="000000" w:sz="4" w:space="0"/>
              <w:left w:val="single" w:color="000000" w:sz="4" w:space="0"/>
              <w:right w:val="single" w:color="000000" w:sz="4" w:space="0"/>
            </w:tcBorders>
            <w:tcW w:w="1079" w:type="pct"/>
            <w:vAlign w:val="center"/>
            <w:textDirection w:val="lrTb"/>
            <w:noWrap w:val="false"/>
          </w:tcPr>
          <w:p>
            <w:pPr>
              <w:jc w:val="center"/>
              <w:spacing w:line="360" w:lineRule="auto"/>
              <w:widowControl/>
              <w:rPr>
                <w:rFonts w:hint="eastAsia" w:ascii="宋体" w:hAnsi="宋体" w:cs="宋体"/>
                <w:color w:val="000000"/>
                <w:sz w:val="24"/>
                <w:szCs w:val="24"/>
              </w:rPr>
            </w:pPr>
            <w:r>
              <w:rPr>
                <w:rFonts w:hint="eastAsia" w:ascii="宋体" w:hAnsi="宋体" w:cs="宋体"/>
                <w:color w:val="000000"/>
                <w:sz w:val="24"/>
                <w:szCs w:val="24"/>
                <w:lang w:bidi="ar"/>
              </w:rPr>
              <w:t xml:space="preserve">售后服务承诺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（5分）</w:t>
            </w:r>
            <w:r/>
          </w:p>
        </w:tc>
        <w:tc>
          <w:tcPr>
            <w:tcBorders>
              <w:top w:val="single" w:color="000000" w:sz="4" w:space="0"/>
              <w:left w:val="single" w:color="000000" w:sz="4" w:space="0"/>
              <w:bottom w:val="single" w:color="000000" w:sz="4" w:space="0"/>
              <w:right w:val="single" w:color="000000" w:sz="4" w:space="0"/>
            </w:tcBorders>
            <w:tcW w:w="3920" w:type="pct"/>
            <w:vAlign w:val="center"/>
            <w:textDirection w:val="lrTb"/>
            <w:noWrap w:val="false"/>
          </w:tcPr>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投标人承诺在售后服务期限内接到采购人问题通知，2小时内反馈并解决问题的得</w:t>
            </w:r>
            <w:r>
              <w:rPr>
                <w:rFonts w:hint="eastAsia" w:ascii="宋体" w:hAnsi="宋体" w:cs="宋体"/>
                <w:color w:val="000000"/>
                <w:sz w:val="24"/>
                <w:szCs w:val="24"/>
                <w:lang w:val="en-US" w:eastAsia="zh-CN" w:bidi="ar"/>
              </w:rPr>
              <w:t xml:space="preserve">5</w:t>
            </w:r>
            <w:r>
              <w:rPr>
                <w:rFonts w:hint="eastAsia" w:ascii="宋体" w:hAnsi="宋体" w:cs="宋体"/>
                <w:color w:val="000000"/>
                <w:sz w:val="24"/>
                <w:szCs w:val="24"/>
                <w:lang w:bidi="ar"/>
              </w:rPr>
              <w:t xml:space="preserve">分；3小时内反馈并解决问题的得</w:t>
            </w:r>
            <w:r>
              <w:rPr>
                <w:rFonts w:hint="eastAsia" w:ascii="宋体" w:hAnsi="宋体" w:cs="宋体"/>
                <w:color w:val="000000"/>
                <w:sz w:val="24"/>
                <w:szCs w:val="24"/>
                <w:lang w:val="en-US" w:eastAsia="zh-CN" w:bidi="ar"/>
              </w:rPr>
              <w:t xml:space="preserve">3</w:t>
            </w:r>
            <w:r>
              <w:rPr>
                <w:rFonts w:hint="eastAsia" w:ascii="宋体" w:hAnsi="宋体" w:cs="宋体"/>
                <w:color w:val="000000"/>
                <w:sz w:val="24"/>
                <w:szCs w:val="24"/>
                <w:lang w:bidi="ar"/>
              </w:rPr>
              <w:t xml:space="preserve">分；4小时内反馈并解决问题的得</w:t>
            </w:r>
            <w:r>
              <w:rPr>
                <w:rFonts w:hint="eastAsia" w:ascii="宋体" w:hAnsi="宋体" w:cs="宋体"/>
                <w:color w:val="000000"/>
                <w:sz w:val="24"/>
                <w:szCs w:val="24"/>
                <w:lang w:val="en-US" w:eastAsia="zh-CN" w:bidi="ar"/>
              </w:rPr>
              <w:t xml:space="preserve">1</w:t>
            </w:r>
            <w:r>
              <w:rPr>
                <w:rFonts w:hint="eastAsia" w:ascii="宋体" w:hAnsi="宋体" w:cs="宋体"/>
                <w:color w:val="000000"/>
                <w:sz w:val="24"/>
                <w:szCs w:val="24"/>
                <w:lang w:bidi="ar"/>
              </w:rPr>
              <w:t xml:space="preserve">分，其他不得分。</w:t>
            </w:r>
            <w:r>
              <w:rPr>
                <w:rFonts w:hint="eastAsia" w:ascii="宋体" w:hAnsi="宋体" w:cs="宋体"/>
                <w:color w:val="000000"/>
                <w:sz w:val="24"/>
                <w:szCs w:val="24"/>
                <w:lang w:bidi="ar"/>
              </w:rPr>
              <w:br/>
            </w:r>
            <w:r>
              <w:rPr>
                <w:rFonts w:hint="eastAsia" w:ascii="宋体" w:hAnsi="宋体" w:cs="宋体"/>
                <w:b/>
                <w:bCs/>
                <w:color w:val="000000"/>
                <w:sz w:val="24"/>
                <w:szCs w:val="24"/>
                <w:lang w:bidi="ar"/>
              </w:rPr>
              <w:t xml:space="preserve">投标文件中需提供加盖投标人公章的承诺函，格式自拟，须明确承诺内容，否则不得分。</w:t>
            </w:r>
            <w:r/>
          </w:p>
        </w:tc>
      </w:tr>
      <w:tr>
        <w:trPr>
          <w:trHeight w:val="4232"/>
        </w:trPr>
        <w:tc>
          <w:tcPr>
            <w:tcBorders>
              <w:top w:val="single" w:color="000000" w:sz="4" w:space="0"/>
              <w:left w:val="single" w:color="000000" w:sz="4" w:space="0"/>
              <w:bottom w:val="single" w:color="000000" w:sz="4" w:space="0"/>
              <w:right w:val="single" w:color="000000" w:sz="4" w:space="0"/>
            </w:tcBorders>
            <w:tcW w:w="1079" w:type="pct"/>
            <w:vAlign w:val="center"/>
            <w:vMerge w:val="restart"/>
            <w:textDirection w:val="lrTb"/>
            <w:noWrap w:val="false"/>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bidi="ar"/>
              </w:rPr>
              <w:t xml:space="preserve">企业履约能力</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w:t>
            </w:r>
            <w:r>
              <w:rPr>
                <w:rFonts w:hint="eastAsia" w:ascii="宋体" w:hAnsi="宋体" w:cs="宋体"/>
                <w:color w:val="auto"/>
                <w:sz w:val="24"/>
                <w:szCs w:val="24"/>
                <w:lang w:val="en-US" w:eastAsia="zh-CN" w:bidi="ar"/>
              </w:rPr>
              <w:t xml:space="preserve">10</w:t>
            </w:r>
            <w:r>
              <w:rPr>
                <w:rFonts w:hint="eastAsia" w:ascii="宋体" w:hAnsi="宋体" w:cs="宋体"/>
                <w:color w:val="auto"/>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3920" w:type="pct"/>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1、投标人具有信息安全管理体系认证证书的,得2分，不提供或提供不全的不得分。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2、投标人具有信息技术服务管理体系认证证书的，得2分，不提供或提供不全的不得分。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3、投标人具有知识产权管理体系认证证书的，得2分，不提供或提供不全的不得分。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4、投标人具有业务连续性管理体系认证证书的，得2分，不提供或提供不全的不得分。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5、投标人具备软件能力成熟度等级认证，具有CMMI3认证证书的得1分，具有CMMI5认证证书的得2分，本项最高得2分，不提供不得分。</w:t>
            </w:r>
            <w:r/>
          </w:p>
          <w:p>
            <w:pPr>
              <w:jc w:val="left"/>
              <w:spacing w:line="360" w:lineRule="auto"/>
              <w:widowControl/>
              <w:rPr>
                <w:rFonts w:hint="eastAsia" w:ascii="宋体" w:hAnsi="宋体" w:cs="宋体"/>
                <w:color w:val="auto"/>
                <w:highlight w:val="none"/>
              </w:rPr>
            </w:pPr>
            <w:r>
              <w:rPr>
                <w:rFonts w:ascii="SimSun" w:hAnsi="SimSun" w:eastAsia="SimSun" w:cs="SimSun"/>
                <w:color w:val="000000"/>
                <w:sz w:val="24"/>
              </w:rPr>
              <w:t xml:space="preserve">（以上证书须提供证书彩色扫描件和国家认证认可监督管理委员会官网查询截图并加盖投标人公章（软件能力成熟度等级认证不需要查询截图），否则不得分）</w:t>
            </w:r>
            <w:r>
              <w:rPr>
                <w:rFonts w:hint="eastAsia" w:ascii="宋体" w:hAnsi="宋体" w:cs="宋体"/>
                <w:b/>
                <w:bCs/>
                <w:color w:val="auto"/>
                <w:sz w:val="24"/>
                <w:szCs w:val="24"/>
                <w:highlight w:val="none"/>
              </w:rPr>
            </w:r>
            <w:r/>
          </w:p>
        </w:tc>
      </w:tr>
      <w:tr>
        <w:trPr>
          <w:trHeight w:val="774"/>
        </w:trPr>
        <w:tc>
          <w:tcPr>
            <w:tcBorders>
              <w:top w:val="single" w:color="000000" w:sz="4" w:space="0"/>
              <w:left w:val="single" w:color="000000" w:sz="4" w:space="0"/>
              <w:right w:val="single" w:color="000000" w:sz="4" w:space="0"/>
            </w:tcBorders>
            <w:tcW w:w="1079" w:type="pct"/>
            <w:vAlign w:val="center"/>
            <w:textDirection w:val="lrTb"/>
            <w:noWrap w:val="false"/>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bidi="ar"/>
              </w:rPr>
              <w:t xml:space="preserve">项目团队</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（14分）</w:t>
            </w:r>
            <w:r/>
          </w:p>
        </w:tc>
        <w:tc>
          <w:tcPr>
            <w:tcBorders>
              <w:top w:val="single" w:color="000000" w:sz="4" w:space="0"/>
              <w:left w:val="single" w:color="000000" w:sz="4" w:space="0"/>
              <w:bottom w:val="single" w:color="000000" w:sz="4" w:space="0"/>
              <w:right w:val="single" w:color="000000" w:sz="4" w:space="0"/>
            </w:tcBorders>
            <w:tcW w:w="3920" w:type="pct"/>
            <w:vAlign w:val="center"/>
            <w:textDirection w:val="lrTb"/>
            <w:noWrap w:val="false"/>
          </w:tcPr>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1、项目负责人具有</w:t>
            </w:r>
            <w:r>
              <w:rPr>
                <w:rFonts w:hint="eastAsia" w:ascii="宋体" w:hAnsi="宋体" w:cs="宋体"/>
                <w:color w:val="auto"/>
                <w:sz w:val="24"/>
                <w:szCs w:val="24"/>
                <w:lang w:val="en-US" w:eastAsia="zh-CN" w:bidi="ar"/>
              </w:rPr>
              <w:t xml:space="preserve">中级</w:t>
            </w:r>
            <w:r>
              <w:rPr>
                <w:rFonts w:hint="eastAsia" w:ascii="宋体" w:hAnsi="宋体" w:cs="宋体"/>
                <w:color w:val="auto"/>
                <w:sz w:val="24"/>
                <w:szCs w:val="24"/>
                <w:lang w:bidi="ar"/>
              </w:rPr>
              <w:t xml:space="preserve">工程师职称的得2分，具有高级</w:t>
            </w:r>
            <w:r>
              <w:rPr>
                <w:rFonts w:hint="eastAsia" w:ascii="宋体" w:hAnsi="宋体" w:cs="宋体"/>
                <w:color w:val="auto"/>
                <w:sz w:val="24"/>
                <w:szCs w:val="24"/>
                <w:lang w:val="en-US" w:eastAsia="zh-CN" w:bidi="ar"/>
              </w:rPr>
              <w:t xml:space="preserve">及以上</w:t>
            </w:r>
            <w:r>
              <w:rPr>
                <w:rFonts w:hint="eastAsia" w:ascii="宋体" w:hAnsi="宋体" w:cs="宋体"/>
                <w:color w:val="auto"/>
                <w:sz w:val="24"/>
                <w:szCs w:val="24"/>
                <w:lang w:bidi="ar"/>
              </w:rPr>
              <w:t xml:space="preserve">工程师职称的得3分；同时具有注册信息安全工程师(CISP)证书的得2分；本项最高得5分,不提供不得分。</w:t>
            </w:r>
            <w:r/>
          </w:p>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2、为保障数据治理交付成果，数据治理团队（不含项目负责人）需至少提供（项目负责人除外）数据治理工程师1名、软件工程师1名，以上人员各1分，本项最高得2分，不提供不得分。</w:t>
            </w:r>
            <w:r/>
          </w:p>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lang w:bidi="ar"/>
              </w:rPr>
              <w:t xml:space="preserve">3、项目团队（不含项目负责人）</w:t>
            </w:r>
            <w:r>
              <w:rPr>
                <w:rFonts w:hint="eastAsia" w:ascii="宋体" w:hAnsi="宋体" w:cs="宋体"/>
                <w:color w:val="auto"/>
                <w:sz w:val="24"/>
                <w:szCs w:val="24"/>
              </w:rPr>
              <w:t xml:space="preserve">具有设备安装质量员证书的得2分，不提供不得分。</w:t>
            </w:r>
            <w:r/>
          </w:p>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4、项目团队（不含项目负责人）</w:t>
            </w:r>
            <w:r>
              <w:rPr>
                <w:rFonts w:hint="eastAsia" w:ascii="宋体" w:hAnsi="宋体" w:cs="宋体"/>
                <w:color w:val="auto"/>
                <w:sz w:val="24"/>
                <w:szCs w:val="24"/>
              </w:rPr>
              <w:t xml:space="preserve">具有注册安全工程师证书的得2分，不提供不得分。</w:t>
            </w:r>
            <w:r/>
          </w:p>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5、项目团队（不含项目负责人）每提供1名</w:t>
            </w:r>
            <w:r>
              <w:rPr>
                <w:rFonts w:hint="eastAsia" w:ascii="宋体" w:hAnsi="宋体" w:cs="宋体"/>
                <w:color w:val="auto"/>
                <w:sz w:val="24"/>
                <w:szCs w:val="24"/>
                <w:lang w:val="en-US" w:eastAsia="zh-CN" w:bidi="ar"/>
              </w:rPr>
              <w:t xml:space="preserve">中级及以上</w:t>
            </w:r>
            <w:r>
              <w:rPr>
                <w:rFonts w:hint="eastAsia" w:ascii="宋体" w:hAnsi="宋体" w:cs="宋体"/>
                <w:color w:val="auto"/>
                <w:sz w:val="24"/>
                <w:szCs w:val="24"/>
                <w:lang w:bidi="ar"/>
              </w:rPr>
              <w:t xml:space="preserve">工程师职称的得1分，本项最高得3分，不提供不得分。</w:t>
            </w:r>
            <w:r/>
          </w:p>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以上持证人员（不含项目负责人）一人多证按一证计算，多种证书不重复得分。</w:t>
            </w:r>
            <w:r/>
          </w:p>
          <w:p>
            <w:pPr>
              <w:jc w:val="left"/>
              <w:spacing w:line="360" w:lineRule="auto"/>
              <w:widowControl/>
              <w:rPr>
                <w:rFonts w:hint="eastAsia" w:ascii="宋体" w:hAnsi="宋体" w:cs="宋体"/>
                <w:color w:val="auto"/>
                <w:sz w:val="24"/>
                <w:szCs w:val="24"/>
                <w:lang w:bidi="ar"/>
              </w:rPr>
            </w:pPr>
            <w:r>
              <w:rPr>
                <w:rFonts w:hint="eastAsia" w:ascii="宋体" w:hAnsi="宋体" w:cs="宋体"/>
                <w:b/>
                <w:bCs/>
                <w:color w:val="auto"/>
                <w:sz w:val="24"/>
                <w:szCs w:val="24"/>
                <w:lang w:bidi="ar"/>
              </w:rPr>
              <w:t xml:space="preserve">注：投标文件提供有效相关证书扫描件并加盖投标人公章，并提供投标人为其缴纳的2025年9月（含）至今任意一个月的社保证明材料，否则不得分。</w:t>
            </w:r>
            <w:r/>
          </w:p>
        </w:tc>
      </w:tr>
      <w:tr>
        <w:trPr>
          <w:trHeight w:val="720"/>
        </w:trPr>
        <w:tc>
          <w:tcPr>
            <w:tcBorders>
              <w:top w:val="single" w:color="000000" w:sz="4" w:space="0"/>
              <w:left w:val="single" w:color="000000" w:sz="4" w:space="0"/>
              <w:bottom w:val="single" w:color="000000" w:sz="4" w:space="0"/>
              <w:right w:val="single" w:color="000000" w:sz="4" w:space="0"/>
            </w:tcBorders>
            <w:tcW w:w="1079" w:type="pct"/>
            <w:vAlign w:val="center"/>
            <w:textDirection w:val="lrTb"/>
            <w:noWrap w:val="false"/>
          </w:tcPr>
          <w:p>
            <w:pPr>
              <w:jc w:val="center"/>
              <w:spacing w:line="360" w:lineRule="auto"/>
              <w:widowControl/>
              <w:rPr>
                <w:rFonts w:hint="eastAsia" w:ascii="宋体" w:hAnsi="宋体" w:cs="宋体"/>
                <w:color w:val="auto"/>
                <w:sz w:val="24"/>
                <w:szCs w:val="24"/>
              </w:rPr>
            </w:pPr>
            <w:r>
              <w:rPr>
                <w:rFonts w:hint="eastAsia" w:ascii="宋体" w:hAnsi="宋体" w:cs="宋体"/>
                <w:color w:val="auto"/>
                <w:sz w:val="24"/>
                <w:szCs w:val="24"/>
                <w:lang w:bidi="ar"/>
              </w:rPr>
              <w:t xml:space="preserve">业绩</w:t>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w:t>
            </w:r>
            <w:r>
              <w:rPr>
                <w:rFonts w:hint="eastAsia" w:ascii="宋体" w:hAnsi="宋体" w:cs="宋体"/>
                <w:color w:val="auto"/>
                <w:sz w:val="24"/>
                <w:szCs w:val="24"/>
                <w:lang w:val="en-US" w:eastAsia="zh-CN" w:bidi="ar"/>
              </w:rPr>
              <w:t xml:space="preserve">6</w:t>
            </w:r>
            <w:r>
              <w:rPr>
                <w:rFonts w:hint="eastAsia" w:ascii="宋体" w:hAnsi="宋体" w:cs="宋体"/>
                <w:color w:val="auto"/>
                <w:sz w:val="24"/>
                <w:szCs w:val="24"/>
                <w:lang w:bidi="ar"/>
              </w:rPr>
              <w:t xml:space="preserve">分）</w:t>
            </w:r>
            <w:r/>
          </w:p>
        </w:tc>
        <w:tc>
          <w:tcPr>
            <w:tcBorders>
              <w:top w:val="single" w:color="000000" w:sz="4" w:space="0"/>
              <w:left w:val="single" w:color="000000" w:sz="4" w:space="0"/>
              <w:bottom w:val="single" w:color="000000" w:sz="4" w:space="0"/>
              <w:right w:val="single" w:color="000000" w:sz="4" w:space="0"/>
            </w:tcBorders>
            <w:tcW w:w="3920" w:type="pct"/>
            <w:vAlign w:val="center"/>
            <w:textDirection w:val="lrTb"/>
            <w:noWrap w:val="false"/>
          </w:tcPr>
          <w:p>
            <w:pPr>
              <w:jc w:val="left"/>
              <w:spacing w:line="360" w:lineRule="auto"/>
              <w:widowControl/>
              <w:rPr>
                <w:rFonts w:hint="eastAsia" w:ascii="宋体" w:hAnsi="宋体" w:cs="宋体"/>
                <w:color w:val="auto"/>
                <w:sz w:val="24"/>
                <w:szCs w:val="24"/>
              </w:rPr>
            </w:pPr>
            <w:r>
              <w:rPr>
                <w:rFonts w:hint="eastAsia" w:ascii="宋体" w:hAnsi="宋体" w:cs="宋体"/>
                <w:color w:val="auto"/>
                <w:sz w:val="24"/>
                <w:szCs w:val="24"/>
                <w:lang w:bidi="ar"/>
              </w:rPr>
              <w:t xml:space="preserve">投标人自2022年1月以来，具有生命线类似信息化项目业绩的（合同内容至少与燃气、供水、排水、道路、桥梁、第三方施工、地下管线至少含其中两项），每有一个得</w:t>
            </w:r>
            <w:r>
              <w:rPr>
                <w:rFonts w:hint="eastAsia" w:ascii="宋体" w:hAnsi="宋体" w:cs="宋体"/>
                <w:color w:val="auto"/>
                <w:sz w:val="24"/>
                <w:szCs w:val="24"/>
                <w:lang w:val="en-US" w:eastAsia="zh-CN" w:bidi="ar"/>
              </w:rPr>
              <w:t xml:space="preserve">3</w:t>
            </w:r>
            <w:r>
              <w:rPr>
                <w:rFonts w:hint="eastAsia" w:ascii="宋体" w:hAnsi="宋体" w:cs="宋体"/>
                <w:color w:val="auto"/>
                <w:sz w:val="24"/>
                <w:szCs w:val="24"/>
                <w:lang w:bidi="ar"/>
              </w:rPr>
              <w:t xml:space="preserve">分，本项最高得</w:t>
            </w:r>
            <w:r>
              <w:rPr>
                <w:rFonts w:hint="eastAsia" w:ascii="宋体" w:hAnsi="宋体" w:cs="宋体"/>
                <w:color w:val="auto"/>
                <w:sz w:val="24"/>
                <w:szCs w:val="24"/>
                <w:lang w:val="en-US" w:eastAsia="zh-CN" w:bidi="ar"/>
              </w:rPr>
              <w:t xml:space="preserve">6</w:t>
            </w:r>
            <w:r>
              <w:rPr>
                <w:rFonts w:hint="eastAsia" w:ascii="宋体" w:hAnsi="宋体" w:cs="宋体"/>
                <w:color w:val="auto"/>
                <w:sz w:val="24"/>
                <w:szCs w:val="24"/>
                <w:lang w:bidi="ar"/>
              </w:rPr>
              <w:t xml:space="preserve">分，不提供不得分。</w:t>
            </w:r>
            <w:r>
              <w:rPr>
                <w:rFonts w:hint="eastAsia" w:ascii="宋体" w:hAnsi="宋体" w:cs="宋体"/>
                <w:color w:val="auto"/>
                <w:sz w:val="24"/>
                <w:szCs w:val="24"/>
                <w:lang w:bidi="ar"/>
              </w:rPr>
              <w:br/>
            </w:r>
            <w:r>
              <w:rPr>
                <w:rFonts w:hint="eastAsia" w:ascii="宋体" w:hAnsi="宋体" w:cs="宋体"/>
                <w:b/>
                <w:bCs/>
                <w:color w:val="auto"/>
                <w:sz w:val="24"/>
                <w:szCs w:val="24"/>
                <w:lang w:bidi="ar"/>
              </w:rPr>
              <w:t xml:space="preserve">注：投标文件中需同时提供合同、验收报告扫描件并加盖投标人公章，类似业绩时间的认定以合同签订的时间为准，否则不得分。</w:t>
            </w:r>
            <w:r/>
          </w:p>
        </w:tc>
      </w:tr>
    </w:tbl>
    <w:p>
      <w:pPr>
        <w:jc w:val="left"/>
        <w:widowControl/>
        <w:rPr>
          <w:sz w:val="24"/>
          <w:szCs w:val="24"/>
        </w:rPr>
      </w:pPr>
      <w:r>
        <w:rPr>
          <w:sz w:val="24"/>
          <w:szCs w:val="24"/>
        </w:rPr>
        <w:br w:type="page" w:clear="all"/>
      </w:r>
      <w:r/>
    </w:p>
    <w:p>
      <w:pPr>
        <w:pStyle w:val="879"/>
        <w:jc w:val="center"/>
        <w:spacing w:before="156" w:after="156" w:line="360" w:lineRule="auto"/>
        <w:rPr>
          <w:rFonts w:hint="eastAsia" w:ascii="黑体" w:hAnsi="黑体" w:eastAsia="黑体"/>
          <w:b w:val="0"/>
        </w:rPr>
      </w:pPr>
      <w:r/>
      <w:bookmarkStart w:id="24" w:name="_Toc155796361"/>
      <w:r>
        <w:rPr>
          <w:rFonts w:hint="eastAsia" w:ascii="黑体" w:hAnsi="黑体" w:eastAsia="黑体"/>
          <w:b w:val="0"/>
        </w:rPr>
        <w:t xml:space="preserve">第六章  投标文件格式</w:t>
      </w:r>
      <w:bookmarkEnd w:id="24"/>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须附主要设备和主要专业技术能力的证明材料如下：</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keepLines w:val="0"/>
        <w:keepNext w:val="0"/>
        <w:pageBreakBefore w:val="0"/>
        <w:spacing w:line="420" w:lineRule="exact"/>
        <w:widowControl w:val="off"/>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pageBreakBefore w:val="0"/>
        <w:spacing w:line="240" w:lineRule="auto"/>
        <w:widowControl w:val="off"/>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pageBreakBefore w:val="0"/>
        <w:spacing w:line="240" w:lineRule="auto"/>
        <w:widowControl w:val="off"/>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u w:val="single"/>
          <w:lang w:eastAsia="zh-CN"/>
        </w:rPr>
        <w:t xml:space="preserve">（</w:t>
      </w:r>
      <w:r>
        <w:rPr>
          <w:rFonts w:hint="eastAsia" w:ascii="宋体" w:hAnsi="宋体"/>
          <w:color w:val="000000"/>
          <w:sz w:val="24"/>
          <w:szCs w:val="21"/>
          <w:u w:val="single"/>
          <w:lang w:val="en-US" w:eastAsia="zh-CN"/>
        </w:rPr>
        <w:t xml:space="preserve">采购人</w:t>
      </w:r>
      <w:r>
        <w:rPr>
          <w:rFonts w:hint="eastAsia" w:ascii="宋体" w:hAnsi="宋体"/>
          <w:color w:val="000000"/>
          <w:sz w:val="24"/>
          <w:szCs w:val="21"/>
          <w:u w:val="single"/>
          <w:lang w:eastAsia="zh-CN"/>
        </w:rPr>
        <w:t xml:space="preserve">）</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pPr>
      <w:r>
        <w:rPr>
          <w:rFonts w:hint="eastAsia" w:ascii="宋体" w:hAnsi="宋体"/>
          <w:color w:val="000000"/>
          <w:sz w:val="24"/>
          <w:szCs w:val="21"/>
        </w:rPr>
        <w:t xml:space="preserve">账        号： </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center"/>
        <w:spacing w:line="460" w:lineRule="exact"/>
        <w:rPr>
          <w:rFonts w:hint="eastAsia" w:ascii="黑体" w:hAnsi="黑体" w:eastAsia="黑体"/>
          <w:b/>
          <w:color w:val="auto"/>
          <w:sz w:val="32"/>
          <w:szCs w:val="32"/>
        </w:rPr>
      </w:pPr>
      <w:r>
        <w:rPr>
          <w:rFonts w:hint="eastAsia" w:ascii="黑体" w:hAnsi="黑体" w:eastAsia="黑体"/>
          <w:b/>
          <w:sz w:val="32"/>
          <w:szCs w:val="32"/>
        </w:rPr>
        <w:t xml:space="preserve">十一、</w:t>
      </w:r>
      <w:r>
        <w:rPr>
          <w:rFonts w:hint="eastAsia" w:ascii="黑体" w:hAnsi="黑体" w:eastAsia="黑体"/>
          <w:b/>
          <w:color w:val="auto"/>
          <w:sz w:val="32"/>
          <w:szCs w:val="32"/>
        </w:rPr>
        <w:t xml:space="preserve">中小微企业声明函（服务）（分包号：**）</w:t>
      </w:r>
      <w:r/>
    </w:p>
    <w:p>
      <w:pPr>
        <w:ind w:firstLine="360"/>
        <w:spacing w:line="560" w:lineRule="exact"/>
        <w:rPr>
          <w:rFonts w:hint="eastAsia" w:ascii="宋体" w:hAnsi="宋体"/>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u w:val="single"/>
          <w:lang w:val="en-US" w:eastAsia="zh-CN"/>
        </w:rPr>
        <w:t xml:space="preserve"> </w:t>
      </w:r>
      <w:r>
        <w:rPr>
          <w:rFonts w:hint="eastAsia" w:ascii="宋体" w:hAnsi="宋体"/>
          <w:color w:val="auto"/>
          <w:sz w:val="24"/>
          <w:szCs w:val="24"/>
          <w:u w:val="single"/>
        </w:rPr>
        <w:t xml:space="preserve">（单位名称）</w:t>
      </w:r>
      <w:r>
        <w:rPr>
          <w:rFonts w:hint="eastAsia" w:ascii="宋体" w:hAnsi="宋体"/>
          <w:color w:val="auto"/>
          <w:sz w:val="24"/>
          <w:szCs w:val="24"/>
        </w:rPr>
        <w:t xml:space="preserve">组织的采购编号为</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rFonts w:hint="eastAsia" w:ascii="宋体" w:hAnsi="宋体"/>
          <w:color w:val="auto"/>
          <w:sz w:val="24"/>
          <w:szCs w:val="24"/>
          <w:u w:val="single"/>
        </w:rPr>
        <w:t xml:space="preserve">（项目名称）（分包号：**）</w:t>
      </w:r>
      <w:r>
        <w:rPr>
          <w:rFonts w:hint="eastAsia" w:ascii="宋体" w:hAnsi="宋体"/>
          <w:color w:val="auto"/>
          <w:sz w:val="24"/>
          <w:szCs w:val="24"/>
        </w:rPr>
        <w:t xml:space="preserve">的采购活动，服务全部由符合政策的小微企业承接。根据《工业和信息化部、国家统计局</w:t>
      </w:r>
      <w:r>
        <w:rPr>
          <w:rFonts w:hint="eastAsia" w:ascii="宋体" w:hAnsi="宋体"/>
          <w:sz w:val="24"/>
          <w:szCs w:val="24"/>
        </w:rPr>
        <w:t xml:space="preserve">、国家发展和改革委员会、财政部关于印发中小企业划型标准规定的通知》(工信部联企业[2011]300号)的规定，相关企业（含联合体中的小微企业、签订分包意向协议的小微企业）的具体情况如下：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1620"/>
        <w:spacing w:line="560" w:lineRule="exact"/>
        <w:rPr>
          <w:rFonts w:hint="eastAsia" w:ascii="宋体" w:hAnsi="宋体"/>
          <w:color w:val="000000"/>
          <w:sz w:val="24"/>
          <w:szCs w:val="24"/>
        </w:rPr>
      </w:pPr>
      <w:r>
        <w:rPr>
          <w:rFonts w:hint="eastAsia" w:ascii="宋体" w:hAnsi="宋体"/>
          <w:color w:val="000000"/>
          <w:sz w:val="24"/>
          <w:szCs w:val="24"/>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r>
      <w:r/>
    </w:p>
    <w:p>
      <w:pPr>
        <w:ind w:right="480"/>
        <w:jc w:val="left"/>
        <w:spacing w:line="360" w:lineRule="auto"/>
        <w:rPr>
          <w:rFonts w:hint="eastAsia" w:ascii="宋体" w:hAnsi="宋体"/>
          <w:sz w:val="24"/>
          <w:szCs w:val="24"/>
        </w:rPr>
      </w:pPr>
      <w:r>
        <w:rPr>
          <w:rFonts w:hint="eastAsia" w:ascii="宋体" w:hAnsi="宋体"/>
          <w:sz w:val="24"/>
          <w:szCs w:val="24"/>
        </w:rPr>
        <w:t xml:space="preserve">填报说明：</w:t>
      </w:r>
      <w:r/>
    </w:p>
    <w:p>
      <w:pPr>
        <w:ind w:firstLine="480"/>
        <w:jc w:val="left"/>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rPr>
        <w:t xml:space="preserve">3、本项目属性为服务，声明函中不对其中涉及的货物的承接商作出要求。</w:t>
      </w:r>
      <w:r/>
    </w:p>
    <w:p>
      <w:pPr>
        <w:ind w:firstLine="480"/>
        <w:jc w:val="left"/>
        <w:spacing w:line="360" w:lineRule="auto"/>
        <w:rPr>
          <w:rFonts w:hint="eastAsia" w:ascii="宋体" w:hAnsi="宋体"/>
          <w:sz w:val="24"/>
          <w:szCs w:val="24"/>
        </w:rPr>
      </w:pPr>
      <w:r>
        <w:rPr>
          <w:rFonts w:hint="eastAsia" w:ascii="宋体" w:hAnsi="宋体"/>
          <w:sz w:val="24"/>
          <w:szCs w:val="24"/>
        </w:rPr>
        <w:t xml:space="preserve">4、中标人的《中小微企业声明函》随中标结果公开，接受社会监督。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hint="eastAsia"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，分包号：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right="1620" w:firstLine="2880"/>
        <w:spacing w:line="560" w:lineRule="exact"/>
        <w:rPr>
          <w:rFonts w:hint="eastAsia"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hint="eastAsia"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ind w:firstLine="480"/>
        <w:spacing w:line="500" w:lineRule="exact"/>
        <w:rPr>
          <w:rFonts w:hint="eastAsia" w:ascii="宋体" w:hAnsi="宋体"/>
          <w:color w:val="000000"/>
          <w:sz w:val="24"/>
          <w:szCs w:val="21"/>
        </w:rPr>
      </w:pPr>
      <w:r>
        <w:rPr>
          <w:rFonts w:hint="eastAsia" w:ascii="宋体" w:hAnsi="宋体"/>
          <w:color w:val="000000"/>
          <w:sz w:val="24"/>
          <w:szCs w:val="21"/>
        </w:rPr>
      </w:r>
      <w:r/>
    </w:p>
    <w:p>
      <w:pPr>
        <w:ind w:firstLine="420"/>
        <w:spacing w:line="500" w:lineRule="exact"/>
      </w:pPr>
      <w:r/>
      <w:r/>
    </w:p>
    <w:p>
      <w:pPr>
        <w:pStyle w:val="923"/>
      </w:pPr>
      <w:r/>
      <w:r/>
    </w:p>
    <w:p>
      <w:pPr>
        <w:pStyle w:val="923"/>
      </w:pPr>
      <w:r/>
      <w:r/>
    </w:p>
    <w:p>
      <w:pPr>
        <w:pStyle w:val="923"/>
      </w:pPr>
      <w:r/>
      <w:r/>
    </w:p>
    <w:p>
      <w:pPr>
        <w:jc w:val="left"/>
        <w:keepLines/>
        <w:keepNext/>
        <w:pageBreakBefore w:val="0"/>
        <w:spacing w:line="360" w:lineRule="auto"/>
        <w:widowControl w:val="off"/>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p>
    <w:p>
      <w:pPr>
        <w:jc w:val="center"/>
        <w:pageBreakBefore w:val="0"/>
        <w:spacing w:line="360" w:lineRule="auto"/>
        <w:widowControl w:val="off"/>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pageBreakBefore w:val="0"/>
        <w:spacing w:line="360" w:lineRule="auto"/>
        <w:widowControl w:val="off"/>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right"/>
        <w:spacing w:line="360" w:lineRule="auto"/>
        <w:rPr>
          <w:rFonts w:hint="eastAsia" w:ascii="宋体" w:hAnsi="宋体"/>
          <w:color w:val="000000"/>
          <w:szCs w:val="24"/>
        </w:rPr>
      </w:pPr>
      <w:r>
        <w:rPr>
          <w:rFonts w:hint="eastAsia" w:ascii="宋体" w:hAnsi="宋体"/>
          <w:color w:val="000000"/>
          <w:szCs w:val="24"/>
        </w:rPr>
        <w:t xml:space="preserve">单位：元</w:t>
      </w:r>
      <w:r/>
    </w:p>
    <w:tbl>
      <w:tblPr>
        <w:tblStyle w:val="70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36"/>
        <w:gridCol w:w="3369"/>
        <w:gridCol w:w="1115"/>
        <w:gridCol w:w="728"/>
        <w:gridCol w:w="1014"/>
        <w:gridCol w:w="1360"/>
      </w:tblGrid>
      <w:tr>
        <w:trPr>
          <w:trHeight w:val="624"/>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产品、服务（标的）名称</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2"/>
                <w:szCs w:val="22"/>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2"/>
                <w:szCs w:val="22"/>
                <w:highlight w:val="none"/>
              </w:rPr>
              <w:t xml:space="preserve">单项合计价</w:t>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硬件设备购置</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b/>
                <w:bCs/>
                <w:color w:val="000000"/>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b/>
                <w:bCs/>
                <w:color w:val="000000"/>
                <w:sz w:val="24"/>
                <w:szCs w:val="24"/>
                <w:highlight w:val="none"/>
              </w:rPr>
              <w:t xml:space="preserve">排水专项</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1.1.1</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液位计</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1.1.2</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电子水尺</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37</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1.1.3</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视频监控</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35</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b/>
                <w:bCs/>
                <w:color w:val="000000"/>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b/>
                <w:bCs/>
                <w:color w:val="000000"/>
                <w:sz w:val="24"/>
                <w:szCs w:val="24"/>
                <w:highlight w:val="none"/>
              </w:rPr>
              <w:t xml:space="preserve">道路专项</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1.2.1</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Cs w:val="21"/>
                <w:highlight w:val="none"/>
              </w:rPr>
              <w:t xml:space="preserve">三维地质探地雷达车载（检测/两车道）</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道路公里</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35</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b/>
                <w:bCs/>
                <w:color w:val="000000"/>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b/>
                <w:bCs/>
                <w:color w:val="000000"/>
                <w:sz w:val="24"/>
                <w:szCs w:val="24"/>
                <w:highlight w:val="none"/>
              </w:rPr>
              <w:t xml:space="preserve">桥梁专项</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1.3.1</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温湿度计</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1.3.2</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振弦式应变计（带温度）</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31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1.3.3</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光电挠度仪</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445"/>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1.3.4</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位移计</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1.3.5</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倾角仪</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1.3.6</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磁通量传感器</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1.3.7</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加速度传感器</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1.3.8</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裂缝计</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1.3.9</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高清球机</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1.3.10</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综合采集仪</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1.3.11</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振弦智能采集终端</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1.3.12</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磁弹仪</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1.3.13</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加速度信号调理仪</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1.3.14</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工控机</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1.3.15</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USB电源</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Theme="minorEastAsia" w:hAnsiTheme="minorEastAsia" w:cstheme="minorEastAsia"/>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1.3.16</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网络交换机</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1.3.17</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光纤收发器</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1.3.18</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串口服务器</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1.3.19</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机柜</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1.3.20</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硬盘录像机及硬盘</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Theme="minorEastAsia" w:hAnsiTheme="minorEastAsia" w:cstheme="minorEastAsia"/>
                <w:color w:val="000000"/>
                <w:sz w:val="24"/>
                <w:szCs w:val="24"/>
                <w:highlight w:val="none"/>
              </w:rPr>
            </w:pPr>
            <w:r>
              <w:rPr>
                <w:rFonts w:hint="eastAsia" w:asciiTheme="minorEastAsia" w:hAnsiTheme="minorEastAsia" w:cstheme="minorEastAsia"/>
                <w:color w:val="000000"/>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网络链路费</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数据治理</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数据资源梳理</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业务数据需求梳理</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数据来源梳理</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2.1.3</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数据资源核对</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2.1.4</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数据资源梳理成果</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2.1.5</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数据资源目录</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数据建库及现有系统汇聚</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归集库建设</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2.2.2</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主题库建设</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2.2.3</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专题库建设</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2.2.4</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前置库实施</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2.2.5</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前置库维护</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2.2.6</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县级现有系统汇聚实施</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数据治理</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2.3.1</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库表数据开发实施</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消息数据开发实施</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2.3.3</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数据资产管理实施</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数据接入</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2.4.1</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库表接入</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文件接入</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2.4.3</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消息接入</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2.4.4</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离线拷贝接入</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2.4.5</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视频流接入</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2.5</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数据实施监控</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数据汇聚实施监控</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数据开发实施监控</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2.5.3</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数据资产管理实施监控</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2.5.4</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数据服务封装实施监控</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数据脱敏脱密</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数据脱敏脱密</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市级监管平台适配要求</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大屏适配</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统一门户适配</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综合应用适配</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燃气爆炸专项适配</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4.5</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供水专项适配</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4.6</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排水防涝专项适配</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4.7</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地下管线专项适配</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4.8</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道路专项适配</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4.9</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桥梁专项适配</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4.10 </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第三方破坏专项适配</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4.11</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防震专项适配</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cs="宋体"/>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现有系统对接</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1977" w:type="pct"/>
            <w:vAlign w:val="center"/>
            <w:textDirection w:val="lrTb"/>
            <w:noWrap w:val="false"/>
          </w:tcPr>
          <w:p>
            <w:pPr>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政务云资源</w:t>
            </w:r>
            <w:r/>
          </w:p>
        </w:tc>
        <w:tc>
          <w:tcPr>
            <w:tcBorders>
              <w:top w:val="single" w:color="000000" w:sz="4" w:space="0"/>
              <w:left w:val="single" w:color="000000" w:sz="4" w:space="0"/>
              <w:bottom w:val="single" w:color="000000" w:sz="4" w:space="0"/>
              <w:right w:val="single" w:color="000000" w:sz="4" w:space="0"/>
            </w:tcBorders>
            <w:tcW w:w="654"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项</w:t>
            </w:r>
            <w:r/>
          </w:p>
        </w:tc>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sz w:val="24"/>
                <w:szCs w:val="24"/>
                <w:highlight w:val="none"/>
              </w:rPr>
            </w:pPr>
            <w:r>
              <w:rPr>
                <w:rFonts w:hint="eastAsia" w:ascii="宋体" w:hAnsi="宋体"/>
                <w:sz w:val="24"/>
                <w:szCs w:val="24"/>
                <w:highlight w:val="none"/>
              </w:rPr>
            </w:r>
            <w:r/>
          </w:p>
        </w:tc>
      </w:tr>
      <w:tr>
        <w:trPr>
          <w:trHeight w:val="312"/>
        </w:trPr>
        <w:tc>
          <w:tcPr>
            <w:gridSpan w:val="5"/>
            <w:tcBorders>
              <w:top w:val="single" w:color="000000" w:sz="4" w:space="0"/>
              <w:left w:val="single" w:color="000000" w:sz="4" w:space="0"/>
              <w:bottom w:val="single" w:color="000000" w:sz="4" w:space="0"/>
              <w:right w:val="single" w:color="000000" w:sz="4" w:space="0"/>
            </w:tcBorders>
            <w:tcW w:w="4202" w:type="pct"/>
            <w:vAlign w:val="center"/>
            <w:textDirection w:val="lrTb"/>
            <w:noWrap w:val="false"/>
          </w:tcPr>
          <w:p>
            <w:pPr>
              <w:jc w:val="left"/>
              <w:spacing w:line="360" w:lineRule="auto"/>
              <w:widowControl/>
              <w:rPr>
                <w:highlight w:val="none"/>
              </w:rPr>
            </w:pPr>
            <w:r>
              <w:rPr>
                <w:rFonts w:hint="eastAsia" w:ascii="宋体" w:hAnsi="宋体" w:cs="宋体"/>
                <w:color w:val="000000"/>
                <w:sz w:val="24"/>
                <w:szCs w:val="24"/>
                <w:highlight w:val="none"/>
              </w:rPr>
              <w:t xml:space="preserve">总计（元）</w:t>
            </w:r>
            <w:r/>
          </w:p>
        </w:tc>
        <w:tc>
          <w:tcPr>
            <w:tcBorders>
              <w:top w:val="single" w:color="000000" w:sz="4" w:space="0"/>
              <w:left w:val="single" w:color="000000" w:sz="4" w:space="0"/>
              <w:bottom w:val="single" w:color="000000" w:sz="4" w:space="0"/>
              <w:right w:val="single" w:color="000000" w:sz="4" w:space="0"/>
            </w:tcBorders>
            <w:tcW w:w="797" w:type="pct"/>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12"/>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240" w:lineRule="auto"/>
              <w:widowControl/>
              <w:rPr>
                <w:rFonts w:hint="eastAsia" w:ascii="宋体" w:hAnsi="宋体" w:cs="宋体"/>
                <w:color w:val="000000"/>
                <w:sz w:val="24"/>
                <w:szCs w:val="24"/>
                <w:highlight w:val="none"/>
              </w:rPr>
            </w:pPr>
            <w:r>
              <w:rPr>
                <w:rFonts w:hint="eastAsia" w:ascii="方正魏碑_GBK" w:hAnsi="方正魏碑_GBK" w:eastAsia="方正魏碑_GBK" w:cs="方正魏碑_GBK"/>
                <w:color w:val="ff0000"/>
                <w:sz w:val="24"/>
                <w:szCs w:val="24"/>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highlight w:val="none"/>
                <w:u w:val="single"/>
                <w:lang w:val="en-US" w:eastAsia="zh-CN"/>
              </w:rPr>
              <w:t xml:space="preserve">     </w:t>
            </w:r>
            <w:r>
              <w:rPr>
                <w:rFonts w:hint="eastAsia" w:ascii="方正魏碑_GBK" w:hAnsi="方正魏碑_GBK" w:eastAsia="方正魏碑_GBK" w:cs="方正魏碑_GBK"/>
                <w:color w:val="ff0000"/>
                <w:sz w:val="24"/>
                <w:szCs w:val="24"/>
                <w:highlight w:val="none"/>
              </w:rPr>
              <w:t xml:space="preserve">%。</w:t>
            </w:r>
            <w:r/>
          </w:p>
        </w:tc>
      </w:tr>
    </w:tbl>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t xml:space="preserve">日期：    年     月     日</w:t>
      </w:r>
      <w:r/>
    </w:p>
    <w:p>
      <w:pPr>
        <w:spacing w:line="400" w:lineRule="exact"/>
        <w:rPr>
          <w:rFonts w:hint="eastAsia" w:ascii="宋体" w:hAnsi="宋体" w:eastAsia="宋体" w:cs="Times New Roman"/>
          <w:sz w:val="24"/>
          <w:szCs w:val="21"/>
          <w:lang w:val="en-US" w:eastAsia="zh-CN"/>
        </w:rPr>
      </w:pPr>
      <w:r>
        <w:rPr>
          <w:rFonts w:hint="eastAsia" w:ascii="宋体" w:hAnsi="宋体"/>
          <w:sz w:val="24"/>
          <w:szCs w:val="21"/>
          <w:lang w:val="en-US" w:eastAsia="zh-CN"/>
        </w:rPr>
        <w:t xml:space="preserve">1</w:t>
      </w:r>
      <w:r>
        <w:rPr>
          <w:rFonts w:hint="eastAsia" w:ascii="宋体" w:hAnsi="宋体"/>
          <w:sz w:val="24"/>
          <w:szCs w:val="21"/>
        </w:rPr>
        <w:t xml:space="preserve">.</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w:t>
      </w:r>
      <w:r>
        <w:rPr>
          <w:rFonts w:hint="eastAsia" w:ascii="宋体" w:hAnsi="宋体" w:eastAsia="宋体" w:cs="Times New Roman"/>
          <w:sz w:val="24"/>
          <w:szCs w:val="21"/>
          <w:lang w:val="en-US" w:eastAsia="zh-CN"/>
        </w:rPr>
        <w:t xml:space="preserve">总报价”数额一致。</w:t>
      </w:r>
      <w:r/>
    </w:p>
    <w:p>
      <w:pPr>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3.投标人需认真填写本报价表，尤其注意规格型号的准确填写。</w:t>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pPr>
        <w:jc w:val="left"/>
        <w:keepLines/>
        <w:keepNext/>
        <w:spacing w:before="360" w:after="200" w:line="360" w:lineRule="auto"/>
        <w:rPr>
          <w:rFonts w:ascii="Arial" w:hAnsi="Arial" w:cs="Arial"/>
          <w:i/>
          <w:iCs/>
          <w:sz w:val="36"/>
          <w:u w:val="single"/>
        </w:rPr>
        <w:outlineLvl w:val="1"/>
      </w:pPr>
      <w:r/>
      <w:bookmarkStart w:id="25" w:name="_Hlt26955054"/>
      <w:r/>
      <w:bookmarkEnd w:id="25"/>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26" w:name="_Hlt26609391"/>
            <w:r/>
            <w:bookmarkEnd w:id="26"/>
            <w:r/>
            <w:bookmarkStart w:id="27" w:name="_Hlt24879081"/>
            <w:r/>
            <w:bookmarkEnd w:id="27"/>
            <w:r/>
            <w:bookmarkStart w:id="28" w:name="_Hlt26580838"/>
            <w:r/>
            <w:bookmarkEnd w:id="28"/>
            <w:r/>
            <w:bookmarkStart w:id="29" w:name="_Hlt26955056"/>
            <w:r/>
            <w:bookmarkEnd w:id="29"/>
            <w:r/>
            <w:bookmarkStart w:id="30" w:name="_Hlt26671372"/>
            <w:r/>
            <w:bookmarkEnd w:id="30"/>
            <w:r/>
            <w:bookmarkStart w:id="31" w:name="_Hlt26671343"/>
            <w:r/>
            <w:bookmarkEnd w:id="31"/>
            <w:r/>
            <w:bookmarkStart w:id="32" w:name="_Hlt26955064"/>
            <w:r/>
            <w:bookmarkEnd w:id="32"/>
            <w:r/>
            <w:bookmarkStart w:id="33" w:name="_Hlt26782999"/>
            <w:r/>
            <w:bookmarkEnd w:id="33"/>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34" w:name="_格式2__法定代表人授权书"/>
      <w:r/>
      <w:bookmarkEnd w:id="34"/>
      <w:r/>
      <w:bookmarkStart w:id="35" w:name="_Hlt26955066"/>
      <w:r/>
      <w:bookmarkEnd w:id="35"/>
      <w:r/>
      <w:bookmarkStart w:id="36" w:name="_Hlt26671374"/>
      <w:r/>
      <w:bookmarkEnd w:id="36"/>
      <w:r/>
      <w:bookmarkStart w:id="37" w:name="_Hlt26609389"/>
      <w:r/>
      <w:bookmarkEnd w:id="37"/>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六</w:t>
      </w:r>
      <w:r>
        <w:rPr>
          <w:rFonts w:hint="eastAsia" w:ascii="Arial" w:hAnsi="Arial" w:cs="Arial"/>
          <w:iCs/>
          <w:sz w:val="36"/>
        </w:rPr>
        <w:t xml:space="preserve">、类似项目业绩一览表（分包号：**）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pPr>
        <w:jc w:val="left"/>
        <w:keepLines/>
        <w:keepNext/>
        <w:spacing w:before="360" w:after="200" w:line="360" w:lineRule="auto"/>
        <w:rPr>
          <w:rFonts w:ascii="方正魏碑_GBK" w:hAnsi="方正魏碑_GBK" w:eastAsia="方正魏碑_GBK" w:cs="方正魏碑_GBK"/>
          <w:color w:val="ff0000"/>
        </w:rPr>
        <w:outlineLvl w:val="1"/>
      </w:pPr>
      <w:r>
        <w:rPr>
          <w:rFonts w:hint="eastAsia" w:ascii="Arial" w:hAnsi="Arial" w:eastAsia="宋体" w:cs="Arial"/>
          <w:iCs/>
          <w:sz w:val="36"/>
          <w:lang w:val="en-US" w:eastAsia="zh-CN"/>
        </w:rPr>
        <w:t xml:space="preserve">十</w:t>
      </w:r>
      <w:r>
        <w:rPr>
          <w:rFonts w:hint="eastAsia" w:ascii="Arial" w:hAnsi="Arial" w:cs="Arial"/>
          <w:iCs/>
          <w:sz w:val="36"/>
          <w:lang w:val="en-US" w:eastAsia="zh-CN"/>
        </w:rPr>
        <w:t xml:space="preserve">八</w:t>
      </w:r>
      <w:r>
        <w:rPr>
          <w:rFonts w:hint="eastAsia" w:ascii="Arial" w:hAnsi="Arial" w:eastAsia="宋体" w:cs="Arial"/>
          <w:iCs/>
          <w:sz w:val="36"/>
          <w:lang w:val="en-US" w:eastAsia="zh-CN"/>
        </w:rPr>
        <w:t xml:space="preserve">、</w:t>
      </w:r>
      <w:r>
        <w:rPr>
          <w:rFonts w:hint="eastAsia" w:ascii="Arial" w:hAnsi="Arial" w:eastAsia="宋体" w:cs="Arial"/>
          <w:iCs/>
          <w:sz w:val="36"/>
        </w:rPr>
        <w:t xml:space="preserve">关于符合本国产品标准的声明函（采购包号：**）</w:t>
      </w:r>
      <w:r/>
    </w:p>
    <w:p>
      <w:pPr>
        <w:pStyle w:val="723"/>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w:t>
      </w:r>
      <w:r>
        <w:rPr>
          <w:rFonts w:hint="eastAsia" w:ascii="方正魏碑_GBK" w:hAnsi="方正魏碑_GBK" w:eastAsia="方正魏碑_GBK" w:cs="方正魏碑_GBK"/>
          <w:color w:val="ff0000"/>
          <w:u w:val="single"/>
        </w:rPr>
        <w:t xml:space="preserve">（单位）</w:t>
      </w:r>
      <w:r>
        <w:rPr>
          <w:rFonts w:hint="eastAsia" w:ascii="方正魏碑_GBK" w:hAnsi="方正魏碑_GBK" w:eastAsia="方正魏碑_GBK" w:cs="方正魏碑_GBK"/>
          <w:color w:val="ff0000"/>
        </w:rPr>
        <w:t xml:space="preserve">郑重声明，根据《国务院办公厅关于在政府采购中实施本国产品标准及相关政策的通知》（国办发〔2025〕34号）的规定，本公司（单位）提供的以下产品属于本国产品。具体情况如下：</w:t>
      </w:r>
      <w:r/>
    </w:p>
    <w:p>
      <w:pPr>
        <w:pStyle w:val="72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225584</wp:posOffset>
                </wp:positionV>
                <wp:extent cx="816610" cy="76200"/>
                <wp:effectExtent l="635" t="4445" r="1905" b="14604"/>
                <wp:wrapNone/>
                <wp:docPr id="1"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59264;o:allowoverlap:true;o:allowincell:true;mso-position-horizontal-relative:text;margin-left:218.3pt;mso-position-horizontal:absolute;mso-position-vertical-relative:text;margin-top:17.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44053</wp:posOffset>
                </wp:positionH>
                <wp:positionV relativeFrom="paragraph">
                  <wp:posOffset>392509</wp:posOffset>
                </wp:positionV>
                <wp:extent cx="565785" cy="130810"/>
                <wp:effectExtent l="1270" t="4445" r="4445" b="17145"/>
                <wp:wrapNone/>
                <wp:docPr id="2" name="直接箭头连接符 1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70528;o:allowoverlap:true;o:allowincell:true;mso-position-horizontal-relative:text;margin-left:3.5pt;mso-position-horizontal:absolute;mso-position-vertical-relative:text;margin-top:30.9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5095557</wp:posOffset>
                </wp:positionH>
                <wp:positionV relativeFrom="paragraph">
                  <wp:posOffset>220583</wp:posOffset>
                </wp:positionV>
                <wp:extent cx="196215" cy="97790"/>
                <wp:effectExtent l="1905" t="4445" r="11430" b="12065"/>
                <wp:wrapNone/>
                <wp:docPr id="3" name="直接箭头连接符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9504;o:allowoverlap:true;o:allowincell:true;mso-position-horizontal-relative:text;margin-left:401.2pt;mso-position-horizontal:absolute;mso-position-vertical-relative:text;margin-top:17.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-30321</wp:posOffset>
                </wp:positionH>
                <wp:positionV relativeFrom="paragraph">
                  <wp:posOffset>220583</wp:posOffset>
                </wp:positionV>
                <wp:extent cx="364490" cy="97790"/>
                <wp:effectExtent l="1270" t="4445" r="1524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4pt;mso-position-horizontal:absolute;mso-position-vertical-relative:text;margin-top:17.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373142</wp:posOffset>
                </wp:positionV>
                <wp:extent cx="876300" cy="120015"/>
                <wp:effectExtent l="635" t="4445" r="18415" b="8890"/>
                <wp:wrapNone/>
                <wp:docPr id="6"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29.4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728"/>
          <w:rFonts w:hint="eastAsia" w:ascii="方正魏碑_GBK" w:hAnsi="方正魏碑_GBK" w:eastAsia="方正魏碑_GBK" w:cs="方正魏碑_GBK"/>
          <w:i w:val="0"/>
          <w:color w:val="ff0000"/>
          <w:u w:val="single"/>
          <w:shd w:val="clear" w:color="auto" w:fill="ffffff"/>
        </w:rPr>
        <w:t xml:space="preserve">（产品名称1）</w:t>
      </w:r>
      <w:r>
        <w:rPr>
          <w:rStyle w:val="728"/>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728"/>
          <w:rFonts w:hint="eastAsia" w:ascii="方正魏碑_GBK" w:hAnsi="方正魏碑_GBK" w:eastAsia="方正魏碑_GBK" w:cs="方正魏碑_GBK"/>
          <w:i w:val="0"/>
          <w:color w:val="ff0000"/>
          <w:u w:val="single"/>
          <w:shd w:val="clear" w:color="auto" w:fill="ffffff"/>
        </w:rPr>
        <w:t xml:space="preserve">（厂名）</w:t>
      </w:r>
      <w:r>
        <w:rPr>
          <w:rStyle w:val="728"/>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728"/>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728"/>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728"/>
          <w:rFonts w:hint="eastAsia" w:ascii="方正魏碑_GBK" w:hAnsi="方正魏碑_GBK" w:eastAsia="方正魏碑_GBK" w:cs="方正魏碑_GBK"/>
          <w:i w:val="0"/>
          <w:color w:val="ff0000"/>
          <w:u w:val="single"/>
          <w:shd w:val="clear" w:color="auto" w:fill="ffffff"/>
        </w:rPr>
        <w:t xml:space="preserve">（规定</w:t>
      </w:r>
      <w:r>
        <w:rPr>
          <w:rStyle w:val="728"/>
          <w:rFonts w:ascii="方正魏碑_GBK" w:hAnsi="方正魏碑_GBK" w:eastAsia="方正魏碑_GBK" w:cs="方正魏碑_GBK"/>
          <w:i w:val="0"/>
          <w:color w:val="ff0000"/>
          <w:u w:val="single"/>
          <w:shd w:val="clear" w:color="auto" w:fill="ffffff"/>
        </w:rPr>
        <w:t xml:space="preserve">比例</w:t>
      </w:r>
      <w:r>
        <w:rPr>
          <w:rStyle w:val="728"/>
          <w:rFonts w:hint="eastAsia" w:ascii="方正魏碑_GBK" w:hAnsi="方正魏碑_GBK" w:eastAsia="方正魏碑_GBK" w:cs="方正魏碑_GBK"/>
          <w:i w:val="0"/>
          <w:color w:val="ff0000"/>
          <w:u w:val="single"/>
          <w:shd w:val="clear" w:color="auto" w:fill="ffffff"/>
        </w:rPr>
        <w:t xml:space="preserve">）</w:t>
      </w:r>
      <w:r>
        <w:rPr>
          <w:rStyle w:val="728"/>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728"/>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8"/>
          <w:rFonts w:hint="eastAsia" w:ascii="方正魏碑_GBK" w:hAnsi="方正魏碑_GBK" w:eastAsia="方正魏碑_GBK" w:cs="方正魏碑_GBK"/>
          <w:i w:val="0"/>
          <w:color w:val="ff0000"/>
          <w:u w:val="single"/>
          <w:shd w:val="clear" w:color="auto" w:fill="ffffff"/>
        </w:rPr>
        <w:t xml:space="preserve">（关键</w:t>
      </w:r>
      <w:r>
        <w:rPr>
          <w:rStyle w:val="728"/>
          <w:rFonts w:ascii="方正魏碑_GBK" w:hAnsi="方正魏碑_GBK" w:eastAsia="方正魏碑_GBK" w:cs="方正魏碑_GBK"/>
          <w:i w:val="0"/>
          <w:color w:val="ff0000"/>
          <w:u w:val="single"/>
          <w:shd w:val="clear" w:color="auto" w:fill="ffffff"/>
        </w:rPr>
        <w:t xml:space="preserve">组件</w:t>
      </w:r>
      <w:r>
        <w:rPr>
          <w:rStyle w:val="728"/>
          <w:rFonts w:hint="eastAsia" w:ascii="方正魏碑_GBK" w:hAnsi="方正魏碑_GBK" w:eastAsia="方正魏碑_GBK" w:cs="方正魏碑_GBK"/>
          <w:i w:val="0"/>
          <w:color w:val="ff0000"/>
          <w:u w:val="single"/>
          <w:shd w:val="clear" w:color="auto" w:fill="ffffff"/>
        </w:rPr>
        <w:t xml:space="preserve">）</w:t>
      </w:r>
      <w:r>
        <w:rPr>
          <w:rStyle w:val="728"/>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728"/>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8"/>
          <w:rFonts w:hint="eastAsia" w:ascii="方正魏碑_GBK" w:hAnsi="方正魏碑_GBK" w:eastAsia="方正魏碑_GBK" w:cs="方正魏碑_GBK"/>
          <w:i w:val="0"/>
          <w:color w:val="ff0000"/>
          <w:u w:val="single"/>
          <w:shd w:val="clear" w:color="auto" w:fill="ffffff"/>
        </w:rPr>
        <w:t xml:space="preserve">（关键工序）</w:t>
      </w:r>
      <w:r>
        <w:rPr>
          <w:rStyle w:val="728"/>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2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3407251</wp:posOffset>
                </wp:positionH>
                <wp:positionV relativeFrom="paragraph">
                  <wp:posOffset>6871</wp:posOffset>
                </wp:positionV>
                <wp:extent cx="816610" cy="147320"/>
                <wp:effectExtent l="635" t="4445" r="1905" b="1968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09" cy="147318"/>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268.3pt;mso-position-horizontal:absolute;mso-position-vertical-relative:text;margin-top:0.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245110</wp:posOffset>
                </wp:positionV>
                <wp:extent cx="843915" cy="125730"/>
                <wp:effectExtent l="635" t="4445" r="12700" b="2222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843914"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201.1pt;mso-position-horizontal:absolute;mso-position-vertical-relative:text;margin-top:19.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152717</wp:posOffset>
                </wp:positionV>
                <wp:extent cx="462280" cy="147320"/>
                <wp:effectExtent l="1270" t="4445" r="12700" b="19685"/>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3600;o:allowoverlap:true;o:allowincell:true;mso-position-horizontal-relative:text;margin-left:376.4pt;mso-position-horizontal:absolute;mso-position-vertical-relative:text;margin-top:12.0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362982</wp:posOffset>
                </wp:positionV>
                <wp:extent cx="424815" cy="112395"/>
                <wp:effectExtent l="1270" t="4445" r="12065" b="16510"/>
                <wp:wrapNone/>
                <wp:docPr id="11" name="直接箭头连接符 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1.0pt;mso-position-horizontal:absolute;mso-position-vertical-relative:text;margin-top:28.6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228758</wp:posOffset>
                </wp:positionV>
                <wp:extent cx="234315" cy="86995"/>
                <wp:effectExtent l="1905" t="4445" r="11430" b="22860"/>
                <wp:wrapNone/>
                <wp:docPr id="12"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2576;o:allowoverlap:true;o:allowincell:true;mso-position-horizontal-relative:text;margin-left:-2.0pt;mso-position-horizontal:absolute;mso-position-vertical-relative:text;margin-top:18.0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393938</wp:posOffset>
                </wp:positionV>
                <wp:extent cx="908685" cy="140970"/>
                <wp:effectExtent l="635" t="4445" r="5080" b="6985"/>
                <wp:wrapNone/>
                <wp:docPr id="14"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4384;o:allowoverlap:true;o:allowincell:true;mso-position-horizontal-relative:text;margin-left:136.5pt;mso-position-horizontal:absolute;mso-position-vertical-relative:text;margin-top:31.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422513</wp:posOffset>
                </wp:positionV>
                <wp:extent cx="821690" cy="102870"/>
                <wp:effectExtent l="635" t="4445" r="15875" b="698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229.4pt;mso-position-horizontal:absolute;mso-position-vertical-relative:text;margin-top:33.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6"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728"/>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728"/>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728"/>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728"/>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728"/>
          <w:rFonts w:hint="eastAsia" w:ascii="方正魏碑_GBK" w:hAnsi="方正魏碑_GBK" w:eastAsia="方正魏碑_GBK" w:cs="方正魏碑_GBK"/>
          <w:i w:val="0"/>
          <w:color w:val="ff0000"/>
          <w:u w:val="single"/>
          <w:shd w:val="clear" w:color="auto" w:fill="ffffff"/>
        </w:rPr>
        <w:t xml:space="preserve">（规定</w:t>
      </w:r>
      <w:r>
        <w:rPr>
          <w:rStyle w:val="728"/>
          <w:rFonts w:ascii="方正魏碑_GBK" w:hAnsi="方正魏碑_GBK" w:eastAsia="方正魏碑_GBK" w:cs="方正魏碑_GBK"/>
          <w:i w:val="0"/>
          <w:color w:val="ff0000"/>
          <w:u w:val="single"/>
          <w:shd w:val="clear" w:color="auto" w:fill="ffffff"/>
        </w:rPr>
        <w:t xml:space="preserve">比例</w:t>
      </w:r>
      <w:r>
        <w:rPr>
          <w:rStyle w:val="728"/>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728"/>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728"/>
          <w:rFonts w:hint="eastAsia" w:ascii="方正魏碑_GBK" w:hAnsi="方正魏碑_GBK" w:eastAsia="方正魏碑_GBK" w:cs="方正魏碑_GBK"/>
          <w:i w:val="0"/>
          <w:color w:val="ff0000"/>
          <w:u w:val="single"/>
          <w:shd w:val="clear" w:color="auto" w:fill="ffffff"/>
        </w:rPr>
        <w:t xml:space="preserve">（关键</w:t>
      </w:r>
      <w:r>
        <w:rPr>
          <w:rStyle w:val="728"/>
          <w:rFonts w:ascii="方正魏碑_GBK" w:hAnsi="方正魏碑_GBK" w:eastAsia="方正魏碑_GBK" w:cs="方正魏碑_GBK"/>
          <w:i w:val="0"/>
          <w:color w:val="ff0000"/>
          <w:u w:val="single"/>
          <w:shd w:val="clear" w:color="auto" w:fill="ffffff"/>
        </w:rPr>
        <w:t xml:space="preserve">组件</w:t>
      </w:r>
      <w:r>
        <w:rPr>
          <w:rStyle w:val="728"/>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728"/>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8"/>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2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23"/>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23"/>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23"/>
        <w:ind w:right="480" w:firstLine="3720"/>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w:t>
      </w:r>
      <w:r/>
    </w:p>
    <w:p>
      <w:pPr>
        <w:pStyle w:val="723"/>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2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2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2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23"/>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23"/>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23"/>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r/>
      <w:r/>
    </w:p>
    <w:p>
      <w:pPr>
        <w:jc w:val="left"/>
        <w:keepLines/>
        <w:keepNext/>
        <w:pageBreakBefore w:val="0"/>
        <w:spacing w:before="20" w:after="200" w:line="360" w:lineRule="auto"/>
        <w:widowControl w:val="off"/>
        <w:rPr>
          <w:rFonts w:ascii="Arial" w:hAnsi="Arial" w:cs="Arial"/>
          <w:i/>
          <w:sz w:val="36"/>
          <w:u w:val="single"/>
        </w:rPr>
        <w:outlineLvl w:val="1"/>
      </w:pPr>
      <w:r>
        <w:rPr>
          <w:rFonts w:hint="eastAsia" w:ascii="Arial" w:hAnsi="Arial" w:cs="Arial"/>
          <w:i/>
          <w:sz w:val="36"/>
          <w:u w:val="single"/>
          <w:lang w:val="en-US" w:eastAsia="zh-CN"/>
        </w:rPr>
        <w:t xml:space="preserve">十九</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textDirection w:val="lrTb"/>
            <w:noWrap w:val="false"/>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MS Mincho">
    <w:panose1 w:val="02020603050405090304"/>
  </w:font>
  <w:font w:name="方正仿宋_GBK">
    <w:panose1 w:val="020B0503020202020204"/>
  </w:font>
  <w:font w:name="Cambria">
    <w:panose1 w:val="02040503050406030204"/>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center"/>
    </w:pPr>
    <w:r>
      <w:fldChar w:fldCharType="begin"/>
    </w:r>
    <w:r>
      <w:instrText xml:space="preserve"> PAGE   \* MERGEFORMAT </w:instrText>
    </w:r>
    <w:r>
      <w:fldChar w:fldCharType="separate"/>
    </w:r>
    <w:r>
      <w:rPr>
        <w:lang w:val="zh-CN"/>
      </w:rPr>
      <w:t xml:space="preserve">41</w:t>
    </w:r>
    <w:r>
      <w:rPr>
        <w:lang w:val="zh-CN"/>
      </w:rPr>
      <w:fldChar w:fldCharType="end"/>
    </w:r>
    <w:r/>
  </w:p>
  <w:p>
    <w:pPr>
      <w:pStyle w:val="8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6">
    <w:name w:val="Heading 1 Char"/>
    <w:basedOn w:val="703"/>
    <w:link w:val="694"/>
    <w:uiPriority w:val="9"/>
    <w:rPr>
      <w:rFonts w:ascii="Arial" w:hAnsi="Arial" w:eastAsia="Arial" w:cs="Arial"/>
      <w:sz w:val="40"/>
      <w:szCs w:val="40"/>
    </w:rPr>
  </w:style>
  <w:style w:type="character" w:styleId="657">
    <w:name w:val="Heading 2 Char"/>
    <w:basedOn w:val="703"/>
    <w:link w:val="695"/>
    <w:uiPriority w:val="9"/>
    <w:rPr>
      <w:rFonts w:ascii="Arial" w:hAnsi="Arial" w:eastAsia="Arial" w:cs="Arial"/>
      <w:sz w:val="34"/>
    </w:rPr>
  </w:style>
  <w:style w:type="character" w:styleId="658">
    <w:name w:val="Heading 3 Char"/>
    <w:basedOn w:val="703"/>
    <w:link w:val="696"/>
    <w:uiPriority w:val="9"/>
    <w:rPr>
      <w:rFonts w:ascii="Arial" w:hAnsi="Arial" w:eastAsia="Arial" w:cs="Arial"/>
      <w:sz w:val="30"/>
      <w:szCs w:val="30"/>
    </w:rPr>
  </w:style>
  <w:style w:type="character" w:styleId="659">
    <w:name w:val="Heading 4 Char"/>
    <w:basedOn w:val="703"/>
    <w:link w:val="697"/>
    <w:uiPriority w:val="9"/>
    <w:rPr>
      <w:rFonts w:ascii="Arial" w:hAnsi="Arial" w:eastAsia="Arial" w:cs="Arial"/>
      <w:b/>
      <w:bCs/>
      <w:sz w:val="26"/>
      <w:szCs w:val="26"/>
    </w:rPr>
  </w:style>
  <w:style w:type="character" w:styleId="660">
    <w:name w:val="Heading 5 Char"/>
    <w:basedOn w:val="703"/>
    <w:link w:val="698"/>
    <w:uiPriority w:val="9"/>
    <w:rPr>
      <w:rFonts w:ascii="Arial" w:hAnsi="Arial" w:eastAsia="Arial" w:cs="Arial"/>
      <w:b/>
      <w:bCs/>
      <w:sz w:val="24"/>
      <w:szCs w:val="24"/>
    </w:rPr>
  </w:style>
  <w:style w:type="character" w:styleId="661">
    <w:name w:val="Heading 6 Char"/>
    <w:basedOn w:val="703"/>
    <w:link w:val="699"/>
    <w:uiPriority w:val="9"/>
    <w:rPr>
      <w:rFonts w:ascii="Arial" w:hAnsi="Arial" w:eastAsia="Arial" w:cs="Arial"/>
      <w:b/>
      <w:bCs/>
      <w:sz w:val="22"/>
      <w:szCs w:val="22"/>
    </w:rPr>
  </w:style>
  <w:style w:type="character" w:styleId="662">
    <w:name w:val="Heading 7 Char"/>
    <w:basedOn w:val="703"/>
    <w:link w:val="700"/>
    <w:uiPriority w:val="9"/>
    <w:rPr>
      <w:rFonts w:ascii="Arial" w:hAnsi="Arial" w:eastAsia="Arial" w:cs="Arial"/>
      <w:b/>
      <w:bCs/>
      <w:i/>
      <w:iCs/>
      <w:sz w:val="22"/>
      <w:szCs w:val="22"/>
    </w:rPr>
  </w:style>
  <w:style w:type="character" w:styleId="663">
    <w:name w:val="Heading 8 Char"/>
    <w:basedOn w:val="703"/>
    <w:link w:val="701"/>
    <w:uiPriority w:val="9"/>
    <w:rPr>
      <w:rFonts w:ascii="Arial" w:hAnsi="Arial" w:eastAsia="Arial" w:cs="Arial"/>
      <w:i/>
      <w:iCs/>
      <w:sz w:val="22"/>
      <w:szCs w:val="22"/>
    </w:rPr>
  </w:style>
  <w:style w:type="character" w:styleId="664">
    <w:name w:val="Heading 9 Char"/>
    <w:basedOn w:val="703"/>
    <w:link w:val="702"/>
    <w:uiPriority w:val="9"/>
    <w:rPr>
      <w:rFonts w:ascii="Arial" w:hAnsi="Arial" w:eastAsia="Arial" w:cs="Arial"/>
      <w:i/>
      <w:iCs/>
      <w:sz w:val="21"/>
      <w:szCs w:val="21"/>
    </w:rPr>
  </w:style>
  <w:style w:type="character" w:styleId="665">
    <w:name w:val="Title Char"/>
    <w:basedOn w:val="703"/>
    <w:link w:val="724"/>
    <w:uiPriority w:val="10"/>
    <w:rPr>
      <w:sz w:val="48"/>
      <w:szCs w:val="48"/>
    </w:rPr>
  </w:style>
  <w:style w:type="character" w:styleId="666">
    <w:name w:val="Subtitle Char"/>
    <w:basedOn w:val="703"/>
    <w:link w:val="717"/>
    <w:uiPriority w:val="11"/>
    <w:rPr>
      <w:sz w:val="24"/>
      <w:szCs w:val="24"/>
    </w:rPr>
  </w:style>
  <w:style w:type="character" w:styleId="667">
    <w:name w:val="Quote Char"/>
    <w:link w:val="744"/>
    <w:uiPriority w:val="29"/>
    <w:rPr>
      <w:i/>
    </w:rPr>
  </w:style>
  <w:style w:type="character" w:styleId="668">
    <w:name w:val="Intense Quote Char"/>
    <w:link w:val="746"/>
    <w:uiPriority w:val="30"/>
    <w:rPr>
      <w:i/>
    </w:rPr>
  </w:style>
  <w:style w:type="character" w:styleId="669">
    <w:name w:val="Header Char"/>
    <w:basedOn w:val="703"/>
    <w:link w:val="714"/>
    <w:uiPriority w:val="99"/>
  </w:style>
  <w:style w:type="character" w:styleId="670">
    <w:name w:val="Caption Char"/>
    <w:basedOn w:val="706"/>
    <w:link w:val="713"/>
    <w:uiPriority w:val="99"/>
  </w:style>
  <w:style w:type="table" w:styleId="671">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9">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0">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1">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2">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4">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5">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9">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0">
    <w:name w:val="Footnote Text Char"/>
    <w:link w:val="718"/>
    <w:uiPriority w:val="99"/>
    <w:rPr>
      <w:sz w:val="18"/>
    </w:rPr>
  </w:style>
  <w:style w:type="character" w:styleId="691">
    <w:name w:val="Endnote Text Char"/>
    <w:link w:val="712"/>
    <w:uiPriority w:val="99"/>
    <w:rPr>
      <w:sz w:val="20"/>
    </w:rPr>
  </w:style>
  <w:style w:type="paragraph" w:styleId="692">
    <w:name w:val="TOC Heading"/>
    <w:uiPriority w:val="39"/>
    <w:unhideWhenUsed/>
  </w:style>
  <w:style w:type="paragraph" w:styleId="693"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94">
    <w:name w:val="Heading 1"/>
    <w:basedOn w:val="693"/>
    <w:next w:val="693"/>
    <w:link w:val="732"/>
    <w:uiPriority w:val="9"/>
    <w:qFormat/>
    <w:pPr>
      <w:keepLines/>
      <w:keepNext/>
      <w:spacing w:before="480" w:after="200"/>
      <w:outlineLvl w:val="0"/>
    </w:pPr>
    <w:rPr>
      <w:rFonts w:ascii="Arial" w:hAnsi="Arial" w:eastAsia="Arial" w:cs="Arial"/>
      <w:sz w:val="40"/>
      <w:szCs w:val="40"/>
    </w:rPr>
  </w:style>
  <w:style w:type="paragraph" w:styleId="695">
    <w:name w:val="Heading 2"/>
    <w:basedOn w:val="694"/>
    <w:next w:val="693"/>
    <w:link w:val="733"/>
    <w:uiPriority w:val="9"/>
    <w:unhideWhenUsed/>
    <w:qFormat/>
    <w:pPr>
      <w:spacing w:before="360"/>
      <w:outlineLvl w:val="1"/>
    </w:pPr>
    <w:rPr>
      <w:sz w:val="34"/>
    </w:rPr>
  </w:style>
  <w:style w:type="paragraph" w:styleId="696">
    <w:name w:val="Heading 3"/>
    <w:basedOn w:val="695"/>
    <w:next w:val="693"/>
    <w:link w:val="734"/>
    <w:uiPriority w:val="9"/>
    <w:unhideWhenUsed/>
    <w:qFormat/>
    <w:pPr>
      <w:spacing w:before="320"/>
      <w:outlineLvl w:val="2"/>
    </w:pPr>
    <w:rPr>
      <w:sz w:val="30"/>
      <w:szCs w:val="30"/>
    </w:rPr>
  </w:style>
  <w:style w:type="paragraph" w:styleId="697">
    <w:name w:val="Heading 4"/>
    <w:basedOn w:val="693"/>
    <w:next w:val="693"/>
    <w:link w:val="735"/>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36"/>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37"/>
    <w:uiPriority w:val="9"/>
    <w:unhideWhenUsed/>
    <w:qFormat/>
    <w:pPr>
      <w:keepLines/>
      <w:keepNext/>
      <w:spacing w:before="320" w:after="200"/>
      <w:outlineLvl w:val="5"/>
    </w:pPr>
    <w:rPr>
      <w:rFonts w:ascii="Arial" w:hAnsi="Arial" w:eastAsia="Arial" w:cs="Arial"/>
      <w:b/>
      <w:bCs/>
      <w:sz w:val="22"/>
    </w:rPr>
  </w:style>
  <w:style w:type="paragraph" w:styleId="700">
    <w:name w:val="Heading 7"/>
    <w:basedOn w:val="693"/>
    <w:next w:val="693"/>
    <w:link w:val="738"/>
    <w:uiPriority w:val="9"/>
    <w:unhideWhenUsed/>
    <w:qFormat/>
    <w:pPr>
      <w:keepLines/>
      <w:keepNext/>
      <w:spacing w:before="320" w:after="200"/>
      <w:outlineLvl w:val="6"/>
    </w:pPr>
    <w:rPr>
      <w:rFonts w:ascii="Arial" w:hAnsi="Arial" w:eastAsia="Arial" w:cs="Arial"/>
      <w:b/>
      <w:bCs/>
      <w:i/>
      <w:iCs/>
      <w:sz w:val="22"/>
    </w:rPr>
  </w:style>
  <w:style w:type="paragraph" w:styleId="701">
    <w:name w:val="Heading 8"/>
    <w:basedOn w:val="693"/>
    <w:next w:val="693"/>
    <w:link w:val="739"/>
    <w:uiPriority w:val="9"/>
    <w:unhideWhenUsed/>
    <w:qFormat/>
    <w:pPr>
      <w:keepLines/>
      <w:keepNext/>
      <w:spacing w:before="320" w:after="200"/>
      <w:outlineLvl w:val="7"/>
    </w:pPr>
    <w:rPr>
      <w:rFonts w:ascii="Arial" w:hAnsi="Arial" w:eastAsia="Arial" w:cs="Arial"/>
      <w:i/>
      <w:iCs/>
      <w:sz w:val="22"/>
    </w:rPr>
  </w:style>
  <w:style w:type="paragraph" w:styleId="702">
    <w:name w:val="Heading 9"/>
    <w:basedOn w:val="693"/>
    <w:next w:val="693"/>
    <w:link w:val="740"/>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basedOn w:val="693"/>
    <w:next w:val="693"/>
    <w:uiPriority w:val="39"/>
    <w:unhideWhenUsed/>
    <w:qFormat/>
    <w:pPr>
      <w:ind w:left="1701"/>
      <w:spacing w:after="57"/>
    </w:pPr>
  </w:style>
  <w:style w:type="paragraph" w:styleId="706">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annotation text"/>
    <w:basedOn w:val="693"/>
    <w:uiPriority w:val="99"/>
    <w:semiHidden/>
    <w:unhideWhenUsed/>
    <w:qFormat/>
    <w:pPr>
      <w:jc w:val="left"/>
    </w:pPr>
  </w:style>
  <w:style w:type="paragraph" w:styleId="708">
    <w:name w:val="toc 5"/>
    <w:basedOn w:val="693"/>
    <w:next w:val="693"/>
    <w:uiPriority w:val="39"/>
    <w:unhideWhenUsed/>
    <w:qFormat/>
    <w:pPr>
      <w:ind w:left="1134"/>
      <w:spacing w:after="57"/>
    </w:pPr>
  </w:style>
  <w:style w:type="paragraph" w:styleId="709">
    <w:name w:val="toc 3"/>
    <w:basedOn w:val="693"/>
    <w:next w:val="693"/>
    <w:uiPriority w:val="39"/>
    <w:unhideWhenUsed/>
    <w:qFormat/>
    <w:pPr>
      <w:ind w:left="567"/>
      <w:spacing w:after="57"/>
    </w:pPr>
  </w:style>
  <w:style w:type="paragraph" w:styleId="710">
    <w:name w:val="Plain Text"/>
    <w:basedOn w:val="693"/>
    <w:uiPriority w:val="0"/>
    <w:qFormat/>
    <w:rPr>
      <w:rFonts w:ascii="宋体" w:hAnsi="Courier New"/>
      <w:szCs w:val="20"/>
    </w:rPr>
  </w:style>
  <w:style w:type="paragraph" w:styleId="711">
    <w:name w:val="toc 8"/>
    <w:basedOn w:val="693"/>
    <w:next w:val="693"/>
    <w:uiPriority w:val="39"/>
    <w:unhideWhenUsed/>
    <w:qFormat/>
    <w:pPr>
      <w:ind w:left="1984"/>
      <w:spacing w:after="57"/>
    </w:pPr>
  </w:style>
  <w:style w:type="paragraph" w:styleId="712">
    <w:name w:val="endnote text"/>
    <w:basedOn w:val="693"/>
    <w:link w:val="877"/>
    <w:uiPriority w:val="99"/>
    <w:semiHidden/>
    <w:unhideWhenUsed/>
    <w:qFormat/>
    <w:rPr>
      <w:sz w:val="20"/>
    </w:rPr>
  </w:style>
  <w:style w:type="paragraph" w:styleId="713">
    <w:name w:val="Footer"/>
    <w:basedOn w:val="693"/>
    <w:link w:val="750"/>
    <w:uiPriority w:val="99"/>
    <w:unhideWhenUsed/>
    <w:qFormat/>
    <w:pPr>
      <w:tabs>
        <w:tab w:val="center" w:pos="7143" w:leader="none"/>
        <w:tab w:val="right" w:pos="14287" w:leader="none"/>
      </w:tabs>
    </w:pPr>
  </w:style>
  <w:style w:type="paragraph" w:styleId="714">
    <w:name w:val="Header"/>
    <w:basedOn w:val="693"/>
    <w:link w:val="748"/>
    <w:uiPriority w:val="99"/>
    <w:unhideWhenUsed/>
    <w:qFormat/>
    <w:pPr>
      <w:tabs>
        <w:tab w:val="center" w:pos="7143" w:leader="none"/>
        <w:tab w:val="right" w:pos="14287" w:leader="none"/>
      </w:tabs>
    </w:pPr>
  </w:style>
  <w:style w:type="paragraph" w:styleId="715">
    <w:name w:val="toc 1"/>
    <w:basedOn w:val="693"/>
    <w:next w:val="693"/>
    <w:uiPriority w:val="39"/>
    <w:unhideWhenUsed/>
    <w:qFormat/>
    <w:pPr>
      <w:spacing w:after="57"/>
    </w:pPr>
  </w:style>
  <w:style w:type="paragraph" w:styleId="716">
    <w:name w:val="toc 4"/>
    <w:basedOn w:val="693"/>
    <w:next w:val="693"/>
    <w:uiPriority w:val="39"/>
    <w:unhideWhenUsed/>
    <w:qFormat/>
    <w:pPr>
      <w:ind w:left="850"/>
      <w:spacing w:after="57"/>
    </w:pPr>
  </w:style>
  <w:style w:type="paragraph" w:styleId="717">
    <w:name w:val="Subtitle"/>
    <w:basedOn w:val="693"/>
    <w:next w:val="693"/>
    <w:link w:val="743"/>
    <w:uiPriority w:val="11"/>
    <w:qFormat/>
    <w:pPr>
      <w:spacing w:before="200" w:after="200"/>
    </w:pPr>
    <w:rPr>
      <w:sz w:val="24"/>
      <w:szCs w:val="24"/>
    </w:rPr>
  </w:style>
  <w:style w:type="paragraph" w:styleId="718">
    <w:name w:val="footnote text"/>
    <w:basedOn w:val="693"/>
    <w:link w:val="876"/>
    <w:uiPriority w:val="99"/>
    <w:semiHidden/>
    <w:unhideWhenUsed/>
    <w:qFormat/>
    <w:pPr>
      <w:spacing w:after="40"/>
    </w:pPr>
    <w:rPr>
      <w:sz w:val="18"/>
    </w:rPr>
  </w:style>
  <w:style w:type="paragraph" w:styleId="719">
    <w:name w:val="toc 6"/>
    <w:basedOn w:val="693"/>
    <w:next w:val="693"/>
    <w:uiPriority w:val="39"/>
    <w:unhideWhenUsed/>
    <w:qFormat/>
    <w:pPr>
      <w:ind w:left="1417"/>
      <w:spacing w:after="57"/>
    </w:pPr>
  </w:style>
  <w:style w:type="paragraph" w:styleId="720">
    <w:name w:val="table of figures"/>
    <w:basedOn w:val="693"/>
    <w:next w:val="693"/>
    <w:uiPriority w:val="99"/>
    <w:unhideWhenUsed/>
    <w:qFormat/>
  </w:style>
  <w:style w:type="paragraph" w:styleId="721">
    <w:name w:val="toc 2"/>
    <w:basedOn w:val="693"/>
    <w:next w:val="693"/>
    <w:uiPriority w:val="39"/>
    <w:unhideWhenUsed/>
    <w:qFormat/>
    <w:pPr>
      <w:ind w:left="283"/>
      <w:spacing w:after="57"/>
    </w:pPr>
  </w:style>
  <w:style w:type="paragraph" w:styleId="722">
    <w:name w:val="toc 9"/>
    <w:basedOn w:val="693"/>
    <w:next w:val="693"/>
    <w:uiPriority w:val="39"/>
    <w:unhideWhenUsed/>
    <w:qFormat/>
    <w:pPr>
      <w:ind w:left="2268"/>
      <w:spacing w:after="57"/>
    </w:pPr>
  </w:style>
  <w:style w:type="paragraph" w:styleId="723">
    <w:name w:val="Normal (Web)"/>
    <w:basedOn w:val="693"/>
    <w:uiPriority w:val="99"/>
    <w:pPr>
      <w:jc w:val="left"/>
      <w:spacing w:before="100" w:beforeAutospacing="1" w:after="100" w:afterAutospacing="1"/>
      <w:widowControl/>
    </w:pPr>
    <w:rPr>
      <w:rFonts w:ascii="宋体" w:hAnsi="宋体" w:eastAsia="宋体" w:cs="宋体"/>
      <w:sz w:val="24"/>
      <w:szCs w:val="24"/>
    </w:rPr>
  </w:style>
  <w:style w:type="paragraph" w:styleId="724">
    <w:name w:val="Title"/>
    <w:basedOn w:val="693"/>
    <w:next w:val="693"/>
    <w:link w:val="742"/>
    <w:uiPriority w:val="10"/>
    <w:qFormat/>
    <w:pPr>
      <w:contextualSpacing/>
      <w:spacing w:before="300" w:after="200"/>
    </w:pPr>
    <w:rPr>
      <w:sz w:val="48"/>
      <w:szCs w:val="48"/>
    </w:rPr>
  </w:style>
  <w:style w:type="table" w:styleId="7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endnote reference"/>
    <w:uiPriority w:val="99"/>
    <w:semiHidden/>
    <w:unhideWhenUsed/>
    <w:qFormat/>
    <w:rPr>
      <w:vertAlign w:val="superscript"/>
    </w:rPr>
  </w:style>
  <w:style w:type="character" w:styleId="727">
    <w:name w:val="FollowedHyperlink"/>
    <w:basedOn w:val="703"/>
    <w:uiPriority w:val="99"/>
    <w:semiHidden/>
    <w:unhideWhenUsed/>
    <w:qFormat/>
    <w:rPr>
      <w:color w:val="800080"/>
      <w:u w:val="single"/>
    </w:rPr>
  </w:style>
  <w:style w:type="character" w:styleId="728">
    <w:name w:val="Emphasis"/>
    <w:uiPriority w:val="0"/>
    <w:qFormat/>
    <w:rPr>
      <w:i/>
    </w:rPr>
  </w:style>
  <w:style w:type="character" w:styleId="729">
    <w:name w:val="Hyperlink"/>
    <w:uiPriority w:val="99"/>
    <w:unhideWhenUsed/>
    <w:qFormat/>
    <w:rPr>
      <w:color w:val="0000ff" w:themeColor="hyperlink"/>
      <w:u w:val="single"/>
      <w14:textFill>
        <w14:solidFill>
          <w14:schemeClr w14:val="hlink"/>
        </w14:solidFill>
      </w14:textFill>
    </w:rPr>
  </w:style>
  <w:style w:type="character" w:styleId="730">
    <w:name w:val="footnote reference"/>
    <w:uiPriority w:val="99"/>
    <w:unhideWhenUsed/>
    <w:qFormat/>
    <w:rPr>
      <w:vertAlign w:val="superscript"/>
    </w:rPr>
  </w:style>
  <w:style w:type="paragraph" w:styleId="731">
    <w:name w:val="List Paragraph"/>
    <w:basedOn w:val="693"/>
    <w:uiPriority w:val="34"/>
    <w:qFormat/>
    <w:pPr>
      <w:contextualSpacing/>
      <w:ind w:left="720"/>
    </w:pPr>
  </w:style>
  <w:style w:type="character" w:styleId="732" w:customStyle="1">
    <w:name w:val="标题 1 字符"/>
    <w:link w:val="694"/>
    <w:uiPriority w:val="9"/>
    <w:qFormat/>
    <w:rPr>
      <w:rFonts w:ascii="Arial" w:hAnsi="Arial" w:eastAsia="Arial" w:cs="Arial"/>
      <w:sz w:val="40"/>
      <w:szCs w:val="40"/>
    </w:rPr>
  </w:style>
  <w:style w:type="character" w:styleId="733" w:customStyle="1">
    <w:name w:val="标题 2 字符"/>
    <w:link w:val="695"/>
    <w:uiPriority w:val="9"/>
    <w:qFormat/>
    <w:rPr>
      <w:rFonts w:ascii="Arial" w:hAnsi="Arial" w:eastAsia="Arial" w:cs="Arial"/>
      <w:sz w:val="34"/>
    </w:rPr>
  </w:style>
  <w:style w:type="character" w:styleId="734" w:customStyle="1">
    <w:name w:val="标题 3 字符"/>
    <w:link w:val="696"/>
    <w:uiPriority w:val="9"/>
    <w:qFormat/>
    <w:rPr>
      <w:rFonts w:ascii="Arial" w:hAnsi="Arial" w:eastAsia="Arial" w:cs="Arial"/>
      <w:sz w:val="30"/>
      <w:szCs w:val="30"/>
    </w:rPr>
  </w:style>
  <w:style w:type="character" w:styleId="735" w:customStyle="1">
    <w:name w:val="标题 4 字符"/>
    <w:link w:val="697"/>
    <w:uiPriority w:val="9"/>
    <w:qFormat/>
    <w:rPr>
      <w:rFonts w:ascii="Arial" w:hAnsi="Arial" w:eastAsia="Arial" w:cs="Arial"/>
      <w:b/>
      <w:bCs/>
      <w:sz w:val="26"/>
      <w:szCs w:val="26"/>
    </w:rPr>
  </w:style>
  <w:style w:type="character" w:styleId="736" w:customStyle="1">
    <w:name w:val="标题 5 字符"/>
    <w:link w:val="698"/>
    <w:uiPriority w:val="9"/>
    <w:qFormat/>
    <w:rPr>
      <w:rFonts w:ascii="Arial" w:hAnsi="Arial" w:eastAsia="Arial" w:cs="Arial"/>
      <w:b/>
      <w:bCs/>
      <w:sz w:val="24"/>
      <w:szCs w:val="24"/>
    </w:rPr>
  </w:style>
  <w:style w:type="character" w:styleId="737" w:customStyle="1">
    <w:name w:val="标题 6 字符"/>
    <w:link w:val="699"/>
    <w:uiPriority w:val="9"/>
    <w:qFormat/>
    <w:rPr>
      <w:rFonts w:ascii="Arial" w:hAnsi="Arial" w:eastAsia="Arial" w:cs="Arial"/>
      <w:b/>
      <w:bCs/>
      <w:sz w:val="22"/>
      <w:szCs w:val="22"/>
    </w:rPr>
  </w:style>
  <w:style w:type="character" w:styleId="738" w:customStyle="1">
    <w:name w:val="标题 7 字符"/>
    <w:link w:val="700"/>
    <w:uiPriority w:val="9"/>
    <w:qFormat/>
    <w:rPr>
      <w:rFonts w:ascii="Arial" w:hAnsi="Arial" w:eastAsia="Arial" w:cs="Arial"/>
      <w:b/>
      <w:bCs/>
      <w:i/>
      <w:iCs/>
      <w:sz w:val="22"/>
      <w:szCs w:val="22"/>
    </w:rPr>
  </w:style>
  <w:style w:type="character" w:styleId="739" w:customStyle="1">
    <w:name w:val="标题 8 字符"/>
    <w:link w:val="701"/>
    <w:uiPriority w:val="9"/>
    <w:qFormat/>
    <w:rPr>
      <w:rFonts w:ascii="Arial" w:hAnsi="Arial" w:eastAsia="Arial" w:cs="Arial"/>
      <w:i/>
      <w:iCs/>
      <w:sz w:val="22"/>
      <w:szCs w:val="22"/>
    </w:rPr>
  </w:style>
  <w:style w:type="character" w:styleId="740" w:customStyle="1">
    <w:name w:val="标题 9 字符"/>
    <w:link w:val="702"/>
    <w:uiPriority w:val="9"/>
    <w:qFormat/>
    <w:rPr>
      <w:rFonts w:ascii="Arial" w:hAnsi="Arial" w:eastAsia="Arial" w:cs="Arial"/>
      <w:i/>
      <w:iCs/>
      <w:sz w:val="21"/>
      <w:szCs w:val="21"/>
    </w:rPr>
  </w:style>
  <w:style w:type="paragraph" w:styleId="741">
    <w:name w:val="No Spacing"/>
    <w:uiPriority w:val="1"/>
    <w:qFormat/>
    <w:rPr>
      <w:rFonts w:ascii="Times New Roman" w:hAnsi="Times New Roman" w:eastAsia="宋体" w:cs="Times New Roman"/>
      <w:lang w:val="en-US" w:eastAsia="zh-CN" w:bidi="ar-SA"/>
    </w:rPr>
  </w:style>
  <w:style w:type="character" w:styleId="742" w:customStyle="1">
    <w:name w:val="标题 字符"/>
    <w:link w:val="724"/>
    <w:uiPriority w:val="10"/>
    <w:qFormat/>
    <w:rPr>
      <w:sz w:val="48"/>
      <w:szCs w:val="48"/>
    </w:rPr>
  </w:style>
  <w:style w:type="character" w:styleId="743" w:customStyle="1">
    <w:name w:val="副标题 字符"/>
    <w:link w:val="717"/>
    <w:uiPriority w:val="11"/>
    <w:qFormat/>
    <w:rPr>
      <w:sz w:val="24"/>
      <w:szCs w:val="24"/>
    </w:rPr>
  </w:style>
  <w:style w:type="paragraph" w:styleId="744">
    <w:name w:val="Quote"/>
    <w:basedOn w:val="693"/>
    <w:next w:val="693"/>
    <w:link w:val="745"/>
    <w:uiPriority w:val="29"/>
    <w:qFormat/>
    <w:pPr>
      <w:ind w:left="720" w:right="720"/>
    </w:pPr>
    <w:rPr>
      <w:i/>
    </w:rPr>
  </w:style>
  <w:style w:type="character" w:styleId="745" w:customStyle="1">
    <w:name w:val="引用 字符"/>
    <w:link w:val="744"/>
    <w:uiPriority w:val="29"/>
    <w:qFormat/>
    <w:rPr>
      <w:i/>
    </w:rPr>
  </w:style>
  <w:style w:type="paragraph" w:styleId="746">
    <w:name w:val="Intense Quote"/>
    <w:basedOn w:val="693"/>
    <w:next w:val="693"/>
    <w:link w:val="7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customStyle="1">
    <w:name w:val="明显引用 字符"/>
    <w:link w:val="746"/>
    <w:uiPriority w:val="30"/>
    <w:qFormat/>
    <w:rPr>
      <w:i/>
    </w:rPr>
  </w:style>
  <w:style w:type="character" w:styleId="748" w:customStyle="1">
    <w:name w:val="页眉 字符"/>
    <w:link w:val="714"/>
    <w:uiPriority w:val="99"/>
    <w:qFormat/>
  </w:style>
  <w:style w:type="character" w:styleId="749" w:customStyle="1">
    <w:name w:val="Footer Char"/>
    <w:uiPriority w:val="99"/>
    <w:qFormat/>
  </w:style>
  <w:style w:type="character" w:styleId="750" w:customStyle="1">
    <w:name w:val="页脚 字符"/>
    <w:link w:val="713"/>
    <w:uiPriority w:val="99"/>
    <w:qFormat/>
  </w:style>
  <w:style w:type="table" w:styleId="75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6" w:customStyle="1">
    <w:name w:val="脚注文本 字符"/>
    <w:link w:val="718"/>
    <w:uiPriority w:val="99"/>
    <w:qFormat/>
    <w:rPr>
      <w:sz w:val="18"/>
    </w:rPr>
  </w:style>
  <w:style w:type="character" w:styleId="877" w:customStyle="1">
    <w:name w:val="尾注文本 字符"/>
    <w:link w:val="712"/>
    <w:uiPriority w:val="99"/>
    <w:qFormat/>
    <w:rPr>
      <w:sz w:val="20"/>
    </w:rPr>
  </w:style>
  <w:style w:type="paragraph" w:styleId="878" w:customStyle="1">
    <w:name w:val="TOC 标题1"/>
    <w:uiPriority w:val="39"/>
    <w:unhideWhenUsed/>
    <w:qFormat/>
    <w:rPr>
      <w:rFonts w:ascii="Times New Roman" w:hAnsi="Times New Roman" w:eastAsia="宋体" w:cs="Times New Roman"/>
      <w:lang w:val="en-US" w:eastAsia="zh-CN" w:bidi="ar-SA"/>
    </w:rPr>
  </w:style>
  <w:style w:type="paragraph" w:styleId="879" w:customStyle="1">
    <w:name w:val="标题 11"/>
    <w:basedOn w:val="693"/>
    <w:next w:val="693"/>
    <w:link w:val="884"/>
    <w:uiPriority w:val="9"/>
    <w:qFormat/>
    <w:pPr>
      <w:keepLines/>
      <w:keepNext/>
      <w:spacing w:before="340" w:after="330" w:line="578" w:lineRule="auto"/>
      <w:outlineLvl w:val="0"/>
    </w:pPr>
    <w:rPr>
      <w:rFonts w:ascii="Times New Roman" w:hAnsi="Times New Roman"/>
      <w:b/>
      <w:bCs/>
      <w:sz w:val="44"/>
      <w:szCs w:val="44"/>
    </w:rPr>
  </w:style>
  <w:style w:type="paragraph" w:styleId="880" w:customStyle="1">
    <w:name w:val="标题 21"/>
    <w:basedOn w:val="693"/>
    <w:next w:val="693"/>
    <w:link w:val="885"/>
    <w:uiPriority w:val="9"/>
    <w:qFormat/>
    <w:pPr>
      <w:keepLines/>
      <w:keepNext/>
      <w:spacing w:before="260" w:after="260" w:line="416" w:lineRule="auto"/>
      <w:outlineLvl w:val="1"/>
    </w:pPr>
    <w:rPr>
      <w:rFonts w:ascii="Cambria" w:hAnsi="Cambria"/>
      <w:b/>
      <w:bCs/>
      <w:sz w:val="32"/>
      <w:szCs w:val="32"/>
    </w:rPr>
  </w:style>
  <w:style w:type="paragraph" w:styleId="881" w:customStyle="1">
    <w:name w:val="标题 31"/>
    <w:basedOn w:val="693"/>
    <w:next w:val="693"/>
    <w:link w:val="886"/>
    <w:uiPriority w:val="9"/>
    <w:qFormat/>
    <w:pPr>
      <w:keepLines/>
      <w:keepNext/>
      <w:spacing w:before="260" w:after="260" w:line="416" w:lineRule="auto"/>
      <w:outlineLvl w:val="2"/>
    </w:pPr>
    <w:rPr>
      <w:rFonts w:ascii="Times New Roman" w:hAnsi="Times New Roman"/>
      <w:b/>
      <w:bCs/>
      <w:sz w:val="32"/>
      <w:szCs w:val="32"/>
    </w:rPr>
  </w:style>
  <w:style w:type="character" w:styleId="882" w:customStyle="1">
    <w:name w:val="默认段落字体1"/>
    <w:uiPriority w:val="1"/>
    <w:unhideWhenUsed/>
    <w:qFormat/>
  </w:style>
  <w:style w:type="table" w:styleId="883"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884" w:customStyle="1">
    <w:name w:val="标题 1 Char"/>
    <w:link w:val="879"/>
    <w:uiPriority w:val="9"/>
    <w:qFormat/>
    <w:rPr>
      <w:b/>
      <w:bCs/>
      <w:sz w:val="44"/>
      <w:szCs w:val="44"/>
    </w:rPr>
  </w:style>
  <w:style w:type="character" w:styleId="885" w:customStyle="1">
    <w:name w:val="标题 2 Char"/>
    <w:link w:val="880"/>
    <w:uiPriority w:val="9"/>
    <w:qFormat/>
    <w:rPr>
      <w:rFonts w:ascii="Cambria" w:hAnsi="Cambria" w:eastAsia="宋体" w:cs="Times New Roman"/>
      <w:b/>
      <w:bCs/>
      <w:sz w:val="32"/>
      <w:szCs w:val="32"/>
    </w:rPr>
  </w:style>
  <w:style w:type="character" w:styleId="886" w:customStyle="1">
    <w:name w:val="标题 3 Char"/>
    <w:link w:val="881"/>
    <w:uiPriority w:val="9"/>
    <w:qFormat/>
    <w:rPr>
      <w:b/>
      <w:bCs/>
      <w:sz w:val="32"/>
      <w:szCs w:val="32"/>
    </w:rPr>
  </w:style>
  <w:style w:type="paragraph" w:styleId="887" w:customStyle="1">
    <w:name w:val="文档结构图1"/>
    <w:basedOn w:val="693"/>
    <w:link w:val="888"/>
    <w:uiPriority w:val="99"/>
    <w:unhideWhenUsed/>
    <w:qFormat/>
    <w:rPr>
      <w:rFonts w:ascii="宋体" w:hAnsi="Times New Roman"/>
      <w:sz w:val="18"/>
      <w:szCs w:val="18"/>
    </w:rPr>
  </w:style>
  <w:style w:type="character" w:styleId="888" w:customStyle="1">
    <w:name w:val="文档结构图 Char"/>
    <w:link w:val="887"/>
    <w:uiPriority w:val="99"/>
    <w:semiHidden/>
    <w:qFormat/>
    <w:rPr>
      <w:rFonts w:ascii="宋体" w:eastAsia="宋体"/>
      <w:sz w:val="18"/>
      <w:szCs w:val="18"/>
    </w:rPr>
  </w:style>
  <w:style w:type="paragraph" w:styleId="889" w:customStyle="1">
    <w:name w:val="批注文字1"/>
    <w:basedOn w:val="693"/>
    <w:link w:val="890"/>
    <w:uiPriority w:val="0"/>
    <w:qFormat/>
    <w:pPr>
      <w:ind w:firstLine="922"/>
      <w:jc w:val="left"/>
      <w:spacing w:line="360" w:lineRule="auto"/>
    </w:pPr>
    <w:rPr>
      <w:rFonts w:ascii="Times New Roman" w:hAnsi="Times New Roman"/>
      <w:sz w:val="20"/>
      <w:szCs w:val="24"/>
    </w:rPr>
  </w:style>
  <w:style w:type="character" w:styleId="890" w:customStyle="1">
    <w:name w:val="批注文字 Char"/>
    <w:link w:val="889"/>
    <w:uiPriority w:val="0"/>
    <w:qFormat/>
    <w:rPr>
      <w:rFonts w:ascii="Times New Roman" w:hAnsi="Times New Roman" w:eastAsia="宋体" w:cs="Times New Roman"/>
      <w:szCs w:val="24"/>
    </w:rPr>
  </w:style>
  <w:style w:type="paragraph" w:styleId="891" w:customStyle="1">
    <w:name w:val="纯文本1"/>
    <w:basedOn w:val="693"/>
    <w:link w:val="892"/>
    <w:uiPriority w:val="0"/>
    <w:qFormat/>
    <w:rPr>
      <w:rFonts w:ascii="宋体" w:hAnsi="Courier New"/>
      <w:sz w:val="20"/>
      <w:szCs w:val="20"/>
    </w:rPr>
  </w:style>
  <w:style w:type="character" w:styleId="892" w:customStyle="1">
    <w:name w:val="纯文本 Char"/>
    <w:link w:val="891"/>
    <w:uiPriority w:val="0"/>
    <w:qFormat/>
    <w:rPr>
      <w:rFonts w:ascii="宋体" w:hAnsi="Courier New" w:eastAsia="宋体" w:cs="Times New Roman"/>
      <w:szCs w:val="20"/>
    </w:rPr>
  </w:style>
  <w:style w:type="paragraph" w:styleId="893" w:customStyle="1">
    <w:name w:val="日期1"/>
    <w:basedOn w:val="693"/>
    <w:next w:val="693"/>
    <w:link w:val="894"/>
    <w:uiPriority w:val="99"/>
    <w:unhideWhenUsed/>
    <w:qFormat/>
    <w:pPr>
      <w:ind w:left="100"/>
    </w:pPr>
  </w:style>
  <w:style w:type="character" w:styleId="894" w:customStyle="1">
    <w:name w:val="日期 Char"/>
    <w:link w:val="893"/>
    <w:uiPriority w:val="99"/>
    <w:semiHidden/>
    <w:qFormat/>
  </w:style>
  <w:style w:type="paragraph" w:styleId="895" w:customStyle="1">
    <w:name w:val="批注框文本1"/>
    <w:basedOn w:val="693"/>
    <w:link w:val="896"/>
    <w:uiPriority w:val="99"/>
    <w:unhideWhenUsed/>
    <w:qFormat/>
    <w:rPr>
      <w:rFonts w:ascii="Times New Roman" w:hAnsi="Times New Roman"/>
      <w:sz w:val="18"/>
      <w:szCs w:val="18"/>
    </w:rPr>
  </w:style>
  <w:style w:type="character" w:styleId="896" w:customStyle="1">
    <w:name w:val="批注框文本 Char"/>
    <w:link w:val="895"/>
    <w:uiPriority w:val="99"/>
    <w:semiHidden/>
    <w:qFormat/>
    <w:rPr>
      <w:sz w:val="18"/>
      <w:szCs w:val="18"/>
    </w:rPr>
  </w:style>
  <w:style w:type="paragraph" w:styleId="897" w:customStyle="1">
    <w:name w:val="页脚1"/>
    <w:basedOn w:val="693"/>
    <w:link w:val="898"/>
    <w:uiPriority w:val="99"/>
    <w:unhideWhenUsed/>
    <w:qFormat/>
    <w:pPr>
      <w:jc w:val="left"/>
      <w:tabs>
        <w:tab w:val="center" w:pos="4153" w:leader="none"/>
        <w:tab w:val="right" w:pos="8306" w:leader="none"/>
      </w:tabs>
    </w:pPr>
    <w:rPr>
      <w:rFonts w:ascii="Times New Roman" w:hAnsi="Times New Roman"/>
      <w:sz w:val="18"/>
      <w:szCs w:val="18"/>
    </w:rPr>
  </w:style>
  <w:style w:type="character" w:styleId="898" w:customStyle="1">
    <w:name w:val="页脚 Char"/>
    <w:link w:val="897"/>
    <w:uiPriority w:val="99"/>
    <w:qFormat/>
    <w:rPr>
      <w:sz w:val="18"/>
      <w:szCs w:val="18"/>
    </w:rPr>
  </w:style>
  <w:style w:type="paragraph" w:styleId="899" w:customStyle="1">
    <w:name w:val="页眉1"/>
    <w:basedOn w:val="693"/>
    <w:link w:val="900"/>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00" w:customStyle="1">
    <w:name w:val="页眉 Char"/>
    <w:link w:val="899"/>
    <w:uiPriority w:val="99"/>
    <w:semiHidden/>
    <w:qFormat/>
    <w:rPr>
      <w:sz w:val="18"/>
      <w:szCs w:val="18"/>
    </w:rPr>
  </w:style>
  <w:style w:type="paragraph" w:styleId="901" w:customStyle="1">
    <w:name w:val="目录 11"/>
    <w:basedOn w:val="693"/>
    <w:next w:val="693"/>
    <w:uiPriority w:val="39"/>
    <w:unhideWhenUsed/>
    <w:qFormat/>
  </w:style>
  <w:style w:type="table" w:styleId="902" w:customStyle="1">
    <w:name w:val="网格型1"/>
    <w:basedOn w:val="883"/>
    <w:uiPriority w:val="59"/>
    <w:qFormat/>
    <w:tblPr/>
  </w:style>
  <w:style w:type="character" w:styleId="903" w:customStyle="1">
    <w:name w:val="超链接1"/>
    <w:uiPriority w:val="99"/>
    <w:qFormat/>
    <w:rPr>
      <w:color w:val="0000ff"/>
      <w:u w:val="none"/>
    </w:rPr>
  </w:style>
  <w:style w:type="character" w:styleId="904" w:customStyle="1">
    <w:name w:val="批注引用1"/>
    <w:uiPriority w:val="0"/>
    <w:qFormat/>
    <w:rPr>
      <w:sz w:val="21"/>
      <w:szCs w:val="21"/>
    </w:rPr>
  </w:style>
  <w:style w:type="paragraph" w:styleId="905" w:customStyle="1">
    <w:name w:val="Default"/>
    <w:link w:val="906"/>
    <w:uiPriority w:val="99"/>
    <w:qFormat/>
    <w:pPr>
      <w:widowControl w:val="off"/>
    </w:pPr>
    <w:rPr>
      <w:rFonts w:ascii="MS Mincho" w:hAnsi="Calibri" w:eastAsia="宋体" w:cs="Times New Roman"/>
      <w:color w:val="000000"/>
      <w:szCs w:val="24"/>
      <w:lang w:val="en-US" w:eastAsia="zh-CN" w:bidi="ar-SA"/>
    </w:rPr>
  </w:style>
  <w:style w:type="character" w:styleId="906" w:customStyle="1">
    <w:name w:val="Default Char"/>
    <w:link w:val="905"/>
    <w:uiPriority w:val="99"/>
    <w:qFormat/>
    <w:rPr>
      <w:rFonts w:ascii="MS Mincho" w:hAnsi="Calibri"/>
      <w:color w:val="000000"/>
      <w:szCs w:val="24"/>
      <w:lang w:bidi="ar-SA"/>
    </w:rPr>
  </w:style>
  <w:style w:type="paragraph" w:styleId="907" w:customStyle="1">
    <w:name w:val="正文首行缩进11"/>
    <w:basedOn w:val="908"/>
    <w:uiPriority w:val="0"/>
    <w:qFormat/>
    <w:pPr>
      <w:ind w:firstLine="200"/>
      <w:spacing w:line="360" w:lineRule="auto"/>
    </w:pPr>
    <w:rPr>
      <w:rFonts w:ascii="仿宋_GB2312" w:hAnsi="Times New Roman" w:eastAsia="仿宋_GB2312"/>
      <w:sz w:val="30"/>
      <w:szCs w:val="30"/>
    </w:rPr>
  </w:style>
  <w:style w:type="paragraph" w:styleId="908" w:customStyle="1">
    <w:name w:val="正文文本11"/>
    <w:basedOn w:val="693"/>
    <w:next w:val="693"/>
    <w:uiPriority w:val="0"/>
    <w:qFormat/>
    <w:rPr>
      <w:rFonts w:ascii="楷体_GB2312" w:hAnsi="Arial" w:eastAsia="楷体_GB2312"/>
      <w:sz w:val="28"/>
      <w:szCs w:val="28"/>
      <w:lang w:eastAsia="en-US"/>
    </w:rPr>
  </w:style>
  <w:style w:type="paragraph" w:styleId="909" w:customStyle="1">
    <w:name w:val="Table Paragraph"/>
    <w:basedOn w:val="693"/>
    <w:uiPriority w:val="1"/>
    <w:qFormat/>
    <w:rPr>
      <w:rFonts w:ascii="宋体" w:hAnsi="宋体" w:cs="宋体"/>
      <w:szCs w:val="24"/>
      <w:lang w:val="zh-CN" w:bidi="zh-CN"/>
    </w:rPr>
  </w:style>
  <w:style w:type="paragraph" w:styleId="910" w:customStyle="1">
    <w:name w:val="表格内文字"/>
    <w:uiPriority w:val="0"/>
    <w:qFormat/>
    <w:pPr>
      <w:jc w:val="center"/>
    </w:pPr>
    <w:rPr>
      <w:rFonts w:ascii="Times New Roman" w:hAnsi="Times New Roman" w:eastAsia="宋体" w:cs="Times New Roman"/>
      <w:sz w:val="21"/>
      <w:szCs w:val="21"/>
      <w:lang w:val="en-US" w:eastAsia="zh-CN" w:bidi="ar-SA"/>
    </w:rPr>
  </w:style>
  <w:style w:type="paragraph" w:styleId="911" w:customStyle="1">
    <w:name w:val="图表名称"/>
    <w:basedOn w:val="693"/>
    <w:uiPriority w:val="0"/>
    <w:qFormat/>
    <w:pPr>
      <w:jc w:val="center"/>
    </w:pPr>
    <w:rPr>
      <w:b/>
      <w:bCs/>
      <w:szCs w:val="21"/>
    </w:rPr>
  </w:style>
  <w:style w:type="character" w:styleId="912" w:customStyle="1">
    <w:name w:val="font61"/>
    <w:basedOn w:val="703"/>
    <w:uiPriority w:val="0"/>
    <w:qFormat/>
    <w:rPr>
      <w:rFonts w:hint="eastAsia" w:ascii="等线" w:hAnsi="等线" w:eastAsia="等线"/>
      <w:color w:val="4472c4"/>
      <w:sz w:val="20"/>
      <w:szCs w:val="20"/>
      <w:u w:val="none"/>
    </w:rPr>
  </w:style>
  <w:style w:type="character" w:styleId="913" w:customStyle="1">
    <w:name w:val="font41"/>
    <w:basedOn w:val="703"/>
    <w:uiPriority w:val="0"/>
    <w:qFormat/>
    <w:rPr>
      <w:rFonts w:hint="default" w:ascii="Calibri" w:hAnsi="Calibri" w:cs="Calibri"/>
      <w:b/>
      <w:bCs/>
      <w:color w:val="000000"/>
      <w:sz w:val="21"/>
      <w:szCs w:val="21"/>
      <w:u w:val="none"/>
    </w:rPr>
  </w:style>
  <w:style w:type="character" w:styleId="914" w:customStyle="1">
    <w:name w:val="font51"/>
    <w:basedOn w:val="703"/>
    <w:uiPriority w:val="0"/>
    <w:qFormat/>
    <w:rPr>
      <w:rFonts w:hint="eastAsia" w:ascii="宋体" w:hAnsi="宋体" w:eastAsia="宋体"/>
      <w:color w:val="4472c4"/>
      <w:sz w:val="21"/>
      <w:szCs w:val="21"/>
      <w:u w:val="none"/>
    </w:rPr>
  </w:style>
  <w:style w:type="paragraph" w:styleId="915" w:customStyle="1">
    <w:name w:val="表字体"/>
    <w:basedOn w:val="693"/>
    <w:uiPriority w:val="0"/>
    <w:qFormat/>
    <w:pPr>
      <w:jc w:val="center"/>
      <w:spacing w:line="240" w:lineRule="atLeast"/>
    </w:pPr>
    <w:rPr>
      <w:color w:val="000000"/>
      <w:szCs w:val="20"/>
    </w:rPr>
  </w:style>
  <w:style w:type="character" w:styleId="916" w:customStyle="1">
    <w:name w:val="font31"/>
    <w:basedOn w:val="703"/>
    <w:uiPriority w:val="0"/>
    <w:qFormat/>
    <w:rPr>
      <w:rFonts w:hint="eastAsia" w:ascii="宋体" w:hAnsi="宋体" w:eastAsia="宋体"/>
      <w:color w:val="000000"/>
      <w:sz w:val="20"/>
      <w:szCs w:val="20"/>
      <w:u w:val="none"/>
    </w:rPr>
  </w:style>
  <w:style w:type="table" w:styleId="917" w:customStyle="1">
    <w:name w:val="通用表格"/>
    <w:basedOn w:val="704"/>
    <w:uiPriority w:val="99"/>
    <w:qFormat/>
    <w:pPr>
      <w:jc w:val="center"/>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Pr>
    <w:trPr>
      <w:jc w:val="center"/>
    </w:trPr>
    <w:tcPr>
      <w:shd w:val="clear" w:color="auto" w:fill="auto"/>
      <w:vAlign w:val="center"/>
    </w:tcPr>
    <w:tblStylePr w:type="firstRow">
      <w:rPr>
        <w:rFonts w:eastAsia="宋体"/>
        <w:b/>
        <w:sz w:val="21"/>
      </w:rPr>
      <w:pPr>
        <w:jc w:val="center"/>
      </w:pPr>
      <w:trPr>
        <w:tblHeader/>
      </w:trPr>
    </w:tblStylePr>
  </w:style>
  <w:style w:type="character" w:styleId="918" w:customStyle="1">
    <w:name w:val="font81"/>
    <w:basedOn w:val="703"/>
    <w:uiPriority w:val="0"/>
    <w:qFormat/>
    <w:rPr>
      <w:rFonts w:hint="default" w:ascii="Times New Roman" w:hAnsi="Times New Roman" w:cs="Times New Roman"/>
      <w:color w:val="000000"/>
      <w:sz w:val="21"/>
      <w:szCs w:val="21"/>
      <w:u w:val="none"/>
    </w:rPr>
  </w:style>
  <w:style w:type="character" w:styleId="919" w:customStyle="1">
    <w:name w:val="font91"/>
    <w:basedOn w:val="703"/>
    <w:uiPriority w:val="0"/>
    <w:qFormat/>
    <w:rPr>
      <w:rFonts w:hint="eastAsia" w:ascii="宋体" w:hAnsi="宋体" w:eastAsia="宋体" w:cs="宋体"/>
      <w:color w:val="000000"/>
      <w:sz w:val="21"/>
      <w:szCs w:val="21"/>
      <w:u w:val="none"/>
    </w:rPr>
  </w:style>
  <w:style w:type="character" w:styleId="920" w:customStyle="1">
    <w:name w:val="font21"/>
    <w:basedOn w:val="703"/>
    <w:uiPriority w:val="0"/>
    <w:qFormat/>
    <w:rPr>
      <w:rFonts w:hint="default" w:ascii="Times New Roman" w:hAnsi="Times New Roman" w:cs="Times New Roman"/>
      <w:color w:val="000000"/>
      <w:sz w:val="21"/>
      <w:szCs w:val="21"/>
      <w:u w:val="none"/>
    </w:rPr>
  </w:style>
  <w:style w:type="character" w:styleId="921" w:customStyle="1">
    <w:name w:val="font11"/>
    <w:basedOn w:val="703"/>
    <w:uiPriority w:val="0"/>
    <w:qFormat/>
    <w:rPr>
      <w:rFonts w:hint="eastAsia" w:ascii="宋体" w:hAnsi="宋体" w:eastAsia="宋体" w:cs="宋体"/>
      <w:color w:val="000000"/>
      <w:sz w:val="21"/>
      <w:szCs w:val="21"/>
      <w:u w:val="none"/>
    </w:rPr>
  </w:style>
  <w:style w:type="paragraph" w:styleId="922" w:customStyle="1">
    <w:name w:val="修订1"/>
    <w:hidden/>
    <w:uiPriority w:val="99"/>
    <w:unhideWhenUsed/>
    <w:qFormat/>
    <w:rPr>
      <w:rFonts w:ascii="Calibri" w:hAnsi="Calibri" w:eastAsia="宋体" w:cs="Times New Roman"/>
      <w:sz w:val="21"/>
      <w:szCs w:val="22"/>
      <w:lang w:val="en-US" w:eastAsia="zh-CN" w:bidi="ar-SA"/>
    </w:rPr>
  </w:style>
  <w:style w:type="paragraph" w:styleId="923" w:customStyle="1">
    <w:name w:val="正文文本 21"/>
    <w:basedOn w:val="693"/>
    <w:uiPriority w:val="0"/>
    <w:qFormat/>
    <w:pPr>
      <w:jc w:val="center"/>
      <w:widowControl/>
    </w:pPr>
    <w:rPr>
      <w:rFonts w:ascii="楷体_GB2312" w:hAnsi="Times New Roman" w:eastAsia="楷体_GB2312"/>
      <w:sz w:val="28"/>
      <w:szCs w:val="28"/>
      <w:lang w:val="en-US" w:eastAsia="en-US"/>
    </w:rPr>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朱倩楠</cp:lastModifiedBy>
  <cp:revision>18</cp:revision>
  <dcterms:created xsi:type="dcterms:W3CDTF">2024-08-14T05:18:00Z</dcterms:created>
  <dcterms:modified xsi:type="dcterms:W3CDTF">2026-01-23T03:41:11Z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eyJoZGlkIjoiNzA5ODliMTY1MzRhMjZlNDY4YjM3NDA5OTQ0MTg5MTMiLCJ1c2VySWQiOiIyMzMzMDk4MzQifQ==</vt:lpwstr>
  </property>
  <property fmtid="{D5CDD505-2E9C-101B-9397-08002B2CF9AE}" pid="3" name="KSOProductBuildVer">
    <vt:lpwstr>2052-12.1.0.24034</vt:lpwstr>
  </property>
  <property fmtid="{D5CDD505-2E9C-101B-9397-08002B2CF9AE}" pid="4" name="ICV">
    <vt:lpwstr>D21519E04DA7455A92C66E0C4BDB14E8_13</vt:lpwstr>
  </property>
</Properties>
</file>