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ascii="Arial" w:hAnsi="Arial" w:eastAsia="黑体"/>
          <w:b/>
          <w:bCs/>
          <w:color w:val="000000"/>
          <w:sz w:val="84"/>
          <w:szCs w:val="24"/>
          <w:highlight w:val="none"/>
        </w:rPr>
      </w:r>
      <w:r/>
    </w:p>
    <w:p>
      <w:pPr>
        <w:pStyle w:val="1074"/>
        <w:rPr>
          <w:rFonts w:hint="eastAsia"/>
          <w:highlight w:val="none"/>
        </w:rPr>
      </w:pPr>
      <w:r>
        <w:rPr>
          <w:rFonts w:hint="eastAsia"/>
          <w:highlight w:val="none"/>
        </w:rPr>
      </w:r>
      <w:r/>
    </w:p>
    <w:p>
      <w:pPr>
        <w:pStyle w:val="1048"/>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946"/>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2025-2026年仙林地区绿化养护项目（五标段、六标段） </w:t>
      </w:r>
      <w:r>
        <w:rPr>
          <w:rFonts w:eastAsia="宋体" w:cs="Times New Roman"/>
          <w:b/>
          <w:color w:val="000000"/>
          <w:sz w:val="30"/>
          <w:szCs w:val="30"/>
          <w:highlight w:val="none"/>
          <w:u w:val="single"/>
          <w:lang w:val="en-US" w:eastAsia="zh-CN"/>
        </w:rPr>
      </w:r>
      <w:r/>
    </w:p>
    <w:p>
      <w:pPr>
        <w:pStyle w:val="946"/>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24</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0489</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946"/>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94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48"/>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946"/>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2025年02月</w:t>
      </w:r>
      <w:r>
        <w:rPr>
          <w:rFonts w:hint="eastAsia" w:ascii="Times New Roman" w:hAnsi="Times New Roman" w:eastAsia="宋体" w:cs="Times New Roman"/>
          <w:b/>
          <w:bCs w:val="0"/>
          <w:color w:val="000000"/>
          <w:sz w:val="32"/>
          <w:szCs w:val="32"/>
          <w:highlight w:val="none"/>
          <w:u w:val="none"/>
          <w:lang w:val="en-US" w:eastAsia="zh-CN"/>
        </w:rPr>
      </w:r>
      <w:r/>
    </w:p>
    <w:p>
      <w:pPr>
        <w:pStyle w:val="946"/>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46"/>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6"/>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6"/>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6"/>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6"/>
        <w:jc w:val="left"/>
        <w:spacing w:before="120" w:after="120" w:line="360" w:lineRule="auto"/>
        <w:rPr>
          <w:rFonts w:hint="eastAsia" w:ascii="Arial" w:hAnsi="Arial"/>
          <w:color w:val="000000"/>
          <w:sz w:val="24"/>
          <w:szCs w:val="24"/>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pPr>
      <w:r>
        <w:rPr>
          <w:rFonts w:hint="eastAsia" w:ascii="Arial" w:hAnsi="Arial"/>
          <w:color w:val="000000"/>
          <w:sz w:val="24"/>
          <w:szCs w:val="24"/>
          <w:highlight w:val="none"/>
        </w:rPr>
      </w:r>
      <w:r/>
    </w:p>
    <w:p>
      <w:pPr>
        <w:pStyle w:val="946"/>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980"/>
        <w:rPr>
          <w:rFonts w:hint="eastAsia"/>
          <w:highlight w:val="none"/>
          <w:lang w:eastAsia="zh-CN"/>
        </w:rPr>
      </w:pPr>
      <w:r>
        <w:rPr>
          <w:rFonts w:hint="eastAsia"/>
          <w:highlight w:val="none"/>
          <w:lang w:eastAsia="zh-CN"/>
        </w:rPr>
      </w:r>
      <w:r/>
    </w:p>
    <w:p>
      <w:pPr>
        <w:pStyle w:val="946"/>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46"/>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4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themeColor="text1"/>
          <w:sz w:val="36"/>
          <w:szCs w:val="21"/>
          <w:highlight w:val="none"/>
          <w:lang w:val="en-US" w:eastAsia="zh-CN"/>
        </w:rPr>
        <w:t xml:space="preserve">3</w:t>
      </w:r>
      <w:r>
        <w:rPr>
          <w:color w:val="000000" w:themeColor="text1"/>
        </w:rPr>
      </w:r>
      <w:r/>
    </w:p>
    <w:p>
      <w:pPr>
        <w:pStyle w:val="94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投标人须知………………………………… </w:t>
      </w:r>
      <w:r>
        <w:rPr>
          <w:rFonts w:hint="eastAsia" w:ascii="黑体" w:hAnsi="宋体" w:eastAsia="黑体" w:cs="Times New Roman"/>
          <w:color w:val="000000" w:themeColor="text1"/>
          <w:sz w:val="36"/>
          <w:szCs w:val="21"/>
          <w:highlight w:val="none"/>
          <w:lang w:val="en-US" w:eastAsia="zh-CN"/>
        </w:rPr>
        <w:t xml:space="preserve">6</w:t>
      </w:r>
      <w:r>
        <w:rPr>
          <w:color w:val="000000" w:themeColor="text1"/>
        </w:rPr>
      </w:r>
      <w:r/>
    </w:p>
    <w:p>
      <w:pPr>
        <w:pStyle w:val="94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合同文本……………………………………</w:t>
      </w:r>
      <w:r>
        <w:rPr>
          <w:rFonts w:hint="eastAsia" w:ascii="黑体" w:hAnsi="宋体" w:eastAsia="黑体" w:cs="Times New Roman"/>
          <w:color w:val="000000" w:themeColor="text1"/>
          <w:sz w:val="36"/>
          <w:szCs w:val="21"/>
          <w:highlight w:val="none"/>
          <w:lang w:val="en-US" w:eastAsia="zh-CN"/>
        </w:rPr>
        <w:t xml:space="preserve">14</w:t>
      </w:r>
      <w:r>
        <w:rPr>
          <w:color w:val="000000" w:themeColor="text1"/>
        </w:rPr>
      </w:r>
      <w:r/>
    </w:p>
    <w:p>
      <w:pPr>
        <w:pStyle w:val="94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采购需求……………………………………</w:t>
      </w:r>
      <w:r>
        <w:rPr>
          <w:rFonts w:hint="eastAsia" w:ascii="黑体" w:hAnsi="宋体" w:eastAsia="黑体" w:cs="Times New Roman"/>
          <w:color w:val="000000" w:themeColor="text1"/>
          <w:sz w:val="36"/>
          <w:szCs w:val="21"/>
          <w:highlight w:val="none"/>
          <w:lang w:val="en-US" w:eastAsia="zh-CN"/>
        </w:rPr>
        <w:t xml:space="preserve">25</w:t>
      </w:r>
      <w:r>
        <w:rPr>
          <w:color w:val="000000" w:themeColor="text1"/>
        </w:rPr>
      </w:r>
      <w:r/>
    </w:p>
    <w:p>
      <w:pPr>
        <w:pStyle w:val="94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评标方法与评标标准………………………</w:t>
      </w:r>
      <w:r>
        <w:rPr>
          <w:rFonts w:hint="eastAsia" w:ascii="黑体" w:hAnsi="宋体" w:eastAsia="黑体" w:cs="Times New Roman"/>
          <w:color w:val="000000" w:themeColor="text1"/>
          <w:sz w:val="36"/>
          <w:szCs w:val="21"/>
          <w:highlight w:val="none"/>
          <w:lang w:val="en-US" w:eastAsia="zh-CN"/>
        </w:rPr>
        <w:t xml:space="preserve">33</w:t>
      </w:r>
      <w:r>
        <w:rPr>
          <w:color w:val="000000" w:themeColor="text1"/>
        </w:rPr>
      </w:r>
      <w:r/>
    </w:p>
    <w:p>
      <w:pPr>
        <w:pStyle w:val="94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0"/>
      </w:pPr>
      <w:r>
        <w:rPr>
          <w:rFonts w:hint="eastAsia" w:ascii="黑体" w:hAnsi="宋体" w:eastAsia="黑体" w:cs="Times New Roman"/>
          <w:color w:val="000000" w:themeColor="text1"/>
          <w:sz w:val="36"/>
          <w:szCs w:val="21"/>
          <w:highlight w:val="none"/>
        </w:rPr>
        <w:t xml:space="preserve">投标文件格式………………………………</w:t>
      </w:r>
      <w:r>
        <w:rPr>
          <w:rFonts w:hint="eastAsia" w:ascii="黑体" w:hAnsi="宋体" w:eastAsia="黑体" w:cs="Times New Roman"/>
          <w:color w:val="000000" w:themeColor="text1"/>
          <w:sz w:val="36"/>
          <w:szCs w:val="21"/>
          <w:highlight w:val="none"/>
          <w:lang w:val="en-US" w:eastAsia="zh-CN"/>
        </w:rPr>
        <w:t xml:space="preserve">37</w:t>
      </w:r>
      <w:r>
        <w:rPr>
          <w:color w:val="000000" w:themeColor="text1"/>
        </w:rPr>
      </w:r>
      <w:r/>
    </w:p>
    <w:p>
      <w:pPr>
        <w:pStyle w:val="946"/>
        <w:jc w:val="center"/>
        <w:rPr>
          <w:rFonts w:hint="eastAsia" w:ascii="方正小标宋简体" w:hAnsi="方正小标宋简体" w:eastAsia="方正小标宋简体" w:cs="方正小标宋简体"/>
          <w:color w:val="000000"/>
          <w:sz w:val="36"/>
          <w:szCs w:val="36"/>
          <w:highlight w:val="none"/>
          <w:lang w:val="en-US"/>
        </w:rPr>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946"/>
        <w:ind w:firstLine="480"/>
        <w:pageBreakBefore w:val="0"/>
        <w:spacing w:line="264" w:lineRule="auto"/>
        <w:widowControl w:val="off"/>
        <w:rPr>
          <w:rFonts w:hint="eastAsia" w:ascii="宋体" w:hAnsi="宋体"/>
          <w:sz w:val="24"/>
          <w:szCs w:val="24"/>
          <w:highlight w:val="none"/>
        </w:rPr>
      </w:pPr>
      <w:r/>
      <w:bookmarkStart w:id="6" w:name="_Toc28359002"/>
      <w:r/>
      <w:bookmarkStart w:id="7" w:name="_Toc35393621"/>
      <w:r/>
      <w:bookmarkStart w:id="8" w:name="_Toc35393790"/>
      <w:r/>
      <w:bookmarkStart w:id="9" w:name="_Toc38985263"/>
      <w:r/>
      <w:bookmarkStart w:id="10" w:name="_Toc28359079"/>
      <w:r/>
      <w:bookmarkStart w:id="11" w:name="_Hlk24379207"/>
      <w:r>
        <w:rPr>
          <w:rFonts w:hint="eastAsia" w:ascii="宋体" w:hAnsi="宋体"/>
          <w:sz w:val="24"/>
          <w:szCs w:val="24"/>
          <w:highlight w:val="none"/>
        </w:rPr>
      </w:r>
      <w:r/>
    </w:p>
    <w:p>
      <w:pPr>
        <w:pStyle w:val="946"/>
        <w:ind w:firstLine="480"/>
        <w:pageBreakBefore w:val="0"/>
        <w:spacing w:line="264" w:lineRule="auto"/>
        <w:widowControl w:val="off"/>
        <w:rPr>
          <w:rFonts w:ascii="宋体" w:hAnsi="宋体"/>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none"/>
          <w:lang w:val="en-US" w:eastAsia="zh-CN"/>
        </w:rPr>
        <w:t xml:space="preserve">南京市仙林大学城管理委员会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采购</w:t>
      </w:r>
      <w:r>
        <w:rPr>
          <w:rFonts w:hint="eastAsia" w:ascii="宋体" w:hAnsi="宋体"/>
          <w:color w:val="000000"/>
          <w:sz w:val="24"/>
          <w:szCs w:val="24"/>
          <w:highlight w:val="none"/>
          <w:u w:val="none"/>
        </w:rPr>
        <w:t xml:space="preserve">单位</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委托</w:t>
      </w:r>
      <w:r>
        <w:rPr>
          <w:rFonts w:hint="eastAsia" w:ascii="宋体" w:hAnsi="宋体"/>
          <w:color w:val="000000"/>
          <w:sz w:val="24"/>
          <w:szCs w:val="24"/>
          <w:highlight w:val="none"/>
          <w:lang w:eastAsia="zh-CN"/>
        </w:rPr>
        <w:t xml:space="preserve">，南京市公共资源交易中心（</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就</w:t>
      </w:r>
      <w:r>
        <w:rPr>
          <w:rFonts w:hint="eastAsia" w:ascii="宋体" w:hAnsi="宋体"/>
          <w:color w:val="000000"/>
          <w:sz w:val="24"/>
          <w:szCs w:val="24"/>
          <w:highlight w:val="none"/>
          <w:u w:val="none"/>
          <w:lang w:val="en-US" w:eastAsia="zh-CN"/>
        </w:rPr>
        <w:t xml:space="preserve">2025-2026年仙林地区绿化养护项目（五标段、六标段）（</w:t>
      </w:r>
      <w:r>
        <w:rPr>
          <w:rFonts w:hint="eastAsia" w:ascii="宋体" w:hAnsi="宋体"/>
          <w:color w:val="000000"/>
          <w:sz w:val="24"/>
          <w:szCs w:val="24"/>
          <w:highlight w:val="none"/>
        </w:rPr>
        <w:t xml:space="preserve">项目名</w:t>
      </w:r>
      <w:r>
        <w:rPr>
          <w:rFonts w:hint="eastAsia" w:ascii="宋体" w:hAnsi="宋体"/>
          <w:sz w:val="24"/>
          <w:szCs w:val="24"/>
          <w:highlight w:val="none"/>
        </w:rPr>
        <w:t xml:space="preserve">称</w:t>
      </w:r>
      <w:r>
        <w:rPr>
          <w:rFonts w:hint="eastAsia" w:ascii="宋体" w:hAnsi="宋体"/>
          <w:sz w:val="24"/>
          <w:szCs w:val="24"/>
          <w:highlight w:val="none"/>
          <w:u w:val="none"/>
          <w:lang w:val="en-US" w:eastAsia="zh-CN"/>
        </w:rPr>
        <w:t xml:space="preserve">）</w:t>
      </w:r>
      <w:r>
        <w:rPr>
          <w:rFonts w:hint="eastAsia" w:ascii="宋体" w:hAnsi="宋体"/>
          <w:sz w:val="24"/>
          <w:szCs w:val="24"/>
          <w:highlight w:val="none"/>
        </w:rPr>
        <w:t xml:space="preserve">进行公开招标采购</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欢迎符合条件的供应商投标。</w:t>
      </w:r>
      <w:r>
        <w:rPr>
          <w:rFonts w:ascii="宋体" w:hAnsi="宋体"/>
          <w:sz w:val="24"/>
          <w:szCs w:val="24"/>
          <w:highlight w:val="none"/>
        </w:rPr>
      </w:r>
      <w:r/>
    </w:p>
    <w:p>
      <w:pPr>
        <w:pStyle w:val="94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946"/>
        <w:ind w:firstLine="480"/>
        <w:pageBreakBefore w:val="0"/>
        <w:spacing w:line="264" w:lineRule="auto"/>
        <w:widowControl w:val="off"/>
        <w:rPr>
          <w:rFonts w:ascii="宋体" w:hAnsi="宋体"/>
          <w:color w:val="000000"/>
          <w:sz w:val="24"/>
          <w:szCs w:val="24"/>
          <w:highlight w:val="none"/>
        </w:rPr>
      </w:pPr>
      <w:r/>
      <w:bookmarkEnd w:id="11"/>
      <w:r>
        <w:rPr>
          <w:rFonts w:hint="eastAsia" w:ascii="宋体" w:hAnsi="宋体"/>
          <w:sz w:val="24"/>
          <w:szCs w:val="24"/>
          <w:highlight w:val="none"/>
        </w:rPr>
        <w:t xml:space="preserve">1.项目编号</w:t>
      </w:r>
      <w:r>
        <w:rPr>
          <w:rFonts w:hint="eastAsia" w:ascii="宋体" w:hAnsi="宋体"/>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JSZC-320100-JZCG-G2024-0489 </w:t>
      </w:r>
      <w:r>
        <w:rPr>
          <w:rFonts w:ascii="宋体" w:hAnsi="宋体"/>
          <w:color w:val="000000"/>
          <w:sz w:val="24"/>
          <w:szCs w:val="24"/>
          <w:highlight w:val="none"/>
        </w:rPr>
      </w:r>
      <w:r/>
    </w:p>
    <w:p>
      <w:pPr>
        <w:pStyle w:val="946"/>
        <w:ind w:firstLine="480"/>
        <w:pageBreakBefore w:val="0"/>
        <w:spacing w:line="264"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u w:val="none"/>
          <w:lang w:val="en-US" w:eastAsia="zh-CN"/>
        </w:rPr>
        <w:t xml:space="preserve">2025-2026年仙林地区绿化养护项目（五标段、六标段）</w:t>
      </w:r>
      <w:r>
        <w:rPr>
          <w:rFonts w:hint="eastAsia" w:ascii="宋体" w:hAnsi="宋体" w:eastAsia="宋体"/>
          <w:color w:val="000000"/>
          <w:sz w:val="24"/>
          <w:szCs w:val="24"/>
          <w:highlight w:val="none"/>
          <w:lang w:eastAsia="zh-CN"/>
        </w:rPr>
      </w:r>
      <w:r/>
    </w:p>
    <w:p>
      <w:pPr>
        <w:pStyle w:val="946"/>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1028万元</w:t>
      </w:r>
      <w:r>
        <w:rPr>
          <w:rFonts w:hint="eastAsia" w:ascii="宋体" w:hAnsi="宋体"/>
          <w:color w:val="000000"/>
          <w:sz w:val="24"/>
          <w:szCs w:val="24"/>
          <w:highlight w:val="none"/>
          <w:lang w:val="en-US"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4.最高限价：本项目设定最高限价为820.151542万元</w:t>
      </w:r>
      <w:r>
        <w:rPr>
          <w:rFonts w:hint="eastAsia" w:ascii="宋体" w:hAnsi="宋体" w:eastAsia="宋体" w:cs="Times New Roman"/>
          <w:color w:val="000000"/>
          <w:sz w:val="24"/>
          <w:szCs w:val="24"/>
          <w:highlight w:val="none"/>
          <w:lang w:val="en-US"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采购包1：五标段586.531155万元（其中：绿化养护服务：554.5564万元，苗木补植服务：31.974755万元）；</w:t>
      </w:r>
      <w:r>
        <w:rPr>
          <w:rFonts w:hint="eastAsia" w:ascii="宋体" w:hAnsi="宋体" w:eastAsia="宋体" w:cs="Times New Roman"/>
          <w:color w:val="000000"/>
          <w:sz w:val="24"/>
          <w:szCs w:val="24"/>
          <w:highlight w:val="none"/>
          <w:u w:val="none"/>
          <w:lang w:val="en-US"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Times New Roman"/>
          <w:color w:val="000000"/>
          <w:sz w:val="24"/>
          <w:szCs w:val="24"/>
          <w:highlight w:val="none"/>
          <w:u w:val="none"/>
          <w:lang w:val="en-US" w:eastAsia="zh-CN"/>
        </w:rPr>
        <w:t xml:space="preserve">采购包2：六标段233.620387万元（其中：绿化养护服务：233.620387万元）</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yellow"/>
          <w:lang w:eastAsia="zh-CN"/>
        </w:rPr>
      </w:r>
      <w:r/>
    </w:p>
    <w:p>
      <w:pPr>
        <w:pStyle w:val="946"/>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投标报价超过各采购包最高限价金额及分项单项限价，按照无效投标处理。</w:t>
      </w:r>
      <w:r>
        <w:rPr>
          <w:rFonts w:hint="eastAsia" w:ascii="宋体" w:hAnsi="宋体"/>
          <w:color w:val="000000"/>
          <w:sz w:val="24"/>
          <w:szCs w:val="24"/>
          <w:highlight w:val="none"/>
          <w:lang w:val="en-US" w:eastAsia="zh-CN"/>
        </w:rPr>
      </w:r>
      <w:r/>
    </w:p>
    <w:p>
      <w:pPr>
        <w:pStyle w:val="946"/>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5.采购需求（简介）：</w:t>
      </w:r>
      <w:r>
        <w:rPr>
          <w:rFonts w:hint="eastAsia" w:ascii="宋体" w:hAnsi="宋体"/>
          <w:color w:val="000000"/>
          <w:sz w:val="24"/>
          <w:szCs w:val="24"/>
          <w:highlight w:val="none"/>
          <w:lang w:val="en-US"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2025-2026年仙林地区绿化养护项目分为三个项目，六个采购包，分别为：一标段、二标段、三标段、四标段、五标段、六标段。同一投标人可以参与其中一个或多个采购包，但最多只能在其中一个采购包中被推荐为中标候选人。同一投标人参与多个采购包投标时，在前面一个采购包中被推荐为中标候选人后，仍然可以参加后续其他分包的评审，但在后续其他采购包中不得被推荐为中标候选人。</w:t>
      </w:r>
      <w:r>
        <w:rPr>
          <w:rFonts w:hint="eastAsia" w:ascii="宋体" w:hAnsi="宋体" w:eastAsia="宋体" w:cs="Times New Roman"/>
          <w:color w:val="000000"/>
          <w:sz w:val="24"/>
          <w:szCs w:val="24"/>
          <w:highlight w:val="none"/>
          <w:u w:val="none"/>
          <w:lang w:val="en-US" w:eastAsia="zh-CN"/>
        </w:rPr>
      </w:r>
      <w:r/>
    </w:p>
    <w:p>
      <w:pPr>
        <w:pStyle w:val="946"/>
        <w:ind w:firstLine="480"/>
        <w:pageBreakBefore w:val="0"/>
        <w:spacing w:line="264" w:lineRule="auto"/>
        <w:widowControl w:val="off"/>
        <w:rPr>
          <w:rFonts w:hint="eastAsia" w:ascii="宋体" w:hAnsi="宋体" w:cs="宋体"/>
          <w:sz w:val="24"/>
          <w:szCs w:val="24"/>
          <w:highlight w:val="none"/>
        </w:rPr>
      </w:pPr>
      <w:r>
        <w:rPr>
          <w:rFonts w:hint="eastAsia" w:ascii="宋体" w:hAnsi="宋体" w:eastAsia="宋体" w:cs="Times New Roman"/>
          <w:color w:val="000000"/>
          <w:sz w:val="24"/>
          <w:szCs w:val="24"/>
          <w:highlight w:val="none"/>
          <w:u w:val="none"/>
          <w:lang w:val="en-US" w:eastAsia="zh-CN"/>
        </w:rPr>
        <w:t xml:space="preserve">本项目开评标顺序依次为采购包1、采购包2。</w:t>
      </w:r>
      <w:r>
        <w:rPr>
          <w:rFonts w:hint="eastAsia" w:ascii="宋体" w:hAnsi="宋体" w:cs="宋体"/>
          <w:sz w:val="24"/>
          <w:szCs w:val="24"/>
          <w:highlight w:val="none"/>
        </w:rPr>
        <w:t xml:space="preserve">（详细内容见本招标文件第四章） </w:t>
      </w:r>
      <w:r>
        <w:rPr>
          <w:rFonts w:hint="eastAsia" w:ascii="宋体" w:hAnsi="宋体" w:cs="宋体"/>
          <w:sz w:val="24"/>
          <w:szCs w:val="24"/>
          <w:highlight w:val="none"/>
        </w:rPr>
      </w:r>
      <w:r/>
    </w:p>
    <w:p>
      <w:pPr>
        <w:pStyle w:val="94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采购包1：2025-2026年仙林地区绿化养护项目五标段，服务内容包含包含九乡河生态公园等道路和广场绿化精细化养护，以及养护范围内河道岸坡清杂、卫生保洁等工作，养护面积约1243400.00㎡；仙林大学城部分路段苗木补植服务等。</w:t>
      </w:r>
      <w:r>
        <w:rPr>
          <w:rFonts w:hint="eastAsia" w:ascii="宋体" w:hAnsi="宋体" w:eastAsia="宋体" w:cs="Times New Roman"/>
          <w:color w:val="000000"/>
          <w:sz w:val="24"/>
          <w:szCs w:val="24"/>
          <w:highlight w:val="none"/>
          <w:u w:val="none"/>
          <w:lang w:val="en-US"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采购包2：2025-2026年仙林地区绿化养护项目六标段，服务内容包含包含312国道（公路管理站-九乡河西路）防护林，312国道（四桥连接线-毕升路）防护林，衡阳湖防护林，仙林湖路东侧防护林，萧宏二期林地，汇通路泄洪沟东侧绿地，绿化废弃物处置场及周边绿化，小红花东侧林地，龙王山变电站周边林地，和园东侧林地，紫薇堂南侧林地（含构梁），龙王山南侧宕口林地等林地绿化精细化养护，以及养护范围内河道岸坡清杂、卫生保洁等工作，养护面积约807983.80㎡。</w:t>
      </w:r>
      <w:r>
        <w:rPr>
          <w:rFonts w:hint="eastAsia" w:ascii="宋体" w:hAnsi="宋体" w:eastAsia="宋体" w:cs="Times New Roman"/>
          <w:color w:val="000000"/>
          <w:sz w:val="24"/>
          <w:szCs w:val="24"/>
          <w:highlight w:val="none"/>
          <w:u w:val="none"/>
          <w:lang w:val="en-US" w:eastAsia="zh-CN"/>
        </w:rPr>
      </w:r>
      <w:r/>
    </w:p>
    <w:p>
      <w:pPr>
        <w:pStyle w:val="946"/>
        <w:ind w:firstLine="480"/>
        <w:pageBreakBefore w:val="0"/>
        <w:spacing w:line="264"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Courier New"/>
          <w:color w:val="000000"/>
          <w:sz w:val="24"/>
          <w:szCs w:val="24"/>
          <w:highlight w:val="none"/>
          <w:lang w:eastAsia="zh-CN"/>
        </w:rPr>
        <w:t xml:space="preserve">合同生效之日起</w:t>
      </w:r>
      <w:r>
        <w:rPr>
          <w:rFonts w:hint="eastAsia" w:ascii="宋体" w:hAnsi="宋体" w:eastAsia="宋体" w:cs="Courier New"/>
          <w:color w:val="000000"/>
          <w:sz w:val="24"/>
          <w:szCs w:val="24"/>
          <w:highlight w:val="none"/>
          <w:lang w:val="en-US" w:eastAsia="zh-CN"/>
        </w:rPr>
        <w:t xml:space="preserve">两</w:t>
      </w:r>
      <w:r>
        <w:rPr>
          <w:rFonts w:hint="eastAsia" w:ascii="宋体" w:hAnsi="宋体" w:eastAsia="宋体" w:cs="Courier New"/>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w:t>
      </w:r>
      <w:r>
        <w:rPr>
          <w:rFonts w:hint="eastAsia" w:ascii="宋体" w:hAnsi="宋体" w:eastAsia="宋体" w:cs="宋体"/>
          <w:sz w:val="24"/>
          <w:szCs w:val="24"/>
          <w:highlight w:val="none"/>
          <w:lang w:val="en-US" w:eastAsia="zh-CN"/>
        </w:rPr>
        <w:t xml:space="preserve">合体投标。</w:t>
      </w:r>
      <w:r>
        <w:rPr>
          <w:rFonts w:hint="eastAsia" w:ascii="宋体" w:hAnsi="宋体" w:eastAsia="宋体" w:cs="Times New Roman"/>
          <w:color w:val="000000"/>
          <w:sz w:val="24"/>
          <w:szCs w:val="24"/>
          <w:highlight w:val="none"/>
          <w:lang w:val="en-US" w:eastAsia="zh-CN"/>
        </w:rPr>
      </w:r>
      <w:r/>
    </w:p>
    <w:p>
      <w:pPr>
        <w:pStyle w:val="94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791"/>
      <w:r/>
      <w:bookmarkStart w:id="13" w:name="_Toc28359003"/>
      <w:r/>
      <w:bookmarkStart w:id="14" w:name="_Toc35393622"/>
      <w:r/>
      <w:bookmarkStart w:id="15" w:name="_Toc28359080"/>
      <w:r/>
      <w:bookmarkStart w:id="16" w:name="_Toc38985264"/>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946"/>
        <w:ind w:firstLine="480"/>
        <w:pageBreakBefore w:val="0"/>
        <w:spacing w:line="264" w:lineRule="auto"/>
        <w:widowControl w:val="off"/>
        <w:rPr>
          <w:rFonts w:hint="eastAsia" w:ascii="宋体" w:hAnsi="宋体"/>
          <w:color w:val="000000"/>
          <w:sz w:val="24"/>
          <w:szCs w:val="24"/>
          <w:highlight w:val="none"/>
        </w:rPr>
      </w:pPr>
      <w:r/>
      <w:bookmarkStart w:id="17" w:name="_Toc28359081"/>
      <w:r/>
      <w:bookmarkStart w:id="18" w:name="_Toc38985265"/>
      <w:r/>
      <w:bookmarkStart w:id="19" w:name="_Toc35393792"/>
      <w:r/>
      <w:bookmarkStart w:id="20" w:name="_Toc35393623"/>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46"/>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946"/>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46"/>
        <w:ind w:firstLine="480"/>
        <w:pageBreakBefore w:val="0"/>
        <w:spacing w:line="264" w:lineRule="auto"/>
        <w:widowControl w:val="off"/>
        <w:rPr>
          <w:rFonts w:hint="eastAsia" w:ascii="宋体" w:hAnsi="宋体"/>
          <w:sz w:val="24"/>
          <w:szCs w:val="24"/>
          <w:highlight w:val="none"/>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sz w:val="24"/>
          <w:szCs w:val="24"/>
          <w:highlight w:val="none"/>
        </w:rPr>
      </w:r>
      <w:r/>
    </w:p>
    <w:p>
      <w:pPr>
        <w:pStyle w:val="946"/>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highlight w:val="none"/>
          <w:u w:val="none"/>
          <w:lang w:val="en-US" w:eastAsia="zh-CN"/>
        </w:rPr>
        <w:t xml:space="preserve">其他未列明行业。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u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4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946"/>
        <w:ind w:firstLine="480"/>
        <w:pageBreakBefore w:val="0"/>
        <w:spacing w:line="264" w:lineRule="auto"/>
        <w:widowControl w:val="off"/>
        <w:rPr>
          <w:rFonts w:ascii="宋体" w:hAnsi="宋体" w:cs="宋体"/>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946"/>
        <w:ind w:firstLine="480"/>
        <w:pageBreakBefore w:val="0"/>
        <w:spacing w:line="264"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94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946"/>
        <w:ind w:firstLine="480"/>
        <w:pageBreakBefore w:val="0"/>
        <w:spacing w:line="264" w:lineRule="auto"/>
        <w:widowControl w:val="off"/>
        <w:rPr>
          <w:rFonts w:hint="eastAsia" w:ascii="宋体" w:hAnsi="宋体" w:eastAsia="宋体"/>
          <w:bCs/>
          <w:sz w:val="24"/>
          <w:szCs w:val="24"/>
          <w:highlight w:val="none"/>
          <w:u w:val="single"/>
          <w:lang w:val="en-US" w:eastAsia="zh-CN"/>
        </w:rPr>
      </w:pPr>
      <w:r/>
      <w:bookmarkStart w:id="27" w:name="_Toc28359007"/>
      <w:r/>
      <w:bookmarkStart w:id="28" w:name="_Toc35393794"/>
      <w:r/>
      <w:bookmarkStart w:id="29" w:name="_Toc38985267"/>
      <w:r/>
      <w:bookmarkStart w:id="30" w:name="_Toc28359084"/>
      <w:r/>
      <w:bookmarkStart w:id="31" w:name="_Toc35393625"/>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25</w:t>
      </w:r>
      <w:r>
        <w:rPr>
          <w:rFonts w:hint="eastAsia" w:ascii="宋体" w:hAnsi="宋体"/>
          <w:bCs/>
          <w:color w:val="000000" w:themeColor="text1"/>
          <w:sz w:val="24"/>
          <w:szCs w:val="24"/>
          <w:highlight w:val="none"/>
          <w:u w:val="none"/>
        </w:rPr>
        <w:t xml:space="preserve">年3</w:t>
      </w:r>
      <w:r>
        <w:rPr>
          <w:rFonts w:hint="eastAsia" w:ascii="宋体" w:hAnsi="宋体"/>
          <w:bCs/>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日09</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946"/>
        <w:ind w:firstLine="480"/>
        <w:pageBreakBefore w:val="0"/>
        <w:spacing w:line="264"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94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946"/>
        <w:ind w:firstLine="480"/>
        <w:pageBreakBefore w:val="0"/>
        <w:spacing w:line="264" w:lineRule="auto"/>
        <w:widowControl w:val="off"/>
        <w:rPr>
          <w:rFonts w:hint="eastAsia" w:ascii="宋体" w:hAnsi="宋体" w:cs="宋体"/>
          <w:sz w:val="24"/>
          <w:szCs w:val="24"/>
          <w:highlight w:val="none"/>
        </w:rPr>
      </w:pPr>
      <w:r/>
      <w:bookmarkStart w:id="32" w:name="_Toc35393626"/>
      <w:r/>
      <w:bookmarkStart w:id="33" w:name="_Toc38985268"/>
      <w:r/>
      <w:bookmarkStart w:id="34" w:name="_Toc35393795"/>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94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946"/>
        <w:ind w:firstLine="480"/>
        <w:pageBreakBefore w:val="0"/>
        <w:spacing w:line="264" w:lineRule="auto"/>
        <w:widowControl w:val="off"/>
        <w:tabs>
          <w:tab w:val="left" w:pos="900" w:leader="none"/>
        </w:tabs>
        <w:rPr>
          <w:rFonts w:hint="eastAsia" w:ascii="宋体" w:hAnsi="宋体"/>
          <w:bCs/>
          <w:sz w:val="24"/>
          <w:szCs w:val="24"/>
          <w:highlight w:val="none"/>
        </w:rPr>
      </w:pPr>
      <w:r/>
      <w:bookmarkStart w:id="35" w:name="_Toc35393796"/>
      <w:r/>
      <w:bookmarkStart w:id="36" w:name="_Toc28359008"/>
      <w:r/>
      <w:bookmarkStart w:id="37" w:name="_Toc38985269"/>
      <w:r/>
      <w:bookmarkStart w:id="38" w:name="_Toc35393627"/>
      <w:r/>
      <w:bookmarkStart w:id="39" w:name="_Toc28359085"/>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946"/>
        <w:ind w:firstLine="480"/>
        <w:pageBreakBefore w:val="0"/>
        <w:spacing w:line="264" w:lineRule="auto"/>
        <w:widowControl w:val="off"/>
        <w:tabs>
          <w:tab w:val="left" w:pos="900" w:leader="none"/>
        </w:tabs>
        <w:rPr>
          <w:rFonts w:hint="eastAsia" w:ascii="宋体" w:hAnsi="宋体" w:eastAsia="宋体" w:cs="宋体"/>
          <w:color w:val="0000ff"/>
          <w:sz w:val="24"/>
          <w:szCs w:val="24"/>
          <w:highlight w:val="none"/>
        </w:rPr>
      </w:pPr>
      <w:r>
        <w:rPr>
          <w:rFonts w:hint="eastAsia" w:ascii="宋体" w:hAnsi="宋体"/>
          <w:sz w:val="24"/>
          <w:szCs w:val="24"/>
          <w:highlight w:val="none"/>
        </w:rPr>
        <w:t xml:space="preserve">2</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本项目不组织集中</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ff"/>
          <w:sz w:val="24"/>
          <w:szCs w:val="24"/>
          <w:highlight w:val="none"/>
        </w:rPr>
      </w:r>
      <w:r/>
    </w:p>
    <w:p>
      <w:pPr>
        <w:pStyle w:val="946"/>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1021"/>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946"/>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949"/>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946"/>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946"/>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名  称：南京市仙林大学城管理委员会          </w:t>
      </w:r>
      <w:r>
        <w:rPr>
          <w:rFonts w:hint="eastAsia" w:ascii="宋体" w:hAnsi="宋体" w:eastAsia="宋体" w:cs="Times New Roman"/>
          <w:sz w:val="24"/>
          <w:szCs w:val="24"/>
          <w:highlight w:val="none"/>
          <w:u w:val="none"/>
          <w:lang w:val="en-US" w:eastAsia="zh-CN"/>
        </w:rPr>
      </w:r>
      <w:r/>
    </w:p>
    <w:p>
      <w:pPr>
        <w:pStyle w:val="946"/>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址：南京市栖霞区文苑路118号    </w:t>
      </w:r>
      <w:r>
        <w:rPr>
          <w:rFonts w:hint="eastAsia" w:ascii="宋体" w:hAnsi="宋体" w:eastAsia="宋体" w:cs="Times New Roman"/>
          <w:sz w:val="24"/>
          <w:szCs w:val="24"/>
          <w:highlight w:val="none"/>
          <w:u w:val="none"/>
          <w:lang w:val="en-US" w:eastAsia="zh-CN"/>
        </w:rPr>
      </w:r>
      <w:r/>
    </w:p>
    <w:p>
      <w:pPr>
        <w:pStyle w:val="946"/>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联系人：薛工 </w:t>
      </w:r>
      <w:r>
        <w:rPr>
          <w:rFonts w:hint="eastAsia" w:ascii="宋体" w:hAnsi="宋体" w:eastAsia="宋体" w:cs="Times New Roman"/>
          <w:sz w:val="24"/>
          <w:szCs w:val="24"/>
          <w:highlight w:val="none"/>
          <w:u w:val="none"/>
          <w:lang w:val="en-US" w:eastAsia="zh-CN"/>
        </w:rPr>
      </w:r>
      <w:r/>
    </w:p>
    <w:p>
      <w:pPr>
        <w:pStyle w:val="946"/>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联系电话：</w:t>
      </w:r>
      <w:r>
        <w:rPr>
          <w:rFonts w:hint="eastAsia" w:ascii="宋体" w:hAnsi="宋体"/>
          <w:sz w:val="24"/>
          <w:szCs w:val="24"/>
          <w:highlight w:val="none"/>
          <w:lang w:val="en-US" w:eastAsia="zh-CN"/>
        </w:rPr>
        <w:t xml:space="preserve">025-85898035</w:t>
      </w:r>
      <w:r>
        <w:rPr>
          <w:rFonts w:hint="eastAsia" w:ascii="宋体" w:hAnsi="宋体"/>
          <w:sz w:val="24"/>
          <w:szCs w:val="24"/>
          <w:highlight w:val="none"/>
        </w:rPr>
        <w:t xml:space="preserve"> </w:t>
      </w:r>
      <w:r>
        <w:rPr>
          <w:rFonts w:hint="eastAsia" w:ascii="宋体" w:hAnsi="宋体" w:eastAsia="宋体" w:cs="Times New Roman"/>
          <w:sz w:val="24"/>
          <w:szCs w:val="24"/>
          <w:highlight w:val="none"/>
          <w:u w:val="none"/>
          <w:lang w:val="en-US" w:eastAsia="zh-CN"/>
        </w:rPr>
        <w:t xml:space="preserve"> </w:t>
      </w:r>
      <w:bookmarkStart w:id="40" w:name="_Toc28359086"/>
      <w:r/>
      <w:bookmarkStart w:id="41" w:name="_Toc28359009"/>
      <w:r>
        <w:rPr>
          <w:rFonts w:hint="eastAsia" w:ascii="宋体" w:hAnsi="宋体" w:eastAsia="宋体" w:cs="Times New Roman"/>
          <w:sz w:val="24"/>
          <w:szCs w:val="24"/>
          <w:highlight w:val="none"/>
          <w:u w:val="none"/>
          <w:lang w:val="en-US" w:eastAsia="zh-CN"/>
        </w:rPr>
      </w:r>
      <w:r/>
    </w:p>
    <w:p>
      <w:pPr>
        <w:pStyle w:val="946"/>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2.交易中心</w:t>
      </w:r>
      <w:bookmarkEnd w:id="40"/>
      <w:r/>
      <w:bookmarkEnd w:id="41"/>
      <w:r>
        <w:rPr>
          <w:rFonts w:hint="eastAsia" w:ascii="宋体" w:hAnsi="宋体" w:eastAsia="宋体" w:cs="Times New Roman"/>
          <w:sz w:val="24"/>
          <w:szCs w:val="24"/>
          <w:highlight w:val="none"/>
          <w:u w:val="none"/>
          <w:lang w:val="en-US" w:eastAsia="zh-CN"/>
        </w:rPr>
      </w:r>
      <w:r/>
    </w:p>
    <w:p>
      <w:pPr>
        <w:pStyle w:val="946"/>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址：南京市建邺区江东中路265号  　　　　　　　　　　　</w:t>
      </w:r>
      <w:r>
        <w:rPr>
          <w:rFonts w:hint="eastAsia" w:ascii="宋体" w:hAnsi="宋体" w:eastAsia="宋体" w:cs="Times New Roman"/>
          <w:sz w:val="24"/>
          <w:szCs w:val="24"/>
          <w:highlight w:val="none"/>
          <w:u w:val="none"/>
          <w:lang w:val="en-US" w:eastAsia="zh-CN"/>
        </w:rPr>
      </w:r>
      <w:r/>
    </w:p>
    <w:p>
      <w:pPr>
        <w:pStyle w:val="946"/>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联系人：马女士                             </w:t>
      </w:r>
      <w:r>
        <w:rPr>
          <w:rFonts w:hint="eastAsia" w:ascii="宋体" w:hAnsi="宋体" w:eastAsia="宋体" w:cs="Times New Roman"/>
          <w:sz w:val="24"/>
          <w:szCs w:val="24"/>
          <w:highlight w:val="none"/>
          <w:u w:val="none"/>
          <w:lang w:val="en-US" w:eastAsia="zh-CN"/>
        </w:rPr>
      </w:r>
      <w:r/>
    </w:p>
    <w:p>
      <w:pPr>
        <w:pStyle w:val="946"/>
        <w:ind w:firstLine="480"/>
        <w:pageBreakBefore w:val="0"/>
        <w:spacing w:line="264" w:lineRule="auto"/>
        <w:widowControl w:val="off"/>
        <w:rPr>
          <w:rFonts w:hint="eastAsia"/>
          <w:highlight w:val="none"/>
          <w:u w:val="none"/>
        </w:rPr>
      </w:pPr>
      <w:r>
        <w:rPr>
          <w:rFonts w:hint="eastAsia" w:ascii="宋体" w:hAnsi="宋体" w:eastAsia="宋体" w:cs="Times New Roman"/>
          <w:sz w:val="24"/>
          <w:szCs w:val="24"/>
          <w:highlight w:val="none"/>
          <w:u w:val="none"/>
          <w:lang w:val="en-US" w:eastAsia="zh-CN"/>
        </w:rPr>
        <w:t xml:space="preserve">联系电话：025-68505961</w:t>
      </w:r>
      <w:r>
        <w:rPr>
          <w:rFonts w:hint="eastAsia" w:ascii="宋体" w:hAnsi="宋体" w:eastAsia="宋体" w:cs="Times New Roman"/>
          <w:color w:val="0000ff"/>
          <w:sz w:val="24"/>
          <w:szCs w:val="24"/>
          <w:highlight w:val="none"/>
          <w:u w:val="none"/>
          <w:lang w:val="en-US" w:eastAsia="zh-CN"/>
        </w:rPr>
        <w:t xml:space="preserve">  </w:t>
      </w:r>
      <w:r>
        <w:rPr>
          <w:rFonts w:hint="eastAsia"/>
          <w:highlight w:val="none"/>
          <w:u w:val="none"/>
        </w:rPr>
      </w:r>
      <w:r/>
    </w:p>
    <w:p>
      <w:pPr>
        <w:pStyle w:val="946"/>
        <w:jc w:val="both"/>
        <w:pageBreakBefore w:val="0"/>
        <w:spacing w:line="240" w:lineRule="auto"/>
        <w:widowControl w:val="off"/>
        <w:tabs>
          <w:tab w:val="left" w:pos="900" w:leader="none"/>
        </w:tabs>
        <w:rPr>
          <w:rFonts w:ascii="宋体" w:hAnsi="宋体"/>
          <w:sz w:val="24"/>
          <w:szCs w:val="24"/>
          <w:highlight w:val="none"/>
        </w:rPr>
      </w:pPr>
      <w:r>
        <w:rPr>
          <w:rFonts w:ascii="宋体" w:hAnsi="宋体"/>
          <w:sz w:val="24"/>
          <w:szCs w:val="24"/>
          <w:highlight w:val="none"/>
        </w:rPr>
      </w:r>
      <w:r/>
    </w:p>
    <w:p>
      <w:pPr>
        <w:pStyle w:val="946"/>
        <w:jc w:val="both"/>
        <w:pageBreakBefore w:val="0"/>
        <w:spacing w:line="240" w:lineRule="auto"/>
        <w:widowControl w:val="off"/>
        <w:tabs>
          <w:tab w:val="left" w:pos="900" w:leader="none"/>
        </w:tabs>
        <w:rPr>
          <w:rFonts w:ascii="宋体" w:hAnsi="宋体"/>
          <w:sz w:val="24"/>
          <w:szCs w:val="24"/>
          <w:highlight w:val="none"/>
        </w:rPr>
      </w:pPr>
      <w:r>
        <w:rPr>
          <w:rFonts w:ascii="宋体" w:hAnsi="宋体"/>
          <w:sz w:val="24"/>
          <w:szCs w:val="24"/>
          <w:highlight w:val="none"/>
        </w:rPr>
      </w:r>
      <w:r/>
    </w:p>
    <w:p>
      <w:pPr>
        <w:pStyle w:val="107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pPr>
      <w:r/>
      <w:bookmarkEnd w:id="1"/>
      <w:r/>
      <w:bookmarkEnd w:id="2"/>
      <w:r/>
      <w:bookmarkEnd w:id="3"/>
      <w:r/>
      <w:bookmarkEnd w:id="4"/>
      <w:r/>
      <w:bookmarkEnd w:id="5"/>
      <w:r/>
      <w:bookmarkStart w:id="42" w:name="_Toc462564139"/>
      <w:r/>
      <w:bookmarkStart w:id="43" w:name="_Toc479757211"/>
      <w:r/>
      <w:bookmarkStart w:id="44" w:name="_Hlt16619350"/>
      <w:r/>
      <w:bookmarkStart w:id="45" w:name="_Toc120614244"/>
      <w:r/>
      <w:bookmarkStart w:id="46" w:name="_Toc16938590"/>
      <w:r/>
      <w:bookmarkStart w:id="47" w:name="_Toc20823346"/>
      <w:r>
        <w:rPr>
          <w:rFonts w:ascii="黑体" w:eastAsia="黑体"/>
          <w:bCs/>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48"/>
      <w:r/>
      <w:bookmarkStart w:id="49" w:name="_Toc120614213"/>
      <w:r/>
      <w:bookmarkStart w:id="50" w:name="_Toc20823274"/>
      <w:r/>
      <w:bookmarkStart w:id="51" w:name="_Toc513029202"/>
      <w:r/>
      <w:bookmarkStart w:id="52" w:name="_Toc16938518"/>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highlight w:val="none"/>
          <w:lang w:val="en-US" w:eastAsia="zh-CN" w:bidi="ar-SA"/>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53" w:name="_Toc120614214"/>
      <w:r/>
      <w:bookmarkStart w:id="54" w:name="_Toc513029242"/>
      <w:r/>
      <w:bookmarkStart w:id="55" w:name="_Toc16938558"/>
      <w:r/>
      <w:bookmarkStart w:id="56" w:name="_Toc479757207"/>
      <w:r/>
      <w:bookmarkStart w:id="57" w:name="_Toc20823275"/>
      <w:r/>
      <w:bookmarkStart w:id="58" w:name="_Toc16938519"/>
      <w:r/>
      <w:bookmarkStart w:id="59" w:name="_Toc513029203"/>
      <w:r/>
      <w:bookmarkStart w:id="60" w:name="_Toc120614221"/>
      <w:r/>
      <w:bookmarkStart w:id="61" w:name="_Toc20823314"/>
      <w:r>
        <w:rPr>
          <w:rFonts w:hint="eastAsia" w:ascii="方正黑体_GBK" w:hAnsi="方正黑体_GBK" w:eastAsia="方正黑体_GBK" w:cs="方正黑体_GBK"/>
          <w:b w:val="0"/>
          <w:bCs w:val="0"/>
          <w:color w:val="000000"/>
          <w:sz w:val="30"/>
          <w:szCs w:val="30"/>
          <w:highlight w:val="none"/>
        </w:rPr>
        <w:t xml:space="preserve">一、总则</w:t>
      </w:r>
      <w:bookmarkEnd w:id="53"/>
      <w:r/>
      <w:bookmarkEnd w:id="57"/>
      <w:r/>
      <w:bookmarkEnd w:id="58"/>
      <w:r/>
      <w:bookmarkEnd w:id="59"/>
      <w:r>
        <w:rPr>
          <w:rFonts w:hint="eastAsia" w:ascii="方正黑体_GBK" w:hAnsi="方正黑体_GBK" w:eastAsia="方正黑体_GBK" w:cs="方正黑体_GBK"/>
          <w:b w:val="0"/>
          <w:bCs w:val="0"/>
          <w:color w:val="000000"/>
          <w:sz w:val="30"/>
          <w:szCs w:val="30"/>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2" w:name="_Toc458694821"/>
      <w:r/>
      <w:bookmarkStart w:id="63" w:name="_Toc20823276"/>
      <w:r/>
      <w:bookmarkStart w:id="64" w:name="_Toc16938520"/>
      <w:r/>
      <w:bookmarkStart w:id="65" w:name="_Toc513029204"/>
      <w:r/>
      <w:bookmarkStart w:id="66" w:name="_Hlt16619475"/>
      <w:r/>
      <w:bookmarkEnd w:id="66"/>
      <w:r>
        <w:rPr>
          <w:rFonts w:hint="eastAsia" w:ascii="方正楷体_GBK" w:hAnsi="方正楷体_GBK" w:eastAsia="方正楷体_GBK" w:cs="方正楷体_GBK"/>
          <w:b/>
          <w:bCs/>
          <w:sz w:val="28"/>
          <w:szCs w:val="28"/>
          <w:highlight w:val="none"/>
        </w:rPr>
        <w:t xml:space="preserve">1</w:t>
      </w:r>
      <w:bookmarkEnd w:id="62"/>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63"/>
      <w:r/>
      <w:bookmarkEnd w:id="64"/>
      <w:r/>
      <w:bookmarkEnd w:id="65"/>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本文件仅适用于招标公告中所述项目。</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513029205"/>
      <w:r/>
      <w:bookmarkStart w:id="68" w:name="_Toc20823277"/>
      <w:r/>
      <w:bookmarkStart w:id="69" w:name="_Toc16938521"/>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7"/>
      <w:r/>
      <w:bookmarkEnd w:id="68"/>
      <w:r/>
      <w:bookmarkEnd w:id="69"/>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0" w:name="_Toc20823278"/>
      <w:r/>
      <w:bookmarkStart w:id="71" w:name="_Toc16938522"/>
      <w:r/>
      <w:bookmarkStart w:id="72" w:name="_Toc513029206"/>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70"/>
      <w:r/>
      <w:bookmarkEnd w:id="71"/>
      <w:r/>
      <w:bookmarkEnd w:id="72"/>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3" w:name="_Toc16938523"/>
      <w:r/>
      <w:bookmarkStart w:id="74" w:name="_Toc20823279"/>
      <w:r/>
      <w:bookmarkStart w:id="75" w:name="_Toc513029207"/>
      <w:r/>
      <w:bookmarkStart w:id="76" w:name="_Toc462564067"/>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73"/>
      <w:r/>
      <w:bookmarkEnd w:id="74"/>
      <w:r/>
      <w:bookmarkEnd w:id="75"/>
      <w:r/>
      <w:bookmarkEnd w:id="76"/>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即被认为接受了本文件的规定和约束。</w:t>
      </w:r>
      <w:r>
        <w:rPr>
          <w:rFonts w:hint="eastAsia" w:ascii="宋体" w:hAnsi="宋体" w:eastAsia="宋体" w:cs="Times New Roman"/>
          <w:color w:val="000000"/>
          <w:sz w:val="24"/>
          <w:highlight w:val="none"/>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7" w:name="_Toc16938525"/>
      <w:r/>
      <w:bookmarkStart w:id="78" w:name="_Toc120614215"/>
      <w:r/>
      <w:bookmarkStart w:id="79" w:name="_Toc20823281"/>
      <w:r/>
      <w:bookmarkStart w:id="80" w:name="_Toc513029209"/>
      <w:r>
        <w:rPr>
          <w:rFonts w:hint="eastAsia" w:ascii="方正黑体_GBK" w:hAnsi="方正黑体_GBK" w:eastAsia="方正黑体_GBK" w:cs="方正黑体_GBK"/>
          <w:b w:val="0"/>
          <w:bCs w:val="0"/>
          <w:color w:val="000000"/>
          <w:sz w:val="30"/>
          <w:szCs w:val="30"/>
          <w:highlight w:val="none"/>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1" w:name="_Toc16938526"/>
      <w:r/>
      <w:bookmarkStart w:id="82" w:name="_Toc20823282"/>
      <w:r/>
      <w:bookmarkStart w:id="83" w:name="_Toc513029210"/>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81"/>
      <w:r/>
      <w:bookmarkEnd w:id="82"/>
      <w:r/>
      <w:bookmarkEnd w:id="83"/>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并保证所提供的全部资料的真实性</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以使其投标文件对招标文件作出实质性响应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否则其风险由投标人自行承担。</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4" w:name="_Toc462564070"/>
      <w:r/>
      <w:bookmarkStart w:id="85" w:name="_Toc20823283"/>
      <w:r/>
      <w:bookmarkStart w:id="86" w:name="_Toc16938527"/>
      <w:r/>
      <w:bookmarkStart w:id="87" w:name="_Toc513029211"/>
      <w:r>
        <w:rPr>
          <w:rFonts w:hint="eastAsia" w:ascii="方正楷体_GBK" w:hAnsi="方正楷体_GBK" w:eastAsia="方正楷体_GBK" w:cs="方正楷体_GBK"/>
          <w:b/>
          <w:bCs/>
          <w:sz w:val="28"/>
          <w:szCs w:val="28"/>
          <w:highlight w:val="none"/>
        </w:rPr>
        <w:t xml:space="preserve">7</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招标文件的澄清</w:t>
      </w:r>
      <w:bookmarkEnd w:id="84"/>
      <w:r/>
      <w:bookmarkEnd w:id="85"/>
      <w:r/>
      <w:bookmarkEnd w:id="86"/>
      <w:r/>
      <w:bookmarkEnd w:id="87"/>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应在投标截止期十日前按招标公告中的通讯地址</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8" w:name="_Toc16938528"/>
      <w:r/>
      <w:bookmarkStart w:id="89" w:name="_Toc462564071"/>
      <w:r/>
      <w:bookmarkStart w:id="90" w:name="_Toc513029212"/>
      <w:r/>
      <w:bookmarkStart w:id="91" w:name="_Toc20823284"/>
      <w:r>
        <w:rPr>
          <w:rFonts w:hint="eastAsia" w:ascii="方正楷体_GBK" w:hAnsi="方正楷体_GBK" w:eastAsia="方正楷体_GBK" w:cs="方正楷体_GBK"/>
          <w:b/>
          <w:bCs/>
          <w:sz w:val="28"/>
          <w:szCs w:val="28"/>
          <w:highlight w:val="none"/>
        </w:rPr>
        <w:t xml:space="preserve">8</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招标文件的修改</w:t>
      </w:r>
      <w:bookmarkEnd w:id="88"/>
      <w:r/>
      <w:bookmarkEnd w:id="89"/>
      <w:r/>
      <w:bookmarkEnd w:id="90"/>
      <w:r/>
      <w:bookmarkEnd w:id="91"/>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92" w:name="_Toc513029213"/>
      <w:r/>
      <w:bookmarkStart w:id="93" w:name="_Toc20823285"/>
      <w:r/>
      <w:bookmarkStart w:id="94" w:name="_Toc16938529"/>
      <w:r/>
      <w:bookmarkStart w:id="95" w:name="_Toc462564072"/>
      <w:r/>
      <w:bookmarkStart w:id="96" w:name="_Toc120614216"/>
      <w:r>
        <w:rPr>
          <w:rFonts w:hint="eastAsia" w:ascii="宋体" w:hAnsi="宋体" w:eastAsia="宋体" w:cs="Times New Roman"/>
          <w:color w:val="000000"/>
          <w:sz w:val="24"/>
          <w:highlight w:val="none"/>
        </w:rPr>
        <w:t xml:space="preserve">8.1 在投标截止时间前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交易中心可以对招标文件进行修改。招标文件的修改将在原公告媒体发布更正公告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更正内容将作为招标文件的组成部分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并对投标人具有约束力。</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关注原公告媒体有关本项目的更正公告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根据更正公告内容自行决定是否需要重新制作和提交投标文件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并承担由此产生的相应责任。</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并在原公告媒体发布更正公告。</w:t>
      </w:r>
      <w:r>
        <w:rPr>
          <w:rFonts w:hint="eastAsia" w:ascii="宋体" w:hAnsi="宋体" w:eastAsia="宋体" w:cs="Times New Roman"/>
          <w:color w:val="000000"/>
          <w:sz w:val="24"/>
          <w:highlight w:val="none"/>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7" w:name="_Toc16938530"/>
      <w:r/>
      <w:bookmarkStart w:id="98" w:name="_Toc20823286"/>
      <w:r/>
      <w:bookmarkStart w:id="99" w:name="_Toc513029214"/>
      <w:r/>
      <w:bookmarkStart w:id="100" w:name="_Toc462564073"/>
      <w:r>
        <w:rPr>
          <w:rFonts w:hint="eastAsia" w:ascii="方正楷体_GBK" w:hAnsi="方正楷体_GBK" w:eastAsia="方正楷体_GBK" w:cs="方正楷体_GBK"/>
          <w:b/>
          <w:bCs/>
          <w:sz w:val="28"/>
          <w:szCs w:val="28"/>
          <w:highlight w:val="none"/>
        </w:rPr>
        <w:t xml:space="preserve">9</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投标文件所使用的度量衡单位</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均须采用国家法定计量单位。</w:t>
      </w:r>
      <w:r>
        <w:rPr>
          <w:rFonts w:hint="eastAsia" w:ascii="宋体" w:hAnsi="宋体" w:eastAsia="宋体" w:cs="Times New Roman"/>
          <w:color w:val="000000"/>
          <w:sz w:val="24"/>
          <w:szCs w:val="22"/>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1" w:name="_Toc462564074"/>
      <w:r/>
      <w:bookmarkStart w:id="102" w:name="_Toc16938531"/>
      <w:r/>
      <w:bookmarkStart w:id="103" w:name="_Toc513029215"/>
      <w:r/>
      <w:bookmarkStart w:id="104" w:name="_Toc20823287"/>
      <w:r>
        <w:rPr>
          <w:rFonts w:hint="eastAsia" w:ascii="方正楷体_GBK" w:hAnsi="方正楷体_GBK" w:eastAsia="方正楷体_GBK" w:cs="方正楷体_GBK"/>
          <w:b/>
          <w:bCs/>
          <w:sz w:val="28"/>
          <w:szCs w:val="28"/>
          <w:highlight w:val="none"/>
        </w:rPr>
        <w:t xml:space="preserve">10</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投标文件构成</w:t>
      </w:r>
      <w:bookmarkEnd w:id="101"/>
      <w:r/>
      <w:bookmarkEnd w:id="102"/>
      <w:r/>
      <w:bookmarkEnd w:id="103"/>
      <w:r/>
      <w:bookmarkEnd w:id="104"/>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 投标人编写的投标文件应包括资格证明文件、符合性证明文件、</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、响应及偏离表、其他证明文件、投标函、开标一览表等部分。</w:t>
      </w:r>
      <w:r>
        <w:rPr>
          <w:rFonts w:hint="eastAsia" w:ascii="宋体" w:hAnsi="宋体" w:eastAsia="宋体" w:cs="Times New Roman"/>
          <w:color w:val="000000"/>
          <w:sz w:val="24"/>
          <w:szCs w:val="21"/>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如标书制作工具中格式和内容与“江苏政府采购网”发布的招标文件不一致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以“江苏政府采购网”发布的招标文件为准。</w:t>
      </w:r>
      <w:r>
        <w:rPr>
          <w:rFonts w:hint="eastAsia" w:ascii="宋体" w:hAnsi="宋体" w:eastAsia="宋体" w:cs="Times New Roman"/>
          <w:color w:val="000000"/>
          <w:sz w:val="24"/>
          <w:szCs w:val="21"/>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5" w:name="_Hlt26954838"/>
      <w:r/>
      <w:bookmarkEnd w:id="105"/>
      <w:r/>
      <w:bookmarkStart w:id="106" w:name="_Hlt26668975"/>
      <w:r/>
      <w:bookmarkEnd w:id="106"/>
      <w:r/>
      <w:bookmarkStart w:id="107" w:name="_Hlt26670360"/>
      <w:r/>
      <w:bookmarkEnd w:id="107"/>
      <w:r/>
      <w:bookmarkStart w:id="108" w:name="_Toc513029219"/>
      <w:r/>
      <w:bookmarkStart w:id="109" w:name="_Toc14577357"/>
      <w:r/>
      <w:bookmarkStart w:id="110" w:name="_Toc49090509"/>
      <w:r/>
      <w:bookmarkStart w:id="111" w:name="_Toc49090507"/>
      <w:r/>
      <w:bookmarkStart w:id="112" w:name="_Toc513029216"/>
      <w:r/>
      <w:bookmarkStart w:id="113" w:name="_Toc14577354"/>
      <w:r>
        <w:rPr>
          <w:rFonts w:hint="eastAsia" w:ascii="方正楷体_GBK" w:hAnsi="方正楷体_GBK" w:eastAsia="方正楷体_GBK" w:cs="方正楷体_GBK"/>
          <w:b/>
          <w:bCs/>
          <w:sz w:val="28"/>
          <w:szCs w:val="28"/>
          <w:highlight w:val="none"/>
        </w:rPr>
        <w:t xml:space="preserve">11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证明投标人及投标标的符合招标文件规定的文件</w:t>
      </w:r>
      <w:bookmarkEnd w:id="108"/>
      <w:r/>
      <w:bookmarkEnd w:id="109"/>
      <w:r/>
      <w:bookmarkEnd w:id="110"/>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11"/>
      <w:r/>
      <w:bookmarkEnd w:id="112"/>
      <w:r/>
      <w:bookmarkEnd w:id="113"/>
      <w:r/>
      <w:bookmarkStart w:id="114" w:name="_Toc14577355"/>
      <w:r/>
      <w:bookmarkStart w:id="115" w:name="_Toc49090508"/>
      <w:r>
        <w:rPr>
          <w:rFonts w:hint="eastAsia" w:ascii="宋体" w:hAnsi="宋体" w:eastAsia="宋体" w:cs="Times New Roman"/>
          <w:color w:val="000000"/>
          <w:sz w:val="24"/>
          <w:highlight w:val="none"/>
        </w:rPr>
        <w:t xml:space="preserve">11.1 投标人应按照法律、法规、规章和规范性文件以及招标文件要求提交证明文件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证明其投标标的符合招标文件规定。</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证明文件可以以文字资料、图纸和数据等形式提交。</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12</w:t>
      </w:r>
      <w:bookmarkEnd w:id="114"/>
      <w:r/>
      <w:bookmarkEnd w:id="115"/>
      <w:r>
        <w:rPr>
          <w:rFonts w:hint="eastAsia" w:ascii="方正楷体_GBK" w:hAnsi="方正楷体_GBK" w:eastAsia="方正楷体_GBK" w:cs="方正楷体_GBK"/>
          <w:b/>
          <w:bCs/>
          <w:sz w:val="28"/>
          <w:szCs w:val="28"/>
          <w:highlight w:val="none"/>
          <w:lang w:val="en-US" w:eastAsia="zh-CN"/>
        </w:rPr>
        <w:t xml:space="preserve">.投标分项报价表</w:t>
      </w:r>
      <w:r>
        <w:rPr>
          <w:rFonts w:hint="eastAsia" w:ascii="方正楷体_GBK" w:hAnsi="方正楷体_GBK" w:eastAsia="方正楷体_GBK" w:cs="方正楷体_GBK"/>
          <w:b/>
          <w:bCs/>
          <w:color w:val="000000"/>
          <w:sz w:val="28"/>
          <w:szCs w:val="28"/>
          <w:highlight w:val="none"/>
          <w:lang w:val="en-US" w:eastAsia="zh-CN"/>
        </w:rPr>
        <w:t xml:space="preserve">（如有）</w:t>
      </w:r>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6" w:name="_Hlt26954840"/>
      <w:r/>
      <w:bookmarkEnd w:id="116"/>
      <w:r>
        <w:rPr>
          <w:rFonts w:hint="eastAsia" w:ascii="宋体" w:hAnsi="宋体" w:eastAsia="宋体" w:cs="Times New Roman"/>
          <w:color w:val="000000"/>
          <w:sz w:val="24"/>
          <w:highlight w:val="none"/>
        </w:rPr>
        <w:t xml:space="preserve">标人应按照招标文件规定格式填报</w:t>
      </w:r>
      <w:bookmarkStart w:id="117" w:name="_Hlt26670399"/>
      <w:r/>
      <w:bookmarkEnd w:id="117"/>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以元为单位标注。招标文件另有规定的按规定执行。</w:t>
      </w:r>
      <w:r>
        <w:rPr>
          <w:rFonts w:hint="eastAsia" w:ascii="宋体" w:hAnsi="宋体" w:eastAsia="宋体" w:cs="Times New Roman"/>
          <w:color w:val="000000"/>
          <w:sz w:val="24"/>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18" w:name="_Hlt26954844"/>
      <w:r/>
      <w:bookmarkEnd w:id="118"/>
      <w:r/>
      <w:bookmarkStart w:id="119" w:name="_Hlt26954846"/>
      <w:r/>
      <w:bookmarkEnd w:id="119"/>
      <w:r/>
      <w:bookmarkStart w:id="120" w:name="_Hlt26670425"/>
      <w:r/>
      <w:bookmarkEnd w:id="120"/>
      <w:r/>
      <w:bookmarkStart w:id="121" w:name="_Hlt26954848"/>
      <w:r/>
      <w:bookmarkEnd w:id="121"/>
      <w:r/>
      <w:bookmarkStart w:id="122" w:name="_Hlt26670482"/>
      <w:r/>
      <w:bookmarkEnd w:id="122"/>
      <w:r/>
      <w:bookmarkStart w:id="123" w:name="_Hlt26954842"/>
      <w:r/>
      <w:bookmarkEnd w:id="123"/>
      <w:r/>
      <w:bookmarkStart w:id="124" w:name="_Hlt26668983"/>
      <w:r/>
      <w:bookmarkEnd w:id="124"/>
      <w:r/>
      <w:bookmarkStart w:id="125" w:name="_Hlt26670486"/>
      <w:r/>
      <w:bookmarkEnd w:id="125"/>
      <w:r/>
      <w:bookmarkStart w:id="126" w:name="_Hlt26670403"/>
      <w:r/>
      <w:bookmarkEnd w:id="126"/>
      <w:r/>
      <w:bookmarkStart w:id="127" w:name="_Hlt26954731"/>
      <w:r/>
      <w:bookmarkEnd w:id="127"/>
      <w:r>
        <w:rPr>
          <w:rFonts w:hint="eastAsia" w:ascii="方正楷体_GBK" w:hAnsi="方正楷体_GBK" w:eastAsia="方正楷体_GBK" w:cs="方正楷体_GBK"/>
          <w:b/>
          <w:bCs/>
          <w:sz w:val="28"/>
          <w:szCs w:val="28"/>
          <w:highlight w:val="none"/>
        </w:rPr>
        <w:t xml:space="preserve">13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28" w:name="_Toc49090510"/>
      <w:r/>
      <w:bookmarkStart w:id="129" w:name="_Toc14577359"/>
      <w:r>
        <w:rPr>
          <w:rFonts w:hint="eastAsia" w:ascii="方正楷体_GBK" w:hAnsi="方正楷体_GBK" w:eastAsia="方正楷体_GBK" w:cs="方正楷体_GBK"/>
          <w:b/>
          <w:bCs/>
          <w:sz w:val="28"/>
          <w:szCs w:val="28"/>
          <w:highlight w:val="none"/>
        </w:rPr>
        <w:t xml:space="preserve">14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投标函和开标一览表</w:t>
      </w:r>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28"/>
      <w:r/>
      <w:bookmarkEnd w:id="129"/>
      <w:r/>
      <w:bookmarkStart w:id="130" w:name="_Hlt26954734"/>
      <w:r/>
      <w:bookmarkEnd w:id="130"/>
      <w:r/>
      <w:bookmarkStart w:id="131" w:name="_Hlt26954850"/>
      <w:r/>
      <w:bookmarkEnd w:id="131"/>
      <w:r/>
      <w:bookmarkStart w:id="132" w:name="_Hlt26670489"/>
      <w:r/>
      <w:bookmarkEnd w:id="132"/>
      <w:r/>
      <w:bookmarkStart w:id="133" w:name="_Toc14577360"/>
      <w:r/>
      <w:bookmarkStart w:id="134" w:name="_Toc49090511"/>
      <w:r>
        <w:rPr>
          <w:rFonts w:hint="eastAsia" w:ascii="方正楷体_GBK" w:hAnsi="方正楷体_GBK" w:eastAsia="方正楷体_GBK" w:cs="方正楷体_GBK"/>
          <w:b/>
          <w:bCs/>
          <w:sz w:val="28"/>
          <w:szCs w:val="28"/>
          <w:highlight w:val="none"/>
        </w:rPr>
        <w:t xml:space="preserve">15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投标有效期</w:t>
      </w:r>
      <w:bookmarkEnd w:id="133"/>
      <w:r/>
      <w:bookmarkEnd w:id="134"/>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000000"/>
          <w:sz w:val="24"/>
          <w:highlight w:val="none"/>
          <w:lang w:val="zh-CN"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5" w:name="_Hlt26954739"/>
      <w:r/>
      <w:bookmarkEnd w:id="135"/>
      <w:r/>
      <w:bookmarkStart w:id="136" w:name="_Hlt26954852"/>
      <w:r/>
      <w:bookmarkEnd w:id="136"/>
      <w:r/>
      <w:bookmarkStart w:id="137" w:name="_Toc513029224"/>
      <w:r/>
      <w:bookmarkStart w:id="138" w:name="_Toc120614217"/>
      <w:r/>
      <w:bookmarkStart w:id="139" w:name="_Toc16938540"/>
      <w:r/>
      <w:bookmarkStart w:id="140" w:name="_Toc20823296"/>
      <w:r/>
      <w:bookmarkStart w:id="141" w:name="_Toc20823309"/>
      <w:r/>
      <w:bookmarkStart w:id="142" w:name="_Toc513029237"/>
      <w:r/>
      <w:bookmarkStart w:id="143" w:name="_Toc16938553"/>
      <w:r>
        <w:rPr>
          <w:rFonts w:hint="eastAsia" w:ascii="方正黑体_GBK" w:hAnsi="方正黑体_GBK" w:eastAsia="方正黑体_GBK" w:cs="方正黑体_GBK"/>
          <w:b w:val="0"/>
          <w:bCs w:val="0"/>
          <w:color w:val="000000"/>
          <w:sz w:val="30"/>
          <w:szCs w:val="30"/>
          <w:highlight w:val="none"/>
        </w:rPr>
        <w:t xml:space="preserve">四、投标文件的递交</w:t>
      </w:r>
      <w:bookmarkEnd w:id="137"/>
      <w:r/>
      <w:bookmarkEnd w:id="138"/>
      <w:r/>
      <w:bookmarkEnd w:id="139"/>
      <w:r/>
      <w:bookmarkEnd w:id="140"/>
      <w:r>
        <w:rPr>
          <w:rFonts w:hint="eastAsia" w:ascii="方正黑体_GBK" w:hAnsi="方正黑体_GBK" w:eastAsia="方正黑体_GBK" w:cs="方正黑体_GBK"/>
          <w:b w:val="0"/>
          <w:bCs w:val="0"/>
          <w:color w:val="000000"/>
          <w:sz w:val="30"/>
          <w:szCs w:val="30"/>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44" w:name="_Toc513029225"/>
      <w:r/>
      <w:bookmarkStart w:id="145" w:name="_Toc20823297"/>
      <w:r/>
      <w:bookmarkStart w:id="146" w:name="_Toc462564084"/>
      <w:r/>
      <w:bookmarkStart w:id="147" w:name="_Toc16938541"/>
      <w:r>
        <w:rPr>
          <w:rFonts w:hint="eastAsia" w:ascii="方正楷体_GBK" w:hAnsi="方正楷体_GBK" w:eastAsia="方正楷体_GBK" w:cs="方正楷体_GBK"/>
          <w:b/>
          <w:bCs/>
          <w:highlight w:val="none"/>
        </w:rPr>
        <w:t xml:space="preserve">17</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w:t>
      </w:r>
      <w:bookmarkEnd w:id="144"/>
      <w:r/>
      <w:bookmarkEnd w:id="145"/>
      <w:r/>
      <w:bookmarkEnd w:id="146"/>
      <w:r/>
      <w:bookmarkEnd w:id="147"/>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8" w:name="_Toc20823298"/>
      <w:r/>
      <w:bookmarkStart w:id="149" w:name="_Toc513029226"/>
      <w:r/>
      <w:bookmarkStart w:id="150" w:name="_Toc16938542"/>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8"/>
      <w:r/>
      <w:bookmarkEnd w:id="149"/>
      <w:r/>
      <w:bookmarkEnd w:id="150"/>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51" w:name="_Toc16938543"/>
      <w:r/>
      <w:bookmarkStart w:id="152" w:name="_Toc20823299"/>
      <w:r/>
      <w:bookmarkStart w:id="153" w:name="_Toc51302922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eastAsia="zh-CN"/>
        </w:rPr>
        <w:t xml:space="preserve">8</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w:t>
      </w:r>
      <w:bookmarkEnd w:id="151"/>
      <w:r/>
      <w:bookmarkEnd w:id="152"/>
      <w:r/>
      <w:bookmarkEnd w:id="153"/>
      <w:r>
        <w:rPr>
          <w:rFonts w:hint="eastAsia" w:ascii="方正楷体_GBK" w:hAnsi="方正楷体_GBK" w:eastAsia="方正楷体_GBK" w:cs="方正楷体_GBK"/>
          <w:b/>
          <w:bCs/>
          <w:highlight w:val="none"/>
        </w:rPr>
        <w:t xml:space="preserve">的拒收</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54" w:name="_Toc513029228"/>
      <w:r/>
      <w:bookmarkStart w:id="155" w:name="_Toc16938544"/>
      <w:r/>
      <w:bookmarkStart w:id="156" w:name="_Toc20823300"/>
      <w:r>
        <w:rPr>
          <w:rFonts w:hint="eastAsia" w:ascii="方正楷体_GBK" w:hAnsi="方正楷体_GBK" w:eastAsia="方正楷体_GBK" w:cs="方正楷体_GBK"/>
          <w:b/>
          <w:bCs/>
          <w:highlight w:val="none"/>
          <w:lang w:eastAsia="zh-CN"/>
        </w:rPr>
        <w:t xml:space="preserve">1</w:t>
      </w:r>
      <w:r>
        <w:rPr>
          <w:rFonts w:hint="eastAsia" w:ascii="方正楷体_GBK" w:hAnsi="方正楷体_GBK" w:eastAsia="方正楷体_GBK" w:cs="方正楷体_GBK"/>
          <w:b/>
          <w:bCs/>
          <w:highlight w:val="none"/>
          <w:lang w:val="en-US" w:eastAsia="zh-CN"/>
        </w:rPr>
        <w:t xml:space="preserve">9.</w:t>
      </w:r>
      <w:r>
        <w:rPr>
          <w:rFonts w:hint="eastAsia" w:ascii="方正楷体_GBK" w:hAnsi="方正楷体_GBK" w:eastAsia="方正楷体_GBK" w:cs="方正楷体_GBK"/>
          <w:b/>
          <w:bCs/>
          <w:highlight w:val="none"/>
        </w:rPr>
        <w:t xml:space="preserve">投标文件的撤回和修改</w:t>
      </w:r>
      <w:bookmarkEnd w:id="154"/>
      <w:r/>
      <w:bookmarkEnd w:id="155"/>
      <w:r/>
      <w:bookmarkEnd w:id="156"/>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7" w:name="_Toc120614218"/>
      <w:r/>
      <w:bookmarkStart w:id="158" w:name="_Toc20823301"/>
      <w:r/>
      <w:bookmarkStart w:id="159" w:name="_Toc16938545"/>
      <w:r/>
      <w:bookmarkStart w:id="160" w:name="_Toc513029229"/>
      <w:r>
        <w:rPr>
          <w:rFonts w:hint="eastAsia" w:ascii="宋体" w:hAnsi="宋体" w:eastAsia="宋体" w:cs="Times New Roman"/>
          <w:color w:val="000000"/>
          <w:sz w:val="24"/>
          <w:highlight w:val="none"/>
          <w:lang w:val="zh-CN"/>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61" w:name="_Toc20823302"/>
      <w:r/>
      <w:bookmarkStart w:id="162" w:name="_Toc16938546"/>
      <w:r/>
      <w:bookmarkStart w:id="163" w:name="_Toc513029230"/>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0</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开标</w:t>
      </w:r>
      <w:bookmarkEnd w:id="161"/>
      <w:r/>
      <w:bookmarkEnd w:id="162"/>
      <w:r/>
      <w:bookmarkEnd w:id="163"/>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64" w:name="_Toc16938547"/>
      <w:r/>
      <w:bookmarkStart w:id="165" w:name="_Toc20823303"/>
      <w:r/>
      <w:bookmarkStart w:id="166" w:name="_Toc513029231"/>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1</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评标</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eastAsia="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评委会由采购人代表和有关技术、经济或法律等方面的专家组成，且人员构成符合政府采购有关规定。</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64"/>
      <w:r/>
      <w:bookmarkEnd w:id="165"/>
      <w:r/>
      <w:bookmarkEnd w:id="166"/>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20823304"/>
      <w:r/>
      <w:bookmarkStart w:id="168" w:name="_Toc16938548"/>
      <w:r/>
      <w:bookmarkStart w:id="169" w:name="_Toc513029232"/>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3</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投标文件的澄清</w:t>
      </w:r>
      <w:bookmarkEnd w:id="167"/>
      <w:r/>
      <w:bookmarkEnd w:id="168"/>
      <w:r/>
      <w:bookmarkEnd w:id="169"/>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70" w:name="_Toc20823305"/>
      <w:r/>
      <w:bookmarkStart w:id="171" w:name="_Toc513029233"/>
      <w:r/>
      <w:bookmarkStart w:id="172" w:name="_Toc16938549"/>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投标文件的</w:t>
      </w:r>
      <w:bookmarkEnd w:id="170"/>
      <w:r/>
      <w:bookmarkEnd w:id="171"/>
      <w:r/>
      <w:bookmarkEnd w:id="172"/>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46"/>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946"/>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3" w:name="_Toc16938550"/>
      <w:r/>
      <w:bookmarkStart w:id="174" w:name="_Toc20823306"/>
      <w:r/>
      <w:bookmarkStart w:id="175" w:name="_Toc513029234"/>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73"/>
      <w:r/>
      <w:bookmarkEnd w:id="174"/>
      <w:r/>
      <w:bookmarkEnd w:id="175"/>
      <w:r>
        <w:rPr>
          <w:rFonts w:hint="eastAsia" w:ascii="方正楷体_GBK" w:hAnsi="方正楷体_GBK" w:eastAsia="方正楷体_GBK" w:cs="方正楷体_GBK"/>
          <w:b/>
          <w:bCs/>
          <w:highlight w:val="none"/>
          <w:lang w:eastAsia="zh-CN"/>
        </w:rPr>
        <w:t xml:space="preserve">5</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Start w:id="176" w:name="_Toc513029235"/>
      <w:r/>
      <w:bookmarkStart w:id="177" w:name="_Toc16938551"/>
      <w:r/>
      <w:bookmarkStart w:id="178" w:name="_Toc20823307"/>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评委会认为投标人的报价明显低于其他通过符合性审查投标人的报价，有可能影响</w:t>
      </w:r>
      <w:r>
        <w:rPr>
          <w:rFonts w:hint="eastAsia" w:ascii="宋体" w:hAnsi="宋体" w:cs="Times New Roman"/>
          <w:color w:val="000000"/>
          <w:sz w:val="24"/>
          <w:highlight w:val="none"/>
          <w:lang w:val="en-US" w:eastAsia="zh-CN"/>
        </w:rPr>
        <w:t xml:space="preserve">服务</w:t>
      </w:r>
      <w:r>
        <w:rPr>
          <w:rFonts w:hint="eastAsia" w:ascii="宋体" w:hAnsi="宋体" w:eastAsia="宋体" w:cs="Times New Roman"/>
          <w:color w:val="000000"/>
          <w:sz w:val="24"/>
          <w:highlight w:val="none"/>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highlight w:val="none"/>
          <w:lang w:val="zh-CN"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End w:id="141"/>
      <w:r/>
      <w:bookmarkEnd w:id="142"/>
      <w:r/>
      <w:bookmarkEnd w:id="143"/>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9"/>
      <w:r>
        <w:rPr>
          <w:rFonts w:hint="eastAsia" w:ascii="方正黑体_GBK" w:hAnsi="方正黑体_GBK" w:eastAsia="方正黑体_GBK" w:cs="方正黑体_GBK"/>
          <w:b w:val="0"/>
          <w:bCs w:val="0"/>
          <w:color w:val="000000"/>
          <w:sz w:val="30"/>
          <w:szCs w:val="30"/>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80" w:name="_Toc20823310"/>
      <w:r/>
      <w:bookmarkStart w:id="181" w:name="_Toc16938554"/>
      <w:r/>
      <w:bookmarkStart w:id="182" w:name="_Toc513029238"/>
      <w:r>
        <w:rPr>
          <w:rFonts w:hint="eastAsia" w:ascii="方正楷体_GBK" w:hAnsi="方正楷体_GBK" w:eastAsia="方正楷体_GBK" w:cs="方正楷体_GBK"/>
          <w:b/>
          <w:bCs/>
          <w:highlight w:val="none"/>
        </w:rPr>
        <w:t xml:space="preserve">2</w:t>
      </w:r>
      <w:bookmarkEnd w:id="182"/>
      <w:r>
        <w:rPr>
          <w:rFonts w:hint="eastAsia" w:ascii="方正楷体_GBK" w:hAnsi="方正楷体_GBK" w:eastAsia="方正楷体_GBK" w:cs="方正楷体_GBK"/>
          <w:b/>
          <w:bCs/>
          <w:highlight w:val="none"/>
          <w:lang w:eastAsia="zh-CN"/>
        </w:rPr>
        <w:t xml:space="preserve">6</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确定</w:t>
      </w:r>
      <w:bookmarkEnd w:id="180"/>
      <w:r/>
      <w:bookmarkEnd w:id="181"/>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与其他供应商、评审专家、采购人或交易中心工作人员恶意串通。</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en-US"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83"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End w:id="183"/>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7.</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84" w:name="_Toc120614220"/>
      <w:r/>
      <w:bookmarkStart w:id="185" w:name="_Toc20823308"/>
      <w:r/>
      <w:bookmarkStart w:id="186" w:name="_Toc513029236"/>
      <w:r/>
      <w:bookmarkStart w:id="187" w:name="_Toc16938552"/>
      <w:r>
        <w:rPr>
          <w:rFonts w:hint="eastAsia" w:ascii="方正黑体_GBK" w:hAnsi="方正黑体_GBK" w:eastAsia="方正黑体_GBK" w:cs="方正黑体_GBK"/>
          <w:b w:val="0"/>
          <w:bCs w:val="0"/>
          <w:color w:val="000000"/>
          <w:sz w:val="30"/>
          <w:szCs w:val="30"/>
          <w:highlight w:val="none"/>
        </w:rPr>
        <w:t xml:space="preserve">七、授予合同</w:t>
      </w:r>
      <w:bookmarkEnd w:id="184"/>
      <w:r>
        <w:rPr>
          <w:rFonts w:hint="eastAsia" w:ascii="方正黑体_GBK" w:hAnsi="方正黑体_GBK" w:eastAsia="方正黑体_GBK" w:cs="方正黑体_GBK"/>
          <w:b w:val="0"/>
          <w:bCs w:val="0"/>
          <w:color w:val="000000"/>
          <w:sz w:val="30"/>
          <w:szCs w:val="30"/>
          <w:highlight w:val="none"/>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End w:id="185"/>
      <w:r/>
      <w:bookmarkEnd w:id="186"/>
      <w:r/>
      <w:bookmarkEnd w:id="187"/>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8.</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.l</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中标人应当</w:t>
      </w:r>
      <w:r>
        <w:rPr>
          <w:rFonts w:hint="eastAsia" w:ascii="宋体" w:hAnsi="宋体" w:eastAsia="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eastAsia="zh-CN"/>
        </w:rPr>
        <w:t xml:space="preserve">《中标通知书》发出之日起三十日内，按照招标文件确定的事项与采购人签订政府采购合同。采购人于合同签订后2个工作日内通过苏采云系统进行公示。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highlight w:val="none"/>
          <w:lang w:val="en-US"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29.</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（包含与</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相关的</w:t>
      </w:r>
      <w:r>
        <w:rPr>
          <w:rFonts w:hint="eastAsia" w:ascii="宋体" w:hAnsi="宋体" w:cs="Times New Roman"/>
          <w:color w:val="000000"/>
          <w:sz w:val="24"/>
          <w:highlight w:val="none"/>
          <w:lang w:val="zh-CN" w:eastAsia="zh-CN"/>
        </w:rPr>
        <w:t xml:space="preserve">货物</w:t>
      </w:r>
      <w:r>
        <w:rPr>
          <w:rFonts w:hint="eastAsia" w:ascii="宋体" w:hAnsi="宋体" w:eastAsia="宋体" w:cs="Times New Roman"/>
          <w:color w:val="000000"/>
          <w:sz w:val="24"/>
          <w:highlight w:val="none"/>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950"/>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3</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eastAsia="zh-CN"/>
        </w:rPr>
        <w:t xml:space="preserve">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946"/>
        <w:ind w:firstLine="420"/>
        <w:pageBreakBefore w:val="0"/>
        <w:spacing w:line="240" w:lineRule="auto"/>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94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b w:val="0"/>
          <w:bCs w:val="0"/>
          <w:color w:val="000000"/>
          <w:sz w:val="24"/>
          <w:highlight w:val="none"/>
          <w:lang w:val="zh-CN"/>
        </w:rPr>
      </w:pPr>
      <w:r>
        <w:rPr>
          <w:rFonts w:hint="eastAsia" w:ascii="宋体" w:hAnsi="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highlight w:val="none"/>
          <w:lang w:val="zh-CN"/>
        </w:rPr>
        <w:t xml:space="preserve">对除上述事项以外其他事项的询问、质疑向交易中心提出，由交易中心负责答复。</w:t>
      </w:r>
      <w:r>
        <w:rPr>
          <w:rFonts w:hint="eastAsia" w:ascii="宋体" w:hAnsi="宋体" w:eastAsia="宋体" w:cs="Times New Roman"/>
          <w:b w:val="0"/>
          <w:bCs w:val="0"/>
          <w:color w:val="000000"/>
          <w:sz w:val="24"/>
          <w:highlight w:val="none"/>
          <w:lang w:val="zh-CN"/>
        </w:rPr>
      </w:r>
      <w:r/>
    </w:p>
    <w:p>
      <w:pPr>
        <w:pStyle w:val="946"/>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宋体"/>
          <w:b/>
          <w:bCs/>
          <w:sz w:val="24"/>
          <w:szCs w:val="24"/>
          <w:highlight w:val="none"/>
          <w:u w:val="single"/>
          <w:lang w:val="en-US" w:eastAsia="zh-CN"/>
        </w:rPr>
        <w:t xml:space="preserve">采购人质疑接收人及联系方式为南京市仙林大学城管理委员会，联系地址：南京市栖霞区文苑路118号，联系人：薛工，联系电话：025-85898035 。</w:t>
      </w:r>
      <w:r>
        <w:rPr>
          <w:rFonts w:hint="eastAsia" w:ascii="宋体" w:hAnsi="宋体" w:eastAsia="宋体" w:cs="Times New Roman"/>
          <w:b/>
          <w:bCs/>
          <w:color w:val="000000"/>
          <w:sz w:val="24"/>
          <w:highlight w:val="none"/>
          <w:lang w:val="zh-CN"/>
        </w:rPr>
      </w:r>
      <w:r/>
    </w:p>
    <w:p>
      <w:pPr>
        <w:pStyle w:val="946"/>
        <w:ind w:firstLine="422"/>
        <w:jc w:val="both"/>
        <w:keepLines w:val="0"/>
        <w:keepNext w:val="0"/>
        <w:pageBreakBefore w:val="0"/>
        <w:spacing w:line="240" w:lineRule="auto"/>
        <w:widowControl w:val="off"/>
        <w:rPr>
          <w:rFonts w:hint="eastAsia" w:ascii="宋体" w:hAnsi="宋体" w:eastAsia="宋体" w:cs="Times New Roman"/>
          <w:b/>
          <w:bCs/>
          <w:color w:val="0000ff"/>
          <w:sz w:val="24"/>
          <w:szCs w:val="22"/>
          <w:highlight w:val="none"/>
          <w:lang w:val="zh-CN" w:eastAsia="zh-CN" w:bidi="ar-SA"/>
        </w:rPr>
      </w:pP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cs="Times New Roman"/>
          <w:b/>
          <w:bCs/>
          <w:color w:val="0000ff"/>
          <w:sz w:val="24"/>
          <w:szCs w:val="22"/>
          <w:highlight w:val="none"/>
          <w:lang w:val="zh-CN" w:eastAsia="zh-CN" w:bidi="ar-SA"/>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内容不符合《政府采购质疑和投诉办法》第十二条规定的质疑。</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超出政府采购法定期限的质疑。</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以传真、电子邮件等方式递交的非原件形式的质疑。</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6.4 未参加采购活动或在采购活动中自身权益未受到损害的供应商所提出的质疑。</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6.5 供应商组成联合体参加采购活动，联合体中任何一方或多方未按要求签字</w:t>
      </w:r>
      <w:r>
        <w:rPr>
          <w:rFonts w:hint="eastAsia" w:ascii="宋体" w:hAnsi="宋体" w:eastAsia="宋体" w:cs="Times New Roman"/>
          <w:color w:val="000000"/>
          <w:sz w:val="24"/>
          <w:highlight w:val="none"/>
          <w:lang w:val="en-US" w:eastAsia="zh-CN"/>
        </w:rPr>
        <w:t xml:space="preserve">或签章</w:t>
      </w:r>
      <w:r>
        <w:rPr>
          <w:rFonts w:hint="eastAsia" w:ascii="宋体" w:hAnsi="宋体" w:eastAsia="宋体" w:cs="Times New Roman"/>
          <w:color w:val="000000"/>
          <w:sz w:val="24"/>
          <w:highlight w:val="none"/>
          <w:lang w:val="zh-CN"/>
        </w:rPr>
        <w:t xml:space="preserve">、加盖公章的质疑。</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4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49"/>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50"/>
        <w:ind w:firstLine="422"/>
        <w:pageBreakBefore w:val="0"/>
        <w:spacing w:before="0" w:after="0" w:line="240" w:lineRule="auto"/>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946"/>
        <w:ind w:firstLine="420"/>
        <w:keepLines w:val="0"/>
        <w:keepNext w:val="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946"/>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946"/>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946"/>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46"/>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946"/>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1074"/>
        <w:ind w:left="0" w:firstLine="0"/>
        <w:jc w:val="center"/>
        <w:rPr>
          <w:rFonts w:hint="eastAsia" w:ascii="方正小标宋简体" w:hAnsi="方正小标宋简体" w:eastAsia="方正小标宋简体" w:cs="方正小标宋简体"/>
          <w:color w:val="000000"/>
          <w:sz w:val="36"/>
          <w:szCs w:val="36"/>
          <w:highlight w:val="none"/>
          <w:lang w:val="en-US"/>
        </w:rPr>
      </w:pPr>
      <w:r>
        <w:rPr>
          <w:rFonts w:hint="eastAsia"/>
          <w:highlight w:val="none"/>
          <w:lang w:val="zh-CN" w:eastAsia="zh-CN"/>
        </w:rPr>
        <w:br w:type="page" w:clear="all"/>
      </w:r>
      <w:bookmarkEnd w:id="54"/>
      <w:r/>
      <w:bookmarkEnd w:id="55"/>
      <w:r/>
      <w:bookmarkEnd w:id="56"/>
      <w:r/>
      <w:bookmarkEnd w:id="60"/>
      <w:r/>
      <w:bookmarkEnd w:id="61"/>
      <w:r>
        <w:rPr>
          <w:rFonts w:hint="eastAsia" w:ascii="方正小标宋简体" w:hAnsi="方正小标宋简体" w:eastAsia="方正小标宋简体" w:cs="方正小标宋简体"/>
          <w:color w:val="000000"/>
          <w:sz w:val="36"/>
          <w:szCs w:val="36"/>
          <w:highlight w:val="none"/>
          <w:lang w:val="en-US"/>
        </w:rPr>
        <w:t xml:space="preserve">第三章  合同文本</w:t>
      </w:r>
      <w:r>
        <w:rPr>
          <w:rFonts w:hint="eastAsia" w:ascii="方正小标宋简体" w:hAnsi="方正小标宋简体" w:eastAsia="方正小标宋简体" w:cs="方正小标宋简体"/>
          <w:color w:val="000000"/>
          <w:sz w:val="36"/>
          <w:szCs w:val="36"/>
          <w:highlight w:val="none"/>
          <w:lang w:val="en-US"/>
        </w:rPr>
      </w:r>
      <w:r/>
    </w:p>
    <w:p>
      <w:pPr>
        <w:pStyle w:val="946"/>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0"/>
      </w:pPr>
      <w:r/>
      <w:bookmarkStart w:id="188" w:name="_Toc513029243"/>
      <w:r/>
      <w:bookmarkStart w:id="189" w:name="_Toc16938559"/>
      <w:r/>
      <w:bookmarkStart w:id="190" w:name="_Toc20823315"/>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1074"/>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946"/>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0"/>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946"/>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0"/>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46"/>
        <w:keepLines w:val="0"/>
        <w:keepNext w:val="0"/>
        <w:pageBreakBefore w:val="0"/>
        <w:spacing w:before="145" w:after="145" w:line="240" w:lineRule="auto"/>
        <w:widowControl w:val="off"/>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46"/>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0"/>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946"/>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0"/>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.3 标的数量（规模）：</w:t>
      </w:r>
      <w:r>
        <w:rPr>
          <w:rFonts w:hint="eastAsia" w:ascii="宋体" w:hAnsi="宋体" w:eastAsia="宋体" w:cs="Courier New"/>
          <w:color w:val="000000"/>
          <w:sz w:val="24"/>
          <w:szCs w:val="24"/>
          <w:highlight w:val="none"/>
          <w:lang w:eastAsia="zh-CN"/>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.4 履行时间（期限）：合同生效之日起</w:t>
      </w:r>
      <w:r>
        <w:rPr>
          <w:rFonts w:hint="eastAsia" w:ascii="宋体" w:hAnsi="宋体" w:eastAsia="宋体" w:cs="Courier New"/>
          <w:color w:val="000000"/>
          <w:sz w:val="24"/>
          <w:szCs w:val="24"/>
          <w:highlight w:val="none"/>
          <w:lang w:val="en-US" w:eastAsia="zh-CN"/>
        </w:rPr>
        <w:t xml:space="preserve">两</w:t>
      </w:r>
      <w:r>
        <w:rPr>
          <w:rFonts w:hint="eastAsia" w:ascii="宋体" w:hAnsi="宋体" w:eastAsia="宋体" w:cs="Courier New"/>
          <w:color w:val="000000"/>
          <w:sz w:val="24"/>
          <w:szCs w:val="24"/>
          <w:highlight w:val="none"/>
          <w:lang w:eastAsia="zh-CN"/>
        </w:rPr>
        <w:t xml:space="preserve">年；</w:t>
      </w:r>
      <w:r>
        <w:rPr>
          <w:rFonts w:hint="eastAsia" w:ascii="宋体" w:hAnsi="宋体" w:eastAsia="宋体" w:cs="Courier New"/>
          <w:color w:val="000000"/>
          <w:sz w:val="24"/>
          <w:szCs w:val="24"/>
          <w:highlight w:val="none"/>
          <w:lang w:val="en-US" w:eastAsia="zh-CN"/>
        </w:rPr>
        <w:t xml:space="preserve">甲方将根据甲方管理考核办法，采用以月考核的方式，每季度汇总一次考核分数，对各采购包养护单位进行考核。经考核合格后合同继续生效，考核不合格甲方有权单方终止合同</w:t>
      </w:r>
      <w:r>
        <w:rPr>
          <w:rFonts w:hint="eastAsia" w:ascii="宋体" w:hAnsi="宋体" w:eastAsia="宋体" w:cs="Courier New"/>
          <w:color w:val="000000"/>
          <w:sz w:val="24"/>
          <w:szCs w:val="24"/>
          <w:highlight w:val="none"/>
          <w:lang w:eastAsia="zh-CN"/>
        </w:rPr>
        <w:t xml:space="preserve">（单个季度</w:t>
      </w:r>
      <w:r>
        <w:rPr>
          <w:rFonts w:hint="eastAsia" w:ascii="宋体" w:hAnsi="宋体" w:eastAsia="宋体" w:cs="Courier New"/>
          <w:color w:val="000000"/>
          <w:sz w:val="24"/>
          <w:szCs w:val="24"/>
          <w:highlight w:val="none"/>
          <w:lang w:val="en-US" w:eastAsia="zh-CN"/>
        </w:rPr>
        <w:t xml:space="preserve">均分</w:t>
      </w:r>
      <w:r>
        <w:rPr>
          <w:rFonts w:hint="eastAsia" w:ascii="宋体" w:hAnsi="宋体" w:eastAsia="宋体" w:cs="Courier New"/>
          <w:color w:val="000000"/>
          <w:sz w:val="24"/>
          <w:szCs w:val="24"/>
          <w:highlight w:val="none"/>
          <w:lang w:eastAsia="zh-CN"/>
        </w:rPr>
        <w:t xml:space="preserve">低于7</w:t>
      </w:r>
      <w:r>
        <w:rPr>
          <w:rFonts w:hint="eastAsia" w:ascii="宋体"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lang w:eastAsia="zh-CN"/>
        </w:rPr>
        <w:t xml:space="preserve">分的，或连续两个季度</w:t>
      </w:r>
      <w:r>
        <w:rPr>
          <w:rFonts w:hint="eastAsia" w:ascii="宋体" w:hAnsi="宋体" w:eastAsia="宋体" w:cs="Courier New"/>
          <w:color w:val="000000"/>
          <w:sz w:val="24"/>
          <w:szCs w:val="24"/>
          <w:highlight w:val="none"/>
          <w:lang w:val="en-US" w:eastAsia="zh-CN"/>
        </w:rPr>
        <w:t xml:space="preserve">均</w:t>
      </w:r>
      <w:r>
        <w:rPr>
          <w:rFonts w:hint="eastAsia" w:ascii="宋体" w:hAnsi="宋体" w:eastAsia="宋体" w:cs="Courier New"/>
          <w:color w:val="000000"/>
          <w:sz w:val="24"/>
          <w:szCs w:val="24"/>
          <w:highlight w:val="none"/>
          <w:lang w:eastAsia="zh-CN"/>
        </w:rPr>
        <w:t xml:space="preserve">分低于8</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eastAsia="zh-CN"/>
        </w:rPr>
        <w:t xml:space="preserve">分，终止本项目服务合同，扣除全部质量考核</w:t>
      </w:r>
      <w:r>
        <w:rPr>
          <w:rFonts w:hint="eastAsia" w:ascii="宋体" w:hAnsi="宋体" w:eastAsia="宋体" w:cs="Courier New"/>
          <w:color w:val="000000"/>
          <w:sz w:val="24"/>
          <w:szCs w:val="24"/>
          <w:highlight w:val="none"/>
          <w:lang w:val="en-US" w:eastAsia="zh-CN"/>
        </w:rPr>
        <w:t xml:space="preserve">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46"/>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946"/>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8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lang w:val="en-US" w:eastAsia="zh-CN"/>
        </w:rPr>
        <w:t xml:space="preserve">采购包1</w:t>
      </w:r>
      <w:r>
        <w:rPr>
          <w:rFonts w:hint="eastAsia" w:hAnsi="宋体" w:eastAsia="宋体" w:cs="Courier New"/>
          <w:color w:val="000000"/>
          <w:sz w:val="24"/>
          <w:szCs w:val="24"/>
          <w:highlight w:val="none"/>
        </w:rPr>
        <w:t xml:space="preserve">合同金额为（大写）：____________________圆（____________________元）人民币。</w:t>
      </w:r>
      <w:r>
        <w:rPr>
          <w:rFonts w:hint="eastAsia" w:ascii="宋体" w:hAnsi="宋体" w:eastAsia="宋体" w:cs="Courier New"/>
          <w:color w:val="000000"/>
          <w:sz w:val="24"/>
          <w:szCs w:val="24"/>
          <w:highlight w:val="none"/>
          <w:lang w:val="en-US" w:eastAsia="zh-CN"/>
        </w:rPr>
        <w:t xml:space="preserve">其中，绿化养护：含税    万元/年，不含税   万元/年，税率  ；苗木补植：含税   万元/年， 不含税   万元/年，税率 。税额根据国家政策相应调整（合同执行周期内，乙方纳税人身份变更导致的税额增加，甲方不予承担）。</w:t>
      </w:r>
      <w:r>
        <w:rPr>
          <w:rFonts w:hint="eastAsia" w:ascii="宋体" w:hAnsi="宋体" w:eastAsia="宋体" w:cs="Courier New"/>
          <w:color w:val="000000"/>
          <w:sz w:val="24"/>
          <w:szCs w:val="24"/>
          <w:highlight w:val="none"/>
          <w:lang w:val="en-US"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cs="Courier New"/>
          <w:color w:val="000000"/>
          <w:sz w:val="24"/>
          <w:szCs w:val="24"/>
          <w:highlight w:val="none"/>
        </w:rPr>
        <w:t xml:space="preserve">2.</w:t>
      </w:r>
      <w:r>
        <w:rPr>
          <w:rFonts w:hint="eastAsia" w:hAnsi="宋体" w:cs="Courier New"/>
          <w:color w:val="000000"/>
          <w:sz w:val="24"/>
          <w:szCs w:val="24"/>
          <w:highlight w:val="none"/>
          <w:lang w:val="en-US" w:eastAsia="zh-CN"/>
        </w:rPr>
        <w:t xml:space="preserve">2</w:t>
      </w:r>
      <w:r>
        <w:rPr>
          <w:rFonts w:ascii="宋体" w:hAnsi="宋体" w:cs="Courier New"/>
          <w:color w:val="000000"/>
          <w:sz w:val="24"/>
          <w:szCs w:val="24"/>
          <w:highlight w:val="none"/>
        </w:rPr>
        <w:t xml:space="preserve"> </w:t>
      </w:r>
      <w:r>
        <w:rPr>
          <w:rFonts w:hint="eastAsia" w:hAnsi="宋体" w:eastAsia="宋体" w:cs="Courier New"/>
          <w:color w:val="000000"/>
          <w:sz w:val="24"/>
          <w:szCs w:val="24"/>
          <w:highlight w:val="none"/>
          <w:lang w:val="en-US" w:eastAsia="zh-CN"/>
        </w:rPr>
        <w:t xml:space="preserve">采购包2</w:t>
      </w:r>
      <w:r>
        <w:rPr>
          <w:rFonts w:hint="eastAsia" w:hAnsi="宋体" w:eastAsia="宋体" w:cs="Courier New"/>
          <w:color w:val="000000"/>
          <w:sz w:val="24"/>
          <w:szCs w:val="24"/>
          <w:highlight w:val="none"/>
        </w:rPr>
        <w:t xml:space="preserve">合同金额为（大写）：____________________圆（</w:t>
      </w:r>
      <w:r>
        <w:rPr>
          <w:rFonts w:hint="eastAsia" w:ascii="宋体" w:hAnsi="宋体" w:eastAsia="宋体" w:cs="宋体"/>
          <w:color w:val="000000"/>
          <w:sz w:val="24"/>
          <w:szCs w:val="24"/>
          <w:highlight w:val="none"/>
        </w:rPr>
        <w:t xml:space="preserve">____________________</w:t>
      </w:r>
      <w:r>
        <w:rPr>
          <w:rFonts w:hint="eastAsia" w:hAnsi="宋体" w:eastAsia="宋体" w:cs="Courier New"/>
          <w:color w:val="000000"/>
          <w:sz w:val="24"/>
          <w:szCs w:val="24"/>
          <w:highlight w:val="none"/>
        </w:rPr>
        <w:t xml:space="preserve">元）人民币。</w:t>
      </w:r>
      <w:r>
        <w:rPr>
          <w:rFonts w:hint="eastAsia" w:hAnsi="宋体" w:eastAsia="宋体" w:cs="Courier New"/>
          <w:color w:val="000000"/>
          <w:sz w:val="24"/>
          <w:szCs w:val="24"/>
          <w:highlight w:val="none"/>
          <w:lang w:val="en-US" w:eastAsia="zh-CN"/>
        </w:rPr>
        <w:t xml:space="preserve">其中</w:t>
      </w:r>
      <w:r>
        <w:rPr>
          <w:rFonts w:ascii="SimSun" w:hAnsi="SimSun" w:eastAsia="SimSun" w:cs="SimSun"/>
          <w:color w:val="000000"/>
          <w:sz w:val="24"/>
        </w:rPr>
        <w:t xml:space="preserve">含税万元/年，不含税   万元/年，税率  。</w:t>
      </w:r>
      <w:r/>
    </w:p>
    <w:p>
      <w:pPr>
        <w:pStyle w:val="98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hAnsi="宋体" w:eastAsia="宋体" w:cs="Courier New"/>
          <w:color w:val="000000"/>
          <w:sz w:val="24"/>
          <w:szCs w:val="24"/>
          <w:highlight w:val="none"/>
          <w:lang w:val="en-US" w:eastAsia="zh-CN"/>
        </w:rPr>
      </w:r>
      <w:r>
        <w:rPr>
          <w:rFonts w:hint="eastAsia" w:ascii="宋体" w:hAnsi="宋体" w:eastAsia="宋体" w:cs="Courier New"/>
          <w:color w:val="000000"/>
          <w:sz w:val="24"/>
          <w:szCs w:val="24"/>
          <w:highlight w:val="none"/>
          <w:lang w:val="en-US" w:eastAsia="zh-CN"/>
        </w:rPr>
        <w:t xml:space="preserve">税额根据国家政策相应调整（合同执行周期内，乙方纳税人身份变更导致的税额增加，甲方不予承担）。</w:t>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946"/>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946"/>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946"/>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946"/>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946"/>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乙方可按分包意向协议分包情况外</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乙方不得将合同标的分包给他人履行。</w:t>
      </w:r>
      <w:r>
        <w:rPr>
          <w:rFonts w:hint="eastAsia" w:ascii="宋体" w:hAnsi="宋体" w:eastAsia="宋体" w:cs="Courier New"/>
          <w:color w:val="0000ff"/>
          <w:sz w:val="24"/>
          <w:szCs w:val="24"/>
          <w:highlight w:val="none"/>
          <w:lang w:val="en-US" w:eastAsia="zh-CN"/>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甲方有权终止合同。</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8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bidi="ar-SA"/>
        </w:rPr>
      </w:pPr>
      <w:r>
        <w:rPr>
          <w:rFonts w:hint="eastAsia" w:ascii="宋体" w:hAnsi="宋体" w:eastAsia="宋体" w:cs="Courier New"/>
          <w:color w:val="000000"/>
          <w:sz w:val="24"/>
          <w:szCs w:val="24"/>
          <w:highlight w:val="none"/>
          <w:lang w:val="en-US" w:eastAsia="zh-CN"/>
        </w:rPr>
        <w:t xml:space="preserve">8.1.1  合</w:t>
      </w:r>
      <w:r>
        <w:rPr>
          <w:rFonts w:hint="eastAsia" w:ascii="宋体" w:hAnsi="宋体" w:eastAsia="宋体" w:cs="Courier New"/>
          <w:color w:val="000000"/>
          <w:sz w:val="24"/>
          <w:szCs w:val="24"/>
          <w:highlight w:val="none"/>
          <w:lang w:val="en-US" w:eastAsia="zh-CN" w:bidi="ar-SA"/>
        </w:rPr>
        <w:t xml:space="preserve">同签订后服务团队人员全部到岗，甲方支付各采购包合同暂定总价（扣除暂列金额）的10%作为预付款。</w:t>
      </w:r>
      <w:r>
        <w:rPr>
          <w:rFonts w:hint="eastAsia" w:ascii="宋体" w:hAnsi="宋体" w:eastAsia="宋体" w:cs="Courier New"/>
          <w:color w:val="000000"/>
          <w:sz w:val="24"/>
          <w:szCs w:val="24"/>
          <w:highlight w:val="none"/>
          <w:lang w:val="en-US" w:eastAsia="zh-CN" w:bidi="ar-SA"/>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bidi="ar-SA"/>
        </w:rPr>
      </w:pPr>
      <w:r>
        <w:rPr>
          <w:rFonts w:hint="eastAsia" w:ascii="宋体" w:hAnsi="宋体" w:eastAsia="宋体" w:cs="Courier New"/>
          <w:color w:val="000000"/>
          <w:sz w:val="24"/>
          <w:szCs w:val="24"/>
          <w:highlight w:val="none"/>
          <w:lang w:val="en-US" w:eastAsia="zh-CN" w:bidi="ar-SA"/>
        </w:rPr>
        <w:t xml:space="preserve">预付款扣回的方式：在第一个季度养护付款中全部扣回。</w:t>
      </w:r>
      <w:r>
        <w:rPr>
          <w:rFonts w:hint="eastAsia" w:ascii="宋体" w:hAnsi="宋体" w:eastAsia="宋体" w:cs="Courier New"/>
          <w:color w:val="000000"/>
          <w:sz w:val="24"/>
          <w:szCs w:val="24"/>
          <w:highlight w:val="none"/>
          <w:lang w:val="en-US" w:eastAsia="zh-CN" w:bidi="ar-SA"/>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highlight w:val="none"/>
          <w:lang w:val="en-US" w:eastAsia="zh-CN"/>
        </w:rPr>
        <w:t xml:space="preserve">8.1.2绿化养护费用：按季度付款，在下个季度，甲方</w:t>
      </w:r>
      <w:r>
        <w:rPr>
          <w:rFonts w:hint="eastAsia" w:ascii="宋体" w:hAnsi="宋体" w:eastAsia="宋体" w:cs="Courier New"/>
          <w:color w:val="000000"/>
          <w:sz w:val="24"/>
          <w:szCs w:val="24"/>
          <w:highlight w:val="none"/>
        </w:rPr>
        <w:t xml:space="preserve">向乙方支付</w:t>
      </w:r>
      <w:r>
        <w:rPr>
          <w:rFonts w:hint="eastAsia" w:ascii="宋体" w:hAnsi="宋体" w:eastAsia="宋体" w:cs="Courier New"/>
          <w:color w:val="000000"/>
          <w:sz w:val="24"/>
          <w:szCs w:val="24"/>
          <w:highlight w:val="none"/>
          <w:lang w:val="en-US" w:eastAsia="zh-CN"/>
        </w:rPr>
        <w:t xml:space="preserve">各采购包</w:t>
      </w:r>
      <w:r>
        <w:rPr>
          <w:rFonts w:hint="eastAsia" w:ascii="宋体" w:hAnsi="宋体" w:eastAsia="宋体" w:cs="Courier New"/>
          <w:color w:val="000000"/>
          <w:sz w:val="24"/>
          <w:szCs w:val="24"/>
          <w:highlight w:val="none"/>
        </w:rPr>
        <w:t xml:space="preserve">季度</w:t>
      </w:r>
      <w:r>
        <w:rPr>
          <w:rFonts w:hint="eastAsia" w:ascii="宋体" w:hAnsi="宋体" w:eastAsia="宋体" w:cs="宋体"/>
          <w:color w:val="000000"/>
          <w:sz w:val="24"/>
          <w:szCs w:val="24"/>
          <w:highlight w:val="none"/>
          <w:lang w:val="en-US" w:eastAsia="zh-CN"/>
        </w:rPr>
        <w:t xml:space="preserve">实际养护范围的</w:t>
      </w:r>
      <w:r>
        <w:rPr>
          <w:rFonts w:hint="eastAsia" w:ascii="宋体" w:hAnsi="宋体" w:eastAsia="宋体" w:cs="Courier New"/>
          <w:color w:val="000000"/>
          <w:sz w:val="24"/>
          <w:szCs w:val="24"/>
          <w:highlight w:val="none"/>
        </w:rPr>
        <w:t xml:space="preserve">基本养护费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并根据质量考核情况支付</w:t>
      </w:r>
      <w:r>
        <w:rPr>
          <w:rFonts w:hint="eastAsia" w:ascii="宋体" w:hAnsi="宋体" w:eastAsia="宋体" w:cs="Courier New"/>
          <w:color w:val="000000"/>
          <w:sz w:val="24"/>
          <w:szCs w:val="24"/>
          <w:highlight w:val="none"/>
          <w:lang w:val="en-US" w:eastAsia="zh-CN"/>
        </w:rPr>
        <w:t xml:space="preserve">质量考核费</w:t>
      </w:r>
      <w:r>
        <w:rPr>
          <w:rFonts w:hint="eastAsia" w:ascii="宋体" w:hAnsi="宋体" w:eastAsia="宋体" w:cs="Courier New"/>
          <w:color w:val="000000"/>
          <w:sz w:val="24"/>
          <w:szCs w:val="24"/>
          <w:highlight w:val="none"/>
        </w:rPr>
        <w:t xml:space="preserve">减去日常考核中直接扣除的费用。合同期满，经甲乙双方共同验收，养护质量达到</w:t>
      </w:r>
      <w:r>
        <w:rPr>
          <w:rFonts w:hint="eastAsia" w:ascii="宋体" w:hAnsi="宋体" w:eastAsia="宋体" w:cs="Courier New"/>
          <w:color w:val="000000"/>
          <w:sz w:val="24"/>
          <w:szCs w:val="24"/>
          <w:highlight w:val="none"/>
          <w:lang w:val="en-US" w:eastAsia="zh-CN"/>
        </w:rPr>
        <w:t xml:space="preserve">相应养护</w:t>
      </w:r>
      <w:r>
        <w:rPr>
          <w:rFonts w:hint="eastAsia" w:ascii="宋体" w:hAnsi="宋体" w:eastAsia="宋体" w:cs="Courier New"/>
          <w:color w:val="000000"/>
          <w:sz w:val="24"/>
          <w:szCs w:val="24"/>
          <w:highlight w:val="none"/>
        </w:rPr>
        <w:t xml:space="preserve">标准</w:t>
      </w:r>
      <w:r>
        <w:rPr>
          <w:rFonts w:hint="eastAsia" w:ascii="宋体" w:hAnsi="宋体" w:eastAsia="宋体" w:cs="Courier New"/>
          <w:color w:val="000000"/>
          <w:sz w:val="24"/>
          <w:szCs w:val="24"/>
          <w:highlight w:val="none"/>
          <w:lang w:eastAsia="zh-CN"/>
        </w:rPr>
        <w:t xml:space="preserve">（</w:t>
      </w:r>
      <w:r>
        <w:rPr>
          <w:rFonts w:ascii="SimSun" w:hAnsi="SimSun" w:eastAsia="SimSun" w:cs="SimSun"/>
          <w:color w:val="000000"/>
          <w:sz w:val="24"/>
        </w:rPr>
        <w:t xml:space="preserve">五标段达到二级养护标准，六标段改造提升部分达到一级标准、林地部分达到三级标准</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，甲方付清</w:t>
      </w:r>
      <w:r>
        <w:rPr>
          <w:rFonts w:hint="eastAsia" w:ascii="宋体" w:hAnsi="宋体" w:eastAsia="宋体" w:cs="Courier New"/>
          <w:color w:val="000000"/>
          <w:sz w:val="24"/>
          <w:szCs w:val="24"/>
          <w:highlight w:val="none"/>
          <w:lang w:val="en-US" w:eastAsia="zh-CN"/>
        </w:rPr>
        <w:t xml:space="preserve">各采购包</w:t>
      </w:r>
      <w:r>
        <w:rPr>
          <w:rFonts w:hint="eastAsia" w:ascii="宋体" w:hAnsi="宋体" w:eastAsia="宋体" w:cs="Courier New"/>
          <w:color w:val="000000"/>
          <w:sz w:val="24"/>
          <w:szCs w:val="24"/>
          <w:highlight w:val="none"/>
        </w:rPr>
        <w:t xml:space="preserve">季度</w:t>
      </w:r>
      <w:r>
        <w:rPr>
          <w:rFonts w:hint="eastAsia" w:ascii="宋体" w:hAnsi="宋体" w:eastAsia="宋体" w:cs="宋体"/>
          <w:color w:val="000000"/>
          <w:sz w:val="24"/>
          <w:szCs w:val="24"/>
          <w:highlight w:val="none"/>
          <w:lang w:val="en-US" w:eastAsia="zh-CN"/>
        </w:rPr>
        <w:t xml:space="preserve">实际养护范围的</w:t>
      </w:r>
      <w:r>
        <w:rPr>
          <w:rFonts w:hint="eastAsia" w:ascii="宋体" w:hAnsi="宋体" w:eastAsia="宋体" w:cs="Courier New"/>
          <w:color w:val="000000"/>
          <w:sz w:val="24"/>
          <w:szCs w:val="24"/>
          <w:highlight w:val="none"/>
        </w:rPr>
        <w:t xml:space="preserve">基本养护费及最后一季度质量考核费用减去日常考</w:t>
      </w:r>
      <w:r>
        <w:rPr>
          <w:rFonts w:hint="eastAsia" w:ascii="宋体" w:hAnsi="宋体" w:eastAsia="宋体" w:cs="Courier New"/>
          <w:color w:val="000000"/>
          <w:sz w:val="24"/>
          <w:szCs w:val="24"/>
          <w:highlight w:val="none"/>
          <w:lang w:val="en-US" w:eastAsia="zh-CN"/>
        </w:rPr>
        <w:t xml:space="preserve">核中直接扣除的费用。（绿化养护费用的50%作为基本养护费，其余50%作为质量考核费。）</w:t>
      </w:r>
      <w:r>
        <w:rPr>
          <w:sz w:val="22"/>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8.1.3苗木补植费用：苗木补植工程量按实计量，经甲方验收合格，并在第三方咨询机构结算审核完成后付至审定价的97%，余款于自竣工验收合格之日起一年后付清，甲方验收合格后无息付清。</w:t>
      </w:r>
      <w:r>
        <w:rPr>
          <w:rFonts w:hint="eastAsia" w:ascii="宋体" w:hAnsi="宋体" w:eastAsia="宋体" w:cs="Courier New"/>
          <w:color w:val="000000"/>
          <w:sz w:val="24"/>
          <w:szCs w:val="24"/>
          <w:highlight w:val="none"/>
        </w:rPr>
      </w:r>
      <w:r/>
    </w:p>
    <w:p>
      <w:pPr>
        <w:pStyle w:val="986"/>
        <w:keepLines w:val="0"/>
        <w:keepNext w:val="0"/>
        <w:pageBreakBefore w:val="0"/>
        <w:spacing w:line="240" w:lineRule="auto"/>
        <w:widowControl w:val="off"/>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8.1.4 满足合同约定支付条件的，甲方收到乙方发票后10个工作日内，将资金支付到合同约定的乙方账户。 </w:t>
      </w:r>
      <w:r>
        <w:rPr>
          <w:rFonts w:hint="eastAsia"/>
          <w:color w:val="000000"/>
          <w:highlight w:val="none"/>
          <w:lang w:val="en-US" w:eastAsia="zh-CN"/>
        </w:rPr>
      </w:r>
      <w:r/>
    </w:p>
    <w:p>
      <w:pPr>
        <w:pStyle w:val="986"/>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根据工业和信息化部关于印发《保障中小企业款项支付投诉处理暂行办法》的通知（工信部企业〔2021〕224 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46"/>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明确验收的时间、方式、程序等内容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按照采购合同约定对乙方的履约情况进行验收。验收时间、验收标准见招标文件。验收时甲方按照采购合同的约定对每一项服务的履约情况进行确认。验收结束后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946"/>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0.5%  </w:t>
      </w:r>
      <w:r>
        <w:rPr>
          <w:rFonts w:hint="eastAsia" w:ascii="宋体" w:hAnsi="宋体" w:eastAsia="宋体" w:cs="Courier New"/>
          <w:color w:val="000000"/>
          <w:sz w:val="24"/>
          <w:szCs w:val="24"/>
          <w:highlight w:val="none"/>
        </w:rPr>
        <w:t xml:space="preserve">向</w:t>
      </w:r>
      <w:r>
        <w:rPr>
          <w:rFonts w:hint="eastAsia" w:ascii="宋体" w:hAnsi="宋体" w:eastAsia="宋体" w:cs="Courier New"/>
          <w:color w:val="000000"/>
          <w:sz w:val="24"/>
          <w:szCs w:val="24"/>
          <w:highlight w:val="none"/>
        </w:rPr>
        <w:t xml:space="preserve">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由甲方从待付合同款中扣除。逾期超过约定日期10个工作日不能提供服务的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甲方可解除本合同。乙方因逾期提供服务或因其他违约行为导致甲方解除合同的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10%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甲方有权拒绝接受服务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并可单方面解除合同。</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确定是否继续履行合同。</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w:t>
      </w:r>
      <w:r>
        <w:rPr>
          <w:rFonts w:hint="eastAsia" w:ascii="宋体" w:hAnsi="宋体" w:eastAsia="宋体" w:cs="Courier New"/>
          <w:color w:val="000000"/>
          <w:sz w:val="24"/>
          <w:szCs w:val="24"/>
          <w:highlight w:val="none"/>
          <w:lang w:val="en-US" w:eastAsia="zh-CN"/>
        </w:rPr>
        <w:t xml:space="preserve">签字盖章</w:t>
      </w:r>
      <w:r>
        <w:rPr>
          <w:rFonts w:hint="eastAsia" w:ascii="宋体" w:hAnsi="宋体" w:eastAsia="宋体" w:cs="Courier New"/>
          <w:color w:val="000000"/>
          <w:sz w:val="24"/>
          <w:szCs w:val="24"/>
          <w:highlight w:val="none"/>
        </w:rPr>
        <w:t xml:space="preserve">后生效。</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w:t>
      </w:r>
      <w:r>
        <w:rPr>
          <w:rFonts w:hint="eastAsia" w:ascii="宋体" w:hAnsi="宋体" w:eastAsia="宋体" w:cs="Courier New"/>
          <w:color w:val="000000"/>
          <w:sz w:val="24"/>
          <w:szCs w:val="24"/>
          <w:highlight w:val="none"/>
          <w:lang w:val="en-US" w:eastAsia="zh-CN"/>
        </w:rPr>
        <w:t xml:space="preserve">及补充协议</w:t>
      </w:r>
      <w:r>
        <w:rPr>
          <w:rFonts w:hint="eastAsia" w:ascii="宋体" w:hAnsi="宋体" w:eastAsia="宋体" w:cs="Courier New"/>
          <w:color w:val="000000"/>
          <w:sz w:val="24"/>
          <w:szCs w:val="24"/>
          <w:highlight w:val="none"/>
        </w:rPr>
        <w:t xml:space="preserve">执行。</w:t>
      </w:r>
      <w:r>
        <w:rPr>
          <w:rFonts w:hint="eastAsia" w:ascii="宋体" w:hAnsi="宋体" w:eastAsia="宋体" w:cs="Courier New"/>
          <w:color w:val="000000"/>
          <w:sz w:val="24"/>
          <w:szCs w:val="24"/>
          <w:highlight w:val="none"/>
        </w:rPr>
      </w:r>
      <w:r/>
    </w:p>
    <w:p>
      <w:pPr>
        <w:pStyle w:val="94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86"/>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86"/>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bookmarkEnd w:id="188"/>
      <w:r/>
      <w:bookmarkEnd w:id="189"/>
      <w:r/>
      <w:bookmarkEnd w:id="190"/>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86"/>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86"/>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86"/>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86"/>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946"/>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br w:type="page" w:clear="all"/>
      </w: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一、服务范围</w:t>
      </w:r>
      <w:r>
        <w:rPr>
          <w:rFonts w:hint="eastAsia" w:ascii="方正黑体_GBK" w:hAnsi="方正黑体_GBK" w:eastAsia="方正黑体_GBK" w:cs="方正黑体_GBK"/>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fldChar w:fldCharType="begin"/>
      </w:r>
      <w:r>
        <w:rPr>
          <w:rFonts w:hint="eastAsia" w:ascii="宋体" w:hAnsi="宋体" w:eastAsia="宋体" w:cs="Courier New"/>
          <w:color w:val="000000"/>
          <w:sz w:val="24"/>
          <w:szCs w:val="24"/>
          <w:highlight w:val="none"/>
          <w:lang w:val="en-US" w:eastAsia="zh-CN"/>
        </w:rPr>
        <w:instrText xml:space="preserve">AUTOTEXT 89 \* MERGEFORMAT</w:instrText>
      </w:r>
      <w:r>
        <w:rPr>
          <w:rFonts w:hint="eastAsia" w:ascii="宋体" w:hAnsi="宋体" w:eastAsia="宋体" w:cs="Courier New"/>
          <w:color w:val="000000"/>
          <w:sz w:val="24"/>
          <w:szCs w:val="24"/>
          <w:highlight w:val="none"/>
          <w:lang w:val="en-US" w:eastAsia="zh-CN"/>
        </w:rPr>
        <w:fldChar w:fldCharType="separate"/>
      </w:r>
      <w:r>
        <w:rPr>
          <w:rFonts w:hint="eastAsia" w:ascii="宋体" w:hAnsi="宋体" w:eastAsia="宋体" w:cs="Courier New"/>
          <w:color w:val="000000"/>
          <w:sz w:val="24"/>
          <w:szCs w:val="24"/>
          <w:highlight w:val="none"/>
          <w:lang w:val="en-US" w:eastAsia="zh-CN"/>
        </w:rPr>
        <w:t xml:space="preserve">1、完成该标段内绿化</w:t>
      </w:r>
      <w:r>
        <w:rPr>
          <w:rFonts w:hint="eastAsia" w:ascii="宋体" w:hAnsi="宋体" w:eastAsia="宋体" w:cs="Courier New"/>
          <w:color w:val="000000"/>
          <w:sz w:val="24"/>
          <w:szCs w:val="24"/>
          <w:highlight w:val="none"/>
          <w:lang w:val="zh-CN" w:eastAsia="zh-CN"/>
        </w:rPr>
        <w:t xml:space="preserve">精细化管理和补植</w:t>
      </w:r>
      <w:r>
        <w:rPr>
          <w:rFonts w:hint="eastAsia" w:ascii="宋体" w:hAnsi="宋体" w:eastAsia="宋体" w:cs="Courier New"/>
          <w:color w:val="000000"/>
          <w:sz w:val="24"/>
          <w:szCs w:val="24"/>
          <w:highlight w:val="none"/>
          <w:lang w:val="en-US" w:eastAsia="zh-CN"/>
        </w:rPr>
        <w:t xml:space="preserve">、设施维护、秩序维护及卫生保洁等作业，建立与完善工作台账。</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对附件所列明的设施每天巡查，并每周提供巡查报告，每月按照甲方要求提供月度完成情况及下月计划；对破坏绿化设施、影响绿化景观、环境卫生等行为予以制止，并及时上报和整改到位。对于甲方巡查下发的问题整改菜单，及时整改。</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3、完成项目范围内突发性和重大性保障工作任务，如文明城市检查、重大活动环境保障等任务；防汛及扫雪防冻期间，要求供应商24小时保障。</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4、完成项目范围内的抢险、消险、救灾工作。在消险过程中严格确保安全作业，并服从甲方的统一指挥和调动，参加全区抢险救灾工作。对突发性事件的应急预案做到定期和不定期演练，以便应对突发性事件。</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5、完成项目范围内各类信访、投诉、举报的处理和整改。</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6、甲方布置的临时性工作。</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7、绿化</w:t>
      </w:r>
      <w:r>
        <w:rPr>
          <w:rFonts w:hint="eastAsia" w:ascii="宋体" w:hAnsi="宋体" w:eastAsia="宋体" w:cs="Courier New"/>
          <w:color w:val="000000"/>
          <w:sz w:val="24"/>
          <w:szCs w:val="24"/>
          <w:highlight w:val="none"/>
          <w:lang w:val="zh-CN" w:eastAsia="zh-CN"/>
        </w:rPr>
        <w:t xml:space="preserve">精细化管理和补植</w:t>
      </w:r>
      <w:r>
        <w:rPr>
          <w:rFonts w:hint="eastAsia" w:ascii="宋体" w:hAnsi="宋体" w:eastAsia="宋体" w:cs="Courier New"/>
          <w:color w:val="000000"/>
          <w:sz w:val="24"/>
          <w:szCs w:val="24"/>
          <w:highlight w:val="none"/>
          <w:lang w:val="en-US" w:eastAsia="zh-CN"/>
        </w:rPr>
        <w:t xml:space="preserve">包括但不限于：绿化的成活、修剪、施肥、浇水、除虫，绿地保洁、草地铺沙平整（必须用疏草机对草地进行疏草）和植物老化的复壮等（花坛内的时花种养除外），以保证优良的景观效果等，绿化养护按采购要求的相应养护标准执行。</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8、园林绿化设施的日常维护、清洁包括但不限于：绿地洒水及喷灌系统的清洁、损坏维修、被盗包换；绿地内排水沟、河、雨水井口保洁及清淤；园林道路、小景、景墙、休闲椅、防火标志等的清洁。</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9、绿化修剪出来的残枝、草渣按甲方要求运至指定地点。</w:t>
      </w:r>
      <w:r>
        <w:rPr>
          <w:rFonts w:hint="eastAsia" w:ascii="宋体" w:hAnsi="宋体" w:eastAsia="宋体" w:cs="Courier New"/>
          <w:color w:val="000000"/>
          <w:sz w:val="24"/>
          <w:szCs w:val="24"/>
          <w:highlight w:val="none"/>
          <w:lang w:val="en-US" w:eastAsia="zh-CN"/>
        </w:rPr>
        <w:fldChar w:fldCharType="end"/>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10、修剪工作要求：对所有要求的乔木，定期开展修剪工作，2级分枝以下无萌蘖枝，保持树形独立完整，内膛通透，无扰乱枝、无下垂枝、无枯死枝；</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11、施肥要求：秋冬季集中对树木进行施肥，要求达到普遍施用。所用肥料为有机肥料（动物粪便（羊粪和鸡粪）为主要原料，经发酵、灭菌、脱水制作的无公害、高效有机肥）。</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12、按甲方要求完成养护范围内河道岸坡清杂、卫生保洁等工作。</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二、合同有效期</w:t>
      </w:r>
      <w:r>
        <w:rPr>
          <w:rFonts w:hint="eastAsia" w:ascii="方正黑体_GBK" w:hAnsi="方正黑体_GBK" w:eastAsia="方正黑体_GBK" w:cs="方正黑体_GBK"/>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合同生效之日起两年；甲方将根据甲方管理考核办法，采用以月考核的方式，每季度汇总一次考核分数，对各采购包养护单位进行考核。经考核合格后合同继续生效；考核不合格的，甲方有权单方终止合同（</w:t>
      </w:r>
      <w:r>
        <w:rPr>
          <w:rFonts w:hint="eastAsia" w:ascii="宋体" w:hAnsi="宋体" w:eastAsia="宋体" w:cs="Courier New"/>
          <w:color w:val="000000"/>
          <w:sz w:val="24"/>
          <w:szCs w:val="24"/>
          <w:highlight w:val="none"/>
          <w:lang w:val="en-US" w:eastAsia="zh-CN"/>
        </w:rPr>
        <w:t xml:space="preserve">单个季度均分低于75分的，</w:t>
      </w:r>
      <w:r>
        <w:rPr>
          <w:rFonts w:hint="eastAsia" w:ascii="宋体" w:hAnsi="宋体" w:cs="Courier New"/>
          <w:color w:val="000000"/>
          <w:sz w:val="24"/>
          <w:szCs w:val="24"/>
          <w:highlight w:val="none"/>
          <w:lang w:val="en-US" w:eastAsia="zh-CN"/>
        </w:rPr>
        <w:t xml:space="preserve">或连续两个季度均分低于80分，终止本项目服务合同，扣除全部质量考核费）。</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三、双方权利和义务</w:t>
      </w:r>
      <w:r>
        <w:rPr>
          <w:rFonts w:hint="eastAsia" w:ascii="方正黑体_GBK" w:hAnsi="方正黑体_GBK" w:eastAsia="方正黑体_GBK" w:cs="方正黑体_GBK"/>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3.1、甲方权利和义务</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w:t>
      </w:r>
      <w:r>
        <w:rPr>
          <w:rFonts w:ascii="宋体" w:hAnsi="宋体" w:cs="Courier New"/>
          <w:color w:val="000000"/>
          <w:sz w:val="24"/>
          <w:szCs w:val="24"/>
          <w:highlight w:val="none"/>
          <w:lang w:val="en-US" w:eastAsia="zh-CN"/>
        </w:rPr>
        <w:t xml:space="preserve">对乙方所承包设施的维护质量、数量等进行检查考核，按照考核结果进行设施维护费用拨付。</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（2）</w:t>
      </w:r>
      <w:r>
        <w:rPr>
          <w:rFonts w:ascii="宋体" w:hAnsi="宋体" w:cs="Courier New"/>
          <w:color w:val="000000"/>
          <w:sz w:val="24"/>
          <w:szCs w:val="24"/>
          <w:highlight w:val="none"/>
          <w:lang w:val="en-US" w:eastAsia="zh-CN"/>
        </w:rPr>
        <w:t xml:space="preserve">审核乙方提交的绿化养护、设施维护计划，根据绿化养护情况、设施维护需要对乙方维护计划进行核准或调整。</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w:t>
      </w:r>
      <w:r>
        <w:rPr>
          <w:rFonts w:ascii="宋体" w:hAnsi="宋体" w:cs="Courier New"/>
          <w:color w:val="000000"/>
          <w:sz w:val="24"/>
          <w:szCs w:val="24"/>
          <w:highlight w:val="none"/>
          <w:lang w:val="en-US" w:eastAsia="zh-CN"/>
        </w:rPr>
        <w:t xml:space="preserve">督促、指导乙方按照设施维护规范、规程的要求实施设施维护、巡查等工作。</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甲方可根据国家、省、市以及市业务主管部门相关法律法规和管理规定的变动对检查考核规范进行修改和补充。</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（5）</w:t>
      </w:r>
      <w:r>
        <w:rPr>
          <w:rFonts w:ascii="宋体" w:hAnsi="宋体" w:cs="Courier New"/>
          <w:color w:val="000000"/>
          <w:sz w:val="24"/>
          <w:szCs w:val="24"/>
          <w:highlight w:val="none"/>
          <w:lang w:val="en-US" w:eastAsia="zh-CN"/>
        </w:rPr>
        <w:t xml:space="preserve">监督检查乙方落实安全作业措施。</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（6）</w:t>
      </w:r>
      <w:r>
        <w:rPr>
          <w:rFonts w:ascii="宋体" w:hAnsi="宋体" w:cs="Courier New"/>
          <w:color w:val="000000"/>
          <w:sz w:val="24"/>
          <w:szCs w:val="24"/>
          <w:highlight w:val="none"/>
          <w:lang w:val="en-US" w:eastAsia="zh-CN"/>
        </w:rPr>
        <w:t xml:space="preserve">督促乙方为合同项目工作人员办理社保，社保费用包含在合同款中。</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w:t>
      </w:r>
      <w:r>
        <w:rPr>
          <w:rFonts w:ascii="宋体" w:hAnsi="宋体" w:cs="Courier New"/>
          <w:color w:val="000000"/>
          <w:sz w:val="24"/>
          <w:szCs w:val="24"/>
          <w:highlight w:val="none"/>
          <w:lang w:val="en-US" w:eastAsia="zh-CN"/>
        </w:rPr>
        <w:t xml:space="preserve">在乙方不能履行本合同相应责任、义务或未完全履行义务时，甲方有权书面通知乙方终止合同，并按相关法律、法规对乙方追究责任，并扣除未履行义务与之相应的养护费用，乙方须在一周内移交相关资料并撤场。</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3.2、</w:t>
      </w:r>
      <w:r>
        <w:rPr>
          <w:rFonts w:ascii="宋体" w:hAnsi="宋体" w:cs="Courier New"/>
          <w:color w:val="000000"/>
          <w:sz w:val="24"/>
          <w:szCs w:val="24"/>
          <w:highlight w:val="none"/>
          <w:lang w:val="en-US" w:eastAsia="zh-CN"/>
        </w:rPr>
        <w:t xml:space="preserve">乙方权利和义务</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w:t>
      </w:r>
      <w:r>
        <w:rPr>
          <w:rFonts w:ascii="宋体" w:hAnsi="宋体" w:cs="Courier New"/>
          <w:color w:val="000000"/>
          <w:sz w:val="24"/>
          <w:szCs w:val="24"/>
          <w:highlight w:val="none"/>
          <w:lang w:val="en-US" w:eastAsia="zh-CN"/>
        </w:rPr>
        <w:t xml:space="preserve">按照设施维护规范、规程的要求实施并完成各项设施维护任务，达到甲方有关设施维护标准，保持所维护设施状况的完好，依据合同约定按季获得养护经费。</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（2）</w:t>
      </w:r>
      <w:r>
        <w:rPr>
          <w:rFonts w:ascii="宋体" w:hAnsi="宋体" w:cs="Courier New"/>
          <w:color w:val="000000"/>
          <w:sz w:val="24"/>
          <w:szCs w:val="24"/>
          <w:highlight w:val="none"/>
          <w:lang w:val="en-US" w:eastAsia="zh-CN"/>
        </w:rPr>
        <w:t xml:space="preserve">按照有关要求实施维护作业施工时，统一着装，乙方的工作人员及设备的安全由乙方负责。因养护责任而造成所承包养护范围内的设施对自身或第三方形成伤害时一切</w:t>
      </w:r>
      <w:r>
        <w:rPr>
          <w:rFonts w:hint="eastAsia" w:ascii="宋体" w:hAnsi="宋体" w:cs="Courier New"/>
          <w:color w:val="000000"/>
          <w:sz w:val="24"/>
          <w:szCs w:val="24"/>
          <w:highlight w:val="none"/>
          <w:lang w:val="en-US" w:eastAsia="zh-CN"/>
        </w:rPr>
        <w:t xml:space="preserve">经济和法律</w:t>
      </w:r>
      <w:r>
        <w:rPr>
          <w:rFonts w:ascii="宋体" w:hAnsi="宋体" w:cs="Courier New"/>
          <w:color w:val="000000"/>
          <w:sz w:val="24"/>
          <w:szCs w:val="24"/>
          <w:highlight w:val="none"/>
          <w:lang w:val="en-US" w:eastAsia="zh-CN"/>
        </w:rPr>
        <w:t xml:space="preserve">责任由乙方承担。</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w:t>
      </w:r>
      <w:r>
        <w:rPr>
          <w:rFonts w:ascii="宋体" w:hAnsi="宋体" w:cs="Courier New"/>
          <w:color w:val="000000"/>
          <w:sz w:val="24"/>
          <w:szCs w:val="24"/>
          <w:highlight w:val="none"/>
          <w:lang w:val="en-US" w:eastAsia="zh-CN"/>
        </w:rPr>
        <w:t xml:space="preserve">乙方对所养护的设施有巡查的义务，如发现绿地占用、绿化设施被人为损坏或偷盗事件时，应予以制止，及时向甲方报告。如发现绿化设施养护问题主动整改</w:t>
      </w:r>
      <w:r>
        <w:rPr>
          <w:rFonts w:hint="eastAsia" w:ascii="宋体" w:hAnsi="宋体" w:cs="Courier New"/>
          <w:color w:val="000000"/>
          <w:sz w:val="24"/>
          <w:szCs w:val="24"/>
          <w:highlight w:val="none"/>
          <w:lang w:val="en-US" w:eastAsia="zh-CN"/>
        </w:rPr>
        <w:t xml:space="preserve">。</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建立健全设施维护各类台帐资料，按规定及时准确地向甲方报送养护计划和养护报表。</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（5）</w:t>
      </w:r>
      <w:r>
        <w:rPr>
          <w:rFonts w:ascii="宋体" w:hAnsi="宋体" w:cs="Courier New"/>
          <w:color w:val="000000"/>
          <w:sz w:val="24"/>
          <w:szCs w:val="24"/>
          <w:highlight w:val="none"/>
          <w:lang w:val="en-US" w:eastAsia="zh-CN"/>
        </w:rPr>
        <w:t xml:space="preserve">依据甲方的要求、技术规范确定防汛措施，建立防汛期间的组织网络，组建防汛抢险队伍，准备并且备足常用的防汛抢险材料，服从甲方调度和管理。</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（6）</w:t>
      </w:r>
      <w:r>
        <w:rPr>
          <w:rFonts w:ascii="宋体" w:hAnsi="宋体" w:cs="Courier New"/>
          <w:color w:val="000000"/>
          <w:sz w:val="24"/>
          <w:szCs w:val="24"/>
          <w:highlight w:val="none"/>
          <w:lang w:val="en-US" w:eastAsia="zh-CN"/>
        </w:rPr>
        <w:t xml:space="preserve">乙方应及时清扫积雪，保证其承包养护的设施对行人，车辆的安全。</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w:t>
      </w:r>
      <w:r>
        <w:rPr>
          <w:rFonts w:ascii="宋体" w:hAnsi="宋体" w:cs="Courier New"/>
          <w:color w:val="000000"/>
          <w:sz w:val="24"/>
          <w:szCs w:val="24"/>
          <w:highlight w:val="none"/>
          <w:lang w:val="en-US" w:eastAsia="zh-CN"/>
        </w:rPr>
        <w:t xml:space="preserve">重大应急处理：</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在不可抗力造成乙方承包养护的设施损坏时，在事发的第一时间内乙方应派人员赶到事发现场，根据设施的损坏情况，拿出处理方案（方案得到甲方批准后），立即组织人员进行处理，力争在最短的时间消除隐患。</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遇到应急抢险情况发生时，乙方在接到通知后半小时内赶到现场，如一次达不到要求扣除经费10000元，一年内三次达不到要求，甲方有权终止乙方本标段中标合</w:t>
      </w:r>
      <w:r>
        <w:rPr>
          <w:rFonts w:hint="eastAsia" w:ascii="宋体" w:hAnsi="宋体" w:cs="Courier New"/>
          <w:color w:val="000000"/>
          <w:sz w:val="24"/>
          <w:szCs w:val="24"/>
          <w:highlight w:val="none"/>
          <w:lang w:val="en-US" w:eastAsia="zh-CN"/>
        </w:rPr>
        <w:t xml:space="preserve">同。</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w:t>
      </w:r>
      <w:r>
        <w:rPr>
          <w:rFonts w:ascii="宋体" w:hAnsi="宋体" w:cs="Courier New"/>
          <w:color w:val="000000"/>
          <w:sz w:val="24"/>
          <w:szCs w:val="24"/>
          <w:highlight w:val="none"/>
          <w:lang w:val="en-US" w:eastAsia="zh-CN"/>
        </w:rPr>
        <w:t xml:space="preserve">乙方所采用的维护材料、机具必须符合国家、省、市相关标准和规定，且为合格产品。</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（9）</w:t>
      </w:r>
      <w:r>
        <w:rPr>
          <w:rFonts w:ascii="宋体" w:hAnsi="宋体" w:cs="Courier New"/>
          <w:color w:val="000000"/>
          <w:sz w:val="24"/>
          <w:szCs w:val="24"/>
          <w:highlight w:val="none"/>
          <w:lang w:val="en-US" w:eastAsia="zh-CN"/>
        </w:rPr>
        <w:t xml:space="preserve">乙方所聘用的各岗位人员必须经过专业培训，持有上岗证。</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（10）</w:t>
      </w:r>
      <w:r>
        <w:rPr>
          <w:rFonts w:ascii="宋体" w:hAnsi="宋体" w:cs="Courier New"/>
          <w:color w:val="000000"/>
          <w:sz w:val="24"/>
          <w:szCs w:val="24"/>
          <w:highlight w:val="none"/>
          <w:lang w:val="en-US" w:eastAsia="zh-CN"/>
        </w:rPr>
        <w:t xml:space="preserve">乙方不得将所承包维护的设施进行出租、抵押、担保或利用其从事其他经营性行为。</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（11）</w:t>
      </w:r>
      <w:r>
        <w:rPr>
          <w:rFonts w:ascii="宋体" w:hAnsi="宋体" w:cs="Courier New"/>
          <w:color w:val="000000"/>
          <w:sz w:val="24"/>
          <w:szCs w:val="24"/>
          <w:highlight w:val="none"/>
          <w:lang w:val="en-US" w:eastAsia="zh-CN"/>
        </w:rPr>
        <w:t xml:space="preserve">乙方应设立投诉报修电话，实行24小时值班制度，保证24小时通讯畅通。</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（12）</w:t>
      </w:r>
      <w:r>
        <w:rPr>
          <w:rFonts w:ascii="宋体" w:hAnsi="宋体" w:cs="Courier New"/>
          <w:color w:val="000000"/>
          <w:sz w:val="24"/>
          <w:szCs w:val="24"/>
          <w:highlight w:val="none"/>
          <w:lang w:val="en-US" w:eastAsia="zh-CN"/>
        </w:rPr>
        <w:t xml:space="preserve">乙方须开展行风文明建设，遵守承诺制、首问负责制。</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（13）</w:t>
      </w:r>
      <w:r>
        <w:rPr>
          <w:rFonts w:ascii="宋体" w:hAnsi="宋体" w:cs="Courier New"/>
          <w:color w:val="000000"/>
          <w:sz w:val="24"/>
          <w:szCs w:val="24"/>
          <w:highlight w:val="none"/>
          <w:lang w:val="en-US" w:eastAsia="zh-CN"/>
        </w:rPr>
        <w:t xml:space="preserve">在各项保供、迎检工作中，服从甲方安排，达到各项要求。</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（14）</w:t>
      </w:r>
      <w:r>
        <w:rPr>
          <w:rFonts w:ascii="宋体" w:hAnsi="宋体" w:cs="Courier New"/>
          <w:color w:val="000000"/>
          <w:sz w:val="24"/>
          <w:szCs w:val="24"/>
          <w:highlight w:val="none"/>
          <w:lang w:val="en-US" w:eastAsia="zh-CN"/>
        </w:rPr>
        <w:t xml:space="preserve">乙方不得私自改动绿化设施或允许他人改动绿化设施。</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（15）</w:t>
      </w:r>
      <w:r>
        <w:rPr>
          <w:rFonts w:ascii="宋体" w:hAnsi="宋体" w:cs="Courier New"/>
          <w:color w:val="000000"/>
          <w:sz w:val="24"/>
          <w:szCs w:val="24"/>
          <w:highlight w:val="none"/>
          <w:lang w:val="en-US" w:eastAsia="zh-CN"/>
        </w:rPr>
        <w:t xml:space="preserve">如乙方使用新技术、新产品，在养护工作中得到有效利用，并提升养护质量，在当月养护考核中给予适当加分。</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（16）</w:t>
      </w:r>
      <w:r>
        <w:rPr>
          <w:rFonts w:ascii="宋体" w:hAnsi="宋体" w:cs="Courier New"/>
          <w:color w:val="000000"/>
          <w:sz w:val="24"/>
          <w:szCs w:val="24"/>
          <w:highlight w:val="none"/>
          <w:lang w:val="en-US" w:eastAsia="zh-CN"/>
        </w:rPr>
        <w:t xml:space="preserve">在合同履行过程中，如果因为乙方人员的责任造成人身伤害和财产损失，由乙方承担全部的赔偿</w:t>
      </w:r>
      <w:r>
        <w:rPr>
          <w:rFonts w:hint="eastAsia" w:ascii="宋体" w:hAnsi="宋体" w:cs="Courier New"/>
          <w:color w:val="000000"/>
          <w:sz w:val="24"/>
          <w:szCs w:val="24"/>
          <w:highlight w:val="none"/>
          <w:lang w:val="en-US" w:eastAsia="zh-CN"/>
        </w:rPr>
        <w:t xml:space="preserve">和法律</w:t>
      </w:r>
      <w:r>
        <w:rPr>
          <w:rFonts w:ascii="宋体" w:hAnsi="宋体" w:cs="Courier New"/>
          <w:color w:val="000000"/>
          <w:sz w:val="24"/>
          <w:szCs w:val="24"/>
          <w:highlight w:val="none"/>
          <w:lang w:val="en-US" w:eastAsia="zh-CN"/>
        </w:rPr>
        <w:t xml:space="preserve">责任。</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（17）</w:t>
      </w:r>
      <w:r>
        <w:rPr>
          <w:rFonts w:ascii="宋体" w:hAnsi="宋体" w:cs="Courier New"/>
          <w:color w:val="000000"/>
          <w:sz w:val="24"/>
          <w:szCs w:val="24"/>
          <w:highlight w:val="none"/>
          <w:lang w:val="en-US" w:eastAsia="zh-CN"/>
        </w:rPr>
        <w:t xml:space="preserve">乙方拟投入项目的人员未经甲方同意，不得更换，且需积极响应甲方现场检查、考核、会议等要求。</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（18）</w:t>
      </w:r>
      <w:r>
        <w:rPr>
          <w:rFonts w:ascii="宋体" w:hAnsi="宋体" w:cs="Courier New"/>
          <w:color w:val="000000"/>
          <w:sz w:val="24"/>
          <w:szCs w:val="24"/>
          <w:highlight w:val="none"/>
          <w:lang w:val="en-US" w:eastAsia="zh-CN"/>
        </w:rPr>
        <w:t xml:space="preserve">乙方的日常养护作业须按照《仙林地区绿化养护及补缺管理办法》的要求，达到《仙林大学城绿化养护质量标准》</w:t>
      </w:r>
      <w:r>
        <w:rPr>
          <w:rFonts w:hint="eastAsia" w:ascii="宋体" w:hAnsi="宋体" w:cs="Courier New"/>
          <w:color w:val="000000"/>
          <w:sz w:val="24"/>
          <w:szCs w:val="24"/>
          <w:highlight w:val="none"/>
          <w:lang w:val="en-US" w:eastAsia="zh-CN"/>
        </w:rPr>
        <w:t xml:space="preserve">相应</w:t>
      </w:r>
      <w:r>
        <w:rPr>
          <w:rFonts w:ascii="宋体" w:hAnsi="宋体" w:cs="Courier New"/>
          <w:color w:val="000000"/>
          <w:sz w:val="24"/>
          <w:szCs w:val="24"/>
          <w:highlight w:val="none"/>
          <w:lang w:val="en-US" w:eastAsia="zh-CN"/>
        </w:rPr>
        <w:t xml:space="preserve">标准，苗木补植更新达到《江苏省城市园林绿化植物种植技术规定（试行》和《园林绿</w:t>
      </w:r>
      <w:r>
        <w:rPr>
          <w:rFonts w:ascii="宋体" w:hAnsi="宋体" w:eastAsia="宋体" w:cs="Courier New"/>
          <w:color w:val="000000"/>
          <w:sz w:val="24"/>
          <w:szCs w:val="24"/>
          <w:highlight w:val="none"/>
          <w:lang w:val="en-US" w:eastAsia="zh-CN"/>
        </w:rPr>
        <w:t xml:space="preserve">化工程施工及验收规范》(CJJ82-2012)并接受甲方的考核。</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苗木补植交货验收要求：本项目交货期按照甲方要求，根据项目进度进行供苗，乙方须响应甲方交货期要求；货到现场后由接受人进行数量、质量、规格等检验，并填写《苗木到场验收单》，由甲方现场代表、监理、乙方三方签字确认。如乙方提供的苗木现场核验不合格，视为有质量问题，苗木将被退回，如不能在甲方规定时间内供苗而影响施工，甲方有权拒收并根据招标价格指定第三方供苗，对乙方造成的损失从履约保证金中扣除，并保留追究其相应责任的权利。</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（19）</w:t>
      </w:r>
      <w:r>
        <w:rPr>
          <w:rFonts w:ascii="宋体" w:hAnsi="宋体" w:eastAsia="宋体" w:cs="Courier New"/>
          <w:color w:val="000000"/>
          <w:sz w:val="24"/>
          <w:szCs w:val="24"/>
          <w:highlight w:val="none"/>
          <w:lang w:val="en-US" w:eastAsia="zh-CN"/>
        </w:rPr>
        <w:t xml:space="preserve">标段内养护作业产生的作业</w:t>
      </w:r>
      <w:r>
        <w:rPr>
          <w:rFonts w:ascii="宋体" w:hAnsi="宋体" w:cs="Courier New"/>
          <w:color w:val="000000"/>
          <w:sz w:val="24"/>
          <w:szCs w:val="24"/>
          <w:highlight w:val="none"/>
          <w:lang w:val="en-US" w:eastAsia="zh-CN"/>
        </w:rPr>
        <w:t xml:space="preserve">垃圾由乙方自行解决。</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四、</w:t>
      </w:r>
      <w:r>
        <w:rPr>
          <w:rFonts w:ascii="方正黑体_GBK" w:hAnsi="方正黑体_GBK" w:eastAsia="方正黑体_GBK" w:cs="方正黑体_GBK"/>
          <w:bCs/>
          <w:color w:val="000000"/>
          <w:sz w:val="24"/>
          <w:szCs w:val="24"/>
          <w:highlight w:val="none"/>
          <w:lang w:val="en-US" w:eastAsia="zh-CN"/>
        </w:rPr>
        <w:t xml:space="preserve">拟投入本项目人员要求</w:t>
      </w:r>
      <w:r>
        <w:rPr>
          <w:rFonts w:ascii="方正黑体_GBK" w:hAnsi="方正黑体_GBK" w:eastAsia="方正黑体_GBK" w:cs="方正黑体_GBK"/>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4.1</w:t>
      </w:r>
      <w:r>
        <w:rPr>
          <w:rFonts w:ascii="宋体" w:hAnsi="宋体" w:cs="Courier New"/>
          <w:color w:val="000000"/>
          <w:sz w:val="24"/>
          <w:szCs w:val="24"/>
          <w:highlight w:val="none"/>
          <w:lang w:val="en-US" w:eastAsia="zh-CN"/>
        </w:rPr>
        <w:t xml:space="preserve">、乙方对项目负责人的授权范围如下：经乙方授权后代表乙方负责项目实施的计划、组织、协调、领导和控制，对项目的质量、安全文明、进度和投资等负全面管理责任。涉及以乙方名义在结算报告、签证文件等须签字确认的，须加盖经乙方确认的单位印章方可确认。</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关于项目负责人每周在项目现场的时间要求：项目负责人必须常驻现场，每周在工时间不少于5日，每天不少于8个小时在岗处理事务，必须参加每周召开的例会且满足现场的作业管理要求。注：合同签订时，中标的项目负责人职称证书原件必须交由甲方审核合格后方可签订合同。项目负责人每天到岗情况必须向甲方现场管理人员报告和登记，甲方现场管理人员对乙方项目负责人在岗情况进行实时记录，发现乙方项目负责人应在现场而不在现场的行为，乙方须向甲方支付违约金</w:t>
      </w:r>
      <w:r>
        <w:rPr>
          <w:rFonts w:hint="eastAsia" w:ascii="宋体" w:hAnsi="宋体" w:cs="Courier New"/>
          <w:color w:val="000000"/>
          <w:sz w:val="24"/>
          <w:szCs w:val="24"/>
          <w:highlight w:val="none"/>
          <w:lang w:val="en-US" w:eastAsia="zh-CN"/>
        </w:rPr>
        <w:t xml:space="preserve">0.5</w:t>
      </w:r>
      <w:r>
        <w:rPr>
          <w:rFonts w:ascii="宋体" w:hAnsi="宋体" w:cs="Courier New"/>
          <w:color w:val="000000"/>
          <w:sz w:val="24"/>
          <w:szCs w:val="24"/>
          <w:highlight w:val="none"/>
          <w:lang w:val="en-US" w:eastAsia="zh-CN"/>
        </w:rPr>
        <w:t xml:space="preserve">万元人民币/次</w:t>
      </w:r>
      <w:r>
        <w:rPr>
          <w:rFonts w:hint="eastAsia" w:ascii="宋体" w:hAnsi="宋体" w:cs="Courier New"/>
          <w:color w:val="000000"/>
          <w:sz w:val="24"/>
          <w:szCs w:val="24"/>
          <w:highlight w:val="none"/>
          <w:lang w:val="en-US" w:eastAsia="zh-CN"/>
        </w:rPr>
        <w:t xml:space="preserve">；如乙方项目负责人</w:t>
      </w:r>
      <w:r>
        <w:rPr>
          <w:rFonts w:ascii="宋体" w:hAnsi="宋体" w:cs="Courier New"/>
          <w:color w:val="000000"/>
          <w:sz w:val="24"/>
          <w:szCs w:val="24"/>
          <w:highlight w:val="none"/>
          <w:lang w:val="en-US" w:eastAsia="zh-CN"/>
        </w:rPr>
        <w:t xml:space="preserve">月考勤率低于70%</w:t>
      </w:r>
      <w:r>
        <w:rPr>
          <w:rFonts w:hint="eastAsia" w:ascii="宋体" w:hAnsi="宋体" w:cs="Courier New"/>
          <w:color w:val="000000"/>
          <w:sz w:val="24"/>
          <w:szCs w:val="24"/>
          <w:highlight w:val="none"/>
          <w:lang w:val="en-US" w:eastAsia="zh-CN"/>
        </w:rPr>
        <w:t xml:space="preserve">，乙方须向甲方支付违约金</w:t>
      </w:r>
      <w:r>
        <w:rPr>
          <w:rFonts w:hint="eastAsia" w:ascii="宋体" w:hAnsi="宋体" w:eastAsia="宋体" w:cs="Courier New"/>
          <w:color w:val="000000"/>
          <w:sz w:val="24"/>
          <w:szCs w:val="24"/>
          <w:highlight w:val="none"/>
          <w:lang w:val="en-US" w:eastAsia="zh-CN"/>
        </w:rPr>
        <w:t xml:space="preserve">5万</w:t>
      </w:r>
      <w:r>
        <w:rPr>
          <w:rFonts w:hint="eastAsia" w:ascii="宋体" w:hAnsi="宋体" w:cs="Courier New"/>
          <w:color w:val="000000"/>
          <w:sz w:val="24"/>
          <w:szCs w:val="24"/>
          <w:highlight w:val="none"/>
          <w:lang w:val="en-US" w:eastAsia="zh-CN"/>
        </w:rPr>
        <w:t xml:space="preserve">人民币/次。</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项目负责人未经批准，擅自离开项目现场的违约责任：按人民币</w:t>
      </w:r>
      <w:r>
        <w:rPr>
          <w:rFonts w:hint="eastAsia" w:ascii="宋体" w:hAnsi="宋体" w:eastAsia="宋体" w:cs="Courier New"/>
          <w:color w:val="000000"/>
          <w:sz w:val="24"/>
          <w:szCs w:val="24"/>
          <w:highlight w:val="none"/>
          <w:lang w:val="en-US" w:eastAsia="zh-CN"/>
        </w:rPr>
        <w:t xml:space="preserve">0.5</w:t>
      </w:r>
      <w:r>
        <w:rPr>
          <w:rFonts w:ascii="宋体" w:hAnsi="宋体" w:cs="Courier New"/>
          <w:color w:val="000000"/>
          <w:sz w:val="24"/>
          <w:szCs w:val="24"/>
          <w:highlight w:val="none"/>
          <w:lang w:val="en-US" w:eastAsia="zh-CN"/>
        </w:rPr>
        <w:t xml:space="preserve">万元/次向甲方支付违约金；项目负责人未经批准，擅自离开项目现场后，项目现场出现紧急情况造成人员伤亡、财产损失的，甲方有权要求更换项目负责人，并按</w:t>
      </w: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0万元/次由乙方向甲方支付违约金，由此增加的费用和延误的工期由乙方承担。上述违约金在当期绿化养护费用支付及结算时直接扣除。</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2、乙方更换项目负责人的违约责任：因身故或重大疾病需要更换项目负责人的，更换的项目负责人必须具备原项目负责人的资格及业绩条件的，须经甲方审核并书面同意后方可更换并免于处罚。</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因身故或重大疾病以外其他原因需更换项目负责人的，更换的项目负责人必须具备原项目负责人的资格及业绩条件，且须经甲方审核并书面同意后方可更换，甲方的书面同意并不免除乙方相应的违约责任，乙方须按人民币</w:t>
      </w:r>
      <w:r>
        <w:rPr>
          <w:rFonts w:hint="eastAsia" w:ascii="宋体" w:hAnsi="宋体" w:eastAsia="宋体" w:cs="Courier New"/>
          <w:color w:val="000000"/>
          <w:sz w:val="24"/>
          <w:szCs w:val="24"/>
          <w:highlight w:val="none"/>
          <w:lang w:val="en-US" w:eastAsia="zh-CN"/>
        </w:rPr>
        <w:t xml:space="preserve">10</w:t>
      </w:r>
      <w:r>
        <w:rPr>
          <w:rFonts w:ascii="宋体" w:hAnsi="宋体" w:cs="Courier New"/>
          <w:color w:val="000000"/>
          <w:sz w:val="24"/>
          <w:szCs w:val="24"/>
          <w:highlight w:val="none"/>
          <w:lang w:val="en-US" w:eastAsia="zh-CN"/>
        </w:rPr>
        <w:t xml:space="preserve">万元/次的标准向甲方支付违约金。</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若乙方擅自更换项目负责人，乙方须按人民币</w:t>
      </w:r>
      <w:r>
        <w:rPr>
          <w:rFonts w:hint="eastAsia" w:ascii="宋体" w:hAnsi="宋体" w:eastAsia="宋体" w:cs="Courier New"/>
          <w:color w:val="000000"/>
          <w:sz w:val="24"/>
          <w:szCs w:val="24"/>
          <w:highlight w:val="none"/>
          <w:lang w:val="en-US" w:eastAsia="zh-CN"/>
        </w:rPr>
        <w:t xml:space="preserve">20</w:t>
      </w:r>
      <w:r>
        <w:rPr>
          <w:rFonts w:ascii="宋体" w:hAnsi="宋体" w:cs="Courier New"/>
          <w:color w:val="000000"/>
          <w:sz w:val="24"/>
          <w:szCs w:val="24"/>
          <w:highlight w:val="none"/>
          <w:lang w:val="en-US" w:eastAsia="zh-CN"/>
        </w:rPr>
        <w:t xml:space="preserve">万元/次的标准向甲方支付违约金，且甲方有权终止合同，并报送主管部门，其不良行为予以公示，由此造成甲方损失的由乙方承担。</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3、乙方无正当理由拒绝更换项目负责人的违约责任：如果项目负责人不能胜任相关工作，甲方有权更换，并对被更换人员作出相应处罚：乙方应向甲方支付</w:t>
      </w:r>
      <w:r>
        <w:rPr>
          <w:rFonts w:hint="eastAsia" w:ascii="宋体" w:hAnsi="宋体" w:eastAsia="宋体" w:cs="Courier New"/>
          <w:color w:val="000000"/>
          <w:sz w:val="24"/>
          <w:szCs w:val="24"/>
          <w:highlight w:val="none"/>
          <w:lang w:val="en-US" w:eastAsia="zh-CN"/>
        </w:rPr>
        <w:t xml:space="preserve">20</w:t>
      </w:r>
      <w:r>
        <w:rPr>
          <w:rFonts w:ascii="宋体" w:hAnsi="宋体" w:cs="Courier New"/>
          <w:color w:val="000000"/>
          <w:sz w:val="24"/>
          <w:szCs w:val="24"/>
          <w:highlight w:val="none"/>
          <w:lang w:val="en-US" w:eastAsia="zh-CN"/>
        </w:rPr>
        <w:t xml:space="preserve">万元/次的违约金。</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4、乙方提交本项目负责人、项目组管理人员、绿化养护人员及人员安排报告的期限：开工前7天，人员以投标文件拟派的人员为准。</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乙方项目组管理人员在岗要求及离开项目现场的批准要求：项目组管理人员必须常驻现场，需要离开项目现场的应经甲方或代管单位同意，否则视为擅自离开项目现场。</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乙方项目组管理人员擅自离开项目现场的违约责任：未征得甲方或代管单位书面同意擅自离开项目现场的支付违约金</w:t>
      </w:r>
      <w:r>
        <w:rPr>
          <w:rFonts w:hint="eastAsia" w:ascii="宋体" w:hAnsi="宋体" w:eastAsia="宋体" w:cs="Courier New"/>
          <w:color w:val="000000"/>
          <w:sz w:val="24"/>
          <w:szCs w:val="24"/>
          <w:highlight w:val="none"/>
          <w:lang w:val="en-US" w:eastAsia="zh-CN"/>
        </w:rPr>
        <w:t xml:space="preserve">2000</w:t>
      </w:r>
      <w:r>
        <w:rPr>
          <w:rFonts w:ascii="宋体" w:hAnsi="宋体" w:cs="Courier New"/>
          <w:color w:val="000000"/>
          <w:sz w:val="24"/>
          <w:szCs w:val="24"/>
          <w:highlight w:val="none"/>
          <w:lang w:val="en-US" w:eastAsia="zh-CN"/>
        </w:rPr>
        <w:t xml:space="preserve">元/</w:t>
      </w:r>
      <w:r>
        <w:rPr>
          <w:rFonts w:hint="eastAsia" w:ascii="宋体" w:hAnsi="宋体" w:cs="Courier New"/>
          <w:color w:val="000000"/>
          <w:sz w:val="24"/>
          <w:szCs w:val="24"/>
          <w:highlight w:val="none"/>
          <w:lang w:val="en-US" w:eastAsia="zh-CN"/>
        </w:rPr>
        <w:t xml:space="preserve">人</w:t>
      </w:r>
      <w:r>
        <w:rPr>
          <w:rFonts w:ascii="宋体" w:hAnsi="宋体" w:cs="Courier New"/>
          <w:color w:val="000000"/>
          <w:sz w:val="24"/>
          <w:szCs w:val="24"/>
          <w:highlight w:val="none"/>
          <w:lang w:val="en-US" w:eastAsia="zh-CN"/>
        </w:rPr>
        <w:t xml:space="preserve">/次。</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5、乙方擅自更换项目组管理人员的违约责任：因身故或重大疾病需要更换项目组管理人员的，更换的人员须具备原项目组管理人员资格，须经甲方审核并书面同意后方可更换并免于处罚。因身故或重大疾病以外其他原因需更换项目组管理人员的，更换的人员须具备原项目组管理人员资格，须经甲方审核并书面同意后方可更换，甲方的书面同意并不免除乙方相应的违约责任：更换项目组管理人员的，乙方须按人民币</w:t>
      </w:r>
      <w:r>
        <w:rPr>
          <w:rFonts w:hint="eastAsia" w:ascii="宋体" w:hAnsi="宋体" w:eastAsia="宋体" w:cs="Courier New"/>
          <w:color w:val="000000"/>
          <w:sz w:val="24"/>
          <w:szCs w:val="24"/>
          <w:highlight w:val="none"/>
          <w:lang w:val="en-US" w:eastAsia="zh-CN"/>
        </w:rPr>
        <w:t xml:space="preserve">5</w:t>
      </w:r>
      <w:r>
        <w:rPr>
          <w:rFonts w:ascii="宋体" w:hAnsi="宋体" w:cs="Courier New"/>
          <w:color w:val="000000"/>
          <w:sz w:val="24"/>
          <w:szCs w:val="24"/>
          <w:highlight w:val="none"/>
          <w:lang w:val="en-US" w:eastAsia="zh-CN"/>
        </w:rPr>
        <w:t xml:space="preserve">万元/人/次的标准向甲方支付违约金；此费用将在绿化养护费用结算时直接扣除。若乙方无正当理由擅自要求更换项目组管理人员，甲方有权终止合同。</w:t>
      </w:r>
      <w:r>
        <w:rPr>
          <w:rFonts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6、绿化养护人员数量不符合约定的违约责任：绿化养护人员投入不足，未达到人员基本配置要求的，乙方须按人民币500元/人/天的标准向甲方支付违约金，此费用将在绿化养护费用结算时直</w:t>
      </w:r>
      <w:r>
        <w:rPr>
          <w:rFonts w:ascii="宋体" w:hAnsi="宋体" w:eastAsia="宋体" w:cs="Courier New"/>
          <w:color w:val="000000"/>
          <w:sz w:val="24"/>
          <w:szCs w:val="24"/>
          <w:highlight w:val="none"/>
          <w:lang w:val="en-US" w:eastAsia="zh-CN"/>
        </w:rPr>
        <w:t xml:space="preserve">接扣除。</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五、履约保证金缴纳</w:t>
      </w:r>
      <w:r>
        <w:rPr>
          <w:highlight w:val="none"/>
          <w:lang w:val="en-US" w:eastAsia="zh-CN"/>
        </w:rPr>
      </w:r>
      <w:r/>
    </w:p>
    <w:p>
      <w:pPr>
        <w:pStyle w:val="946"/>
        <w:ind w:firstLine="480"/>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pPr>
      <w:r>
        <w:rPr>
          <w:rFonts w:hint="eastAsia" w:ascii="宋体" w:hAnsi="宋体" w:eastAsia="宋体" w:cs="Courier New"/>
          <w:color w:val="000000"/>
          <w:sz w:val="24"/>
          <w:szCs w:val="24"/>
          <w:highlight w:val="none"/>
          <w:lang w:val="en-US" w:eastAsia="zh-CN"/>
        </w:rPr>
        <w:t xml:space="preserve">乙方须在合同签订前且不得迟于中标公告后15日（日历天）内向甲方缴纳各采购包中标价10%的履约保证金（担保形式：银行保函、电汇或转账等非现金方式），履约保证金递交后方可签订合同。乙方未按要求提交履约保证金，甲方有权取消其中标资格。如乙方采用银行保函形式递交履约保证金且银行需凭借本项目合同办理银行保函的，乙方与甲方签订合同前，必须以书面形式向甲方承诺："在合同签订后 15天内，向</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val="en-US" w:eastAsia="zh-CN"/>
        </w:rPr>
        <w:t xml:space="preserve">递交银行保函。如无法递交，甲方有权终止合同，乙方应服从且不得因此提出任何费用索赔"。</w:t>
      </w:r>
      <w:r>
        <w:rPr>
          <w:rFonts w:ascii="宋体" w:hAnsi="宋体" w:cs="Courier New"/>
          <w:b w:val="0"/>
          <w:bCs w:val="0"/>
          <w:color w:val="000000"/>
          <w:sz w:val="24"/>
          <w:szCs w:val="24"/>
          <w:highlight w:val="none"/>
          <w:u w:val="none"/>
          <w:lang w:val="en-US" w:eastAsia="zh-CN"/>
        </w:rPr>
      </w:r>
      <w:r/>
    </w:p>
    <w:p>
      <w:pPr>
        <w:pStyle w:val="946"/>
        <w:numPr>
          <w:ilvl w:val="0"/>
          <w:numId w:val="5"/>
        </w:numPr>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考核情况</w:t>
      </w:r>
      <w:r>
        <w:rPr>
          <w:rFonts w:hint="eastAsia" w:ascii="方正黑体_GBK" w:hAnsi="方正黑体_GBK" w:eastAsia="方正黑体_GBK" w:cs="方正黑体_GBK"/>
          <w:bCs/>
          <w:color w:val="000000"/>
          <w:sz w:val="24"/>
          <w:szCs w:val="24"/>
          <w:highlight w:val="none"/>
          <w:lang w:val="en-US" w:eastAsia="zh-CN"/>
        </w:rPr>
      </w:r>
      <w:r/>
    </w:p>
    <w:p>
      <w:pPr>
        <w:pStyle w:val="946"/>
        <w:numPr>
          <w:ilvl w:val="0"/>
          <w:numId w:val="0"/>
        </w:numPr>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 1、考核办法</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w:t>
      </w:r>
      <w:r>
        <w:rPr>
          <w:rFonts w:ascii="宋体" w:hAnsi="宋体" w:eastAsia="宋体" w:cs="Courier New"/>
          <w:color w:val="000000"/>
          <w:sz w:val="24"/>
          <w:szCs w:val="24"/>
          <w:highlight w:val="none"/>
          <w:lang w:val="en-US" w:eastAsia="zh-CN"/>
        </w:rPr>
        <w:t xml:space="preserve">甲方按照</w:t>
      </w:r>
      <w:r>
        <w:rPr>
          <w:rFonts w:hint="eastAsia" w:ascii="宋体" w:hAnsi="宋体" w:eastAsia="宋体" w:cs="Courier New"/>
          <w:color w:val="000000"/>
          <w:sz w:val="24"/>
          <w:szCs w:val="24"/>
          <w:highlight w:val="none"/>
          <w:lang w:val="en-US" w:eastAsia="zh-CN"/>
        </w:rPr>
        <w:t xml:space="preserve">甲方</w:t>
      </w:r>
      <w:r>
        <w:rPr>
          <w:rFonts w:ascii="宋体" w:hAnsi="宋体" w:eastAsia="宋体" w:cs="Courier New"/>
          <w:color w:val="000000"/>
          <w:sz w:val="24"/>
          <w:szCs w:val="24"/>
          <w:highlight w:val="none"/>
          <w:lang w:val="en-US" w:eastAsia="zh-CN"/>
        </w:rPr>
        <w:t xml:space="preserve">《考核办法及评分细则》对乙方的养护作业进行考核。</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color w:val="000000"/>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w:t>
      </w:r>
      <w:r>
        <w:rPr>
          <w:rFonts w:ascii="宋体" w:hAnsi="宋体" w:eastAsia="宋体" w:cs="Courier New"/>
          <w:color w:val="000000"/>
          <w:sz w:val="24"/>
          <w:szCs w:val="24"/>
          <w:highlight w:val="none"/>
          <w:lang w:val="en-US" w:eastAsia="zh-CN"/>
        </w:rPr>
        <w:t xml:space="preserve">考核组织实施养护考核工作由</w:t>
      </w:r>
      <w:r>
        <w:rPr>
          <w:rFonts w:hint="eastAsia" w:ascii="宋体" w:hAnsi="宋体" w:eastAsia="宋体" w:cs="Courier New"/>
          <w:color w:val="000000"/>
          <w:sz w:val="24"/>
          <w:szCs w:val="24"/>
          <w:highlight w:val="none"/>
          <w:lang w:val="en-US" w:eastAsia="zh-CN"/>
        </w:rPr>
        <w:t xml:space="preserve">甲方</w:t>
      </w:r>
      <w:r>
        <w:rPr>
          <w:rFonts w:ascii="宋体" w:hAnsi="宋体" w:eastAsia="宋体" w:cs="Courier New"/>
          <w:color w:val="000000"/>
          <w:sz w:val="24"/>
          <w:szCs w:val="24"/>
          <w:highlight w:val="none"/>
          <w:lang w:val="en-US" w:eastAsia="zh-CN"/>
        </w:rPr>
        <w:t xml:space="preserve">负责组织实施。具体负责组织集中、不定期检查和资料汇总、计分排名和通报，对其作业质量进行日常检查和考核，并对其存在的问题限期落实整改。</w:t>
      </w:r>
      <w:r>
        <w:rPr>
          <w:color w:val="000000"/>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w:t>
      </w:r>
      <w:r>
        <w:rPr>
          <w:rFonts w:ascii="宋体" w:hAnsi="宋体" w:eastAsia="宋体" w:cs="Courier New"/>
          <w:color w:val="000000"/>
          <w:sz w:val="24"/>
          <w:szCs w:val="24"/>
          <w:highlight w:val="none"/>
          <w:lang w:val="en-US" w:eastAsia="zh-CN"/>
        </w:rPr>
        <w:t xml:space="preserve">、考核费用组成</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乙方同意甲方将</w:t>
      </w:r>
      <w:r>
        <w:rPr>
          <w:rFonts w:hint="eastAsia" w:ascii="宋体" w:hAnsi="宋体" w:eastAsia="宋体" w:cs="Courier New"/>
          <w:color w:val="000000"/>
          <w:sz w:val="24"/>
          <w:szCs w:val="24"/>
          <w:highlight w:val="none"/>
          <w:lang w:val="en-US" w:eastAsia="zh-CN"/>
        </w:rPr>
        <w:t xml:space="preserve">实际养护范围的</w:t>
      </w:r>
      <w:r>
        <w:rPr>
          <w:rFonts w:ascii="宋体" w:hAnsi="宋体" w:eastAsia="宋体" w:cs="Courier New"/>
          <w:color w:val="000000"/>
          <w:sz w:val="24"/>
          <w:szCs w:val="24"/>
          <w:highlight w:val="none"/>
          <w:lang w:val="en-US" w:eastAsia="zh-CN"/>
        </w:rPr>
        <w:t xml:space="preserve">绿化养护费用的50%作为基本养护费，其余50%作为质量考核费。</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3</w:t>
      </w:r>
      <w:r>
        <w:rPr>
          <w:rFonts w:ascii="宋体" w:hAnsi="宋体" w:eastAsia="宋体" w:cs="Courier New"/>
          <w:color w:val="000000"/>
          <w:sz w:val="24"/>
          <w:szCs w:val="24"/>
          <w:highlight w:val="none"/>
          <w:lang w:val="en-US" w:eastAsia="zh-CN"/>
        </w:rPr>
        <w:t xml:space="preserve">、考核后维护费用的拨付</w:t>
      </w:r>
      <w:r>
        <w:rPr>
          <w:rFonts w:hint="eastAsia" w:ascii="宋体" w:hAnsi="宋体" w:eastAsia="宋体" w:cs="Courier New"/>
          <w:color w:val="000000"/>
          <w:sz w:val="24"/>
          <w:szCs w:val="24"/>
          <w:highlight w:val="none"/>
          <w:lang w:val="en-US" w:eastAsia="zh-CN"/>
        </w:rPr>
        <w:t xml:space="preserve">要求和具体办法</w:t>
      </w:r>
      <w:r>
        <w:rPr>
          <w:rFonts w:ascii="宋体" w:hAnsi="宋体" w:eastAsia="宋体" w:cs="Courier New"/>
          <w:color w:val="000000"/>
          <w:sz w:val="24"/>
          <w:szCs w:val="24"/>
          <w:highlight w:val="none"/>
          <w:lang w:val="en-US" w:eastAsia="zh-CN"/>
        </w:rPr>
        <w:t xml:space="preserve">：</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1）每次支付前，乙方需提供监理人对乙方项目负责人及项目组管理人员与投标文件中人员是否一致的书面核查结果；代管单位对乙方项目负责人及项目组管理人员的书面考勤审核结果。</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w:t>
      </w:r>
      <w:r>
        <w:rPr>
          <w:rFonts w:ascii="宋体" w:hAnsi="宋体" w:eastAsia="宋体" w:cs="Courier New"/>
          <w:color w:val="000000"/>
          <w:sz w:val="24"/>
          <w:szCs w:val="24"/>
          <w:highlight w:val="none"/>
          <w:lang w:val="en-US" w:eastAsia="zh-CN"/>
        </w:rPr>
        <w:t xml:space="preserve">）绿化养护管理质量的考核，采用以月考核的方式，每季度汇总一次考核分数（本季度各月得分平均），根据季度汇总分数对质量考核费管理办法如下：</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第一档： 90-100分                付全额季度质量考核费；</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第二档： 85-90分（不含90分）    扣除季度质量考核费的2％； </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第三档： 80-85分（不含85分）    扣除季度质量考核费的5％；</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第四档： 75-80分（不含80分）    扣除季度质量考核费的10％；</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单个季度均分低于7</w:t>
      </w:r>
      <w:r>
        <w:rPr>
          <w:rFonts w:hint="eastAsia" w:ascii="宋体" w:hAnsi="宋体" w:eastAsia="宋体" w:cs="Courier New"/>
          <w:color w:val="000000"/>
          <w:sz w:val="24"/>
          <w:szCs w:val="24"/>
          <w:highlight w:val="none"/>
          <w:lang w:val="en-US" w:eastAsia="zh-CN"/>
        </w:rPr>
        <w:t xml:space="preserve">5</w:t>
      </w:r>
      <w:r>
        <w:rPr>
          <w:rFonts w:ascii="宋体" w:hAnsi="宋体" w:eastAsia="宋体" w:cs="Courier New"/>
          <w:color w:val="000000"/>
          <w:sz w:val="24"/>
          <w:szCs w:val="24"/>
          <w:highlight w:val="none"/>
          <w:lang w:val="en-US" w:eastAsia="zh-CN"/>
        </w:rPr>
        <w:t xml:space="preserve">分的，或连续两个季度均分低于8</w:t>
      </w:r>
      <w:r>
        <w:rPr>
          <w:rFonts w:hint="eastAsia" w:ascii="宋体" w:hAnsi="宋体" w:eastAsia="宋体" w:cs="Courier New"/>
          <w:color w:val="000000"/>
          <w:sz w:val="24"/>
          <w:szCs w:val="24"/>
          <w:highlight w:val="none"/>
          <w:lang w:val="en-US" w:eastAsia="zh-CN"/>
        </w:rPr>
        <w:t xml:space="preserve">0</w:t>
      </w:r>
      <w:r>
        <w:rPr>
          <w:rFonts w:ascii="宋体" w:hAnsi="宋体" w:eastAsia="宋体" w:cs="Courier New"/>
          <w:color w:val="000000"/>
          <w:sz w:val="24"/>
          <w:szCs w:val="24"/>
          <w:highlight w:val="none"/>
          <w:lang w:val="en-US" w:eastAsia="zh-CN"/>
        </w:rPr>
        <w:t xml:space="preserve">分，终止本项目服务合同，并扣除全部质量考核费。</w:t>
      </w:r>
      <w:r>
        <w:rPr>
          <w:rFonts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注：本项目中所提及的季度为三个月。本项目拨付款仅汇入乙方基本账户</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七、变更估价</w:t>
      </w:r>
      <w:r>
        <w:rPr>
          <w:rFonts w:hint="eastAsia" w:ascii="方正黑体_GBK" w:hAnsi="方正黑体_GBK" w:eastAsia="方正黑体_GBK" w:cs="方正黑体_GBK"/>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关于变更估价的约定：</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7.1、投标单价高于市场价的清单子目数量变更增加超过 10%，甲方有权对超过部分的综合单价进行调整，经甲方和监理确认后，按照相关定额价格和市场因素重新进行组价调整。 </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7.2、已标价清单量有相同项目的，按照相同项目单价认定；</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7.3、已标价清单量清单中没有同样项目的，由乙方根据变更项目资料、计量规则和计价办法、南京造价管理的信息价格（变更当月）和乙方报价浮动率提出变更项目的单价，报甲方确认。乙方报价浮动率按下列公式计算：</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乙方报价浮动率 L=（</w:t>
      </w:r>
      <w:r>
        <w:rPr>
          <w:rFonts w:hint="eastAsia" w:ascii="宋体" w:hAnsi="宋体" w:cs="Courier New"/>
          <w:color w:val="000000"/>
          <w:sz w:val="24"/>
          <w:szCs w:val="24"/>
          <w:highlight w:val="none"/>
          <w:lang w:val="en-US" w:eastAsia="zh-CN"/>
        </w:rPr>
        <w:t xml:space="preserve">苗木补植中标价/苗木补植最高限价）</w:t>
      </w:r>
      <w:r>
        <w:rPr>
          <w:rFonts w:hint="eastAsia" w:ascii="宋体" w:hAnsi="宋体" w:cs="Courier New"/>
          <w:color w:val="000000"/>
          <w:sz w:val="24"/>
          <w:szCs w:val="24"/>
          <w:highlight w:val="none"/>
          <w:lang w:val="en-US" w:eastAsia="zh-CN"/>
        </w:rPr>
        <w:t xml:space="preserve">×100%</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rPr>
        <w:outlineLvl w:val="9"/>
      </w:pPr>
      <w:r>
        <w:rPr>
          <w:rFonts w:hint="eastAsia" w:ascii="方正黑体_GBK" w:hAnsi="方正黑体_GBK" w:eastAsia="方正黑体_GBK" w:cs="方正黑体_GBK"/>
          <w:bCs/>
          <w:color w:val="000000"/>
          <w:sz w:val="24"/>
          <w:szCs w:val="24"/>
          <w:highlight w:val="none"/>
          <w:lang w:val="en-US" w:eastAsia="zh-CN"/>
        </w:rPr>
        <w:t xml:space="preserve">八、</w:t>
      </w:r>
      <w:r>
        <w:rPr>
          <w:rFonts w:hint="eastAsia" w:ascii="方正黑体_GBK" w:hAnsi="方正黑体_GBK" w:eastAsia="方正黑体_GBK" w:cs="方正黑体_GBK"/>
          <w:bCs/>
          <w:color w:val="000000"/>
          <w:sz w:val="24"/>
          <w:szCs w:val="24"/>
          <w:highlight w:val="none"/>
        </w:rPr>
        <w:t xml:space="preserve">其他要求</w:t>
      </w:r>
      <w:r>
        <w:rPr>
          <w:rFonts w:hint="eastAsia" w:ascii="方正黑体_GBK" w:hAnsi="方正黑体_GBK" w:eastAsia="方正黑体_GBK" w:cs="方正黑体_GBK"/>
          <w:bCs/>
          <w:color w:val="000000"/>
          <w:sz w:val="24"/>
          <w:szCs w:val="24"/>
          <w:highlight w:val="none"/>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w:t>
      </w:r>
      <w:r>
        <w:rPr>
          <w:rFonts w:hint="eastAsia" w:ascii="宋体" w:hAnsi="宋体" w:eastAsia="宋体" w:cs="Courier New"/>
          <w:color w:val="000000"/>
          <w:sz w:val="24"/>
          <w:szCs w:val="24"/>
          <w:highlight w:val="none"/>
          <w:lang w:val="en-US" w:eastAsia="zh-CN"/>
        </w:rPr>
        <w:t xml:space="preserve">在执行苗木补植或移植任务时，必须有甲方下发的任务单。</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8.2、在合同期乙方须</w:t>
      </w:r>
      <w:r>
        <w:rPr>
          <w:rFonts w:hint="eastAsia" w:ascii="宋体" w:hAnsi="宋体" w:eastAsia="宋体" w:cs="Courier New"/>
          <w:color w:val="000000"/>
          <w:sz w:val="24"/>
          <w:szCs w:val="24"/>
          <w:highlight w:val="none"/>
          <w:lang w:val="en-US" w:eastAsia="zh-CN"/>
        </w:rPr>
        <w:t xml:space="preserve">按照甲方要求完成乔木专项修剪和施肥工作。</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（1）乙方需按照甲方要求，按期保质完成养护区域内乔木修剪专项工作，如未按时完成专项指令工作，乙方需向甲方支付违约金0.5万元/次。</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lang w:val="en-US" w:eastAsia="zh-CN"/>
        </w:rPr>
        <w:t xml:space="preserve">乙方需按照甲方要求，完成养护区域内苗木有机肥施肥专项工作，如未按时完成专项指令工作，乙方需向甲方支付违约金0.5万元/次。</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8.3、乙方在养护期间自觉接受甲方、群众以及有关部门的监督管理。</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（1）乙方必须无条件服从甲方组织的一些突击性任务及迎检活动，按时、按标准、按要求完成所分配的工作，如未完成或养护工作不到位造成重大影响，乙方须向甲方支付违约金10万元/次。</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（2）乙方必须积极响应并接受主管部门的监督检查，若受到主管部门的批评，经调查认定情况属实的，当月绿化养护考评视情节轻重予以处罚；造成恶劣影响的，甲方有权单方面解除合同。</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（3）乙方必须随时、随地接受广大市民的监督，若受到市民的投诉，经调查认定情况属实的，当月绿化养护考评视情节轻重予以处罚；造成恶劣影响的，甲方有权单方面解除合同。</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8.4、乙方在养护方面出现重大责任问题造成严重社会影响且连续三次不整改或整改不到位，甲方可提前解除本合同。</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8.5、乙方连续两次或累计三次得到甲方书面警告的,甲方有权提前解除合同。</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8.6、乙方与甲方签订采购合同时，必须向甲方缴纳履约保证金，履约保证金金额为中标价的10%。如乙方严重违约，除承担相关责任外，甲方还将没收全部履约保证金。乙方顺利履行合同并合同期满后，甲方无息退还全部履约保证金。</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8.7、乙方根据本合同所承担的管理养护内容、按实际上岗人数自行到有关部门申办用工手续、员工劳动保险手续和办理暂住证手续。安排好属下人员的住宿和教育管理工作。</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8.8、乙方必须落实安全生产和安全防火措施，乙方应按甲方要求，为上岗工人购买统一的工作服或反光袖套，在进行养护作业时，必须认真负责，注意安全操作，及时消除安全隐患，自行解决养护区域及周边安全作业问题；如发生任何意外，乙方负责所有事故处理并承担一切经济责任和法律责任。</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8.9、乙方应严格遵守国家法律、法规的规定，做好社会治安综合治理等工作。不得违反国家法律、法规的规定。如乙方员工有违法乱纪行为，乙方须承担一切经济责任和法律责任。</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8.10、在合同期内，因国家建设需要征用或甲方管理需要调整乙方管养绿化地段时，乙方要服从大局，相应减少承包面积及经费。由此造成的经济损失，甲方不负赔偿责任。</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8.11、乙方须按照甲方要求对养护区域产生的绿化废弃物运送至指定地点，如发现违反者，处以每车次1000元的处罚。</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8.12、乙方未征得甲方书面同意，擅自将本合同的养护项目部分或全部转包或分包给他人的，甲方有权单方面解除合同，并有权要求乙方支付相当于合同价款总额5%的违约金给甲方。</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8.13、乙方无故停止工作，甲方有权按损失程度扣减养护款, 并有权要求乙方支付相当于合同价款总额5%的违约金。若无故停工累计达7天的，甲方有权单方面解除合同。</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8.14、乙方配合甲方做好园林绿化宣传、监督工作，教育市民遵守有关园林绿化管理规定和配合搞好卫生清洁工作。</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8.15、在符合供水规划和技术条件下，甲方可协助乙方按实际需要办理绿化养护专用给水口，但人工费、材料费由乙方支付。养护期内所需的水费(含污水处理费)由乙方承担，并由乙方直接向供水部门缴交。</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8.16、养护范围内的管养设施被盗或损坏，致人死伤或造成其他损失的，由乙方负责赔偿和承担一切经济责任</w:t>
      </w:r>
      <w:r>
        <w:rPr>
          <w:rFonts w:hint="eastAsia" w:ascii="宋体" w:hAnsi="宋体" w:eastAsia="宋体" w:cs="Courier New"/>
          <w:color w:val="000000"/>
          <w:sz w:val="24"/>
          <w:szCs w:val="24"/>
          <w:highlight w:val="none"/>
          <w:lang w:val="en-US" w:eastAsia="zh-CN"/>
        </w:rPr>
        <w:t xml:space="preserve">和法律责任。</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8.17、本项目不得转包或分包，一经发现有转包或分包现象，立即终止合同，没收其全部履约保证金，给甲方造成的损失超过履约保证金数额的，乙方还应当对超过部分予以赔偿，且承担相应的法律责任。</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8.18、乙方因违反以上条款被解</w:t>
      </w:r>
      <w:r>
        <w:rPr>
          <w:rFonts w:hint="eastAsia" w:ascii="宋体" w:hAnsi="宋体" w:cs="Courier New"/>
          <w:color w:val="000000"/>
          <w:sz w:val="24"/>
          <w:szCs w:val="24"/>
          <w:highlight w:val="none"/>
          <w:lang w:val="en-US" w:eastAsia="zh-CN"/>
        </w:rPr>
        <w:t xml:space="preserve">除合同后，养护经费结算到解除合同的前一个月止，甲方拒付剩下的质量考核费，甲方没收全部履约保证金，乙方三年内不得参加甲方组织的绿化养护</w:t>
      </w:r>
      <w:r>
        <w:rPr>
          <w:rFonts w:hint="eastAsia" w:ascii="宋体" w:hAnsi="宋体" w:eastAsia="宋体" w:cs="Courier New"/>
          <w:color w:val="000000"/>
          <w:sz w:val="24"/>
          <w:szCs w:val="24"/>
          <w:highlight w:val="none"/>
          <w:lang w:val="en-US" w:eastAsia="zh-CN"/>
        </w:rPr>
        <w:t xml:space="preserve">管理承包工作。</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8.19、乙方提供的苗木补植结算书</w:t>
      </w:r>
      <w:r>
        <w:rPr>
          <w:rFonts w:hint="eastAsia" w:ascii="宋体" w:hAnsi="宋体" w:eastAsia="宋体" w:cs="Courier New"/>
          <w:color w:val="000000"/>
          <w:sz w:val="24"/>
          <w:szCs w:val="24"/>
          <w:highlight w:val="none"/>
          <w:lang w:val="en-US" w:eastAsia="zh-CN"/>
        </w:rPr>
        <w:t xml:space="preserve">，①如经审计核减额在5%以内，审计费甲方承担；②核减额在5%-10%（含5%，不含10%），乙方应承担违约金，违约金为该项目对应审计费用总额的一半；③核减额在10%（含）以上，乙方应承担违约金，违约金为该项目对应的全部审计费(核减额是指乙方向甲方提交的送审额与最终审定金额之间的差额</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8.20、①甲方支付给乙方的项目所有款项，乙方只能用于本工程有关的劳力、材料、机械</w:t>
      </w:r>
      <w:r>
        <w:rPr>
          <w:rFonts w:hint="eastAsia" w:ascii="宋体" w:hAnsi="宋体" w:eastAsia="宋体" w:cs="Courier New"/>
          <w:color w:val="000000"/>
          <w:sz w:val="24"/>
          <w:szCs w:val="24"/>
          <w:highlight w:val="none"/>
          <w:lang w:val="en-US" w:eastAsia="zh-CN"/>
        </w:rPr>
        <w:t xml:space="preserve">等费用。甲方有权对乙方项目所有款项的使用进行监督，如款项用于支付与本项目无关的费用，甲方将立即停止付款并由乙方支付合同总价5%的违约金。甲方有权选择在总的支付比例不变的情况下，采取其他的支付方法。②乙方保证及时给工人结算、支付工人工资。确保不拖欠工人工资，否则甲方有权直接扣除部分乙方应收款项以支付工人工资，同时乙方向甲方支付50万元违约金。如因拖欠工人工资引起工人信访、诉讼等集体聚众行为，甲方将按南京市及区政府有关拖欠民工工资处理办法进行处理，并且甲方具有单方解除合同的权利，合同解除，不免除乙方的违约责任。</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8.21、本合同项下所有款项均以人民币支付。</w:t>
      </w:r>
      <w:r>
        <w:rPr>
          <w:rFonts w:hint="eastAsia" w:ascii="宋体" w:hAnsi="宋体" w:eastAsia="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highlight w:val="none"/>
          <w:lang w:val="en-US" w:eastAsia="zh-CN"/>
        </w:rPr>
        <w:outlineLvl w:val="9"/>
      </w:pPr>
      <w:r>
        <w:rPr>
          <w:rFonts w:hint="eastAsia" w:ascii="宋体" w:hAnsi="宋体" w:cs="Courier New"/>
          <w:color w:val="000000"/>
          <w:sz w:val="24"/>
          <w:szCs w:val="24"/>
          <w:highlight w:val="none"/>
          <w:lang w:val="en-US" w:eastAsia="zh-CN"/>
        </w:rPr>
        <w:t xml:space="preserve">8.22、本合同项下的拨付款由甲方自行支付，每次付款前，乙方须向甲方开具符合甲方要求的增值税发票，否则甲方有权拒绝付款，本项目拨付款仅汇入乙方基本账户。</w:t>
      </w:r>
      <w:r>
        <w:rPr>
          <w:rFonts w:hint="eastAsia"/>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8.23、关于奖惩制度：</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扣费类：</w:t>
      </w:r>
      <w:r>
        <w:rPr>
          <w:rFonts w:hint="eastAsia" w:ascii="方正黑体_GBK" w:hAnsi="方正黑体_GBK" w:eastAsia="方正黑体_GBK" w:cs="方正黑体_GBK"/>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（1）项目负责人应按时参加由甲方召集的养护检查、工作例会及其它临时通知的须由项目负责人参加的检查、会议，无故不参加的，每次扣2000元；</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（2）养护人员未统一着装上岗，或违反劳动纪律，发现一次扣500元；</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（3）月度养护计划上报不及时，养护档案不完整、不真实，每次扣500元；</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（4）未及时完成甲方下达任务的，每次扣2000元。</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扣分类：</w:t>
      </w:r>
      <w:r>
        <w:rPr>
          <w:rFonts w:hint="eastAsia" w:ascii="方正黑体_GBK" w:hAnsi="方正黑体_GBK" w:eastAsia="方正黑体_GBK" w:cs="方正黑体_GBK"/>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（1）未及时完成甲方下达任务的，直接在总得分里扣分，一次扣0.5～2分(0.5一个档次)。</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（2）因养护管理不当，造成严重影响，或受到上级相关部门点名批评的，直接在总得分里扣分，一次扣0.5～3分(0.5一个档次)。</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（3）经媒体曝光、12345政务热线等媒体网络投诉举报，经查实的，直接在总得分里扣分，一次扣0.5～5分(0.5一个档次)。</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（4）发生人员伤亡、财产损失的，直接在总得分里扣分，一次扣1～15分(1分一个档次)。</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（5）未经审批同意，擅自砍伐、移植或更换养护范围内的树木，改变绿地原貌的，直接在总得分里扣分，一次扣1～15分(1分一个档次)。</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（6）对毁绿、占绿的行为，未在第一时间（18小时）内发现、制止和及时报告的，直接在总得分里扣分，一次扣1～15分(1分一个档次)。 </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对于苗木补缺或移植过程中所种植的苗木需确保100%的成活率，由于养护不到位致使苗木死亡的须由合同养护单位负责自行补种，并另外对养护单位扣款2000元/次，同时直接在总得分里扣分，一次扣0.3～3分(0.3分一个档次)。</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（8）上级有关部门检查视察等活动或甲方组织检查等活动保障，出现一次问题扣5分。</w:t>
      </w:r>
      <w:r>
        <w:rPr>
          <w:rFonts w:hint="eastAsia" w:ascii="宋体" w:hAnsi="宋体" w:cs="Courier New"/>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奖励类：</w:t>
      </w:r>
      <w:r>
        <w:rPr>
          <w:rFonts w:hint="eastAsia" w:ascii="方正黑体_GBK" w:hAnsi="方正黑体_GBK" w:eastAsia="方正黑体_GBK" w:cs="方正黑体_GBK"/>
          <w:bCs/>
          <w:color w:val="000000"/>
          <w:sz w:val="24"/>
          <w:szCs w:val="24"/>
          <w:highlight w:val="none"/>
          <w:lang w:val="en-US" w:eastAsia="zh-CN"/>
        </w:rPr>
      </w:r>
      <w:r/>
    </w:p>
    <w:p>
      <w:pPr>
        <w:pStyle w:val="946"/>
        <w:numPr>
          <w:ilvl w:val="0"/>
          <w:numId w:val="6"/>
        </w:numPr>
        <w:ind w:right="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在养护作业中，因乙方养护作业突出，甲方在市级及以上考核评比中获得奖励的，</w:t>
      </w:r>
      <w:r>
        <w:rPr>
          <w:rFonts w:hint="eastAsia" w:ascii="宋体" w:hAnsi="宋体" w:cs="Courier New"/>
          <w:color w:val="000000"/>
          <w:sz w:val="24"/>
          <w:szCs w:val="24"/>
          <w:highlight w:val="none"/>
          <w:lang w:val="en-US" w:eastAsia="zh-CN"/>
        </w:rPr>
      </w:r>
      <w:r/>
    </w:p>
    <w:p>
      <w:pPr>
        <w:pStyle w:val="946"/>
        <w:numPr>
          <w:ilvl w:val="0"/>
          <w:numId w:val="0"/>
        </w:numPr>
        <w:ind w:right="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bidi="ar-SA"/>
        </w:rPr>
        <w:outlineLvl w:val="9"/>
      </w:pPr>
      <w:r>
        <w:rPr>
          <w:rFonts w:hint="eastAsia" w:ascii="宋体" w:hAnsi="宋体" w:cs="Courier New"/>
          <w:color w:val="000000"/>
          <w:sz w:val="24"/>
          <w:szCs w:val="24"/>
          <w:highlight w:val="none"/>
          <w:lang w:val="en-US" w:eastAsia="zh-CN"/>
        </w:rPr>
        <w:t xml:space="preserve">给予乙方表彰、加分等奖励。</w:t>
      </w:r>
      <w:r>
        <w:rPr>
          <w:rFonts w:hint="eastAsia" w:ascii="宋体" w:hAnsi="宋体" w:eastAsia="宋体" w:cs="Courier New"/>
          <w:color w:val="000000"/>
          <w:sz w:val="24"/>
          <w:szCs w:val="24"/>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3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4"/>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eastAsia="zh-CN" w:bidi="ar-SA"/>
        </w:rPr>
      </w:r>
      <w:r/>
    </w:p>
    <w:p>
      <w:pPr>
        <w:pStyle w:val="946"/>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191" w:name="_Toc49090575"/>
      <w:r/>
      <w:bookmarkStart w:id="192"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94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（一）项目背景</w:t>
      </w:r>
      <w:r>
        <w:rPr>
          <w:rFonts w:hint="eastAsia" w:ascii="宋体" w:hAnsi="宋体" w:eastAsia="宋体" w:cs="宋体"/>
          <w:bCs/>
          <w:color w:val="000000"/>
          <w:sz w:val="24"/>
          <w:szCs w:val="24"/>
          <w:highlight w:val="none"/>
          <w:lang w:val="en-US" w:eastAsia="zh-CN"/>
        </w:rPr>
      </w:r>
      <w:r/>
    </w:p>
    <w:p>
      <w:pPr>
        <w:pStyle w:val="94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1.服务地点：主要位于仙林大学城</w:t>
      </w:r>
      <w:r>
        <w:rPr>
          <w:rFonts w:hint="eastAsia" w:ascii="宋体" w:hAnsi="宋体" w:eastAsia="宋体" w:cs="宋体"/>
          <w:bCs/>
          <w:color w:val="000000"/>
          <w:sz w:val="24"/>
          <w:szCs w:val="24"/>
          <w:highlight w:val="none"/>
          <w:lang w:eastAsia="zh-CN"/>
        </w:rPr>
      </w:r>
      <w:r/>
    </w:p>
    <w:p>
      <w:pPr>
        <w:pStyle w:val="94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2.服务区域：</w:t>
      </w:r>
      <w:r>
        <w:rPr>
          <w:rFonts w:hint="eastAsia" w:ascii="宋体" w:hAnsi="宋体" w:eastAsia="宋体" w:cs="宋体"/>
          <w:bCs/>
          <w:color w:val="000000"/>
          <w:sz w:val="24"/>
          <w:szCs w:val="24"/>
          <w:highlight w:val="none"/>
          <w:lang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highlight w:val="none"/>
          <w:u w:val="none"/>
          <w:lang w:val="en-US" w:eastAsia="zh-CN"/>
        </w:rPr>
        <w:t xml:space="preserve">采购包1：2025-2026年仙林地区绿化养护项目五标段，服务内容包含包含九乡河生态公园等道路和广场绿化精细化养护，</w:t>
      </w:r>
      <w:r>
        <w:rPr>
          <w:rFonts w:ascii="SimSun" w:hAnsi="SimSun" w:eastAsia="SimSun" w:cs="SimSun"/>
          <w:color w:val="000000"/>
          <w:sz w:val="24"/>
        </w:rPr>
        <w:t xml:space="preserve">以及养护范围内河道岸坡清杂、卫生保洁等工作，</w:t>
      </w:r>
      <w:r>
        <w:rPr>
          <w:rFonts w:hint="eastAsia" w:ascii="宋体" w:hAnsi="宋体" w:eastAsia="宋体" w:cs="Times New Roman"/>
          <w:color w:val="000000"/>
          <w:sz w:val="24"/>
          <w:szCs w:val="24"/>
          <w:highlight w:val="none"/>
          <w:u w:val="none"/>
          <w:lang w:val="en-US" w:eastAsia="zh-CN"/>
        </w:rPr>
        <w:t xml:space="preserve">养护面积约1243400.00㎡；仙林大学城部分路段苗木补植服务等。</w:t>
      </w:r>
      <w:r>
        <w:rPr>
          <w:sz w:val="22"/>
        </w:rPr>
      </w:r>
      <w:r/>
    </w:p>
    <w:p>
      <w:pPr>
        <w:pStyle w:val="946"/>
        <w:ind w:firstLine="480"/>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Times New Roman"/>
          <w:color w:val="000000"/>
          <w:sz w:val="24"/>
          <w:szCs w:val="24"/>
          <w:highlight w:val="none"/>
          <w:u w:val="none"/>
          <w:lang w:val="en-US" w:eastAsia="zh-CN"/>
        </w:rPr>
        <w:t xml:space="preserve">采购包2：2025-2026年仙林地区绿化养护项目六标段，服务内容包含包含312国道（公路管理站-九乡河西路）防护林，312国道（四桥连接线-毕升路）防护林，衡阳湖防护林，仙林湖路东侧防护林，萧宏二期林地，汇通路泄洪沟东侧绿地，绿化废弃物处置场及周边绿化，小红花东侧林地，龙王山变电站周边林地，和园东侧林地，紫薇堂南侧林地（含构梁），龙王山南侧宕口林地等林地绿化精细化养护，以及养护范围内河道岸坡清杂、卫生保洁等工作，养护面积约807983.80㎡。</w:t>
      </w:r>
      <w:r>
        <w:rPr>
          <w:rFonts w:hint="eastAsia" w:ascii="宋体" w:hAnsi="宋体" w:eastAsia="宋体" w:cs="宋体"/>
          <w:bCs/>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946"/>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ff"/>
          <w:sz w:val="24"/>
          <w:szCs w:val="24"/>
          <w:highlight w:val="none"/>
          <w:lang w:eastAsia="zh-CN"/>
        </w:rPr>
      </w:r>
      <w:r/>
    </w:p>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包1：2025-2026年仙林地区绿化养护项目</w:t>
      </w:r>
      <w:r>
        <w:rPr>
          <w:rFonts w:hint="eastAsia" w:ascii="宋体" w:hAnsi="宋体"/>
          <w:sz w:val="24"/>
          <w:szCs w:val="24"/>
          <w:highlight w:val="none"/>
          <w:lang w:val="en-US" w:eastAsia="zh-CN"/>
        </w:rPr>
        <w:t xml:space="preserve">五</w:t>
      </w:r>
      <w:r>
        <w:rPr>
          <w:rFonts w:hint="eastAsia" w:ascii="宋体" w:hAnsi="宋体"/>
          <w:sz w:val="24"/>
          <w:szCs w:val="24"/>
          <w:highlight w:val="none"/>
        </w:rPr>
        <w:t xml:space="preserve">标段</w:t>
      </w:r>
      <w:r>
        <w:rPr>
          <w:rFonts w:hint="eastAsia" w:ascii="黑体" w:hAnsi="黑体" w:eastAsia="黑体" w:cs="黑体"/>
          <w:color w:val="000000"/>
          <w:sz w:val="24"/>
          <w:szCs w:val="24"/>
          <w:highlight w:val="none"/>
          <w:lang w:eastAsia="zh-CN"/>
        </w:rPr>
      </w:r>
      <w:r/>
    </w:p>
    <w:tbl>
      <w:tblPr>
        <w:tblStyle w:val="107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86"/>
        <w:gridCol w:w="1696"/>
        <w:gridCol w:w="731"/>
        <w:gridCol w:w="694"/>
        <w:gridCol w:w="1293"/>
        <w:gridCol w:w="1062"/>
        <w:gridCol w:w="1287"/>
        <w:gridCol w:w="801"/>
        <w:gridCol w:w="868"/>
        <w:gridCol w:w="869"/>
      </w:tblGrid>
      <w:tr>
        <w:trPr>
          <w:trHeight w:val="732"/>
        </w:trPr>
        <w:tc>
          <w:tcPr>
            <w:tcW w:w="486"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696"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73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69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1293" w:type="dxa"/>
            <w:vAlign w:val="center"/>
            <w:textDirection w:val="lrTb"/>
            <w:noWrap w:val="false"/>
          </w:tcPr>
          <w:p>
            <w:pPr>
              <w:pStyle w:val="946"/>
              <w:jc w:val="center"/>
              <w:keepLines w:val="0"/>
              <w:keepNext w:val="0"/>
              <w:pageBreakBefore w:val="0"/>
              <w:spacing w:line="400" w:lineRule="exact"/>
              <w:widowControl w:val="off"/>
              <w:rPr>
                <w:rFonts w:hint="eastAsia"/>
                <w:highlight w:val="none"/>
                <w:lang w:eastAsia="zh-CN"/>
              </w:rPr>
            </w:pPr>
            <w:r>
              <w:rPr>
                <w:rFonts w:hint="eastAsia"/>
                <w:highlight w:val="none"/>
                <w:lang w:eastAsia="zh-CN"/>
              </w:rPr>
              <w:t xml:space="preserve">单</w:t>
            </w:r>
            <w:r>
              <w:rPr>
                <w:rFonts w:hint="eastAsia"/>
                <w:highlight w:val="none"/>
                <w:lang w:val="en-US" w:eastAsia="zh-CN"/>
              </w:rPr>
              <w:t xml:space="preserve">项</w:t>
            </w:r>
            <w:r>
              <w:rPr>
                <w:rFonts w:hint="eastAsia"/>
                <w:highlight w:val="none"/>
                <w:lang w:eastAsia="zh-CN"/>
              </w:rPr>
              <w:t xml:space="preserve">上限</w:t>
            </w:r>
            <w:r>
              <w:rPr>
                <w:rFonts w:hint="eastAsia"/>
                <w:highlight w:val="none"/>
                <w:lang w:eastAsia="zh-CN"/>
              </w:rPr>
            </w:r>
            <w:r/>
          </w:p>
          <w:p>
            <w:pPr>
              <w:pStyle w:val="1016"/>
              <w:ind w:firstLine="0"/>
              <w:jc w:val="center"/>
              <w:spacing w:line="400" w:lineRule="exact"/>
              <w:rPr>
                <w:rFonts w:hint="eastAsia"/>
                <w:highlight w:val="none"/>
                <w:lang w:val="en-US"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万元</w:t>
            </w:r>
            <w:r>
              <w:rPr>
                <w:rFonts w:hint="eastAsia" w:ascii="宋体" w:hAnsi="宋体" w:eastAsia="宋体" w:cs="宋体"/>
                <w:bCs/>
                <w:sz w:val="24"/>
                <w:szCs w:val="24"/>
                <w:highlight w:val="none"/>
                <w:lang w:eastAsia="zh-CN"/>
              </w:rPr>
              <w:t xml:space="preserve">）</w:t>
            </w:r>
            <w:r>
              <w:rPr>
                <w:rFonts w:hint="eastAsia"/>
                <w:highlight w:val="none"/>
                <w:lang w:val="en-US" w:eastAsia="zh-CN"/>
              </w:rPr>
            </w:r>
            <w:r/>
          </w:p>
        </w:tc>
        <w:tc>
          <w:tcPr>
            <w:tcW w:w="1062" w:type="dxa"/>
            <w:vAlign w:val="center"/>
            <w:textDirection w:val="lrTb"/>
            <w:noWrap w:val="false"/>
          </w:tcPr>
          <w:p>
            <w:pPr>
              <w:pStyle w:val="946"/>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产品类型</w:t>
            </w:r>
            <w:r>
              <w:rPr>
                <w:rFonts w:hint="eastAsia" w:ascii="宋体" w:hAnsi="宋体" w:eastAsia="宋体" w:cs="宋体"/>
                <w:bCs/>
                <w:sz w:val="24"/>
                <w:szCs w:val="24"/>
                <w:highlight w:val="none"/>
                <w:lang w:val="en-US" w:eastAsia="zh-CN" w:bidi="ar-SA"/>
              </w:rPr>
            </w:r>
            <w:r/>
          </w:p>
        </w:tc>
        <w:tc>
          <w:tcPr>
            <w:tcW w:w="1287"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80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sz w:val="24"/>
                <w:szCs w:val="24"/>
                <w:highlight w:val="none"/>
                <w:lang w:val="en-US" w:eastAsia="zh-CN"/>
              </w:rPr>
              <w:t xml:space="preserve">属性</w:t>
            </w:r>
            <w:r>
              <w:rPr>
                <w:rFonts w:hint="eastAsia" w:ascii="宋体" w:hAnsi="宋体" w:eastAsia="宋体" w:cs="Times New Roman"/>
                <w:bCs/>
                <w:color w:val="000000"/>
                <w:sz w:val="24"/>
                <w:szCs w:val="24"/>
                <w:highlight w:val="none"/>
                <w:lang w:val="en-US" w:eastAsia="zh-CN" w:bidi="ar-SA"/>
              </w:rPr>
            </w:r>
            <w:r/>
          </w:p>
        </w:tc>
        <w:tc>
          <w:tcPr>
            <w:tcW w:w="868"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服务期</w:t>
            </w:r>
            <w:r>
              <w:rPr>
                <w:rFonts w:hint="eastAsia" w:ascii="宋体" w:hAnsi="宋体" w:eastAsia="宋体" w:cs="Times New Roman"/>
                <w:bCs/>
                <w:color w:val="000000"/>
                <w:sz w:val="24"/>
                <w:szCs w:val="24"/>
                <w:highlight w:val="none"/>
                <w:lang w:eastAsia="zh-CN"/>
              </w:rPr>
            </w:r>
            <w:r/>
          </w:p>
        </w:tc>
        <w:tc>
          <w:tcPr>
            <w:tcW w:w="869" w:type="dxa"/>
            <w:vAlign w:val="center"/>
            <w:textDirection w:val="lrTb"/>
            <w:noWrap w:val="false"/>
          </w:tcPr>
          <w:p>
            <w:pPr>
              <w:pStyle w:val="946"/>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备注</w:t>
            </w:r>
            <w:r>
              <w:rPr>
                <w:rFonts w:ascii="宋体" w:hAnsi="宋体" w:eastAsia="宋体" w:cs="Times New Roman"/>
                <w:bCs/>
                <w:color w:val="000000"/>
                <w:sz w:val="24"/>
                <w:szCs w:val="24"/>
                <w:highlight w:val="none"/>
                <w:lang w:val="en-US" w:eastAsia="zh-CN"/>
              </w:rPr>
            </w:r>
            <w:r/>
          </w:p>
        </w:tc>
      </w:tr>
      <w:tr>
        <w:trPr>
          <w:trHeight w:val="597"/>
        </w:trPr>
        <w:tc>
          <w:tcPr>
            <w:tcW w:w="486"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Times New Roman"/>
                <w:bCs/>
                <w:color w:val="000000"/>
                <w:sz w:val="24"/>
                <w:szCs w:val="24"/>
                <w:highlight w:val="none"/>
              </w:rPr>
            </w:r>
            <w:r/>
          </w:p>
        </w:tc>
        <w:tc>
          <w:tcPr>
            <w:tcW w:w="1696" w:type="dxa"/>
            <w:vAlign w:val="center"/>
            <w:textDirection w:val="lrTb"/>
            <w:noWrap w:val="false"/>
          </w:tcPr>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sz w:val="24"/>
                <w:szCs w:val="24"/>
                <w:highlight w:val="none"/>
                <w:lang w:val="en-US" w:eastAsia="zh-CN"/>
              </w:rPr>
              <w:t xml:space="preserve">绿</w:t>
            </w:r>
            <w:r>
              <w:rPr>
                <w:rFonts w:hint="eastAsia" w:ascii="宋体" w:hAnsi="宋体"/>
                <w:sz w:val="24"/>
                <w:szCs w:val="24"/>
                <w:highlight w:val="none"/>
              </w:rPr>
              <w:t xml:space="preserve">化养护</w:t>
            </w:r>
            <w:r>
              <w:rPr>
                <w:rFonts w:hint="eastAsia" w:ascii="宋体" w:hAnsi="宋体"/>
                <w:sz w:val="24"/>
                <w:szCs w:val="24"/>
                <w:highlight w:val="none"/>
                <w:lang w:val="en-US" w:eastAsia="zh-CN"/>
              </w:rPr>
              <w:t xml:space="preserve">服务</w:t>
            </w:r>
            <w:r>
              <w:rPr>
                <w:rFonts w:hint="eastAsia" w:ascii="宋体" w:hAnsi="宋体" w:eastAsia="宋体" w:cs="Times New Roman"/>
                <w:bCs/>
                <w:color w:val="000000"/>
                <w:sz w:val="24"/>
                <w:szCs w:val="24"/>
                <w:highlight w:val="none"/>
                <w:lang w:val="en-US" w:eastAsia="zh-CN" w:bidi="ar-SA"/>
              </w:rPr>
            </w:r>
            <w:r/>
          </w:p>
        </w:tc>
        <w:tc>
          <w:tcPr>
            <w:tcW w:w="73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69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lang w:val="en-US" w:eastAsia="zh-CN" w:bidi="ar-SA"/>
              </w:rPr>
            </w:r>
            <w:r/>
          </w:p>
        </w:tc>
        <w:tc>
          <w:tcPr>
            <w:tcW w:w="1293" w:type="dxa"/>
            <w:vAlign w:val="center"/>
            <w:textDirection w:val="lrTb"/>
            <w:noWrap w:val="false"/>
          </w:tcPr>
          <w:p>
            <w:pPr>
              <w:pStyle w:val="946"/>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554.556400 </w:t>
            </w:r>
            <w:r>
              <w:rPr>
                <w:rFonts w:ascii="宋体" w:hAnsi="宋体" w:eastAsia="宋体" w:cs="Times New Roman"/>
                <w:bCs/>
                <w:color w:val="000000"/>
                <w:sz w:val="24"/>
                <w:szCs w:val="24"/>
                <w:highlight w:val="none"/>
                <w:lang w:val="en-US" w:eastAsia="zh-CN"/>
              </w:rPr>
            </w:r>
            <w:r/>
          </w:p>
        </w:tc>
        <w:tc>
          <w:tcPr>
            <w:tcW w:w="1062"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lang w:val="en-US" w:eastAsia="zh-CN"/>
              </w:rPr>
            </w:r>
            <w:r/>
          </w:p>
        </w:tc>
        <w:tc>
          <w:tcPr>
            <w:tcW w:w="1287"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他未列明行业</w:t>
            </w:r>
            <w:r>
              <w:rPr>
                <w:rFonts w:hint="eastAsia" w:ascii="宋体" w:hAnsi="宋体" w:eastAsia="宋体" w:cs="Times New Roman"/>
                <w:bCs/>
                <w:color w:val="000000"/>
                <w:sz w:val="24"/>
                <w:szCs w:val="24"/>
                <w:highlight w:val="none"/>
                <w:lang w:val="en-US" w:eastAsia="zh-CN"/>
              </w:rPr>
            </w:r>
            <w:r/>
          </w:p>
        </w:tc>
        <w:tc>
          <w:tcPr>
            <w:tcW w:w="80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868"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二年</w:t>
            </w:r>
            <w:r>
              <w:rPr>
                <w:rFonts w:hint="eastAsia" w:ascii="宋体" w:hAnsi="宋体" w:eastAsia="宋体" w:cs="Times New Roman"/>
                <w:bCs/>
                <w:color w:val="000000"/>
                <w:sz w:val="24"/>
                <w:szCs w:val="24"/>
                <w:highlight w:val="none"/>
                <w:lang w:val="en-US" w:eastAsia="zh-CN"/>
              </w:rPr>
            </w:r>
            <w:r/>
          </w:p>
        </w:tc>
        <w:tc>
          <w:tcPr>
            <w:tcW w:w="869" w:type="dxa"/>
            <w:vAlign w:val="center"/>
            <w:textDirection w:val="lrTb"/>
            <w:noWrap w:val="false"/>
          </w:tcPr>
          <w:p>
            <w:pPr>
              <w:pStyle w:val="946"/>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详见采购需求</w:t>
            </w:r>
            <w:r>
              <w:rPr>
                <w:rFonts w:ascii="宋体" w:hAnsi="宋体" w:eastAsia="宋体" w:cs="Times New Roman"/>
                <w:bCs/>
                <w:color w:val="000000"/>
                <w:sz w:val="24"/>
                <w:szCs w:val="24"/>
                <w:highlight w:val="none"/>
                <w:lang w:val="en-US" w:eastAsia="zh-CN"/>
              </w:rPr>
            </w:r>
            <w:r/>
          </w:p>
        </w:tc>
      </w:tr>
      <w:tr>
        <w:trPr>
          <w:trHeight w:val="597"/>
        </w:trPr>
        <w:tc>
          <w:tcPr>
            <w:tcW w:w="486"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r>
            <w:r/>
          </w:p>
        </w:tc>
        <w:tc>
          <w:tcPr>
            <w:tcW w:w="1696" w:type="dxa"/>
            <w:vAlign w:val="center"/>
            <w:textDirection w:val="lrTb"/>
            <w:noWrap w:val="false"/>
          </w:tcPr>
          <w:p>
            <w:pPr>
              <w:pStyle w:val="946"/>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苗木补植服务</w:t>
            </w:r>
            <w:r>
              <w:rPr>
                <w:rFonts w:ascii="宋体" w:hAnsi="宋体" w:eastAsia="宋体" w:cs="Times New Roman"/>
                <w:bCs/>
                <w:color w:val="000000"/>
                <w:sz w:val="24"/>
                <w:szCs w:val="24"/>
                <w:highlight w:val="none"/>
                <w:lang w:val="en-US" w:eastAsia="zh-CN" w:bidi="ar-SA"/>
              </w:rPr>
            </w:r>
            <w:r/>
          </w:p>
        </w:tc>
        <w:tc>
          <w:tcPr>
            <w:tcW w:w="73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694"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lang w:val="en-US" w:eastAsia="zh-CN" w:bidi="ar-SA"/>
              </w:rPr>
            </w:r>
            <w:r/>
          </w:p>
        </w:tc>
        <w:tc>
          <w:tcPr>
            <w:tcW w:w="1293" w:type="dxa"/>
            <w:vAlign w:val="center"/>
            <w:textDirection w:val="lrTb"/>
            <w:noWrap w:val="false"/>
          </w:tcPr>
          <w:p>
            <w:pPr>
              <w:pStyle w:val="946"/>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31.974755 </w:t>
            </w:r>
            <w:r>
              <w:rPr>
                <w:rFonts w:ascii="宋体" w:hAnsi="宋体" w:eastAsia="宋体" w:cs="Times New Roman"/>
                <w:bCs/>
                <w:color w:val="000000"/>
                <w:sz w:val="24"/>
                <w:szCs w:val="24"/>
                <w:highlight w:val="none"/>
                <w:lang w:val="en-US" w:eastAsia="zh-CN"/>
              </w:rPr>
            </w:r>
            <w:r/>
          </w:p>
        </w:tc>
        <w:tc>
          <w:tcPr>
            <w:tcW w:w="1062"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lang w:val="en-US" w:eastAsia="zh-CN"/>
              </w:rPr>
            </w:r>
            <w:r/>
          </w:p>
        </w:tc>
        <w:tc>
          <w:tcPr>
            <w:tcW w:w="1287"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他未列明行业</w:t>
            </w:r>
            <w:r>
              <w:rPr>
                <w:rFonts w:hint="eastAsia" w:ascii="宋体" w:hAnsi="宋体" w:eastAsia="宋体" w:cs="Times New Roman"/>
                <w:bCs/>
                <w:color w:val="000000"/>
                <w:sz w:val="24"/>
                <w:szCs w:val="24"/>
                <w:highlight w:val="none"/>
                <w:lang w:val="en-US" w:eastAsia="zh-CN"/>
              </w:rPr>
            </w:r>
            <w:r/>
          </w:p>
        </w:tc>
        <w:tc>
          <w:tcPr>
            <w:tcW w:w="80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868"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二年</w:t>
            </w:r>
            <w:r>
              <w:rPr>
                <w:rFonts w:hint="eastAsia" w:ascii="宋体" w:hAnsi="宋体" w:eastAsia="宋体" w:cs="Times New Roman"/>
                <w:bCs/>
                <w:color w:val="000000"/>
                <w:sz w:val="24"/>
                <w:szCs w:val="24"/>
                <w:highlight w:val="none"/>
                <w:lang w:val="en-US" w:eastAsia="zh-CN"/>
              </w:rPr>
            </w:r>
            <w:r/>
          </w:p>
        </w:tc>
        <w:tc>
          <w:tcPr>
            <w:tcW w:w="869"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详见采购需求</w:t>
            </w:r>
            <w:r>
              <w:rPr>
                <w:rFonts w:hint="eastAsia" w:ascii="宋体" w:hAnsi="宋体" w:eastAsia="宋体" w:cs="Times New Roman"/>
                <w:bCs/>
                <w:color w:val="000000"/>
                <w:sz w:val="24"/>
                <w:szCs w:val="24"/>
                <w:highlight w:val="none"/>
                <w:lang w:val="en-US" w:eastAsia="zh-CN"/>
              </w:rPr>
            </w:r>
            <w:r/>
          </w:p>
        </w:tc>
      </w:tr>
    </w:tbl>
    <w:p>
      <w:pPr>
        <w:pStyle w:val="946"/>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宋体" w:hAnsi="宋体" w:eastAsia="宋体" w:cs="Times New Roman"/>
          <w:sz w:val="24"/>
          <w:szCs w:val="24"/>
          <w:highlight w:val="none"/>
          <w:lang w:val="en-US" w:eastAsia="zh-CN"/>
        </w:rPr>
        <w:t xml:space="preserve">采购</w:t>
      </w:r>
      <w:r>
        <w:rPr>
          <w:rFonts w:hint="eastAsia" w:ascii="宋体" w:hAnsi="宋体" w:eastAsia="宋体" w:cs="Times New Roman"/>
          <w:sz w:val="24"/>
          <w:szCs w:val="24"/>
          <w:highlight w:val="none"/>
        </w:rPr>
        <w:t xml:space="preserve">包</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：2</w:t>
      </w:r>
      <w:r>
        <w:rPr>
          <w:rFonts w:hint="eastAsia" w:ascii="宋体" w:hAnsi="宋体"/>
          <w:sz w:val="24"/>
          <w:szCs w:val="24"/>
          <w:highlight w:val="none"/>
        </w:rPr>
        <w:t xml:space="preserve">025-2026年仙林地区绿化养护项目</w:t>
      </w:r>
      <w:r>
        <w:rPr>
          <w:rFonts w:hint="eastAsia" w:ascii="宋体" w:hAnsi="宋体"/>
          <w:sz w:val="24"/>
          <w:szCs w:val="24"/>
          <w:highlight w:val="none"/>
          <w:lang w:val="en-US" w:eastAsia="zh-CN"/>
        </w:rPr>
        <w:t xml:space="preserve">六</w:t>
      </w:r>
      <w:r>
        <w:rPr>
          <w:rFonts w:hint="eastAsia" w:ascii="宋体" w:hAnsi="宋体"/>
          <w:sz w:val="24"/>
          <w:szCs w:val="24"/>
          <w:highlight w:val="none"/>
        </w:rPr>
        <w:t xml:space="preserve">标段</w:t>
      </w:r>
      <w:r>
        <w:rPr>
          <w:rFonts w:ascii="黑体" w:hAnsi="黑体" w:eastAsia="黑体" w:cs="黑体"/>
          <w:color w:val="000000"/>
          <w:sz w:val="24"/>
          <w:szCs w:val="24"/>
          <w:highlight w:val="none"/>
          <w:lang w:val="en-US" w:eastAsia="zh-CN"/>
        </w:rPr>
      </w:r>
      <w:r/>
    </w:p>
    <w:tbl>
      <w:tblPr>
        <w:tblStyle w:val="107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05"/>
        <w:gridCol w:w="1658"/>
        <w:gridCol w:w="825"/>
        <w:gridCol w:w="656"/>
        <w:gridCol w:w="1311"/>
        <w:gridCol w:w="1063"/>
        <w:gridCol w:w="1301"/>
        <w:gridCol w:w="798"/>
        <w:gridCol w:w="862"/>
        <w:gridCol w:w="871"/>
      </w:tblGrid>
      <w:tr>
        <w:trPr>
          <w:trHeight w:val="732"/>
        </w:trPr>
        <w:tc>
          <w:tcPr>
            <w:tcW w:w="505"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658"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825"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656"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1311" w:type="dxa"/>
            <w:vAlign w:val="center"/>
            <w:textDirection w:val="lrTb"/>
            <w:noWrap w:val="false"/>
          </w:tcPr>
          <w:p>
            <w:pPr>
              <w:pStyle w:val="946"/>
              <w:jc w:val="center"/>
              <w:keepLines w:val="0"/>
              <w:keepNext w:val="0"/>
              <w:pageBreakBefore w:val="0"/>
              <w:spacing w:line="400" w:lineRule="exact"/>
              <w:widowControl w:val="off"/>
              <w:rPr>
                <w:rFonts w:hint="eastAsia"/>
                <w:highlight w:val="none"/>
                <w:lang w:eastAsia="zh-CN"/>
              </w:rPr>
            </w:pPr>
            <w:r>
              <w:rPr>
                <w:rFonts w:hint="eastAsia"/>
                <w:highlight w:val="none"/>
                <w:lang w:eastAsia="zh-CN"/>
              </w:rPr>
              <w:t xml:space="preserve">单</w:t>
            </w:r>
            <w:r>
              <w:rPr>
                <w:rFonts w:hint="eastAsia"/>
                <w:highlight w:val="none"/>
                <w:lang w:val="en-US" w:eastAsia="zh-CN"/>
              </w:rPr>
              <w:t xml:space="preserve">项</w:t>
            </w:r>
            <w:r>
              <w:rPr>
                <w:rFonts w:hint="eastAsia"/>
                <w:highlight w:val="none"/>
                <w:lang w:eastAsia="zh-CN"/>
              </w:rPr>
              <w:t xml:space="preserve">上限</w:t>
            </w:r>
            <w:r>
              <w:rPr>
                <w:rFonts w:hint="eastAsia"/>
                <w:highlight w:val="none"/>
                <w:lang w:eastAsia="zh-CN"/>
              </w:rPr>
            </w:r>
            <w:r/>
          </w:p>
          <w:p>
            <w:pPr>
              <w:pStyle w:val="1016"/>
              <w:ind w:firstLine="0"/>
              <w:jc w:val="center"/>
              <w:spacing w:line="400" w:lineRule="exact"/>
              <w:rPr>
                <w:rFonts w:hint="eastAsia"/>
                <w:highlight w:val="none"/>
                <w:lang w:val="en-US"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万元</w:t>
            </w:r>
            <w:r>
              <w:rPr>
                <w:rFonts w:hint="eastAsia" w:ascii="宋体" w:hAnsi="宋体" w:eastAsia="宋体" w:cs="宋体"/>
                <w:bCs/>
                <w:sz w:val="24"/>
                <w:szCs w:val="24"/>
                <w:highlight w:val="none"/>
                <w:lang w:eastAsia="zh-CN"/>
              </w:rPr>
              <w:t xml:space="preserve">）</w:t>
            </w:r>
            <w:r>
              <w:rPr>
                <w:rFonts w:hint="eastAsia"/>
                <w:highlight w:val="none"/>
                <w:lang w:val="en-US" w:eastAsia="zh-CN"/>
              </w:rPr>
            </w:r>
            <w:r/>
          </w:p>
        </w:tc>
        <w:tc>
          <w:tcPr>
            <w:tcW w:w="1063" w:type="dxa"/>
            <w:vAlign w:val="center"/>
            <w:textDirection w:val="lrTb"/>
            <w:noWrap w:val="false"/>
          </w:tcPr>
          <w:p>
            <w:pPr>
              <w:pStyle w:val="946"/>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产品类型</w:t>
            </w:r>
            <w:r>
              <w:rPr>
                <w:rFonts w:hint="eastAsia" w:ascii="宋体" w:hAnsi="宋体" w:eastAsia="宋体" w:cs="宋体"/>
                <w:bCs/>
                <w:sz w:val="24"/>
                <w:szCs w:val="24"/>
                <w:highlight w:val="none"/>
                <w:lang w:val="en-US" w:eastAsia="zh-CN" w:bidi="ar-SA"/>
              </w:rPr>
            </w:r>
            <w:r/>
          </w:p>
        </w:tc>
        <w:tc>
          <w:tcPr>
            <w:tcW w:w="130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798"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sz w:val="24"/>
                <w:szCs w:val="24"/>
                <w:highlight w:val="none"/>
                <w:lang w:val="en-US" w:eastAsia="zh-CN"/>
              </w:rPr>
              <w:t xml:space="preserve">属性</w:t>
            </w:r>
            <w:r>
              <w:rPr>
                <w:rFonts w:hint="eastAsia" w:ascii="宋体" w:hAnsi="宋体" w:eastAsia="宋体" w:cs="Times New Roman"/>
                <w:bCs/>
                <w:color w:val="000000"/>
                <w:sz w:val="24"/>
                <w:szCs w:val="24"/>
                <w:highlight w:val="none"/>
                <w:lang w:val="en-US" w:eastAsia="zh-CN" w:bidi="ar-SA"/>
              </w:rPr>
            </w:r>
            <w:r/>
          </w:p>
        </w:tc>
        <w:tc>
          <w:tcPr>
            <w:tcW w:w="862"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服务期</w:t>
            </w:r>
            <w:r>
              <w:rPr>
                <w:rFonts w:hint="eastAsia" w:ascii="宋体" w:hAnsi="宋体" w:eastAsia="宋体" w:cs="Times New Roman"/>
                <w:bCs/>
                <w:color w:val="000000"/>
                <w:sz w:val="24"/>
                <w:szCs w:val="24"/>
                <w:highlight w:val="none"/>
                <w:lang w:eastAsia="zh-CN"/>
              </w:rPr>
            </w:r>
            <w:r/>
          </w:p>
        </w:tc>
        <w:tc>
          <w:tcPr>
            <w:tcW w:w="87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备注</w:t>
            </w:r>
            <w:r>
              <w:rPr>
                <w:rFonts w:hint="eastAsia" w:ascii="宋体" w:hAnsi="宋体" w:eastAsia="宋体" w:cs="Times New Roman"/>
                <w:bCs/>
                <w:color w:val="000000"/>
                <w:sz w:val="24"/>
                <w:szCs w:val="24"/>
                <w:highlight w:val="none"/>
                <w:lang w:val="en-US" w:eastAsia="zh-CN" w:bidi="ar-SA"/>
              </w:rPr>
            </w:r>
            <w:r/>
          </w:p>
        </w:tc>
      </w:tr>
      <w:tr>
        <w:trPr>
          <w:trHeight w:val="597"/>
        </w:trPr>
        <w:tc>
          <w:tcPr>
            <w:tcW w:w="505"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Times New Roman"/>
                <w:bCs/>
                <w:color w:val="000000"/>
                <w:sz w:val="24"/>
                <w:szCs w:val="24"/>
                <w:highlight w:val="none"/>
              </w:rPr>
            </w:r>
            <w:r/>
          </w:p>
        </w:tc>
        <w:tc>
          <w:tcPr>
            <w:tcW w:w="1658" w:type="dxa"/>
            <w:vAlign w:val="center"/>
            <w:textDirection w:val="lrTb"/>
            <w:noWrap w:val="false"/>
          </w:tcPr>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sz w:val="24"/>
                <w:szCs w:val="24"/>
                <w:highlight w:val="none"/>
                <w:lang w:val="en-US" w:eastAsia="zh-CN"/>
              </w:rPr>
              <w:t xml:space="preserve">绿</w:t>
            </w:r>
            <w:r>
              <w:rPr>
                <w:rFonts w:hint="eastAsia" w:ascii="宋体" w:hAnsi="宋体"/>
                <w:sz w:val="24"/>
                <w:szCs w:val="24"/>
                <w:highlight w:val="none"/>
              </w:rPr>
              <w:t xml:space="preserve">化养护</w:t>
            </w:r>
            <w:r>
              <w:rPr>
                <w:rFonts w:hint="eastAsia" w:ascii="宋体" w:hAnsi="宋体"/>
                <w:sz w:val="24"/>
                <w:szCs w:val="24"/>
                <w:highlight w:val="none"/>
                <w:lang w:val="en-US" w:eastAsia="zh-CN"/>
              </w:rPr>
              <w:t xml:space="preserve">服务</w:t>
            </w:r>
            <w:r>
              <w:rPr>
                <w:rFonts w:hint="eastAsia" w:ascii="宋体" w:hAnsi="宋体" w:eastAsia="宋体" w:cs="Times New Roman"/>
                <w:bCs/>
                <w:color w:val="000000"/>
                <w:sz w:val="24"/>
                <w:szCs w:val="24"/>
                <w:highlight w:val="none"/>
                <w:lang w:val="en-US" w:eastAsia="zh-CN" w:bidi="ar-SA"/>
              </w:rPr>
            </w:r>
            <w:r/>
          </w:p>
        </w:tc>
        <w:tc>
          <w:tcPr>
            <w:tcW w:w="825"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656"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lang w:val="en-US" w:eastAsia="zh-CN" w:bidi="ar-SA"/>
              </w:rPr>
            </w:r>
            <w:r/>
          </w:p>
        </w:tc>
        <w:tc>
          <w:tcPr>
            <w:tcW w:w="1311" w:type="dxa"/>
            <w:vAlign w:val="center"/>
            <w:textDirection w:val="lrTb"/>
            <w:noWrap w:val="false"/>
          </w:tcPr>
          <w:p>
            <w:pPr>
              <w:pStyle w:val="946"/>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Times New Roman"/>
                <w:color w:val="000000"/>
                <w:sz w:val="24"/>
                <w:szCs w:val="24"/>
                <w:highlight w:val="none"/>
                <w:u w:val="none"/>
                <w:lang w:val="en-US" w:eastAsia="zh-CN"/>
              </w:rPr>
              <w:t xml:space="preserve">233.620387</w:t>
            </w:r>
            <w:r>
              <w:rPr>
                <w:rFonts w:ascii="宋体" w:hAnsi="宋体" w:eastAsia="宋体" w:cs="宋体"/>
                <w:bCs/>
                <w:color w:val="000000"/>
                <w:sz w:val="24"/>
                <w:szCs w:val="24"/>
                <w:highlight w:val="none"/>
                <w:lang w:val="en-US" w:eastAsia="zh-CN" w:bidi="ar-SA"/>
              </w:rPr>
            </w:r>
            <w:r/>
          </w:p>
        </w:tc>
        <w:tc>
          <w:tcPr>
            <w:tcW w:w="1063" w:type="dxa"/>
            <w:vAlign w:val="center"/>
            <w:textDirection w:val="lrTb"/>
            <w:noWrap w:val="false"/>
          </w:tcPr>
          <w:p>
            <w:pPr>
              <w:pStyle w:val="94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主要产品</w:t>
            </w:r>
            <w:r>
              <w:rPr>
                <w:rFonts w:hint="eastAsia" w:ascii="宋体" w:hAnsi="宋体" w:eastAsia="宋体" w:cs="宋体"/>
                <w:bCs/>
                <w:color w:val="000000"/>
                <w:sz w:val="24"/>
                <w:szCs w:val="24"/>
                <w:highlight w:val="none"/>
                <w:lang w:val="en-US" w:eastAsia="zh-CN" w:bidi="ar-SA"/>
              </w:rPr>
            </w:r>
            <w:r/>
          </w:p>
        </w:tc>
        <w:tc>
          <w:tcPr>
            <w:tcW w:w="130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他未列明行业</w:t>
            </w:r>
            <w:r>
              <w:rPr>
                <w:rFonts w:hint="eastAsia" w:ascii="宋体" w:hAnsi="宋体" w:eastAsia="宋体" w:cs="Times New Roman"/>
                <w:bCs/>
                <w:color w:val="000000"/>
                <w:sz w:val="24"/>
                <w:szCs w:val="24"/>
                <w:highlight w:val="none"/>
                <w:lang w:val="en-US" w:eastAsia="zh-CN" w:bidi="ar-SA"/>
              </w:rPr>
            </w:r>
            <w:r/>
          </w:p>
        </w:tc>
        <w:tc>
          <w:tcPr>
            <w:tcW w:w="798"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862"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二年</w:t>
            </w:r>
            <w:r>
              <w:rPr>
                <w:rFonts w:hint="eastAsia" w:ascii="宋体" w:hAnsi="宋体" w:eastAsia="宋体" w:cs="Times New Roman"/>
                <w:bCs/>
                <w:color w:val="000000"/>
                <w:sz w:val="24"/>
                <w:szCs w:val="24"/>
                <w:highlight w:val="none"/>
                <w:lang w:val="en-US" w:eastAsia="zh-CN"/>
              </w:rPr>
            </w:r>
            <w:r/>
          </w:p>
        </w:tc>
        <w:tc>
          <w:tcPr>
            <w:tcW w:w="87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详见采购需求</w:t>
            </w:r>
            <w:r>
              <w:rPr>
                <w:rFonts w:hint="eastAsia" w:ascii="宋体" w:hAnsi="宋体" w:eastAsia="宋体" w:cs="Times New Roman"/>
                <w:bCs/>
                <w:color w:val="000000"/>
                <w:sz w:val="24"/>
                <w:szCs w:val="24"/>
                <w:highlight w:val="none"/>
                <w:lang w:val="en-US" w:eastAsia="zh-CN" w:bidi="ar-SA"/>
              </w:rPr>
            </w:r>
            <w:r/>
          </w:p>
        </w:tc>
      </w:tr>
    </w:tbl>
    <w:p>
      <w:pPr>
        <w:pStyle w:val="946"/>
        <w:ind w:firstLine="480"/>
        <w:keepLines w:val="0"/>
        <w:keepNext w:val="0"/>
        <w:pageBreakBefore w:val="0"/>
        <w:spacing w:line="288" w:lineRule="auto"/>
        <w:widowControl w:val="off"/>
        <w:rPr>
          <w:rFonts w:hint="eastAsia" w:ascii="宋体" w:hAnsi="宋体" w:eastAsia="黑体" w:cs="宋体"/>
          <w:b/>
          <w:bCs w:val="0"/>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黑体" w:cs="宋体"/>
          <w:b/>
          <w:bCs w:val="0"/>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bCs/>
          <w:color w:val="000000"/>
          <w:sz w:val="24"/>
          <w:szCs w:val="24"/>
          <w:highlight w:val="none"/>
        </w:rPr>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946"/>
        <w:ind w:left="0" w:right="0" w:firstLine="48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服务标准和要求（采购包1、采购包2）</w:t>
      </w:r>
      <w:r>
        <w:rPr>
          <w:rFonts w:hint="eastAsia" w:ascii="宋体" w:hAnsi="宋体" w:eastAsia="宋体" w:cs="Times New Roman"/>
          <w:bCs/>
          <w:color w:val="000000"/>
          <w:sz w:val="24"/>
          <w:szCs w:val="24"/>
          <w:highlight w:val="none"/>
          <w:lang w:val="en-US" w:eastAsia="zh-CN"/>
        </w:rPr>
      </w:r>
      <w:r/>
    </w:p>
    <w:p>
      <w:pPr>
        <w:pStyle w:val="946"/>
        <w:numPr>
          <w:ilvl w:val="0"/>
          <w:numId w:val="0"/>
        </w:numPr>
        <w:ind w:right="0" w:firstLine="48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（1） 日常养护作业按照《仙林大学城绿化养护质量标准》执行，采购包1按照二级养护标准执行、采购包2改造提升部分按照一级标准、林地部分按照三级标准）执行，苗木补植更新达到《江苏省城市园林绿化植物种植技术规定（试行》和《园林绿化工程施工及验收规范》(CJJ82-2012)并接受采购人的考核。</w:t>
      </w:r>
      <w:r>
        <w:rPr>
          <w:rFonts w:hint="eastAsia" w:ascii="宋体" w:hAnsi="宋体" w:eastAsia="宋体" w:cs="Times New Roman"/>
          <w:bCs/>
          <w:color w:val="000000"/>
          <w:sz w:val="24"/>
          <w:szCs w:val="24"/>
          <w:highlight w:val="none"/>
          <w:lang w:val="en-US" w:eastAsia="zh-CN"/>
        </w:rPr>
      </w:r>
      <w:r/>
    </w:p>
    <w:p>
      <w:pPr>
        <w:pStyle w:val="946"/>
        <w:numPr>
          <w:ilvl w:val="0"/>
          <w:numId w:val="0"/>
        </w:numPr>
        <w:ind w:right="0" w:firstLine="480"/>
        <w:jc w:val="both"/>
        <w:keepLines w:val="0"/>
        <w:keepNext w:val="0"/>
        <w:pageBreakBefore w:val="0"/>
        <w:spacing w:line="240" w:lineRule="auto"/>
        <w:widowControl w:val="off"/>
        <w:rPr>
          <w:rFonts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（2）在合同期内按照采购人要求完成乔木专项修剪。</w:t>
      </w:r>
      <w:r>
        <w:rPr>
          <w:rFonts w:ascii="宋体" w:hAnsi="宋体" w:eastAsia="宋体" w:cs="Times New Roman"/>
          <w:bCs/>
          <w:color w:val="000000"/>
          <w:sz w:val="24"/>
          <w:szCs w:val="24"/>
          <w:highlight w:val="none"/>
          <w:lang w:val="en-US" w:eastAsia="zh-CN"/>
        </w:rPr>
      </w:r>
      <w:r/>
    </w:p>
    <w:p>
      <w:pPr>
        <w:pStyle w:val="946"/>
        <w:ind w:firstLine="480"/>
        <w:keepLines w:val="0"/>
        <w:keepNext w:val="0"/>
        <w:pageBreakBefore w:val="0"/>
        <w:spacing w:line="288" w:lineRule="auto"/>
        <w:widowControl w:val="off"/>
        <w:rPr>
          <w:highlight w:val="none"/>
          <w:lang w:val="en-US" w:eastAsia="zh-CN"/>
        </w:rPr>
      </w:pPr>
      <w:r>
        <w:rPr>
          <w:rFonts w:hint="eastAsia" w:ascii="宋体" w:hAnsi="宋体" w:eastAsia="宋体" w:cs="Times New Roman"/>
          <w:bCs/>
          <w:color w:val="000000"/>
          <w:sz w:val="24"/>
          <w:szCs w:val="24"/>
          <w:highlight w:val="none"/>
          <w:lang w:val="en-US" w:eastAsia="zh-CN"/>
        </w:rPr>
        <w:t xml:space="preserve">进场须配备机械、车辆要求至少：运输车1台、移动水表1块、割灌机10台、绿篱机10台、草坪修剪机3台、草坪疏孔机2台，风力灭火机5台、机械高枝锯4台（进场后必须配备齐全，否则采购人有权终止合同）。</w:t>
      </w:r>
      <w:r>
        <w:rPr>
          <w:highlight w:val="none"/>
          <w:lang w:val="en-US" w:eastAsia="zh-CN"/>
        </w:rPr>
      </w:r>
      <w:r/>
    </w:p>
    <w:p>
      <w:pPr>
        <w:pStyle w:val="946"/>
        <w:numPr>
          <w:ilvl w:val="0"/>
          <w:numId w:val="0"/>
        </w:numP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sz w:val="24"/>
          <w:szCs w:val="24"/>
          <w:highlight w:val="none"/>
          <w:lang w:val="en-US" w:eastAsia="zh-CN"/>
        </w:rPr>
        <w:t xml:space="preserve">    （3）</w:t>
      </w:r>
      <w:r>
        <w:rPr>
          <w:rFonts w:hint="eastAsia" w:ascii="宋体" w:hAnsi="宋体" w:eastAsia="宋体" w:cs="Times New Roman"/>
          <w:bCs/>
          <w:color w:val="000000"/>
          <w:sz w:val="24"/>
          <w:szCs w:val="24"/>
          <w:highlight w:val="none"/>
          <w:lang w:val="en-US" w:eastAsia="zh-CN"/>
        </w:rPr>
        <w:t xml:space="preserve">完成各标段内绿化养护、园林绿化设施的日常维护、绿地保洁等养护作业，建立与完善工作台账。</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（4） 对清单所列明的设施每天巡查，并每周提供巡查报告，每月按照采购人要求提供月度完成情况及下月计划；对破坏绿化设施、影响绿化景观、环境卫生等行为予以制止，并及时上报和整改到位。对于采购人巡查下发的问题整改菜单，及时整改。</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（5）完成项目范围内突发性和重大性保障工作任务，如文明城市检查、重大活动环境保障等任务；防汛及扫雪防冻期间，要求投标人24小时保障。</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6）完成项目范围内的抢险、消险、救灾工作。在消险过程中严格确保安全作业，并服从采购人的统一指挥和调动，参加全区抢险救灾工作。对突发性事件的应急预案做到定期和不定期演练，以便应对突发性事件。</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（7）完成项目范围内各类信访、投诉、举报的处理和整改。</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（8）采购人布置的临时性工作。</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9）绿化精细化管理和补植包括但不限于：绿化的成活、修剪、施肥、浇水、除虫，绿地保洁、草地铺沙平整（必须用疏草机对草地进行疏草）和植物老化的复壮等（花坛内的时花种养除外），以保证优良的景观效果等，绿化养护按采购要求的相应养护标准执行。</w:t>
      </w:r>
      <w:r>
        <w:rPr>
          <w:rFonts w:hint="eastAsia" w:ascii="宋体" w:hAnsi="宋体" w:eastAsia="宋体" w:cs="Times New Roman"/>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（10）园林绿化设施的日常维护、清洁包括但不限于：绿地洒水及喷灌系统的清洁、损坏维修、被盗包换；绿地内排水沟、河、雨水井口保洁及清淤；园林道路、小景、景墙、休闲椅、防火标志等的清洁。</w:t>
      </w:r>
      <w:r>
        <w:rPr>
          <w:rFonts w:hint="eastAsia" w:ascii="宋体" w:hAnsi="宋体" w:eastAsia="宋体" w:cs="Times New Roman"/>
          <w:bCs/>
          <w:color w:val="000000"/>
          <w:sz w:val="24"/>
          <w:szCs w:val="24"/>
          <w:highlight w:val="none"/>
          <w:lang w:val="en-US" w:eastAsia="zh-CN"/>
        </w:rPr>
      </w:r>
      <w:r/>
    </w:p>
    <w:p>
      <w:pPr>
        <w:pStyle w:val="946"/>
        <w:ind w:left="0" w:right="0" w:firstLine="48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（11）绿化修剪出来的残枝、草渣按甲方要求运至指定地点。</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（12）修剪工作要求：对所有要求的乔木，定期开展修剪工作，2级分枝以下无萌蘖枝，保持树形独立完整，内膛通透，无扰乱枝、无下垂枝、无枯死枝；</w:t>
      </w:r>
      <w:r>
        <w:rPr>
          <w:rFonts w:hint="eastAsia" w:ascii="宋体" w:hAnsi="宋体" w:eastAsia="宋体" w:cs="Times New Roman"/>
          <w:bCs/>
          <w:color w:val="000000"/>
          <w:sz w:val="24"/>
          <w:szCs w:val="24"/>
          <w:highlight w:val="none"/>
          <w:lang w:val="en-US" w:eastAsia="zh-CN"/>
        </w:rPr>
      </w:r>
      <w:r/>
    </w:p>
    <w:p>
      <w:pPr>
        <w:pStyle w:val="946"/>
        <w:numPr>
          <w:ilvl w:val="0"/>
          <w:numId w:val="0"/>
        </w:numPr>
        <w:keepLines w:val="0"/>
        <w:keepNext w:val="0"/>
        <w:pageBreakBefore w:val="0"/>
        <w:spacing w:line="288" w:lineRule="auto"/>
        <w:widowControl w:val="off"/>
        <w:rPr>
          <w:rFonts w:hint="eastAsia" w:ascii="宋体" w:hAnsi="宋体"/>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    （13）施肥要求：秋冬季集中对树木进行施肥，要求达到普遍施用。所用肥料为有机肥料（动物粪便（羊粪和鸡粪）为主要原料，经发酵、灭菌、脱水制作的无公害、高效有机肥）。</w:t>
      </w:r>
      <w:r>
        <w:rPr>
          <w:rFonts w:hint="eastAsia" w:ascii="宋体" w:hAnsi="宋体"/>
          <w:sz w:val="24"/>
          <w:szCs w:val="24"/>
          <w:highlight w:val="none"/>
          <w:lang w:val="en-US" w:eastAsia="zh-CN"/>
        </w:rPr>
      </w:r>
      <w:r/>
    </w:p>
    <w:p>
      <w:pPr>
        <w:pStyle w:val="946"/>
        <w:numPr>
          <w:ilvl w:val="0"/>
          <w:numId w:val="7"/>
        </w:numPr>
        <w:ind w:firstLine="480"/>
        <w:keepLines w:val="0"/>
        <w:keepNext w:val="0"/>
        <w:pageBreakBefore w:val="0"/>
        <w:spacing w:line="288" w:lineRule="auto"/>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按甲方要求完成养护范围内河道岸坡清杂、卫生保洁等工作。</w:t>
      </w:r>
      <w:r>
        <w:rPr>
          <w:rFonts w:hint="eastAsia" w:ascii="宋体" w:hAnsi="宋体"/>
          <w:sz w:val="24"/>
          <w:szCs w:val="24"/>
          <w:highlight w:val="none"/>
          <w:lang w:val="en-US" w:eastAsia="zh-CN"/>
        </w:rPr>
      </w:r>
      <w:r/>
    </w:p>
    <w:p>
      <w:pPr>
        <w:pStyle w:val="946"/>
        <w:numPr>
          <w:ilvl w:val="0"/>
          <w:numId w:val="0"/>
        </w:numPr>
        <w:ind w:firstLine="480"/>
        <w:keepLines w:val="0"/>
        <w:keepNext w:val="0"/>
        <w:pageBreakBefore w:val="0"/>
        <w:spacing w:line="288" w:lineRule="auto"/>
        <w:widowControl w:val="off"/>
        <w:rPr>
          <w:rFonts w:hint="eastAsia" w:ascii="宋体" w:hAnsi="宋体"/>
          <w:sz w:val="24"/>
          <w:szCs w:val="24"/>
          <w:highlight w:val="yellow"/>
          <w:lang w:val="en-US" w:eastAsia="zh-CN"/>
        </w:rPr>
      </w:pPr>
      <w:r>
        <w:rPr>
          <w:rFonts w:hint="eastAsia" w:ascii="宋体" w:hAnsi="宋体"/>
          <w:sz w:val="24"/>
          <w:szCs w:val="24"/>
          <w:highlight w:val="none"/>
          <w:lang w:val="en-US" w:eastAsia="zh-CN"/>
        </w:rPr>
        <w:t xml:space="preserve">（15）关于供应商所提供的承诺等相关材料，</w:t>
      </w:r>
      <w:r>
        <w:rPr>
          <w:rFonts w:hint="eastAsia" w:ascii="宋体" w:hAnsi="宋体" w:eastAsia="宋体" w:cs="Times New Roman"/>
          <w:bCs/>
          <w:color w:val="000000"/>
          <w:sz w:val="24"/>
          <w:szCs w:val="24"/>
          <w:highlight w:val="none"/>
          <w:lang w:val="en-US" w:eastAsia="zh-CN"/>
        </w:rPr>
        <w:t xml:space="preserve">签订合同前采购人核验拟中标供应商所承诺的相关内容真实性，如有不实，采购人有权取消供应商中标资格。</w:t>
      </w:r>
      <w:r>
        <w:rPr>
          <w:rFonts w:hint="eastAsia" w:ascii="宋体" w:hAnsi="宋体"/>
          <w:sz w:val="24"/>
          <w:szCs w:val="24"/>
          <w:highlight w:val="yellow"/>
          <w:lang w:val="en-US" w:eastAsia="zh-CN"/>
        </w:rPr>
      </w:r>
      <w:r/>
    </w:p>
    <w:p>
      <w:pPr>
        <w:pStyle w:val="946"/>
        <w:numPr>
          <w:ilvl w:val="0"/>
          <w:numId w:val="0"/>
        </w:numPr>
        <w:ind w:firstLine="480"/>
        <w:keepLines w:val="0"/>
        <w:keepNext w:val="0"/>
        <w:pageBreakBefore w:val="0"/>
        <w:spacing w:line="288" w:lineRule="auto"/>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p>
      <w:pPr>
        <w:pStyle w:val="946"/>
        <w:numPr>
          <w:ilvl w:val="0"/>
          <w:numId w:val="0"/>
        </w:numPr>
        <w:ind w:firstLine="480"/>
        <w:keepLines w:val="0"/>
        <w:keepNext w:val="0"/>
        <w:pageBreakBefore w:val="0"/>
        <w:spacing w:line="288" w:lineRule="auto"/>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2、具体服务要求</w:t>
      </w:r>
      <w:r>
        <w:rPr>
          <w:rFonts w:hint="eastAsia" w:ascii="宋体" w:hAnsi="宋体"/>
          <w:sz w:val="24"/>
          <w:szCs w:val="24"/>
          <w:highlight w:val="none"/>
          <w:lang w:val="en-US" w:eastAsia="zh-CN"/>
        </w:rPr>
      </w:r>
      <w:r/>
    </w:p>
    <w:p>
      <w:pPr>
        <w:pStyle w:val="946"/>
        <w:numPr>
          <w:ilvl w:val="0"/>
          <w:numId w:val="0"/>
        </w:numPr>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包1：</w:t>
      </w:r>
      <w:r>
        <w:rPr>
          <w:rFonts w:hint="eastAsia" w:ascii="黑体" w:hAnsi="黑体" w:eastAsia="黑体" w:cs="黑体"/>
          <w:color w:val="000000"/>
          <w:sz w:val="24"/>
          <w:szCs w:val="24"/>
          <w:highlight w:val="none"/>
          <w:lang w:eastAsia="zh-CN"/>
        </w:rPr>
      </w:r>
      <w:r/>
    </w:p>
    <w:p>
      <w:pPr>
        <w:pStyle w:val="946"/>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（1）绿化养护服务</w:t>
      </w:r>
      <w:r>
        <w:rPr>
          <w:rFonts w:ascii="黑体" w:hAnsi="黑体" w:eastAsia="黑体" w:cs="黑体"/>
          <w:color w:val="000000"/>
          <w:sz w:val="24"/>
          <w:szCs w:val="24"/>
          <w:highlight w:val="none"/>
          <w:lang w:val="en-US" w:eastAsia="zh-CN"/>
        </w:rPr>
      </w:r>
      <w:r/>
    </w:p>
    <w:tbl>
      <w:tblPr>
        <w:tblW w:w="0" w:type="auto"/>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524"/>
        <w:gridCol w:w="1335"/>
        <w:gridCol w:w="5478"/>
        <w:gridCol w:w="1303"/>
        <w:gridCol w:w="943"/>
        <w:gridCol w:w="943"/>
      </w:tblGrid>
      <w:tr>
        <w:trPr>
          <w:trHeight w:val="345"/>
        </w:trPr>
        <w:tc>
          <w:tcPr>
            <w:tcW w:w="524" w:type="dxa"/>
            <w:vAlign w:val="center"/>
            <w:vMerge w:val="restart"/>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335" w:type="dxa"/>
            <w:vAlign w:val="center"/>
            <w:vMerge w:val="restart"/>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5478" w:type="dxa"/>
            <w:vAlign w:val="center"/>
            <w:vMerge w:val="restart"/>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项目特征</w:t>
            </w:r>
            <w:r>
              <w:rPr>
                <w:rFonts w:hint="eastAsia" w:ascii="宋体" w:hAnsi="宋体" w:eastAsia="宋体" w:cs="宋体"/>
                <w:b/>
                <w:i w:val="0"/>
                <w:color w:val="000000"/>
                <w:sz w:val="20"/>
                <w:szCs w:val="20"/>
                <w:highlight w:val="none"/>
                <w:u w:val="none"/>
              </w:rPr>
            </w:r>
            <w:r/>
          </w:p>
        </w:tc>
        <w:tc>
          <w:tcPr>
            <w:tcW w:w="1303" w:type="dxa"/>
            <w:vAlign w:val="center"/>
            <w:vMerge w:val="restart"/>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943" w:type="dxa"/>
            <w:vAlign w:val="center"/>
            <w:vMerge w:val="restart"/>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数量</w:t>
            </w:r>
            <w:r>
              <w:rPr>
                <w:rFonts w:hint="eastAsia" w:ascii="宋体" w:hAnsi="宋体" w:eastAsia="宋体" w:cs="宋体"/>
                <w:b/>
                <w:i w:val="0"/>
                <w:color w:val="000000"/>
                <w:sz w:val="20"/>
                <w:szCs w:val="20"/>
                <w:highlight w:val="none"/>
                <w:u w:val="none"/>
              </w:rPr>
            </w:r>
            <w:r/>
          </w:p>
        </w:tc>
        <w:tc>
          <w:tcPr>
            <w:tcW w:w="943"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 xml:space="preserve">单价上限</w:t>
            </w:r>
            <w:r>
              <w:rPr>
                <w:rFonts w:hint="eastAsia" w:ascii="宋体" w:hAnsi="宋体" w:eastAsia="宋体" w:cs="宋体"/>
                <w:b/>
                <w:bCs/>
                <w:i w:val="0"/>
                <w:iCs w:val="0"/>
                <w:color w:val="000000"/>
                <w:sz w:val="20"/>
                <w:szCs w:val="20"/>
                <w:highlight w:val="none"/>
                <w:u w:val="none"/>
                <w:lang w:val="en-US" w:eastAsia="zh-CN" w:bidi="ar"/>
              </w:rPr>
            </w:r>
            <w:r/>
          </w:p>
        </w:tc>
      </w:tr>
      <w:tr>
        <w:trPr>
          <w:trHeight w:val="90"/>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335"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478"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1、专业养护二级，养护期24个月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2、部位：九乡河生态公园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其他详见招标文件</w:t>
            </w:r>
            <w:r>
              <w:rPr>
                <w:rFonts w:hint="eastAsia" w:ascii="宋体" w:hAnsi="宋体" w:eastAsia="宋体" w:cs="宋体"/>
                <w:i w:val="0"/>
                <w:color w:val="000000"/>
                <w:sz w:val="18"/>
                <w:szCs w:val="18"/>
                <w:highlight w:val="none"/>
                <w:u w:val="none"/>
              </w:rPr>
            </w:r>
            <w:r/>
          </w:p>
        </w:tc>
        <w:tc>
          <w:tcPr>
            <w:tcW w:w="1303"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1243400</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 xml:space="preserve">4.46</w:t>
            </w:r>
            <w:r>
              <w:rPr>
                <w:rFonts w:hint="eastAsia" w:ascii="宋体" w:hAnsi="宋体" w:eastAsia="宋体" w:cs="宋体"/>
                <w:i w:val="0"/>
                <w:iCs w:val="0"/>
                <w:color w:val="000000"/>
                <w:sz w:val="20"/>
                <w:szCs w:val="20"/>
                <w:highlight w:val="none"/>
                <w:u w:val="none"/>
                <w:lang w:val="en-US" w:eastAsia="zh-CN" w:bidi="ar"/>
              </w:rPr>
            </w:r>
            <w:r/>
          </w:p>
        </w:tc>
      </w:tr>
      <w:tr>
        <w:trPr>
          <w:trHeight w:val="660"/>
        </w:trPr>
        <w:tc>
          <w:tcPr>
            <w:tcW w:w="524" w:type="dxa"/>
            <w:vAlign w:val="bottom"/>
            <w:textDirection w:val="lrTb"/>
            <w:noWrap w:val="false"/>
          </w:tcPr>
          <w:p>
            <w:pPr>
              <w:pStyle w:val="946"/>
              <w:ind w:left="0" w:right="0" w:firstLine="0"/>
              <w:jc w:val="left"/>
              <w:keepLines w:val="0"/>
              <w:keepNext w:val="0"/>
              <w:pageBreakBefore w:val="0"/>
              <w:spacing w:line="240" w:lineRule="auto"/>
              <w:widowControl w:val="off"/>
              <w:rPr>
                <w:rFonts w:hint="eastAsia" w:ascii="Arial" w:hAnsi="Arial" w:cs="Arial"/>
                <w:i w:val="0"/>
                <w:color w:val="000000"/>
                <w:sz w:val="20"/>
                <w:szCs w:val="20"/>
                <w:highlight w:val="none"/>
                <w:u w:val="none"/>
              </w:rPr>
              <w:outlineLvl w:val="9"/>
            </w:pPr>
            <w:r>
              <w:rPr>
                <w:rFonts w:hint="eastAsia" w:ascii="Arial" w:hAnsi="Arial" w:cs="Arial"/>
                <w:i w:val="0"/>
                <w:color w:val="000000"/>
                <w:sz w:val="20"/>
                <w:szCs w:val="20"/>
                <w:highlight w:val="none"/>
                <w:u w:val="none"/>
              </w:rPr>
            </w:r>
            <w:r/>
          </w:p>
        </w:tc>
        <w:tc>
          <w:tcPr>
            <w:gridSpan w:val="2"/>
            <w:tcW w:w="6813"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合计</w:t>
            </w:r>
            <w:r>
              <w:rPr>
                <w:rFonts w:hint="eastAsia" w:ascii="宋体" w:hAnsi="宋体" w:eastAsia="宋体" w:cs="宋体"/>
                <w:i w:val="0"/>
                <w:color w:val="000000"/>
                <w:sz w:val="20"/>
                <w:szCs w:val="20"/>
                <w:highlight w:val="none"/>
                <w:u w:val="none"/>
              </w:rPr>
            </w:r>
            <w:r/>
          </w:p>
        </w:tc>
        <w:tc>
          <w:tcPr>
            <w:tcW w:w="1303" w:type="dxa"/>
            <w:vAlign w:val="center"/>
            <w:textDirection w:val="lrTb"/>
            <w:noWrap w:val="false"/>
          </w:tcPr>
          <w:p>
            <w:pPr>
              <w:pStyle w:val="946"/>
              <w:ind w:left="0" w:right="0" w:firstLine="0"/>
              <w:jc w:val="left"/>
              <w:keepLines w:val="0"/>
              <w:keepNext w:val="0"/>
              <w:pageBreakBefore w:val="0"/>
              <w:spacing w:line="240" w:lineRule="auto"/>
              <w:widowControl w:val="off"/>
              <w:rPr>
                <w:rFonts w:ascii="Arial" w:hAnsi="Arial" w:cs="Arial"/>
                <w:i w:val="0"/>
                <w:color w:val="000000"/>
                <w:sz w:val="20"/>
                <w:szCs w:val="20"/>
                <w:highlight w:val="none"/>
                <w:u w:val="none"/>
              </w:rPr>
              <w:outlineLvl w:val="9"/>
            </w:pPr>
            <w:r>
              <w:rPr>
                <w:rFonts w:ascii="Arial" w:hAnsi="Arial" w:cs="Arial"/>
                <w:i w:val="0"/>
                <w:color w:val="000000"/>
                <w:sz w:val="20"/>
                <w:szCs w:val="20"/>
                <w:highlight w:val="none"/>
                <w:u w:val="none"/>
              </w:rPr>
            </w:r>
            <w:r/>
          </w:p>
        </w:tc>
        <w:tc>
          <w:tcPr>
            <w:tcW w:w="943" w:type="dxa"/>
            <w:vAlign w:val="center"/>
            <w:textDirection w:val="lrTb"/>
            <w:noWrap w:val="false"/>
          </w:tcPr>
          <w:p>
            <w:pPr>
              <w:pStyle w:val="946"/>
              <w:ind w:left="0" w:right="0" w:firstLine="0"/>
              <w:jc w:val="left"/>
              <w:keepLines w:val="0"/>
              <w:keepNext w:val="0"/>
              <w:pageBreakBefore w:val="0"/>
              <w:spacing w:line="240" w:lineRule="auto"/>
              <w:widowControl w:val="off"/>
              <w:rPr>
                <w:rFonts w:ascii="Arial" w:hAnsi="Arial" w:cs="Arial"/>
                <w:i w:val="0"/>
                <w:color w:val="000000"/>
                <w:sz w:val="20"/>
                <w:szCs w:val="20"/>
                <w:highlight w:val="none"/>
                <w:u w:val="none"/>
              </w:rPr>
              <w:outlineLvl w:val="9"/>
            </w:pPr>
            <w:r>
              <w:rPr>
                <w:rFonts w:ascii="Arial" w:hAnsi="Arial" w:cs="Arial"/>
                <w:i w:val="0"/>
                <w:color w:val="000000"/>
                <w:sz w:val="20"/>
                <w:szCs w:val="20"/>
                <w:highlight w:val="none"/>
                <w:u w:val="none"/>
              </w:rPr>
            </w:r>
            <w:r/>
          </w:p>
        </w:tc>
        <w:tc>
          <w:tcPr>
            <w:tcW w:w="943" w:type="dxa"/>
            <w:vAlign w:val="center"/>
            <w:textDirection w:val="lrTb"/>
            <w:noWrap w:val="false"/>
          </w:tcPr>
          <w:p>
            <w:pPr>
              <w:rPr>
                <w:rFonts w:ascii="Arial" w:hAnsi="Arial" w:cs="Arial"/>
                <w:bCs w:val="0"/>
                <w:i w:val="0"/>
                <w:color w:val="000000"/>
                <w:sz w:val="20"/>
                <w:szCs w:val="20"/>
                <w:highlight w:val="none"/>
                <w:u w:val="none"/>
              </w:rPr>
            </w:pPr>
            <w:r>
              <w:rPr>
                <w:rFonts w:ascii="Arial" w:hAnsi="Arial" w:cs="Arial"/>
                <w:i w:val="0"/>
                <w:iCs w:val="0"/>
                <w:color w:val="000000"/>
                <w:sz w:val="20"/>
                <w:szCs w:val="20"/>
                <w:highlight w:val="none"/>
                <w:u w:val="none"/>
              </w:rPr>
            </w:r>
            <w:r>
              <w:rPr>
                <w:rFonts w:ascii="Arial" w:hAnsi="Arial" w:cs="Arial"/>
                <w:i w:val="0"/>
                <w:iCs w:val="0"/>
                <w:color w:val="000000"/>
                <w:sz w:val="20"/>
                <w:szCs w:val="20"/>
                <w:highlight w:val="none"/>
                <w:u w:val="none"/>
              </w:rPr>
            </w:r>
            <w:r/>
          </w:p>
        </w:tc>
      </w:tr>
    </w:tbl>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46"/>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（2）苗木补植服务</w:t>
      </w:r>
      <w:r>
        <w:rPr>
          <w:rFonts w:ascii="黑体" w:hAnsi="黑体" w:eastAsia="黑体" w:cs="黑体"/>
          <w:color w:val="000000"/>
          <w:sz w:val="24"/>
          <w:szCs w:val="24"/>
          <w:highlight w:val="none"/>
          <w:lang w:val="en-US" w:eastAsia="zh-CN"/>
        </w:rPr>
      </w:r>
      <w:r/>
    </w:p>
    <w:tbl>
      <w:tblPr>
        <w:tblW w:w="0" w:type="auto"/>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1154"/>
        <w:gridCol w:w="6064"/>
        <w:gridCol w:w="1286"/>
        <w:gridCol w:w="842"/>
        <w:gridCol w:w="842"/>
      </w:tblGrid>
      <w:tr>
        <w:trPr>
          <w:trHeight w:val="345"/>
        </w:trPr>
        <w:tc>
          <w:tcPr>
            <w:tcW w:w="1154" w:type="dxa"/>
            <w:vAlign w:val="center"/>
            <w:vMerge w:val="restart"/>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6064" w:type="dxa"/>
            <w:vAlign w:val="center"/>
            <w:vMerge w:val="restart"/>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项目特征</w:t>
            </w:r>
            <w:r>
              <w:rPr>
                <w:rFonts w:hint="eastAsia" w:ascii="宋体" w:hAnsi="宋体" w:eastAsia="宋体" w:cs="宋体"/>
                <w:b/>
                <w:i w:val="0"/>
                <w:color w:val="000000"/>
                <w:sz w:val="20"/>
                <w:szCs w:val="20"/>
                <w:highlight w:val="none"/>
                <w:u w:val="none"/>
              </w:rPr>
            </w:r>
            <w:r/>
          </w:p>
        </w:tc>
        <w:tc>
          <w:tcPr>
            <w:tcW w:w="1286" w:type="dxa"/>
            <w:vAlign w:val="center"/>
            <w:vMerge w:val="restart"/>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842" w:type="dxa"/>
            <w:vAlign w:val="center"/>
            <w:vMerge w:val="restart"/>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数</w:t>
            </w:r>
            <w:r>
              <w:rPr>
                <w:rFonts w:hint="eastAsia" w:ascii="宋体" w:hAnsi="宋体" w:eastAsia="宋体" w:cs="宋体"/>
                <w:b/>
                <w:i w:val="0"/>
                <w:color w:val="000000"/>
                <w:sz w:val="20"/>
                <w:szCs w:val="20"/>
                <w:highlight w:val="none"/>
                <w:u w:val="none"/>
                <w:lang w:val="en-US" w:eastAsia="zh-CN" w:bidi="ar"/>
              </w:rPr>
              <w:t xml:space="preserve">量</w:t>
            </w:r>
            <w:r>
              <w:rPr>
                <w:rFonts w:hint="eastAsia" w:ascii="宋体" w:hAnsi="宋体" w:eastAsia="宋体" w:cs="宋体"/>
                <w:b/>
                <w:i w:val="0"/>
                <w:color w:val="000000"/>
                <w:sz w:val="20"/>
                <w:szCs w:val="20"/>
                <w:highlight w:val="none"/>
                <w:u w:val="none"/>
              </w:rPr>
            </w:r>
            <w:r/>
          </w:p>
        </w:tc>
        <w:tc>
          <w:tcPr>
            <w:tcW w:w="842"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 xml:space="preserve">单价上限</w:t>
            </w:r>
            <w:r>
              <w:rPr>
                <w:rFonts w:hint="eastAsia" w:ascii="宋体" w:hAnsi="宋体" w:eastAsia="宋体" w:cs="宋体"/>
                <w:b/>
                <w:bCs/>
                <w:i w:val="0"/>
                <w:iCs w:val="0"/>
                <w:color w:val="000000"/>
                <w:sz w:val="20"/>
                <w:szCs w:val="20"/>
                <w:highlight w:val="none"/>
                <w:u w:val="none"/>
                <w:lang w:val="en-US" w:eastAsia="zh-CN" w:bidi="ar"/>
              </w:rPr>
            </w:r>
            <w:r/>
          </w:p>
        </w:tc>
      </w:tr>
      <w:tr>
        <w:trPr>
          <w:trHeight w:val="351"/>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移植乔木</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1.苗木名称：乔木（常绿和落叶）；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2.苗木规格：胸径15-25cm，冠幅350-600cm，高度500-850cm；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5.包含苗木运输至采购人指定种植点的运输费用。</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120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727.62</w:t>
            </w:r>
            <w:r/>
          </w:p>
        </w:tc>
      </w:tr>
      <w:tr>
        <w:trPr>
          <w:trHeight w:val="1254"/>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移植亚乔木</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1.苗木名称：亚乔木；</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2.苗木规格：地径7-15cm，冠幅250-500cm，高度300-550cm；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4.移植距离和苗木栽植后的技术措施由供应商自行考虑，但需满足苗木成活条件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5.包含苗木运输至采购人指定种植点的运输费用。</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317.12</w:t>
            </w:r>
            <w:r/>
          </w:p>
        </w:tc>
      </w:tr>
      <w:tr>
        <w:trPr>
          <w:trHeight w:val="90"/>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移植灌木球</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1.苗木名称：球类；</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2.苗木规格：冠幅100-200cm，高度100-150cm；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5.包含苗木运输至采购人指定种植点的运输费用。</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148.2</w:t>
            </w:r>
            <w:r/>
          </w:p>
        </w:tc>
      </w:tr>
      <w:tr>
        <w:trPr>
          <w:trHeight w:val="90"/>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栽植红叶石楠</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 红叶石楠(含绿地平整)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4.整形灌木，25株/m2，穴盘苗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145.82</w:t>
            </w:r>
            <w:r/>
          </w:p>
        </w:tc>
      </w:tr>
      <w:tr>
        <w:trPr>
          <w:trHeight w:val="90"/>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栽植铺地柏</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 铺地柏(含绿地平整)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15-20cm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3.枝长 30-40cm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139.66</w:t>
            </w:r>
            <w:r/>
          </w:p>
        </w:tc>
      </w:tr>
      <w:tr>
        <w:trPr>
          <w:trHeight w:val="90"/>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栽植海桐</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 海桐(含绿地平整)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4.整形灌木，25株/m2，穴盘苗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92.66</w:t>
            </w:r>
            <w:r/>
          </w:p>
        </w:tc>
      </w:tr>
      <w:tr>
        <w:trPr>
          <w:trHeight w:val="90"/>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栽植毛鹃</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1.苗木名称：毛鹃(含绿地平整)；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30-35cm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 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120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170.48</w:t>
            </w:r>
            <w:r/>
          </w:p>
        </w:tc>
      </w:tr>
      <w:tr>
        <w:trPr>
          <w:trHeight w:val="90"/>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栽植法青</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 法青(含绿地平整)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200-220cm（修剪后高度）</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37.93</w:t>
            </w:r>
            <w:r/>
          </w:p>
        </w:tc>
      </w:tr>
      <w:tr>
        <w:trPr>
          <w:trHeight w:val="90"/>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栽植金边阔叶麦冬</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1.苗木名称：金边阔叶麦冬(含平整场地)；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2.苗木规格：64丛/㎡，3-4芽每丛，密植；</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4.备注：阔叶麦冬。</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69.04</w:t>
            </w:r>
            <w:r/>
          </w:p>
        </w:tc>
      </w:tr>
      <w:tr>
        <w:trPr>
          <w:trHeight w:val="1169"/>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栽植细叶麦冬</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 细叶麦冬(含绿地平整)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2.单位面积株数 3-4芽/丛，81丛/平方米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3.养护期：一级养护一年（该项清单不含相关养护费用，另包含在养护单位工程中）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73.67</w:t>
            </w:r>
            <w:r/>
          </w:p>
        </w:tc>
      </w:tr>
      <w:tr>
        <w:trPr>
          <w:trHeight w:val="90"/>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栽植吉祥草</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1.苗木名称：吉祥草(含绿地平整)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2.单位面积株数 3-4芽/丛，81丛/平方米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3.养护期：一级养护一年（该项清单不含相关养护费用，另包含在养护单位工程中）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34.07</w:t>
            </w:r>
            <w:r/>
          </w:p>
        </w:tc>
      </w:tr>
      <w:tr>
        <w:trPr>
          <w:trHeight w:val="90"/>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铺种草坪</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1.苗木名称：黑麦草+百慕大(含绿地平整)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1700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27.47</w:t>
            </w:r>
            <w:r/>
          </w:p>
        </w:tc>
      </w:tr>
      <w:tr>
        <w:trPr>
          <w:trHeight w:val="90"/>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吊运景石</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1.根据发包人要求采购及布置景石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2.含景石采购、运输、安置等所有费用</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t</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1006.15</w:t>
            </w:r>
            <w:r/>
          </w:p>
        </w:tc>
      </w:tr>
      <w:tr>
        <w:trPr>
          <w:trHeight w:val="90"/>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绿化隔离护栏</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1、热镀锌钢材质，静电喷涂，防腐抗老化处理，颜色根据发包人要求定制。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2、防爬型弯折竖杆，高1m；横梁60*40mm*2，厚度1.8mm；竖杆30*30mm，厚度1.5mm；立柱60*60mm*2，厚度2.0mm。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3、含安装，根据现场情况进行预埋式（基础20*20*30cm）或法兰式安装，含配件辅材，满足规范要求。</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57.12</w:t>
            </w:r>
            <w:r/>
          </w:p>
        </w:tc>
      </w:tr>
      <w:tr>
        <w:trPr>
          <w:trHeight w:val="261"/>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高护栏网</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高度1.8米，桃型立柱厚度1.5mm，网孔150*75mm铁丝φ5mm，塑层1.5mm，立柱基础DN30*30mm，含安装，含配件辅材，其他满足规范要求。</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高度1.5米，桃型立柱厚度1.5mm，网孔100*75mm铁丝φ5mm，塑层1.5mm，立柱基础DN30*30mm，含安装，含配件辅材，其他满足规范要求。</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高度1.0米，桃型立柱厚度1.5mm，网孔100*75 mm铁丝φ5mm，塑层1.5mm，立柱基础DN30*30mm，含安装，含配件辅材，其他满足规范要求。</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50.52</w:t>
            </w:r>
            <w:r/>
          </w:p>
        </w:tc>
      </w:tr>
      <w:tr>
        <w:trPr>
          <w:trHeight w:val="90"/>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护栏维护</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护栏修整维护，含拆卸、安装（主材利旧）基础、配件辅材，运输（指定地点运输到现场、拆除送达指定地点)等。</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41.93</w:t>
            </w:r>
            <w:r/>
          </w:p>
        </w:tc>
      </w:tr>
      <w:tr>
        <w:trPr>
          <w:trHeight w:val="1084"/>
        </w:trPr>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钢管支撑</w:t>
            </w:r>
            <w:r>
              <w:rPr>
                <w:rFonts w:hint="eastAsia" w:ascii="宋体" w:hAnsi="宋体" w:eastAsia="宋体" w:cs="宋体"/>
                <w:i w:val="0"/>
                <w:color w:val="000000"/>
                <w:sz w:val="20"/>
                <w:szCs w:val="20"/>
                <w:highlight w:val="none"/>
                <w:u w:val="none"/>
              </w:rPr>
            </w:r>
            <w:r/>
          </w:p>
        </w:tc>
        <w:tc>
          <w:tcPr>
            <w:tcW w:w="606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安装支撑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1.钢管规格：直径50mm，壁厚3mm 长度2m/根</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2.外涂防锈漆 3年内无生锈 无破损</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3.根据发包人要求安装支撑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4.费用包含辅材配件等费用</w:t>
            </w:r>
            <w:r>
              <w:rPr>
                <w:rFonts w:hint="eastAsia" w:ascii="宋体" w:hAnsi="宋体" w:eastAsia="宋体" w:cs="宋体"/>
                <w:i w:val="0"/>
                <w:color w:val="000000"/>
                <w:sz w:val="18"/>
                <w:szCs w:val="18"/>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60</w:t>
            </w: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20.43</w:t>
            </w:r>
            <w:r/>
          </w:p>
        </w:tc>
      </w:tr>
      <w:tr>
        <w:trPr>
          <w:trHeight w:val="571"/>
        </w:trPr>
        <w:tc>
          <w:tcPr>
            <w:gridSpan w:val="2"/>
            <w:tcW w:w="7218"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合  计</w:t>
            </w:r>
            <w:r>
              <w:rPr>
                <w:rFonts w:hint="eastAsia" w:ascii="宋体" w:hAnsi="宋体" w:eastAsia="宋体" w:cs="宋体"/>
                <w:i w:val="0"/>
                <w:color w:val="000000"/>
                <w:sz w:val="20"/>
                <w:szCs w:val="20"/>
                <w:highlight w:val="none"/>
                <w:u w:val="none"/>
              </w:rPr>
            </w:r>
            <w:r/>
          </w:p>
        </w:tc>
        <w:tc>
          <w:tcPr>
            <w:tcW w:w="1286"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pP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pPr>
            <w:r>
              <w:rPr>
                <w:rFonts w:hint="eastAsia" w:ascii="宋体" w:hAnsi="宋体" w:eastAsia="宋体" w:cs="宋体"/>
                <w:i w:val="0"/>
                <w:color w:val="000000"/>
                <w:sz w:val="20"/>
                <w:szCs w:val="20"/>
                <w:highlight w:val="none"/>
                <w:u w:val="none"/>
              </w:rPr>
            </w:r>
            <w:r/>
          </w:p>
        </w:tc>
        <w:tc>
          <w:tcPr>
            <w:tcW w:w="842"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r/>
          </w:p>
        </w:tc>
      </w:tr>
    </w:tbl>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包</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w:t>
      </w:r>
      <w:r>
        <w:rPr>
          <w:rFonts w:hint="eastAsia" w:ascii="黑体" w:hAnsi="黑体" w:eastAsia="黑体" w:cs="黑体"/>
          <w:color w:val="000000"/>
          <w:sz w:val="24"/>
          <w:szCs w:val="24"/>
          <w:highlight w:val="none"/>
          <w:lang w:val="en-US" w:eastAsia="zh-CN"/>
        </w:rPr>
      </w:r>
      <w:r/>
    </w:p>
    <w:p>
      <w:pPr>
        <w:pStyle w:val="946"/>
        <w:ind w:firstLine="402"/>
        <w:rPr>
          <w:rFonts w:ascii="宋体" w:hAnsi="宋体" w:eastAsia="宋体" w:cs="宋体"/>
          <w:b/>
          <w:i w:val="0"/>
          <w:color w:val="000000"/>
          <w:sz w:val="20"/>
          <w:szCs w:val="20"/>
          <w:highlight w:val="none"/>
          <w:u w:val="none"/>
          <w:lang w:val="en-US" w:eastAsia="zh-CN" w:bidi="ar"/>
        </w:rPr>
      </w:pPr>
      <w:r>
        <w:rPr>
          <w:rFonts w:hint="eastAsia" w:ascii="宋体" w:hAnsi="宋体" w:eastAsia="宋体" w:cs="宋体"/>
          <w:b/>
          <w:i w:val="0"/>
          <w:color w:val="000000"/>
          <w:sz w:val="20"/>
          <w:szCs w:val="20"/>
          <w:highlight w:val="none"/>
          <w:u w:val="none"/>
          <w:lang w:val="en-US" w:eastAsia="zh-CN" w:bidi="ar"/>
        </w:rPr>
        <w:t xml:space="preserve">绿化养护服务</w:t>
      </w:r>
      <w:r>
        <w:rPr>
          <w:rFonts w:ascii="宋体" w:hAnsi="宋体" w:eastAsia="宋体" w:cs="宋体"/>
          <w:b/>
          <w:i w:val="0"/>
          <w:color w:val="000000"/>
          <w:sz w:val="20"/>
          <w:szCs w:val="20"/>
          <w:highlight w:val="none"/>
          <w:u w:val="none"/>
          <w:lang w:val="en-US" w:eastAsia="zh-CN" w:bidi="ar"/>
        </w:rPr>
      </w:r>
      <w:r/>
    </w:p>
    <w:tbl>
      <w:tblPr>
        <w:tblW w:w="0" w:type="auto"/>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524"/>
        <w:gridCol w:w="1154"/>
        <w:gridCol w:w="5884"/>
        <w:gridCol w:w="900"/>
        <w:gridCol w:w="971"/>
        <w:gridCol w:w="971"/>
      </w:tblGrid>
      <w:tr>
        <w:trPr>
          <w:trHeight w:val="345"/>
        </w:trPr>
        <w:tc>
          <w:tcPr>
            <w:tcW w:w="524" w:type="dxa"/>
            <w:vAlign w:val="center"/>
            <w:vMerge w:val="restart"/>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154" w:type="dxa"/>
            <w:vAlign w:val="center"/>
            <w:vMerge w:val="restart"/>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5884" w:type="dxa"/>
            <w:vAlign w:val="center"/>
            <w:vMerge w:val="restart"/>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项目特征</w:t>
            </w:r>
            <w:r>
              <w:rPr>
                <w:rFonts w:hint="eastAsia" w:ascii="宋体" w:hAnsi="宋体" w:eastAsia="宋体" w:cs="宋体"/>
                <w:b/>
                <w:i w:val="0"/>
                <w:color w:val="000000"/>
                <w:sz w:val="20"/>
                <w:szCs w:val="20"/>
                <w:highlight w:val="none"/>
                <w:u w:val="none"/>
              </w:rPr>
            </w:r>
            <w:r/>
          </w:p>
        </w:tc>
        <w:tc>
          <w:tcPr>
            <w:tcW w:w="900" w:type="dxa"/>
            <w:vAlign w:val="center"/>
            <w:vMerge w:val="restart"/>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971" w:type="dxa"/>
            <w:vAlign w:val="center"/>
            <w:vMerge w:val="restart"/>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数</w:t>
            </w:r>
            <w:r>
              <w:rPr>
                <w:rFonts w:hint="eastAsia" w:ascii="宋体" w:hAnsi="宋体" w:eastAsia="宋体" w:cs="宋体"/>
                <w:b/>
                <w:i w:val="0"/>
                <w:color w:val="000000"/>
                <w:sz w:val="20"/>
                <w:szCs w:val="20"/>
                <w:highlight w:val="none"/>
                <w:u w:val="none"/>
                <w:lang w:val="en-US" w:eastAsia="zh-CN" w:bidi="ar"/>
              </w:rPr>
              <w:t xml:space="preserve">量</w:t>
            </w:r>
            <w:r>
              <w:rPr>
                <w:rFonts w:hint="eastAsia" w:ascii="宋体" w:hAnsi="宋体" w:eastAsia="宋体" w:cs="宋体"/>
                <w:b/>
                <w:i w:val="0"/>
                <w:color w:val="000000"/>
                <w:sz w:val="20"/>
                <w:szCs w:val="20"/>
                <w:highlight w:val="none"/>
                <w:u w:val="none"/>
              </w:rPr>
            </w:r>
            <w:r/>
          </w:p>
        </w:tc>
        <w:tc>
          <w:tcPr>
            <w:tcW w:w="971"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 xml:space="preserve">单价上限</w:t>
            </w:r>
            <w:r>
              <w:rPr>
                <w:rFonts w:hint="eastAsia" w:ascii="宋体" w:hAnsi="宋体" w:eastAsia="宋体" w:cs="宋体"/>
                <w:b/>
                <w:bCs/>
                <w:i w:val="0"/>
                <w:iCs w:val="0"/>
                <w:color w:val="000000"/>
                <w:sz w:val="20"/>
                <w:szCs w:val="20"/>
                <w:highlight w:val="none"/>
                <w:u w:val="none"/>
                <w:lang w:val="en-US" w:eastAsia="zh-CN" w:bidi="ar"/>
              </w:rPr>
            </w:r>
            <w:r/>
          </w:p>
        </w:tc>
      </w:tr>
      <w:tr>
        <w:trPr>
          <w:trHeight w:val="90"/>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88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2、部位：312国道（公路管理站~九乡河西路）防护林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900"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294581</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2.23</w:t>
            </w:r>
            <w:r/>
          </w:p>
        </w:tc>
      </w:tr>
      <w:tr>
        <w:trPr>
          <w:trHeight w:val="222"/>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88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2、部位：312国道（公路管理站~九乡河西路）边分带</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900"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75000</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1153"/>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88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2、部位：312国道（四桥连接线~毕升路）防护林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900"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97670</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2.23</w:t>
            </w:r>
            <w:r/>
          </w:p>
        </w:tc>
      </w:tr>
      <w:tr>
        <w:trPr>
          <w:trHeight w:val="90"/>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88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2、部位：312国道（四桥连接线~元化路）边分带</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900"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5000</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8.91</w:t>
            </w:r>
            <w:r/>
          </w:p>
        </w:tc>
      </w:tr>
      <w:tr>
        <w:trPr>
          <w:trHeight w:val="90"/>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88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2、部位：衡阳湖防护林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900"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39600</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2.23</w:t>
            </w:r>
            <w:r/>
          </w:p>
        </w:tc>
      </w:tr>
      <w:tr>
        <w:trPr>
          <w:trHeight w:val="90"/>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88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2、部位：仙林湖路东侧防护林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900"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98365</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2.23</w:t>
            </w:r>
            <w:r/>
          </w:p>
        </w:tc>
      </w:tr>
      <w:tr>
        <w:trPr>
          <w:trHeight w:val="90"/>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88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2、部位：萧宏二期林地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900"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56052</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2.23</w:t>
            </w:r>
            <w:r/>
          </w:p>
        </w:tc>
      </w:tr>
      <w:tr>
        <w:trPr>
          <w:trHeight w:val="90"/>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88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2、部位：汇通路泄洪沟东侧绿地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900"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18700</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2.23</w:t>
            </w:r>
            <w:r/>
          </w:p>
        </w:tc>
      </w:tr>
      <w:tr>
        <w:trPr>
          <w:trHeight w:val="90"/>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88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1、专业养护三级 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2、部位：绿化废弃物处置场及周边绿化</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900"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2300</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2.23</w:t>
            </w:r>
            <w:r/>
          </w:p>
        </w:tc>
      </w:tr>
      <w:tr>
        <w:trPr>
          <w:trHeight w:val="90"/>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88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2、部位：小红花东侧林地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900"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27990</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2.23</w:t>
            </w:r>
            <w:r/>
          </w:p>
        </w:tc>
      </w:tr>
      <w:tr>
        <w:trPr>
          <w:trHeight w:val="90"/>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88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2、部位：龙王山变电站周边林地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900"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19796</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2.23</w:t>
            </w:r>
            <w:r/>
          </w:p>
        </w:tc>
      </w:tr>
      <w:tr>
        <w:trPr>
          <w:trHeight w:val="90"/>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88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2、部位：和园东侧林地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900"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11815</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2.23</w:t>
            </w:r>
            <w:r/>
          </w:p>
        </w:tc>
      </w:tr>
      <w:tr>
        <w:trPr>
          <w:trHeight w:val="90"/>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88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2、部位：紫薇堂南侧林地（含构梁）</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900"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24157</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2.23</w:t>
            </w:r>
            <w:r/>
          </w:p>
        </w:tc>
      </w:tr>
      <w:tr>
        <w:trPr>
          <w:trHeight w:val="90"/>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884" w:type="dxa"/>
            <w:vAlign w:val="center"/>
            <w:textDirection w:val="lrTb"/>
            <w:noWrap w:val="false"/>
          </w:tcPr>
          <w:p>
            <w:pPr>
              <w:pStyle w:val="946"/>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2、部位：龙王山南侧宕口林地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900"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36957.8</w:t>
            </w: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2.23</w:t>
            </w:r>
            <w:r/>
          </w:p>
        </w:tc>
      </w:tr>
      <w:tr>
        <w:trPr>
          <w:trHeight w:val="570"/>
        </w:trPr>
        <w:tc>
          <w:tcPr>
            <w:tcW w:w="524"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pPr>
            <w:r>
              <w:rPr>
                <w:rFonts w:hint="eastAsia" w:ascii="宋体" w:hAnsi="宋体" w:eastAsia="宋体" w:cs="宋体"/>
                <w:i w:val="0"/>
                <w:color w:val="000000"/>
                <w:sz w:val="20"/>
                <w:szCs w:val="20"/>
                <w:highlight w:val="none"/>
                <w:u w:val="none"/>
              </w:rPr>
            </w:r>
            <w:r/>
          </w:p>
        </w:tc>
        <w:tc>
          <w:tcPr>
            <w:gridSpan w:val="2"/>
            <w:tcW w:w="7038"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合计</w:t>
            </w:r>
            <w:r>
              <w:rPr>
                <w:rFonts w:hint="eastAsia" w:ascii="宋体" w:hAnsi="宋体" w:eastAsia="宋体" w:cs="宋体"/>
                <w:i w:val="0"/>
                <w:color w:val="000000"/>
                <w:sz w:val="20"/>
                <w:szCs w:val="20"/>
                <w:highlight w:val="none"/>
                <w:u w:val="none"/>
              </w:rPr>
            </w:r>
            <w:r/>
          </w:p>
        </w:tc>
        <w:tc>
          <w:tcPr>
            <w:tcW w:w="900"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pP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pStyle w:val="946"/>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pPr>
            <w:r>
              <w:rPr>
                <w:rFonts w:hint="eastAsia" w:ascii="宋体" w:hAnsi="宋体" w:eastAsia="宋体" w:cs="宋体"/>
                <w:i w:val="0"/>
                <w:color w:val="000000"/>
                <w:sz w:val="20"/>
                <w:szCs w:val="20"/>
                <w:highlight w:val="none"/>
                <w:u w:val="none"/>
              </w:rPr>
            </w:r>
            <w:r/>
          </w:p>
        </w:tc>
        <w:tc>
          <w:tcPr>
            <w:tcW w:w="971"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r/>
          </w:p>
        </w:tc>
      </w:tr>
    </w:tbl>
    <w:p>
      <w:pPr>
        <w:pStyle w:val="946"/>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采购包1、采购包2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46"/>
        <w:ind w:firstLine="480"/>
        <w:keepLines w:val="0"/>
        <w:keepNext w:val="0"/>
        <w:pageBreakBefore w:val="0"/>
        <w:spacing w:line="288"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lang w:val="en-US" w:eastAsia="zh-CN"/>
        </w:rPr>
        <w:t xml:space="preserve">报价要求</w:t>
      </w:r>
      <w:r>
        <w:rPr>
          <w:rFonts w:ascii="宋体" w:hAnsi="宋体" w:eastAsia="宋体" w:cs="宋体"/>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报价应包含完成本次招标项目合同条款上的全部费用，包括项目的成本、利润、间接费、税金、措施费、风险费等所有费用，以及</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认为需要的其他费用等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包括但不限于</w:t>
      </w:r>
      <w:r>
        <w:rPr>
          <w:rFonts w:hint="eastAsia" w:ascii="宋体" w:hAnsi="宋体" w:eastAsia="宋体" w:cs="宋体"/>
          <w:sz w:val="24"/>
          <w:szCs w:val="24"/>
          <w:highlight w:val="none"/>
        </w:rPr>
        <w:t xml:space="preserve">修剪、</w:t>
      </w:r>
      <w:r>
        <w:rPr>
          <w:rFonts w:hint="eastAsia" w:ascii="宋体" w:hAnsi="宋体" w:eastAsia="宋体" w:cs="宋体"/>
          <w:sz w:val="24"/>
          <w:szCs w:val="24"/>
          <w:highlight w:val="none"/>
          <w:lang w:val="en-US" w:eastAsia="zh-CN"/>
        </w:rPr>
        <w:t xml:space="preserve">肥料</w:t>
      </w:r>
      <w:r>
        <w:rPr>
          <w:rFonts w:hint="eastAsia" w:ascii="宋体" w:hAnsi="宋体" w:eastAsia="宋体" w:cs="宋体"/>
          <w:sz w:val="24"/>
          <w:szCs w:val="24"/>
          <w:highlight w:val="none"/>
        </w:rPr>
        <w:t xml:space="preserve">、除虫</w:t>
      </w:r>
      <w:r>
        <w:rPr>
          <w:rFonts w:hint="eastAsia" w:ascii="宋体" w:hAnsi="宋体" w:eastAsia="宋体" w:cs="宋体"/>
          <w:sz w:val="24"/>
          <w:szCs w:val="24"/>
          <w:highlight w:val="none"/>
          <w:lang w:val="en-US" w:eastAsia="zh-CN"/>
        </w:rPr>
        <w:t xml:space="preserve">的药剂、浇水等所需的费用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，该项目为固定单价合同且为全费用报价模式。</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应认真核对</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提供的绿化设施清单，如有疑问，在规定时间内提出。</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提供的绿化设施清单数量作为结算依据，未经</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许可，在招标范围内的绿化设施不得擅自调整。</w:t>
      </w:r>
      <w:r>
        <w:rPr>
          <w:rFonts w:hint="eastAsia" w:ascii="宋体" w:hAnsi="宋体" w:eastAsia="宋体" w:cs="宋体"/>
          <w:sz w:val="24"/>
          <w:szCs w:val="24"/>
          <w:highlight w:val="none"/>
        </w:rPr>
      </w:r>
      <w:r/>
    </w:p>
    <w:p>
      <w:pPr>
        <w:pStyle w:val="946"/>
        <w:ind w:firstLine="480"/>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供应商的任何错漏、优惠、竞争性报价不得作为减轻责任、减少服务、增加收费、降低服务质量的理由。</w:t>
      </w:r>
      <w:r>
        <w:rPr>
          <w:rFonts w:hint="eastAsia" w:ascii="宋体" w:hAnsi="宋体" w:eastAsia="宋体" w:cs="宋体"/>
          <w:sz w:val="24"/>
          <w:szCs w:val="24"/>
          <w:highlight w:val="none"/>
        </w:rPr>
      </w:r>
      <w:r/>
    </w:p>
    <w:p>
      <w:pPr>
        <w:pStyle w:val="946"/>
        <w:ind w:firstLine="480"/>
        <w:keepLines w:val="0"/>
        <w:keepNext w:val="0"/>
        <w:pageBreakBefore w:val="0"/>
        <w:spacing w:line="288"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供应商报价除包含</w:t>
      </w:r>
      <w:r>
        <w:rPr>
          <w:rFonts w:hint="eastAsia" w:ascii="宋体" w:hAnsi="宋体" w:eastAsia="宋体" w:cs="宋体"/>
          <w:sz w:val="24"/>
          <w:szCs w:val="24"/>
          <w:highlight w:val="none"/>
          <w:lang w:eastAsia="zh-CN"/>
        </w:rPr>
        <w:t xml:space="preserve">招标</w:t>
      </w:r>
      <w:r>
        <w:rPr>
          <w:rFonts w:hint="eastAsia" w:ascii="宋体" w:hAnsi="宋体" w:eastAsia="宋体" w:cs="宋体"/>
          <w:sz w:val="24"/>
          <w:szCs w:val="24"/>
          <w:highlight w:val="none"/>
        </w:rPr>
        <w:t xml:space="preserve">文件中列明的项目外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还应包括保障服务正常运行应当具有的物资和服务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对服务正常运行应当具有的物资和服务理解不一致的以采购单位理解为准。</w:t>
      </w:r>
      <w:r>
        <w:rPr>
          <w:rFonts w:hint="eastAsia" w:ascii="宋体" w:hAnsi="宋体" w:eastAsia="宋体" w:cs="宋体"/>
          <w:bCs/>
          <w:color w:val="0000ff"/>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人员基本配备要求</w:t>
      </w:r>
      <w:r>
        <w:rPr>
          <w:rFonts w:hint="eastAsia" w:ascii="宋体" w:hAnsi="宋体" w:eastAsia="宋体" w:cs="Times New Roman"/>
          <w:bCs/>
          <w:color w:val="000000"/>
          <w:sz w:val="24"/>
          <w:szCs w:val="24"/>
          <w:highlight w:val="none"/>
          <w:lang w:val="en-US" w:eastAsia="zh-CN"/>
        </w:rPr>
      </w:r>
      <w:r/>
    </w:p>
    <w:tbl>
      <w:tblPr>
        <w:tblStyle w:val="107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9"/>
        <w:gridCol w:w="1783"/>
        <w:gridCol w:w="6621"/>
      </w:tblGrid>
      <w:tr>
        <w:trPr/>
        <w:tc>
          <w:tcPr>
            <w:tcW w:w="1049"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采购包</w:t>
            </w:r>
            <w:r>
              <w:rPr>
                <w:rFonts w:hint="eastAsia" w:ascii="宋体" w:hAnsi="宋体" w:eastAsia="宋体" w:cs="Times New Roman"/>
                <w:bCs/>
                <w:color w:val="000000"/>
                <w:sz w:val="24"/>
                <w:szCs w:val="24"/>
                <w:highlight w:val="none"/>
                <w:lang w:val="en-US" w:eastAsia="zh-CN"/>
              </w:rPr>
            </w:r>
            <w:r/>
          </w:p>
        </w:tc>
        <w:tc>
          <w:tcPr>
            <w:tcW w:w="1783"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类别</w:t>
            </w:r>
            <w:r>
              <w:rPr>
                <w:rFonts w:hint="eastAsia" w:ascii="宋体" w:hAnsi="宋体" w:eastAsia="宋体" w:cs="Times New Roman"/>
                <w:bCs/>
                <w:color w:val="000000"/>
                <w:sz w:val="24"/>
                <w:szCs w:val="24"/>
                <w:highlight w:val="none"/>
                <w:lang w:val="en-US" w:eastAsia="zh-CN"/>
              </w:rPr>
            </w:r>
            <w:r/>
          </w:p>
        </w:tc>
        <w:tc>
          <w:tcPr>
            <w:tcW w:w="6621"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具体要求</w:t>
            </w:r>
            <w:r>
              <w:rPr>
                <w:rFonts w:hint="eastAsia" w:ascii="宋体" w:hAnsi="宋体" w:eastAsia="宋体" w:cs="Times New Roman"/>
                <w:bCs/>
                <w:color w:val="000000"/>
                <w:sz w:val="24"/>
                <w:szCs w:val="24"/>
                <w:highlight w:val="none"/>
                <w:lang w:val="en-US" w:eastAsia="zh-CN"/>
              </w:rPr>
            </w:r>
            <w:r/>
          </w:p>
        </w:tc>
      </w:tr>
      <w:tr>
        <w:trPr/>
        <w:tc>
          <w:tcPr>
            <w:tcW w:w="1049"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1783" w:type="dxa"/>
            <w:vAlign w:val="center"/>
            <w:vMerge w:val="restart"/>
            <w:textDirection w:val="lrTb"/>
            <w:noWrap w:val="false"/>
          </w:tcPr>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项目实施人员</w:t>
            </w:r>
            <w:r>
              <w:rPr>
                <w:rFonts w:hint="eastAsia" w:ascii="宋体" w:hAnsi="宋体" w:eastAsia="宋体" w:cs="Times New Roman"/>
                <w:bCs/>
                <w:color w:val="000000"/>
                <w:sz w:val="24"/>
                <w:szCs w:val="24"/>
                <w:highlight w:val="none"/>
                <w:lang w:val="en-US" w:eastAsia="zh-CN"/>
              </w:rPr>
            </w:r>
            <w:r/>
          </w:p>
        </w:tc>
        <w:tc>
          <w:tcPr>
            <w:tcW w:w="6621" w:type="dxa"/>
            <w:vAlign w:val="center"/>
            <w:textDirection w:val="lrTb"/>
            <w:noWrap w:val="false"/>
          </w:tcPr>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目负责人：1人，园林绿化类相关专业大专或以上学历（园林绿化类专业是指园林绿化工程规划、园林绿化设计、园林绿化施工及养护管理相关的专业，包括：园林（含园林规划设计、园林植物、风景园林、园林绿化等）；</w:t>
            </w:r>
            <w:r>
              <w:rPr>
                <w:rFonts w:hint="eastAsia" w:ascii="宋体" w:hAnsi="宋体" w:eastAsia="宋体" w:cs="Times New Roman"/>
                <w:bCs/>
                <w:color w:val="000000"/>
                <w:sz w:val="24"/>
                <w:szCs w:val="24"/>
                <w:highlight w:val="none"/>
                <w:lang w:val="en-US" w:eastAsia="zh-CN"/>
              </w:rPr>
            </w:r>
            <w:r/>
          </w:p>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技术负责人：1人；</w:t>
            </w:r>
            <w:r>
              <w:rPr>
                <w:rFonts w:hint="eastAsia" w:ascii="宋体" w:hAnsi="宋体" w:eastAsia="宋体" w:cs="Times New Roman"/>
                <w:bCs/>
                <w:color w:val="000000"/>
                <w:sz w:val="24"/>
                <w:szCs w:val="24"/>
                <w:highlight w:val="none"/>
                <w:lang w:val="en-US" w:eastAsia="zh-CN"/>
              </w:rPr>
            </w:r>
            <w:r/>
          </w:p>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安全员：1人；</w:t>
            </w:r>
            <w:r>
              <w:rPr>
                <w:rFonts w:hint="eastAsia" w:ascii="宋体" w:hAnsi="宋体" w:eastAsia="宋体" w:cs="Times New Roman"/>
                <w:bCs/>
                <w:color w:val="000000"/>
                <w:sz w:val="24"/>
                <w:szCs w:val="24"/>
                <w:highlight w:val="none"/>
                <w:lang w:val="en-US" w:eastAsia="zh-CN"/>
              </w:rPr>
            </w:r>
            <w:r/>
          </w:p>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资料员：1人；</w:t>
            </w:r>
            <w:r>
              <w:rPr>
                <w:rFonts w:hint="eastAsia" w:ascii="宋体" w:hAnsi="宋体" w:eastAsia="宋体" w:cs="Times New Roman"/>
                <w:bCs/>
                <w:color w:val="000000"/>
                <w:sz w:val="24"/>
                <w:szCs w:val="24"/>
                <w:highlight w:val="none"/>
                <w:lang w:val="en-US" w:eastAsia="zh-CN"/>
              </w:rPr>
            </w:r>
            <w:r/>
          </w:p>
          <w:p>
            <w:pPr>
              <w:pStyle w:val="946"/>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一线绿化养护人员：20人（其中园林植保工：1人，园林养护工（园林绿化工）：6人；其他养护人员：13人）。</w:t>
            </w:r>
            <w:r>
              <w:rPr>
                <w:rFonts w:ascii="宋体" w:hAnsi="宋体" w:eastAsia="宋体" w:cs="Times New Roman"/>
                <w:bCs/>
                <w:color w:val="000000"/>
                <w:sz w:val="24"/>
                <w:szCs w:val="24"/>
                <w:highlight w:val="none"/>
                <w:lang w:val="en-US" w:eastAsia="zh-CN"/>
              </w:rPr>
            </w:r>
            <w:r/>
          </w:p>
        </w:tc>
      </w:tr>
      <w:tr>
        <w:trPr/>
        <w:tc>
          <w:tcPr>
            <w:tcW w:w="1049"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r>
            <w:r/>
          </w:p>
        </w:tc>
        <w:tc>
          <w:tcPr>
            <w:tcW w:w="1783" w:type="dxa"/>
            <w:vAlign w:val="center"/>
            <w:vMerge w:val="continue"/>
            <w:textDirection w:val="lrTb"/>
            <w:noWrap w:val="false"/>
          </w:tcPr>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tc>
        <w:tc>
          <w:tcPr>
            <w:tcW w:w="6621" w:type="dxa"/>
            <w:vAlign w:val="center"/>
            <w:textDirection w:val="lrTb"/>
            <w:noWrap w:val="false"/>
          </w:tcPr>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项目负责人：1人，园林绿化类相关专业大专或以上学历（园林绿化类专业是指园林绿化工程规划、园林绿化设计、园林绿化施工及养护管理相关的专业，包括：园林（含园林规划设计、园林植物、风景园林、园林绿化等）；</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技术负责人：1人；</w:t>
            </w:r>
            <w:r>
              <w:rPr>
                <w:rFonts w:hint="eastAsia" w:ascii="宋体" w:hAnsi="宋体" w:eastAsia="宋体" w:cs="Times New Roman"/>
                <w:bCs/>
                <w:color w:val="000000"/>
                <w:sz w:val="24"/>
                <w:szCs w:val="24"/>
                <w:highlight w:val="none"/>
                <w:lang w:val="en-US" w:eastAsia="zh-CN"/>
              </w:rPr>
            </w:r>
            <w:r/>
          </w:p>
          <w:p>
            <w:pPr>
              <w:pStyle w:val="946"/>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安全员：1人；</w:t>
            </w:r>
            <w:r>
              <w:rPr>
                <w:rFonts w:hint="eastAsia" w:ascii="宋体" w:hAnsi="宋体" w:eastAsia="宋体" w:cs="Times New Roman"/>
                <w:bCs/>
                <w:color w:val="000000"/>
                <w:sz w:val="24"/>
                <w:szCs w:val="24"/>
                <w:highlight w:val="none"/>
                <w:lang w:val="en-US" w:eastAsia="zh-CN"/>
              </w:rPr>
            </w:r>
            <w:r/>
          </w:p>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资料员：1人；</w:t>
            </w:r>
            <w:r>
              <w:rPr>
                <w:rFonts w:hint="eastAsia" w:ascii="宋体" w:hAnsi="宋体" w:eastAsia="宋体" w:cs="Times New Roman"/>
                <w:bCs/>
                <w:color w:val="000000"/>
                <w:sz w:val="24"/>
                <w:szCs w:val="24"/>
                <w:highlight w:val="none"/>
                <w:lang w:val="en-US" w:eastAsia="zh-CN"/>
              </w:rPr>
            </w:r>
            <w:r/>
          </w:p>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一线绿化养护人员：13人（其中园林植保工：1人，园林养护工（园林绿化工）：6人；其他养护人员：6人）。</w:t>
            </w:r>
            <w:r>
              <w:rPr>
                <w:rFonts w:hint="eastAsia" w:ascii="宋体" w:hAnsi="宋体" w:eastAsia="宋体" w:cs="Times New Roman"/>
                <w:bCs/>
                <w:color w:val="000000"/>
                <w:sz w:val="24"/>
                <w:szCs w:val="24"/>
                <w:highlight w:val="none"/>
                <w:lang w:val="en-US" w:eastAsia="zh-CN"/>
              </w:rPr>
            </w:r>
            <w:r/>
          </w:p>
        </w:tc>
      </w:tr>
      <w:tr>
        <w:trPr/>
        <w:tc>
          <w:tcPr>
            <w:tcW w:w="1049" w:type="dxa"/>
            <w:vAlign w:val="center"/>
            <w:textDirection w:val="lrTb"/>
            <w:noWrap w:val="false"/>
          </w:tcPr>
          <w:p>
            <w:pPr>
              <w:pStyle w:val="946"/>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tc>
        <w:tc>
          <w:tcPr>
            <w:tcW w:w="1783" w:type="dxa"/>
            <w:vAlign w:val="center"/>
            <w:textDirection w:val="lrTb"/>
            <w:noWrap w:val="false"/>
          </w:tcPr>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tc>
        <w:tc>
          <w:tcPr>
            <w:tcW w:w="6621" w:type="dxa"/>
            <w:vAlign w:val="center"/>
            <w:textDirection w:val="lrTb"/>
            <w:noWrap w:val="false"/>
          </w:tcPr>
          <w:p>
            <w:pPr>
              <w:pStyle w:val="946"/>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tc>
      </w:tr>
    </w:tbl>
    <w:p>
      <w:pPr>
        <w:pStyle w:val="946"/>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签订合同时须提供项目管理人员（项目负责人、技术负责人、安全员和资料员）、园林植保工、园林绿化工证书及供应商为其缴纳的2024年10月以来任意1个月社保证明供采购人核验。上述项目管理人员必须为供应商正式工作人员，不得兼任其他项目工作，未经采购人同意，人员不得更换。</w:t>
      </w:r>
      <w:r>
        <w:rPr>
          <w:rFonts w:hint="eastAsia"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3.项目分包与转包</w:t>
      </w:r>
      <w:r>
        <w:rPr>
          <w:rFonts w:hint="eastAsia"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本项目不得转包或分包，一经发现有转包或分包现象，立即终止合同，扣除其履约保证金，给采购人造成的损失超过履约保证金数额的，中标供应商还应当对超过部分予以赔偿，且承担相应的法律责任。</w:t>
      </w:r>
      <w:r>
        <w:rPr>
          <w:rFonts w:hint="eastAsia"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4.验收要求</w:t>
      </w:r>
      <w:r>
        <w:rPr>
          <w:rFonts w:hint="eastAsia"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苗木采购补植交货验收</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t xml:space="preserve">货到现场后由接受人进行数量、质量、规格等检验，并填写《苗木到场验收单》，由采购人现场代表、监理、供应商三方签字确认。如供应商提供的苗木现场核验不合格，视为有质量问题，苗木将被退回，如不能在采购人规定时间内供苗而影响施工，采购人有权拒收并根据招标价格指定第三方供苗，对采购人造成的损失从履约保证金中扣除，并保留追究其相应责任的权利</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rPr>
          <w:rFonts w:ascii="宋体" w:hAnsi="宋体" w:eastAsia="宋体" w:cs="Times New Roman"/>
          <w:color w:val="000000"/>
          <w:sz w:val="24"/>
          <w:szCs w:val="24"/>
          <w:highlight w:val="none"/>
          <w:lang w:val="en-US" w:eastAsia="zh-CN"/>
        </w:rPr>
        <w:t xml:space="preserve">付款条件</w:t>
      </w:r>
      <w:r>
        <w:rPr>
          <w:rFonts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内容</w:t>
      </w:r>
      <w:r>
        <w:rPr>
          <w:rFonts w:ascii="宋体" w:hAnsi="宋体" w:eastAsia="宋体" w:cs="Times New Roman"/>
          <w:color w:val="000000"/>
          <w:sz w:val="24"/>
          <w:szCs w:val="24"/>
          <w:highlight w:val="none"/>
          <w:lang w:val="en-US" w:eastAsia="zh-CN"/>
        </w:rPr>
        <w:t xml:space="preserve">为准。</w:t>
      </w:r>
      <w:r>
        <w:rPr>
          <w:rFonts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6.交付/服务</w:t>
      </w:r>
      <w:r>
        <w:rPr>
          <w:rFonts w:ascii="宋体" w:hAnsi="宋体" w:eastAsia="宋体" w:cs="Times New Roman"/>
          <w:color w:val="000000"/>
          <w:sz w:val="24"/>
          <w:szCs w:val="24"/>
          <w:highlight w:val="none"/>
          <w:lang w:val="en-US" w:eastAsia="zh-CN"/>
        </w:rPr>
        <w:t xml:space="preserve">时间及地点</w:t>
      </w:r>
      <w:r>
        <w:rPr>
          <w:rFonts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交付/服务</w:t>
      </w:r>
      <w:r>
        <w:rPr>
          <w:rFonts w:ascii="宋体" w:hAnsi="宋体" w:eastAsia="宋体" w:cs="Times New Roman"/>
          <w:color w:val="000000"/>
          <w:sz w:val="24"/>
          <w:szCs w:val="24"/>
          <w:highlight w:val="none"/>
          <w:lang w:val="en-US" w:eastAsia="zh-CN"/>
        </w:rPr>
        <w:t xml:space="preserve">时间：</w:t>
      </w:r>
      <w:r>
        <w:rPr>
          <w:rFonts w:hint="eastAsia" w:ascii="宋体" w:hAnsi="宋体" w:eastAsia="宋体" w:cs="Times New Roman"/>
          <w:color w:val="000000"/>
          <w:sz w:val="24"/>
          <w:szCs w:val="24"/>
          <w:highlight w:val="none"/>
          <w:lang w:val="en-US" w:eastAsia="zh-CN"/>
        </w:rPr>
        <w:t xml:space="preserve">合同生效之日起两年；其中苗木补植</w:t>
      </w:r>
      <w:r>
        <w:rPr>
          <w:rFonts w:ascii="宋体" w:hAnsi="宋体" w:eastAsia="宋体" w:cs="Times New Roman"/>
          <w:color w:val="000000"/>
          <w:sz w:val="24"/>
          <w:szCs w:val="24"/>
          <w:highlight w:val="none"/>
          <w:lang w:val="en-US" w:eastAsia="zh-CN"/>
        </w:rPr>
        <w:t xml:space="preserve">按照采购人要求，根据项目进度进行供苗</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交付/服务</w:t>
      </w:r>
      <w:r>
        <w:rPr>
          <w:rFonts w:ascii="宋体" w:hAnsi="宋体" w:eastAsia="宋体" w:cs="Times New Roman"/>
          <w:color w:val="000000"/>
          <w:sz w:val="24"/>
          <w:szCs w:val="24"/>
          <w:highlight w:val="none"/>
          <w:lang w:val="en-US" w:eastAsia="zh-CN"/>
        </w:rPr>
        <w:t xml:space="preserve">地点：采购人指定地点</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7.履约保证金</w:t>
      </w:r>
      <w:r>
        <w:rPr>
          <w:rFonts w:hint="eastAsia" w:ascii="宋体" w:hAnsi="宋体" w:eastAsia="宋体" w:cs="宋体"/>
          <w:bCs/>
          <w:color w:val="000000"/>
          <w:sz w:val="24"/>
          <w:szCs w:val="24"/>
          <w:highlight w:val="none"/>
          <w:lang w:val="en-US" w:eastAsia="zh-CN"/>
        </w:rPr>
      </w:r>
      <w:r/>
    </w:p>
    <w:p>
      <w:pPr>
        <w:pStyle w:val="946"/>
        <w:ind w:firstLine="480"/>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rPr>
          <w:rFonts w:ascii="宋体" w:hAnsi="宋体" w:eastAsia="宋体" w:cs="宋体"/>
          <w:bCs/>
          <w:color w:val="000000"/>
          <w:sz w:val="24"/>
          <w:szCs w:val="24"/>
          <w:highlight w:val="none"/>
          <w:lang w:val="en-US"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考核与奖惩</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采购人将根据采购人管理考核办法，采用以月考核的方式，每季度汇总一次考核分数，对各采购包养护单位进行考核。经考核合格后合同继续生效，考核不合格采购人有权单方终止合同（单个季度均分低于75分的，或连续两个季度均分低于80分，终止本项目服务合同，扣除全部质量考核费）。</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）考核组织实施</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tabs>
          <w:tab w:val="left" w:pos="522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养护考核工作由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负责组织实施。具体负责组织集中、不定期检查和资料汇总、计分排名和通报，对其作业质量进行日常检查和考核，并对其存在的问题限期落实整改。</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）考核办法</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《考核办法及评分细则》对</w:t>
      </w:r>
      <w:r>
        <w:rPr>
          <w:rFonts w:hint="eastAsia" w:ascii="宋体" w:hAnsi="宋体" w:eastAsia="宋体" w:cs="宋体"/>
          <w:color w:val="000000"/>
          <w:sz w:val="24"/>
          <w:szCs w:val="24"/>
          <w:highlight w:val="none"/>
          <w:lang w:val="en-US" w:eastAsia="zh-CN"/>
        </w:rPr>
        <w:t xml:space="preserve">各采购包供应商</w:t>
      </w:r>
      <w:r>
        <w:rPr>
          <w:rFonts w:hint="eastAsia" w:ascii="宋体" w:hAnsi="宋体" w:eastAsia="宋体" w:cs="宋体"/>
          <w:color w:val="000000"/>
          <w:sz w:val="24"/>
          <w:szCs w:val="24"/>
          <w:highlight w:val="none"/>
          <w:lang w:eastAsia="zh-CN"/>
        </w:rPr>
        <w:t xml:space="preserve">的养护作业进行考核。</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）考核费用组成</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各采购包供应商</w:t>
      </w:r>
      <w:r>
        <w:rPr>
          <w:rFonts w:hint="eastAsia" w:ascii="宋体" w:hAnsi="宋体" w:eastAsia="宋体" w:cs="宋体"/>
          <w:color w:val="000000"/>
          <w:sz w:val="24"/>
          <w:szCs w:val="24"/>
          <w:highlight w:val="none"/>
          <w:lang w:eastAsia="zh-CN"/>
        </w:rPr>
        <w:t xml:space="preserve">同意</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将</w:t>
      </w:r>
      <w:r>
        <w:rPr>
          <w:rFonts w:hint="eastAsia" w:ascii="宋体" w:hAnsi="宋体" w:eastAsia="宋体" w:cs="Courier New"/>
          <w:color w:val="000000"/>
          <w:sz w:val="24"/>
          <w:szCs w:val="24"/>
          <w:highlight w:val="none"/>
          <w:lang w:val="en-US" w:eastAsia="zh-CN"/>
        </w:rPr>
        <w:t xml:space="preserve">实际养护范围的</w:t>
      </w:r>
      <w:r>
        <w:rPr>
          <w:rFonts w:hint="eastAsia" w:ascii="宋体" w:hAnsi="宋体" w:eastAsia="宋体" w:cs="宋体"/>
          <w:color w:val="000000"/>
          <w:sz w:val="24"/>
          <w:szCs w:val="24"/>
          <w:highlight w:val="none"/>
          <w:lang w:eastAsia="zh-CN"/>
        </w:rPr>
        <w:t xml:space="preserve">绿化养护费用的50%作为基本养护费，其余50%作为质量考核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考核后维护费用的拨付办法：</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1）每次支付前，</w:t>
      </w:r>
      <w:r>
        <w:rPr>
          <w:rFonts w:hint="eastAsia" w:ascii="宋体" w:hAnsi="宋体" w:eastAsia="宋体" w:cs="宋体"/>
          <w:color w:val="000000"/>
          <w:sz w:val="24"/>
          <w:szCs w:val="24"/>
          <w:highlight w:val="none"/>
          <w:lang w:val="en-US" w:eastAsia="zh-CN"/>
        </w:rPr>
        <w:t xml:space="preserve">各采购包供应商须</w:t>
      </w:r>
      <w:r>
        <w:rPr>
          <w:rFonts w:hint="eastAsia" w:ascii="宋体" w:hAnsi="宋体" w:eastAsia="宋体" w:cs="宋体"/>
          <w:color w:val="000000"/>
          <w:sz w:val="24"/>
          <w:szCs w:val="24"/>
          <w:highlight w:val="none"/>
          <w:lang w:eastAsia="zh-CN"/>
        </w:rPr>
        <w:t xml:space="preserve">提供监理人对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项目负责人及项目组管理人员与投标文件中人员是否一致的书面核查结果；代管单位对</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lang w:eastAsia="zh-CN"/>
        </w:rPr>
        <w:t xml:space="preserve">项目负责人及项目组管理人员的书面考勤审核结果。</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2）进度款：按季度付款，在下个季度，</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向</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lang w:eastAsia="zh-CN"/>
        </w:rPr>
        <w:t xml:space="preserve">支付季度</w:t>
      </w:r>
      <w:r>
        <w:rPr>
          <w:rFonts w:hint="eastAsia" w:ascii="宋体" w:hAnsi="宋体" w:eastAsia="宋体" w:cs="Courier New"/>
          <w:color w:val="000000"/>
          <w:sz w:val="24"/>
          <w:szCs w:val="24"/>
          <w:highlight w:val="none"/>
          <w:lang w:val="en-US" w:eastAsia="zh-CN"/>
        </w:rPr>
        <w:t xml:space="preserve">实际养护范围的</w:t>
      </w:r>
      <w:r>
        <w:rPr>
          <w:rFonts w:hint="eastAsia" w:ascii="宋体" w:hAnsi="宋体" w:eastAsia="宋体" w:cs="宋体"/>
          <w:color w:val="000000"/>
          <w:sz w:val="24"/>
          <w:szCs w:val="24"/>
          <w:highlight w:val="none"/>
          <w:lang w:eastAsia="zh-CN"/>
        </w:rPr>
        <w:t xml:space="preserve">基本养护费，并根据质量考核情况支付</w:t>
      </w:r>
      <w:r>
        <w:rPr>
          <w:rFonts w:hint="eastAsia" w:ascii="宋体" w:hAnsi="宋体" w:eastAsia="宋体" w:cs="宋体"/>
          <w:color w:val="000000"/>
          <w:sz w:val="24"/>
          <w:szCs w:val="24"/>
          <w:highlight w:val="none"/>
          <w:lang w:val="en-US" w:eastAsia="zh-CN"/>
        </w:rPr>
        <w:t xml:space="preserve">质量考核费</w:t>
      </w:r>
      <w:r>
        <w:rPr>
          <w:rFonts w:hint="eastAsia" w:ascii="宋体" w:hAnsi="宋体" w:eastAsia="宋体" w:cs="宋体"/>
          <w:color w:val="000000"/>
          <w:sz w:val="24"/>
          <w:szCs w:val="24"/>
          <w:highlight w:val="none"/>
          <w:lang w:eastAsia="zh-CN"/>
        </w:rPr>
        <w:t xml:space="preserve">减去日常考核中直接扣除的费用。合同期满，经</w:t>
      </w:r>
      <w:r>
        <w:rPr>
          <w:rFonts w:hint="eastAsia" w:ascii="宋体" w:hAnsi="宋体" w:eastAsia="宋体" w:cs="宋体"/>
          <w:color w:val="000000"/>
          <w:sz w:val="24"/>
          <w:szCs w:val="24"/>
          <w:highlight w:val="none"/>
          <w:lang w:val="en-US" w:eastAsia="zh-CN"/>
        </w:rPr>
        <w:t xml:space="preserve">采购人、中标供应商</w:t>
      </w:r>
      <w:r>
        <w:rPr>
          <w:rFonts w:hint="eastAsia" w:ascii="宋体" w:hAnsi="宋体" w:eastAsia="宋体" w:cs="宋体"/>
          <w:color w:val="000000"/>
          <w:sz w:val="24"/>
          <w:szCs w:val="24"/>
          <w:highlight w:val="none"/>
          <w:lang w:eastAsia="zh-CN"/>
        </w:rPr>
        <w:t xml:space="preserve">双方共同验收，养护质量达到</w:t>
      </w:r>
      <w:r>
        <w:rPr>
          <w:rFonts w:hint="eastAsia" w:ascii="宋体" w:hAnsi="宋体" w:eastAsia="宋体" w:cs="宋体"/>
          <w:color w:val="000000"/>
          <w:sz w:val="24"/>
          <w:szCs w:val="24"/>
          <w:highlight w:val="none"/>
          <w:lang w:val="en-US" w:eastAsia="zh-CN"/>
        </w:rPr>
        <w:t xml:space="preserve">相应养护</w:t>
      </w:r>
      <w:r>
        <w:rPr>
          <w:rFonts w:hint="eastAsia" w:ascii="宋体" w:hAnsi="宋体" w:eastAsia="宋体" w:cs="宋体"/>
          <w:color w:val="000000"/>
          <w:sz w:val="24"/>
          <w:szCs w:val="24"/>
          <w:highlight w:val="none"/>
          <w:lang w:eastAsia="zh-CN"/>
        </w:rPr>
        <w:t xml:space="preserve">标准（</w:t>
      </w:r>
      <w:r>
        <w:rPr>
          <w:rFonts w:hint="eastAsia" w:ascii="宋体" w:hAnsi="宋体" w:eastAsia="宋体" w:cs="宋体"/>
          <w:color w:val="000000"/>
          <w:sz w:val="24"/>
          <w:szCs w:val="24"/>
          <w:highlight w:val="none"/>
          <w:lang w:val="en-US" w:eastAsia="zh-CN"/>
        </w:rPr>
        <w:t xml:space="preserve">采购包5达到二级养护标准，采购包6达到三级养护标准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付清季度</w:t>
      </w:r>
      <w:r>
        <w:rPr>
          <w:rFonts w:hint="eastAsia" w:ascii="宋体" w:hAnsi="宋体" w:eastAsia="宋体" w:cs="Courier New"/>
          <w:color w:val="000000"/>
          <w:sz w:val="24"/>
          <w:szCs w:val="24"/>
          <w:highlight w:val="none"/>
          <w:lang w:val="en-US" w:eastAsia="zh-CN"/>
        </w:rPr>
        <w:t xml:space="preserve">实际养护范围的</w:t>
      </w:r>
      <w:r>
        <w:rPr>
          <w:rFonts w:hint="eastAsia" w:ascii="宋体" w:hAnsi="宋体" w:eastAsia="宋体" w:cs="宋体"/>
          <w:color w:val="000000"/>
          <w:sz w:val="24"/>
          <w:szCs w:val="24"/>
          <w:highlight w:val="none"/>
          <w:lang w:eastAsia="zh-CN"/>
        </w:rPr>
        <w:t xml:space="preserve">基本养护费及最后一季度质量考核费用减去日常考核中直接扣除的费用。</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3）绿化养护管理质量的考核，采用以月考核的方式，每季度汇总一次考核分数（本季度各月得分平均），根据季度汇总分数对质量考核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管理办法如下：</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第一档： 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-100分                付全额季度质量考核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第二档： </w:t>
      </w: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分（不含9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分）    扣除季度质量考核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的2％； </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第三档： </w:t>
      </w:r>
      <w:r>
        <w:rPr>
          <w:rFonts w:hint="eastAsia" w:ascii="宋体" w:hAnsi="宋体" w:eastAsia="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lang w:eastAsia="zh-CN"/>
        </w:rPr>
        <w:t xml:space="preserve">分（不含</w:t>
      </w: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lang w:eastAsia="zh-CN"/>
        </w:rPr>
        <w:t xml:space="preserve">分）    扣除季度质量考核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第四档： </w:t>
      </w: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0分（不含</w:t>
      </w:r>
      <w:r>
        <w:rPr>
          <w:rFonts w:hint="eastAsia" w:ascii="宋体" w:hAnsi="宋体" w:eastAsia="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lang w:eastAsia="zh-CN"/>
        </w:rPr>
        <w:t xml:space="preserve">分）    扣除季度质量考核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单个季度</w:t>
      </w:r>
      <w:r>
        <w:rPr>
          <w:rFonts w:hint="eastAsia" w:ascii="宋体" w:hAnsi="宋体" w:eastAsia="宋体" w:cs="宋体"/>
          <w:color w:val="000000"/>
          <w:sz w:val="24"/>
          <w:szCs w:val="24"/>
          <w:highlight w:val="none"/>
          <w:lang w:val="en-US" w:eastAsia="zh-CN"/>
        </w:rPr>
        <w:t xml:space="preserve">均分</w:t>
      </w:r>
      <w:r>
        <w:rPr>
          <w:rFonts w:hint="eastAsia" w:ascii="宋体" w:hAnsi="宋体" w:eastAsia="宋体" w:cs="宋体"/>
          <w:color w:val="000000"/>
          <w:sz w:val="24"/>
          <w:szCs w:val="24"/>
          <w:highlight w:val="none"/>
          <w:lang w:eastAsia="zh-CN"/>
        </w:rPr>
        <w:t xml:space="preserve">低于7</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分的，或连续两个季度</w:t>
      </w:r>
      <w:r>
        <w:rPr>
          <w:rFonts w:hint="eastAsia" w:ascii="宋体" w:hAnsi="宋体" w:eastAsia="宋体" w:cs="宋体"/>
          <w:color w:val="000000"/>
          <w:sz w:val="24"/>
          <w:szCs w:val="24"/>
          <w:highlight w:val="none"/>
          <w:lang w:val="en-US" w:eastAsia="zh-CN"/>
        </w:rPr>
        <w:t xml:space="preserve">均分</w:t>
      </w:r>
      <w:r>
        <w:rPr>
          <w:rFonts w:hint="eastAsia" w:ascii="宋体" w:hAnsi="宋体" w:eastAsia="宋体" w:cs="宋体"/>
          <w:color w:val="000000"/>
          <w:sz w:val="24"/>
          <w:szCs w:val="24"/>
          <w:highlight w:val="none"/>
          <w:lang w:eastAsia="zh-CN"/>
        </w:rPr>
        <w:t xml:space="preserve">低于8</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分，终止本项目服务合同，扣除全部质量考核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注：本项目中所提及的季度为三个月。本项目拨付款仅汇入乙方基本账户。</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4）苗木采购补植费用：苗木补植</w:t>
      </w:r>
      <w:r>
        <w:rPr>
          <w:rFonts w:hint="eastAsia" w:ascii="宋体" w:hAnsi="宋体" w:eastAsia="宋体" w:cs="宋体"/>
          <w:color w:val="000000"/>
          <w:sz w:val="24"/>
          <w:szCs w:val="24"/>
          <w:highlight w:val="none"/>
          <w:lang w:val="en-US" w:eastAsia="zh-CN"/>
        </w:rPr>
        <w:t xml:space="preserve">工程量按实计量，</w:t>
      </w:r>
      <w:r>
        <w:rPr>
          <w:rFonts w:hint="eastAsia" w:ascii="宋体" w:hAnsi="宋体" w:eastAsia="宋体" w:cs="宋体"/>
          <w:color w:val="000000"/>
          <w:sz w:val="24"/>
          <w:szCs w:val="24"/>
          <w:highlight w:val="none"/>
          <w:lang w:eastAsia="zh-CN"/>
        </w:rPr>
        <w:t xml:space="preserve">经</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验收合格，并在第三方咨询机构结算审核完成后付至审定价的97%，余款于自竣工验收合格之日起一年后付清，</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验收合格后无息付清。</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提供的结算书，①如经审计核减额在5%以内，审计费</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承担；②核减额在5%-10%（含5%，不含10%），</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应承担违约金，违约金为该项目对应审计费用总额的一半；③核减额在10%（含）以上，</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应承担违约金，违约金为该项目对应的全部审计费(核减额是指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提交的送审额与最终审定金额</w:t>
      </w:r>
      <w:r>
        <w:rPr>
          <w:rFonts w:hint="eastAsia" w:ascii="宋体" w:hAnsi="宋体" w:eastAsia="宋体" w:cs="宋体"/>
          <w:color w:val="000000"/>
          <w:sz w:val="24"/>
          <w:szCs w:val="24"/>
          <w:highlight w:val="none"/>
          <w:lang w:val="en-US" w:eastAsia="zh-CN"/>
        </w:rPr>
        <w:t xml:space="preserve">之间的差额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具体考核细则见附件。</w:t>
      </w:r>
      <w:r>
        <w:rPr>
          <w:rFonts w:hint="eastAsia" w:ascii="宋体" w:hAnsi="宋体" w:eastAsia="宋体" w:cs="宋体"/>
          <w:color w:val="000000"/>
          <w:sz w:val="24"/>
          <w:szCs w:val="24"/>
          <w:highlight w:val="none"/>
          <w:lang w:val="en-US" w:eastAsia="zh-CN"/>
        </w:rPr>
      </w:r>
      <w:r/>
    </w:p>
    <w:p>
      <w:pPr>
        <w:pStyle w:val="946"/>
        <w:ind w:left="0" w:right="0" w:firstLine="482"/>
        <w:jc w:val="both"/>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val="en-US" w:eastAsia="zh-CN"/>
        </w:rPr>
        <w:t xml:space="preserve">附件1：考核细则</w:t>
      </w:r>
      <w:r>
        <w:rPr>
          <w:rFonts w:hint="eastAsia" w:ascii="宋体" w:hAnsi="宋体" w:eastAsia="宋体" w:cs="宋体"/>
          <w:b/>
          <w:bCs/>
          <w:color w:val="000000"/>
          <w:sz w:val="24"/>
          <w:szCs w:val="24"/>
          <w:highlight w:val="none"/>
          <w:u w:val="none"/>
          <w:lang w:val="en-US" w:eastAsia="zh-CN"/>
        </w:rPr>
      </w:r>
      <w:r/>
    </w:p>
    <w:p>
      <w:pPr>
        <w:pStyle w:val="946"/>
        <w:ind w:left="0" w:right="0" w:firstLine="482"/>
        <w:jc w:val="both"/>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val="en-US" w:eastAsia="zh-CN"/>
        </w:rPr>
        <w:object w:dxaOrig="1449" w:dyaOrig="131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5pt;height:65.5pt;mso-wrap-distance-left:0.0pt;mso-wrap-distance-top:0.0pt;mso-wrap-distance-right:0.0pt;mso-wrap-distance-bottom:0.0pt;" filled="f" stroked="f">
            <v:path textboxrect="0,0,0,0"/>
            <v:imagedata r:id="rId14" o:title=""/>
          </v:shape>
          <o:OLEObject DrawAspect="Content" r:id="rId15" ObjectID="_1525042" ProgID="" ShapeID="_x0000_i2" Type="Embed"/>
        </w:object>
      </w:r>
      <w:r>
        <w:rPr>
          <w:rFonts w:hint="eastAsia" w:ascii="宋体" w:hAnsi="宋体" w:eastAsia="宋体" w:cs="宋体"/>
          <w:b/>
          <w:bCs/>
          <w:color w:val="000000"/>
          <w:sz w:val="24"/>
          <w:szCs w:val="24"/>
          <w:highlight w:val="none"/>
          <w:u w:val="none"/>
          <w:lang w:val="en-US" w:eastAsia="zh-CN"/>
        </w:rPr>
      </w:r>
      <w:r/>
    </w:p>
    <w:p>
      <w:pPr>
        <w:pStyle w:val="946"/>
        <w:ind w:left="0" w:right="0" w:firstLine="482"/>
        <w:jc w:val="both"/>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val="en-US" w:eastAsia="zh-CN"/>
        </w:rPr>
        <w:t xml:space="preserve">附件2：最高限价编制说明</w:t>
      </w:r>
      <w:r>
        <w:rPr>
          <w:rFonts w:hint="eastAsia" w:ascii="宋体" w:hAnsi="宋体" w:eastAsia="宋体" w:cs="宋体"/>
          <w:b/>
          <w:bCs/>
          <w:color w:val="000000"/>
          <w:sz w:val="24"/>
          <w:szCs w:val="24"/>
          <w:highlight w:val="none"/>
          <w:u w:val="none"/>
          <w:lang w:val="en-US" w:eastAsia="zh-CN"/>
        </w:rPr>
      </w:r>
      <w:r/>
    </w:p>
    <w:p>
      <w:pPr>
        <w:pStyle w:val="946"/>
        <w:ind w:left="0" w:right="0" w:firstLine="482"/>
        <w:jc w:val="both"/>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6" o:title=""/>
          </v:shape>
          <o:OLEObject DrawAspect="Content" r:id="rId17" ObjectID="_1525043" ProgID="" ShapeID="_x0000_i3" Type="Embed"/>
        </w:object>
      </w:r>
      <w:r>
        <w:rPr>
          <w:rFonts w:hint="eastAsia" w:ascii="宋体" w:hAnsi="宋体" w:eastAsia="宋体" w:cs="宋体"/>
          <w:b/>
          <w:bCs/>
          <w:color w:val="000000"/>
          <w:sz w:val="24"/>
          <w:szCs w:val="24"/>
          <w:highlight w:val="none"/>
          <w:u w:val="none"/>
          <w:lang w:val="en-US" w:eastAsia="zh-CN"/>
        </w:rPr>
      </w:r>
      <w:r/>
    </w:p>
    <w:p>
      <w:pPr>
        <w:pStyle w:val="946"/>
        <w:ind w:left="0" w:right="0" w:firstLine="482"/>
        <w:jc w:val="both"/>
        <w:keepLines w:val="0"/>
        <w:keepNext w:val="0"/>
        <w:pageBreakBefore w:val="0"/>
        <w:spacing w:line="240" w:lineRule="auto"/>
        <w:widowControl w:val="off"/>
        <w:rPr>
          <w:highlight w:val="none"/>
          <w:lang w:val="en-US" w:eastAsia="zh-CN"/>
        </w:rPr>
        <w:outlineLvl w:val="9"/>
      </w:pPr>
      <w:r>
        <w:rPr>
          <w:rFonts w:hint="eastAsia" w:ascii="宋体" w:hAnsi="宋体" w:eastAsia="宋体" w:cs="宋体"/>
          <w:b/>
          <w:bCs/>
          <w:color w:val="000000"/>
          <w:sz w:val="24"/>
          <w:szCs w:val="24"/>
          <w:highlight w:val="none"/>
          <w:u w:val="none"/>
          <w:lang w:val="en-US" w:eastAsia="zh-CN"/>
        </w:rPr>
        <w:t xml:space="preserve">附件3（清单编制说明）：</w:t>
      </w:r>
      <w:r>
        <w:rPr>
          <w:highlight w:val="none"/>
          <w:lang w:val="en-US" w:eastAsia="zh-CN"/>
        </w:rPr>
      </w:r>
      <w:r/>
    </w:p>
    <w:p>
      <w:pPr>
        <w:pStyle w:val="946"/>
        <w:ind w:left="0" w:right="0" w:firstLine="482"/>
        <w:jc w:val="both"/>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8" o:title=""/>
          </v:shape>
          <o:OLEObject DrawAspect="Content" r:id="rId19" ObjectID="_1525044" ProgID="" ShapeID="_x0000_i4" Type="Embed"/>
        </w:object>
      </w:r>
      <w:r>
        <w:rPr>
          <w:rFonts w:hint="eastAsia" w:ascii="宋体" w:hAnsi="宋体" w:eastAsia="宋体" w:cs="宋体"/>
          <w:b/>
          <w:bCs/>
          <w:color w:val="000000"/>
          <w:sz w:val="24"/>
          <w:szCs w:val="24"/>
          <w:highlight w:val="none"/>
          <w:u w:val="none"/>
          <w:lang w:val="en-US" w:eastAsia="zh-CN"/>
        </w:rPr>
      </w:r>
      <w:r/>
    </w:p>
    <w:p>
      <w:pPr>
        <w:pStyle w:val="946"/>
        <w:ind w:firstLine="480"/>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46"/>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bookmarkEnd w:id="42"/>
      <w:r/>
      <w:bookmarkEnd w:id="43"/>
      <w:r/>
      <w:bookmarkEnd w:id="191"/>
      <w:r/>
      <w:bookmarkEnd w:id="192"/>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94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4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946"/>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评标结果按评审后得分由高到低顺序排列。得分相同的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按投标报价由低到高顺序排列。得分且投标报价相同的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宋体"/>
          <w:color w:val="000000"/>
          <w:sz w:val="24"/>
          <w:szCs w:val="24"/>
          <w:highlight w:val="none"/>
          <w:lang w:val="en-US" w:eastAsia="zh-CN"/>
        </w:rPr>
        <w:t xml:space="preserve">2.1-2.8项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得分由高到低顺序排列</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在</w:t>
      </w:r>
      <w:r>
        <w:rPr>
          <w:rFonts w:hint="eastAsia" w:ascii="宋体" w:hAnsi="宋体" w:eastAsia="宋体" w:cs="宋体"/>
          <w:sz w:val="24"/>
          <w:szCs w:val="24"/>
          <w:highlight w:val="none"/>
        </w:rPr>
        <w:t xml:space="preserve">投标文件满足招标文件全部实质性要求</w:t>
      </w:r>
      <w:r>
        <w:rPr>
          <w:rFonts w:hint="eastAsia" w:ascii="宋体" w:hAnsi="宋体" w:eastAsia="宋体" w:cs="宋体"/>
          <w:sz w:val="24"/>
          <w:szCs w:val="24"/>
          <w:highlight w:val="none"/>
          <w:lang w:val="en-US" w:eastAsia="zh-CN"/>
        </w:rPr>
        <w:t xml:space="preserve">的供应商中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按照评审得分</w:t>
      </w:r>
      <w:r>
        <w:rPr>
          <w:rFonts w:hint="eastAsia" w:ascii="宋体" w:hAnsi="宋体" w:eastAsia="宋体" w:cs="宋体"/>
          <w:sz w:val="24"/>
          <w:szCs w:val="24"/>
          <w:highlight w:val="none"/>
          <w:lang w:val="en-US" w:eastAsia="zh-CN"/>
        </w:rPr>
        <w:t xml:space="preserve">由高到低</w:t>
      </w:r>
      <w:r>
        <w:rPr>
          <w:rFonts w:hint="eastAsia" w:ascii="宋体" w:hAnsi="宋体" w:eastAsia="宋体" w:cs="宋体"/>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highlight w:val="none"/>
        </w:rPr>
        <w:t xml:space="preserve">中标候选人。</w:t>
      </w:r>
      <w:r>
        <w:rPr>
          <w:rFonts w:hint="eastAsia" w:ascii="宋体" w:hAnsi="宋体" w:eastAsia="宋体" w:cs="宋体"/>
          <w:sz w:val="24"/>
          <w:szCs w:val="24"/>
          <w:highlight w:val="none"/>
        </w:rPr>
      </w:r>
      <w:r/>
    </w:p>
    <w:p>
      <w:pPr>
        <w:pStyle w:val="946"/>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2025-2026年仙林地区绿化养护项目分为三个项目，六个采购包，分别为：一标段、二标段、三标段、四标段、五标段、六标段。同一投标人可以参与其中一个或多个采购包，但最多只能在其中一个采购包中被推荐为中标候选人。同一投标人参与多个采购包投标时，在前面一个采购包中被推荐为中标候选人后，仍然可以参加后续其他分包的评审，但在后续其他采购包中不得被推荐为中标候选人。</w:t>
      </w:r>
      <w:r>
        <w:rPr>
          <w:rFonts w:hint="eastAsia" w:ascii="宋体" w:hAnsi="宋体" w:eastAsia="宋体" w:cs="Times New Roman"/>
          <w:color w:val="000000"/>
          <w:sz w:val="24"/>
          <w:szCs w:val="24"/>
          <w:highlight w:val="none"/>
          <w:u w:val="none"/>
          <w:lang w:val="en-US" w:eastAsia="zh-CN"/>
        </w:rPr>
      </w:r>
      <w:r/>
    </w:p>
    <w:p>
      <w:pPr>
        <w:pStyle w:val="946"/>
        <w:ind w:firstLine="480"/>
        <w:pageBreakBefore w:val="0"/>
        <w:spacing w:line="264" w:lineRule="auto"/>
        <w:widowControl w:val="off"/>
        <w:rPr>
          <w:rFonts w:ascii="宋体" w:hAnsi="宋体"/>
          <w:sz w:val="24"/>
          <w:szCs w:val="24"/>
          <w:highlight w:val="none"/>
          <w:u w:val="single"/>
        </w:rPr>
      </w:pPr>
      <w:r>
        <w:rPr>
          <w:rFonts w:hint="eastAsia" w:ascii="宋体" w:hAnsi="宋体" w:eastAsia="宋体" w:cs="Times New Roman"/>
          <w:color w:val="000000"/>
          <w:sz w:val="24"/>
          <w:szCs w:val="24"/>
          <w:highlight w:val="none"/>
          <w:u w:val="none"/>
          <w:lang w:val="en-US" w:eastAsia="zh-CN"/>
        </w:rPr>
        <w:t xml:space="preserve">本项目开评标顺序依次为采购包1、采购包2。</w:t>
      </w:r>
      <w:r>
        <w:rPr>
          <w:rFonts w:hint="eastAsia" w:ascii="宋体" w:hAnsi="宋体" w:cs="宋体"/>
          <w:sz w:val="24"/>
          <w:szCs w:val="24"/>
          <w:highlight w:val="none"/>
        </w:rPr>
        <w:t xml:space="preserve"> </w:t>
      </w:r>
      <w:r>
        <w:rPr>
          <w:rFonts w:ascii="宋体" w:hAnsi="宋体"/>
          <w:sz w:val="24"/>
          <w:szCs w:val="24"/>
          <w:highlight w:val="none"/>
          <w:u w:val="single"/>
        </w:rPr>
      </w:r>
      <w:r/>
    </w:p>
    <w:p>
      <w:pPr>
        <w:pStyle w:val="94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946"/>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Times New Roman"/>
          <w:sz w:val="24"/>
          <w:szCs w:val="24"/>
          <w:highlight w:val="none"/>
          <w:lang w:eastAsia="zh-CN"/>
        </w:rPr>
      </w:r>
      <w:r/>
    </w:p>
    <w:p>
      <w:pPr>
        <w:pStyle w:val="946"/>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残疾人福利单位、监狱企业属于小型、微型企业的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6"/>
        <w:ind w:firstLine="482"/>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u w:val="none"/>
          <w:lang w:val="en-US" w:eastAsia="zh-CN"/>
        </w:rPr>
        <w:t xml:space="preserve">3.</w:t>
      </w:r>
      <w:r>
        <w:rPr>
          <w:rFonts w:hint="eastAsia" w:ascii="宋体" w:hAnsi="宋体" w:eastAsia="宋体" w:cs="宋体"/>
          <w:b/>
          <w:bCs/>
          <w:sz w:val="24"/>
          <w:szCs w:val="24"/>
          <w:highlight w:val="none"/>
          <w:u w:val="none"/>
          <w:lang w:eastAsia="zh-CN"/>
        </w:rPr>
        <w:t xml:space="preserve">上述价格扣除政策仅适用</w:t>
      </w:r>
      <w:r>
        <w:rPr>
          <w:rFonts w:hint="eastAsia" w:ascii="宋体" w:hAnsi="宋体" w:eastAsia="宋体" w:cs="宋体"/>
          <w:b/>
          <w:bCs/>
          <w:sz w:val="24"/>
          <w:szCs w:val="24"/>
          <w:highlight w:val="none"/>
          <w:u w:val="none"/>
          <w:lang w:val="en-US" w:eastAsia="zh-CN"/>
        </w:rPr>
        <w:t xml:space="preserve">于</w:t>
      </w:r>
      <w:r>
        <w:rPr>
          <w:rFonts w:hint="eastAsia" w:ascii="宋体" w:hAnsi="宋体" w:eastAsia="宋体" w:cs="宋体"/>
          <w:b/>
          <w:bCs/>
          <w:sz w:val="24"/>
          <w:szCs w:val="24"/>
          <w:highlight w:val="none"/>
          <w:u w:val="none"/>
          <w:lang w:eastAsia="zh-CN"/>
        </w:rPr>
        <w:t xml:space="preserve">“</w:t>
      </w:r>
      <w:r>
        <w:rPr>
          <w:rFonts w:hint="eastAsia" w:ascii="宋体" w:hAnsi="宋体" w:eastAsia="宋体" w:cs="宋体"/>
          <w:b/>
          <w:bCs/>
          <w:sz w:val="24"/>
          <w:szCs w:val="24"/>
          <w:highlight w:val="none"/>
          <w:u w:val="none"/>
          <w:lang w:val="en-US" w:eastAsia="zh-CN"/>
        </w:rPr>
        <w:t xml:space="preserve">非</w:t>
      </w:r>
      <w:r>
        <w:rPr>
          <w:rFonts w:hint="eastAsia" w:ascii="宋体" w:hAnsi="宋体" w:eastAsia="宋体" w:cs="宋体"/>
          <w:b/>
          <w:bCs/>
          <w:sz w:val="24"/>
          <w:szCs w:val="24"/>
          <w:highlight w:val="none"/>
          <w:u w:val="none"/>
          <w:lang w:eastAsia="zh-CN"/>
        </w:rPr>
        <w:t xml:space="preserve">专门面向中小企业采购项目”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4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ascii="黑体" w:hAnsi="黑体" w:eastAsia="黑体" w:cs="黑体"/>
          <w:b w:val="0"/>
          <w:bCs w:val="0"/>
          <w:color w:val="000000"/>
          <w:sz w:val="24"/>
          <w:szCs w:val="24"/>
          <w:highlight w:val="none"/>
          <w:lang w:val="en-US" w:eastAsia="zh-CN"/>
        </w:rPr>
        <w:t xml:space="preserve">采购包1、采购包2</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lang w:eastAsia="zh-CN"/>
        </w:rPr>
      </w:r>
      <w:r/>
    </w:p>
    <w:tbl>
      <w:tblPr>
        <w:tblStyle w:val="1079"/>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946"/>
              <w:jc w:val="center"/>
              <w:keepLines w:val="0"/>
              <w:keepNext w:val="0"/>
              <w:pageBreakBefore w:val="0"/>
              <w:spacing w:before="264" w:line="264"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序号</w:t>
            </w:r>
            <w:r>
              <w:rPr>
                <w:rFonts w:ascii="宋体" w:hAnsi="宋体" w:eastAsia="宋体" w:cs="宋体"/>
                <w:b/>
                <w:bCs/>
                <w:spacing w:val="-2"/>
                <w:highlight w:val="none"/>
              </w:rPr>
            </w:r>
            <w:r/>
          </w:p>
        </w:tc>
        <w:tc>
          <w:tcPr>
            <w:tcW w:w="1179" w:type="dxa"/>
            <w:vAlign w:val="top"/>
            <w:textDirection w:val="lrTb"/>
            <w:noWrap w:val="false"/>
          </w:tcPr>
          <w:p>
            <w:pPr>
              <w:pStyle w:val="946"/>
              <w:jc w:val="center"/>
              <w:keepLines w:val="0"/>
              <w:keepNext w:val="0"/>
              <w:pageBreakBefore w:val="0"/>
              <w:spacing w:before="264" w:line="264"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评审因素</w:t>
            </w:r>
            <w:r>
              <w:rPr>
                <w:rFonts w:ascii="宋体" w:hAnsi="宋体" w:eastAsia="宋体" w:cs="宋体"/>
                <w:b/>
                <w:bCs/>
                <w:spacing w:val="-2"/>
                <w:highlight w:val="none"/>
              </w:rPr>
            </w:r>
            <w:r/>
          </w:p>
        </w:tc>
        <w:tc>
          <w:tcPr>
            <w:tcW w:w="6616" w:type="dxa"/>
            <w:vAlign w:val="top"/>
            <w:textDirection w:val="lrTb"/>
            <w:noWrap w:val="false"/>
          </w:tcPr>
          <w:p>
            <w:pPr>
              <w:pStyle w:val="946"/>
              <w:jc w:val="center"/>
              <w:keepLines w:val="0"/>
              <w:keepNext w:val="0"/>
              <w:pageBreakBefore w:val="0"/>
              <w:spacing w:before="264" w:line="264"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评审细则</w:t>
            </w:r>
            <w:r>
              <w:rPr>
                <w:rFonts w:ascii="宋体" w:hAnsi="宋体" w:eastAsia="宋体" w:cs="宋体"/>
                <w:b/>
                <w:bCs/>
                <w:spacing w:val="-2"/>
                <w:highlight w:val="none"/>
              </w:rPr>
            </w:r>
            <w:r/>
          </w:p>
        </w:tc>
        <w:tc>
          <w:tcPr>
            <w:tcW w:w="573" w:type="dxa"/>
            <w:vAlign w:val="top"/>
            <w:textDirection w:val="lrTb"/>
            <w:noWrap w:val="false"/>
          </w:tcPr>
          <w:p>
            <w:pPr>
              <w:pStyle w:val="946"/>
              <w:jc w:val="center"/>
              <w:keepLines w:val="0"/>
              <w:keepNext w:val="0"/>
              <w:pageBreakBefore w:val="0"/>
              <w:spacing w:before="264" w:line="264"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分值</w:t>
            </w:r>
            <w:r>
              <w:rPr>
                <w:rFonts w:ascii="宋体" w:hAnsi="宋体" w:eastAsia="宋体" w:cs="宋体"/>
                <w:b/>
                <w:bCs/>
                <w:spacing w:val="-2"/>
                <w:highlight w:val="none"/>
              </w:rPr>
            </w:r>
            <w:r/>
          </w:p>
        </w:tc>
        <w:tc>
          <w:tcPr>
            <w:tcW w:w="860" w:type="dxa"/>
            <w:vAlign w:val="top"/>
            <w:textDirection w:val="lrTb"/>
            <w:noWrap w:val="false"/>
          </w:tcPr>
          <w:p>
            <w:pPr>
              <w:pStyle w:val="946"/>
              <w:jc w:val="center"/>
              <w:keepLines w:val="0"/>
              <w:keepNext w:val="0"/>
              <w:pageBreakBefore w:val="0"/>
              <w:spacing w:before="264" w:line="264"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类型</w:t>
            </w:r>
            <w:r>
              <w:rPr>
                <w:rFonts w:ascii="宋体" w:hAnsi="宋体" w:eastAsia="宋体" w:cs="宋体"/>
                <w:b/>
                <w:bCs/>
                <w:spacing w:val="-2"/>
                <w:highlight w:val="none"/>
              </w:rPr>
            </w:r>
            <w:r/>
          </w:p>
        </w:tc>
      </w:tr>
      <w:tr>
        <w:trPr>
          <w:trHeight w:val="460"/>
        </w:trPr>
        <w:tc>
          <w:tcPr>
            <w:gridSpan w:val="5"/>
            <w:tcW w:w="9747" w:type="dxa"/>
            <w:vAlign w:val="top"/>
            <w:textDirection w:val="lrTb"/>
            <w:noWrap w:val="false"/>
          </w:tcPr>
          <w:p>
            <w:pPr>
              <w:pStyle w:val="946"/>
              <w:ind w:left="114"/>
              <w:keepLines w:val="0"/>
              <w:keepNext w:val="0"/>
              <w:pageBreakBefore w:val="0"/>
              <w:spacing w:before="122" w:line="264"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1.</w:t>
            </w:r>
            <w:r>
              <w:rPr>
                <w:rFonts w:ascii="宋体" w:hAnsi="宋体" w:eastAsia="宋体" w:cs="宋体"/>
                <w:b/>
                <w:bCs/>
                <w:spacing w:val="-3"/>
                <w:highlight w:val="none"/>
              </w:rPr>
              <w:t xml:space="preserve">价</w:t>
            </w:r>
            <w:r>
              <w:rPr>
                <w:rFonts w:ascii="宋体" w:hAnsi="宋体" w:eastAsia="宋体" w:cs="宋体"/>
                <w:b/>
                <w:bCs/>
                <w:spacing w:val="-2"/>
                <w:highlight w:val="none"/>
              </w:rPr>
              <w:t xml:space="preserve">格</w:t>
            </w:r>
            <w:r>
              <w:rPr>
                <w:rFonts w:ascii="宋体" w:hAnsi="宋体" w:eastAsia="宋体" w:cs="宋体"/>
                <w:highlight w:val="none"/>
              </w:rPr>
            </w:r>
            <w:r/>
          </w:p>
        </w:tc>
      </w:tr>
      <w:tr>
        <w:trPr>
          <w:trHeight w:val="1030"/>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highlight w:val="none"/>
              </w:rPr>
            </w:pPr>
            <w:r>
              <w:rPr>
                <w:rFonts w:ascii="宋体" w:hAnsi="宋体" w:eastAsia="宋体" w:cs="宋体"/>
                <w:spacing w:val="-6"/>
                <w:highlight w:val="none"/>
              </w:rPr>
              <w:t xml:space="preserve">1</w:t>
            </w:r>
            <w:r>
              <w:rPr>
                <w:rFonts w:ascii="宋体" w:hAnsi="宋体" w:eastAsia="宋体" w:cs="宋体"/>
                <w:spacing w:val="-5"/>
                <w:highlight w:val="none"/>
              </w:rPr>
              <w:t xml:space="preserve">.1</w:t>
            </w:r>
            <w:r>
              <w:rPr>
                <w:rFonts w:ascii="宋体" w:hAnsi="宋体" w:eastAsia="宋体" w:cs="宋体"/>
                <w:highlight w:val="none"/>
              </w:rPr>
            </w:r>
            <w:r/>
          </w:p>
        </w:tc>
        <w:tc>
          <w:tcPr>
            <w:tcW w:w="1179" w:type="dxa"/>
            <w:vAlign w:val="center"/>
            <w:textDirection w:val="lrTb"/>
            <w:noWrap w:val="false"/>
          </w:tcPr>
          <w:p>
            <w:pPr>
              <w:pStyle w:val="946"/>
              <w:jc w:val="left"/>
              <w:keepLines w:val="0"/>
              <w:keepNext w:val="0"/>
              <w:pageBreakBefore w:val="0"/>
              <w:spacing w:before="68" w:line="264" w:lineRule="auto"/>
              <w:widowControl w:val="off"/>
              <w:rPr>
                <w:rFonts w:ascii="宋体" w:hAnsi="宋体" w:eastAsia="宋体" w:cs="宋体"/>
                <w:highlight w:val="none"/>
              </w:rPr>
            </w:pPr>
            <w:r>
              <w:rPr>
                <w:rFonts w:ascii="宋体" w:hAnsi="宋体" w:eastAsia="宋体" w:cs="宋体"/>
                <w:spacing w:val="-2"/>
                <w:highlight w:val="none"/>
              </w:rPr>
              <w:t xml:space="preserve">价格分</w:t>
            </w:r>
            <w:r>
              <w:rPr>
                <w:rFonts w:ascii="宋体" w:hAnsi="宋体" w:eastAsia="宋体" w:cs="宋体"/>
                <w:highlight w:val="none"/>
              </w:rPr>
            </w:r>
            <w:r/>
          </w:p>
        </w:tc>
        <w:tc>
          <w:tcPr>
            <w:tcW w:w="6616" w:type="dxa"/>
            <w:vAlign w:val="center"/>
            <w:textDirection w:val="lrTb"/>
            <w:noWrap w:val="false"/>
          </w:tcPr>
          <w:p>
            <w:pPr>
              <w:pStyle w:val="946"/>
              <w:jc w:val="left"/>
              <w:keepLines w:val="0"/>
              <w:keepNext w:val="0"/>
              <w:pageBreakBefore w:val="0"/>
              <w:spacing w:line="264" w:lineRule="auto"/>
              <w:widowControl w:val="off"/>
              <w:rPr>
                <w:rFonts w:ascii="宋体" w:hAnsi="宋体" w:eastAsia="宋体" w:cs="宋体"/>
                <w:highlight w:val="none"/>
                <w:lang w:val="en-US" w:eastAsia="zh-CN"/>
              </w:rPr>
            </w:pPr>
            <w:r>
              <w:rPr>
                <w:rFonts w:hint="eastAsia" w:ascii="宋体" w:hAnsi="宋体" w:eastAsia="宋体" w:cs="宋体"/>
                <w:spacing w:val="1"/>
                <w:highlight w:val="none"/>
              </w:rPr>
              <w:t xml:space="preserve">采用低价优先</w:t>
            </w:r>
            <w:r>
              <w:rPr>
                <w:rFonts w:hint="eastAsia" w:ascii="宋体" w:hAnsi="宋体" w:eastAsia="宋体" w:cs="宋体"/>
                <w:highlight w:val="none"/>
              </w:rPr>
              <w:t xml:space="preserve">法计算</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即满足招标文件要求且投标价格最低的投标</w:t>
            </w:r>
            <w:r>
              <w:rPr>
                <w:rFonts w:hint="eastAsia" w:ascii="宋体" w:hAnsi="宋体" w:eastAsia="宋体" w:cs="宋体"/>
                <w:spacing w:val="1"/>
                <w:highlight w:val="none"/>
              </w:rPr>
              <w:t xml:space="preserve">报价为评标基准</w:t>
            </w:r>
            <w:r>
              <w:rPr>
                <w:rFonts w:hint="eastAsia" w:ascii="宋体" w:hAnsi="宋体" w:eastAsia="宋体" w:cs="宋体"/>
                <w:highlight w:val="none"/>
              </w:rPr>
              <w:t xml:space="preserve">价</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其价格分为满分。其他投标人的价格分统一按</w:t>
            </w:r>
            <w:r>
              <w:rPr>
                <w:rFonts w:hint="eastAsia" w:ascii="宋体" w:hAnsi="宋体" w:eastAsia="宋体" w:cs="宋体"/>
                <w:spacing w:val="-1"/>
                <w:highlight w:val="none"/>
              </w:rPr>
              <w:t xml:space="preserve">照下列公</w:t>
            </w:r>
            <w:r>
              <w:rPr>
                <w:rFonts w:hint="eastAsia" w:ascii="宋体" w:hAnsi="宋体" w:eastAsia="宋体" w:cs="宋体"/>
                <w:highlight w:val="none"/>
              </w:rPr>
              <w:t xml:space="preserve">式计算：投标报价得分=(评标基准价/投标报价)×</w:t>
            </w:r>
            <w:r>
              <w:rPr>
                <w:rFonts w:hint="eastAsia" w:ascii="宋体" w:hAnsi="宋体" w:eastAsia="宋体" w:cs="宋体"/>
                <w:highlight w:val="none"/>
                <w:lang w:val="en-US" w:eastAsia="zh-CN"/>
              </w:rPr>
              <w:t xml:space="preserve">价格分值（小数点保留两位）</w:t>
            </w:r>
            <w:r>
              <w:rPr>
                <w:rFonts w:ascii="宋体" w:hAnsi="宋体" w:eastAsia="宋体" w:cs="宋体"/>
                <w:highlight w:val="none"/>
                <w:lang w:val="en-US" w:eastAsia="zh-CN"/>
              </w:rPr>
            </w:r>
            <w:r/>
          </w:p>
        </w:tc>
        <w:tc>
          <w:tcPr>
            <w:tcW w:w="573"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4"/>
                <w:highlight w:val="none"/>
                <w:lang w:val="en-US"/>
              </w:rPr>
            </w:pPr>
            <w:r>
              <w:rPr>
                <w:rFonts w:hint="eastAsia" w:ascii="宋体" w:hAnsi="宋体" w:eastAsia="宋体" w:cs="宋体"/>
                <w:sz w:val="21"/>
                <w:szCs w:val="21"/>
                <w:highlight w:val="none"/>
                <w:lang w:val="en-US" w:eastAsia="zh-CN"/>
              </w:rPr>
              <w:t xml:space="preserve">20</w:t>
            </w:r>
            <w:r>
              <w:rPr>
                <w:rFonts w:ascii="宋体" w:hAnsi="宋体" w:eastAsia="宋体" w:cs="宋体"/>
                <w:spacing w:val="-4"/>
                <w:highlight w:val="none"/>
                <w:lang w:val="en-US"/>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pacing w:val="-4"/>
                <w:highlight w:val="none"/>
                <w:lang w:eastAsia="zh-CN"/>
              </w:rPr>
            </w:pPr>
            <w:r>
              <w:rPr>
                <w:rFonts w:hint="eastAsia" w:ascii="宋体" w:hAnsi="宋体" w:eastAsia="宋体" w:cs="宋体"/>
                <w:spacing w:val="-4"/>
                <w:highlight w:val="none"/>
                <w:lang w:eastAsia="zh-CN"/>
              </w:rPr>
              <w:t xml:space="preserve">价格分</w:t>
            </w:r>
            <w:r>
              <w:rPr>
                <w:rFonts w:hint="eastAsia" w:ascii="宋体" w:hAnsi="宋体" w:eastAsia="宋体" w:cs="宋体"/>
                <w:spacing w:val="-4"/>
                <w:highlight w:val="none"/>
                <w:lang w:eastAsia="zh-CN"/>
              </w:rPr>
            </w:r>
            <w:r/>
          </w:p>
        </w:tc>
      </w:tr>
      <w:tr>
        <w:trPr>
          <w:trHeight w:val="460"/>
        </w:trPr>
        <w:tc>
          <w:tcPr>
            <w:gridSpan w:val="5"/>
            <w:tcW w:w="9747" w:type="dxa"/>
            <w:vAlign w:val="top"/>
            <w:textDirection w:val="lrTb"/>
            <w:noWrap w:val="false"/>
          </w:tcPr>
          <w:p>
            <w:pPr>
              <w:pStyle w:val="946"/>
              <w:ind w:left="114"/>
              <w:keepLines w:val="0"/>
              <w:keepNext w:val="0"/>
              <w:pageBreakBefore w:val="0"/>
              <w:spacing w:before="123" w:line="264"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2.服务</w:t>
            </w:r>
            <w:r>
              <w:rPr>
                <w:rFonts w:ascii="宋体" w:hAnsi="宋体" w:eastAsia="宋体" w:cs="宋体"/>
                <w:highlight w:val="none"/>
              </w:rPr>
            </w:r>
            <w:r/>
          </w:p>
        </w:tc>
      </w:tr>
      <w:tr>
        <w:trPr>
          <w:trHeight w:val="891"/>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ascii="宋体" w:hAnsi="宋体" w:eastAsia="宋体" w:cs="宋体"/>
                <w:spacing w:val="-2"/>
                <w:highlight w:val="none"/>
              </w:rPr>
              <w:t xml:space="preserve">2.1</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highlight w:val="none"/>
                <w:lang w:val="en-US" w:eastAsia="zh-CN"/>
              </w:rPr>
              <w:t xml:space="preserve">总体工作方案</w:t>
            </w:r>
            <w:r>
              <w:rPr>
                <w:rFonts w:hint="eastAsia" w:ascii="Times New Roman" w:hAnsi="Times New Roman" w:eastAsia="宋体" w:cs="Times New Roman"/>
                <w:sz w:val="21"/>
                <w:szCs w:val="21"/>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评委根据投标人针对本项目编制的总体工作方案，包括（每项内容逐条阐述）：</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1.总体组织方案；2.作业技术流程。</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（1）上述每项内容思路清晰、定位准确，理解透彻、全面，方案合理可行，得2.5分；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（2）上述每项内容思路较清楚，理解较全面，方案较可行，得1.5分；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（3）上述每项内容基本全面，内容基本合理，有一定的针对性，得0.5分；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（4）上述每项内容不全面、不合理或者未提供方案的不得分。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highlight w:val="none"/>
                <w:lang w:val="en-US" w:eastAsia="zh-CN"/>
              </w:rPr>
              <w:t xml:space="preserve">本项最多得5分。</w:t>
            </w:r>
            <w:r>
              <w:rPr>
                <w:rFonts w:hint="eastAsia" w:ascii="Times New Roman" w:hAnsi="Times New Roman" w:eastAsia="宋体" w:cs="Times New Roman"/>
                <w:sz w:val="21"/>
                <w:szCs w:val="21"/>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highlight w:val="none"/>
                <w:lang w:eastAsia="zh-CN"/>
              </w:rPr>
            </w:pPr>
            <w:r>
              <w:rPr>
                <w:rFonts w:ascii="宋体" w:hAnsi="宋体" w:eastAsia="宋体" w:cs="宋体"/>
                <w:spacing w:val="-6"/>
                <w:highlight w:val="none"/>
              </w:rPr>
              <w:t xml:space="preserve">主</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hint="eastAsia" w:ascii="宋体" w:hAnsi="宋体" w:eastAsia="宋体" w:cs="宋体"/>
                <w:highlight w:val="none"/>
                <w:lang w:eastAsia="zh-CN"/>
              </w:rPr>
            </w:r>
            <w:r/>
          </w:p>
        </w:tc>
      </w:tr>
      <w:tr>
        <w:trPr>
          <w:trHeight w:val="889"/>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.2</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highlight w:val="none"/>
                <w:lang w:val="en-US" w:eastAsia="zh-CN"/>
              </w:rPr>
              <w:t xml:space="preserve">绿化养护计划及技术方案</w:t>
            </w:r>
            <w:r>
              <w:rPr>
                <w:rFonts w:hint="eastAsia" w:ascii="Times New Roman" w:hAnsi="Times New Roman" w:eastAsia="宋体" w:cs="Times New Roman"/>
                <w:sz w:val="21"/>
                <w:szCs w:val="21"/>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评委根据投标人提供的绿化养护计划及技术方案，包括（每项内容逐条阐述）：</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1.每月重点养护工作；2.新设备、新技术、新工艺等创新工作。</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（1）上述每项内容结合季节变化，养护计划及技术方案全面合理，质量标准具体明确，可操作性强的，得2.5分。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（2）上述每项内容结合季节变化，养护计划及技术方案较齐全，质量标准较合理，可操作性较强的，得1.5 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（3）上述每项内容结合季节变化，养护计划及技术方案基本齐全，质量标准基本合理，具有一定的可操作性的，得0.5分。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（4）上述每项内容不合理、不具备可操作性或者未提供方案的不得分。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highlight w:val="none"/>
                <w:lang w:val="en-US" w:eastAsia="zh-CN"/>
              </w:rPr>
              <w:t xml:space="preserve">本项最多得5分。</w:t>
            </w:r>
            <w:r>
              <w:rPr>
                <w:rFonts w:hint="eastAsia" w:ascii="Times New Roman" w:hAnsi="Times New Roman" w:eastAsia="宋体" w:cs="Times New Roman"/>
                <w:sz w:val="21"/>
                <w:szCs w:val="21"/>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highlight w:val="none"/>
              </w:rPr>
            </w:pPr>
            <w:r>
              <w:rPr>
                <w:rFonts w:ascii="宋体" w:hAnsi="宋体" w:eastAsia="宋体" w:cs="宋体"/>
                <w:spacing w:val="-6"/>
                <w:highlight w:val="none"/>
              </w:rPr>
              <w:t xml:space="preserve">主</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ascii="宋体" w:hAnsi="宋体" w:eastAsia="宋体" w:cs="宋体"/>
                <w:highlight w:val="none"/>
              </w:rPr>
            </w:r>
            <w:r/>
          </w:p>
        </w:tc>
      </w:tr>
      <w:tr>
        <w:trPr>
          <w:trHeight w:val="825"/>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.3</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rPr>
              <w:t xml:space="preserve">重难点养护方案</w:t>
            </w:r>
            <w:r>
              <w:rPr>
                <w:rFonts w:hint="eastAsia" w:ascii="宋体" w:hAnsi="宋体" w:cs="宋体"/>
                <w:color w:val="000000"/>
                <w:sz w:val="22"/>
                <w:szCs w:val="22"/>
                <w:highlight w:val="none"/>
                <w:lang w:val="en-US" w:eastAsia="zh-CN" w:bidi="ar-SA"/>
              </w:rPr>
            </w:r>
            <w:r/>
          </w:p>
        </w:tc>
        <w:tc>
          <w:tcPr>
            <w:tcW w:w="6616" w:type="dxa"/>
            <w:vAlign w:val="center"/>
            <w:textDirection w:val="lrTb"/>
            <w:noWrap w:val="false"/>
          </w:tcPr>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评委根据</w:t>
            </w:r>
            <w:r>
              <w:rPr>
                <w:rFonts w:hint="eastAsia" w:ascii="宋体" w:hAnsi="宋体" w:cs="宋体"/>
                <w:color w:val="000000"/>
                <w:sz w:val="22"/>
                <w:szCs w:val="22"/>
                <w:highlight w:val="none"/>
              </w:rPr>
              <w:t xml:space="preserve">投标人</w:t>
            </w:r>
            <w:r>
              <w:rPr>
                <w:rFonts w:hint="eastAsia" w:ascii="宋体" w:hAnsi="宋体" w:cs="宋体"/>
                <w:color w:val="000000"/>
                <w:sz w:val="22"/>
                <w:szCs w:val="22"/>
                <w:highlight w:val="none"/>
                <w:lang w:val="en-US" w:eastAsia="zh-CN"/>
              </w:rPr>
              <w:t xml:space="preserve">提供的</w:t>
            </w:r>
            <w:r>
              <w:rPr>
                <w:rFonts w:hint="eastAsia" w:ascii="宋体" w:hAnsi="宋体" w:cs="宋体"/>
                <w:color w:val="000000"/>
                <w:sz w:val="22"/>
                <w:szCs w:val="22"/>
                <w:highlight w:val="none"/>
              </w:rPr>
              <w:t xml:space="preserve">本项目的重难点养护方案</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包括</w:t>
            </w:r>
            <w:r>
              <w:rPr>
                <w:rFonts w:hint="eastAsia" w:ascii="Times New Roman" w:hAnsi="Times New Roman" w:eastAsia="宋体" w:cs="Times New Roman"/>
                <w:highlight w:val="none"/>
                <w:lang w:val="en-US" w:eastAsia="zh-CN"/>
              </w:rPr>
              <w:t xml:space="preserve">（每项内容逐条阐述）：</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1.养护难点分析；2.应对措施。</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结合道路现有的绿化特点，充分考虑植物的特性,制定详细、可行、有针对性的绿化重难点养护方案，可操作性强的</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2.5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结合道路现有的绿化特点，</w:t>
            </w:r>
            <w:r>
              <w:rPr>
                <w:rFonts w:hint="eastAsia" w:ascii="宋体" w:hAnsi="宋体" w:cs="宋体"/>
                <w:color w:val="000000"/>
                <w:sz w:val="22"/>
                <w:szCs w:val="22"/>
                <w:highlight w:val="none"/>
                <w:lang w:val="en-US" w:eastAsia="zh-CN"/>
              </w:rPr>
              <w:t xml:space="preserve">较</w:t>
            </w:r>
            <w:r>
              <w:rPr>
                <w:rFonts w:hint="eastAsia" w:ascii="宋体" w:hAnsi="宋体" w:cs="宋体"/>
                <w:color w:val="000000"/>
                <w:sz w:val="22"/>
                <w:szCs w:val="22"/>
                <w:highlight w:val="none"/>
              </w:rPr>
              <w:t xml:space="preserve">充分考虑植物的特性,制定较具体可行的绿化重难点养护方案，可操作性</w:t>
            </w:r>
            <w:r>
              <w:rPr>
                <w:rFonts w:hint="eastAsia" w:ascii="宋体" w:hAnsi="宋体" w:cs="宋体"/>
                <w:color w:val="000000"/>
                <w:sz w:val="22"/>
                <w:szCs w:val="22"/>
                <w:highlight w:val="none"/>
                <w:lang w:val="en-US" w:eastAsia="zh-CN"/>
              </w:rPr>
              <w:t xml:space="preserve">较强</w:t>
            </w:r>
            <w:r>
              <w:rPr>
                <w:rFonts w:hint="eastAsia" w:ascii="宋体" w:hAnsi="宋体" w:cs="宋体"/>
                <w:color w:val="000000"/>
                <w:sz w:val="22"/>
                <w:szCs w:val="22"/>
                <w:highlight w:val="none"/>
              </w:rPr>
              <w:t xml:space="preserve">的</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1.5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结合道路现有的绿化特点，考虑植物的特性</w:t>
            </w:r>
            <w:r>
              <w:rPr>
                <w:rFonts w:hint="eastAsia" w:ascii="宋体" w:hAnsi="宋体" w:cs="宋体"/>
                <w:color w:val="000000"/>
                <w:sz w:val="22"/>
                <w:szCs w:val="22"/>
                <w:highlight w:val="none"/>
                <w:lang w:val="en-US" w:eastAsia="zh-CN"/>
              </w:rPr>
              <w:t xml:space="preserve">基本</w:t>
            </w:r>
            <w:r>
              <w:rPr>
                <w:rFonts w:hint="eastAsia" w:ascii="宋体" w:hAnsi="宋体" w:cs="宋体"/>
                <w:color w:val="000000"/>
                <w:sz w:val="22"/>
                <w:szCs w:val="22"/>
                <w:highlight w:val="none"/>
              </w:rPr>
              <w:t xml:space="preserve">充分，制定绿化重难点养护方案</w:t>
            </w:r>
            <w:r>
              <w:rPr>
                <w:rFonts w:hint="eastAsia" w:ascii="宋体" w:hAnsi="宋体" w:cs="宋体"/>
                <w:color w:val="000000"/>
                <w:sz w:val="22"/>
                <w:szCs w:val="22"/>
                <w:highlight w:val="none"/>
                <w:lang w:val="en-US" w:eastAsia="zh-CN"/>
              </w:rPr>
              <w:t xml:space="preserve">基本</w:t>
            </w:r>
            <w:r>
              <w:rPr>
                <w:rFonts w:hint="eastAsia" w:ascii="宋体" w:hAnsi="宋体" w:cs="宋体"/>
                <w:color w:val="000000"/>
                <w:sz w:val="22"/>
                <w:szCs w:val="22"/>
                <w:highlight w:val="none"/>
              </w:rPr>
              <w:t xml:space="preserve">明确，</w:t>
            </w:r>
            <w:r>
              <w:rPr>
                <w:rFonts w:hint="eastAsia" w:ascii="宋体" w:hAnsi="宋体" w:cs="宋体"/>
                <w:color w:val="000000"/>
                <w:sz w:val="22"/>
                <w:szCs w:val="22"/>
                <w:highlight w:val="none"/>
                <w:lang w:val="en-US" w:eastAsia="zh-CN"/>
              </w:rPr>
              <w:t xml:space="preserve">具有一定的</w:t>
            </w:r>
            <w:r>
              <w:rPr>
                <w:rFonts w:hint="eastAsia" w:ascii="宋体" w:hAnsi="宋体" w:cs="宋体"/>
                <w:color w:val="000000"/>
                <w:sz w:val="22"/>
                <w:szCs w:val="22"/>
                <w:highlight w:val="none"/>
              </w:rPr>
              <w:t xml:space="preserve">可操作性</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0.5</w:t>
            </w:r>
            <w:r>
              <w:rPr>
                <w:rFonts w:hint="eastAsia" w:ascii="宋体" w:hAnsi="宋体" w:cs="宋体"/>
                <w:color w:val="000000"/>
                <w:sz w:val="22"/>
                <w:szCs w:val="22"/>
                <w:highlight w:val="none"/>
              </w:rPr>
              <w:t xml:space="preserve"> 分。</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不合理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不具备可操作性</w:t>
            </w:r>
            <w:r>
              <w:rPr>
                <w:rFonts w:hint="eastAsia" w:ascii="宋体" w:hAnsi="宋体" w:cs="宋体"/>
                <w:color w:val="000000"/>
                <w:sz w:val="22"/>
                <w:szCs w:val="22"/>
                <w:highlight w:val="none"/>
              </w:rPr>
              <w:t xml:space="preserve">或者未提供方案的不得分。</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lang w:val="en-US" w:eastAsia="zh-CN" w:bidi="ar-SA"/>
              </w:rPr>
            </w:pPr>
            <w:r>
              <w:rPr>
                <w:rFonts w:hint="eastAsia" w:ascii="Times New Roman" w:hAnsi="Times New Roman" w:eastAsia="宋体" w:cs="Times New Roman"/>
                <w:highlight w:val="none"/>
                <w:lang w:val="en-US" w:eastAsia="zh-CN"/>
              </w:rPr>
              <w:t xml:space="preserve">本项最多得5分。</w:t>
            </w:r>
            <w:r>
              <w:rPr>
                <w:rFonts w:hint="eastAsia" w:ascii="宋体" w:hAnsi="宋体" w:cs="宋体"/>
                <w:color w:val="000000"/>
                <w:sz w:val="22"/>
                <w:szCs w:val="22"/>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highlight w:val="none"/>
              </w:rPr>
            </w:pPr>
            <w:r>
              <w:rPr>
                <w:rFonts w:ascii="宋体" w:hAnsi="宋体" w:eastAsia="宋体" w:cs="宋体"/>
                <w:spacing w:val="-6"/>
                <w:highlight w:val="none"/>
              </w:rPr>
              <w:t xml:space="preserve">主</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ascii="宋体" w:hAnsi="宋体" w:eastAsia="宋体" w:cs="宋体"/>
                <w:highlight w:val="none"/>
              </w:rPr>
            </w:r>
            <w:r/>
          </w:p>
        </w:tc>
      </w:tr>
      <w:tr>
        <w:trPr>
          <w:trHeight w:val="825"/>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highlight w:val="none"/>
                <w:lang w:val="en-US" w:eastAsia="zh-CN"/>
              </w:rPr>
              <w:t xml:space="preserve">2.4</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绿化病虫害防治专项方案</w:t>
            </w:r>
            <w:r>
              <w:rPr>
                <w:rFonts w:hint="eastAsia" w:ascii="宋体" w:hAnsi="宋体" w:cs="宋体"/>
                <w:color w:val="000000"/>
                <w:sz w:val="22"/>
                <w:szCs w:val="22"/>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宋体" w:hAnsi="宋体" w:eastAsia="宋体" w:cs="宋体"/>
                <w:color w:val="000000"/>
                <w:sz w:val="22"/>
                <w:szCs w:val="22"/>
                <w:highlight w:val="none"/>
                <w:lang w:val="en-US" w:eastAsia="zh-CN"/>
              </w:rPr>
              <w:t xml:space="preserve">评委根据</w:t>
            </w:r>
            <w:r>
              <w:rPr>
                <w:rFonts w:hint="eastAsia" w:ascii="宋体" w:hAnsi="宋体" w:cs="宋体"/>
                <w:color w:val="000000"/>
                <w:sz w:val="22"/>
                <w:szCs w:val="22"/>
                <w:highlight w:val="none"/>
                <w:lang w:val="en-US" w:eastAsia="zh-CN"/>
              </w:rPr>
              <w:t xml:space="preserve">投标人针对本项目的绿化病虫害防治方案</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包括</w:t>
            </w:r>
            <w:r>
              <w:rPr>
                <w:rFonts w:hint="eastAsia" w:ascii="Times New Roman" w:hAnsi="Times New Roman" w:eastAsia="宋体" w:cs="Times New Roman"/>
                <w:highlight w:val="none"/>
                <w:lang w:val="en-US" w:eastAsia="zh-CN"/>
              </w:rPr>
              <w:t xml:space="preserve">（每项内容逐条阐述）：</w:t>
            </w:r>
            <w:r>
              <w:rPr>
                <w:rFonts w:hint="eastAsia" w:ascii="Times New Roman" w:hAnsi="Times New Roman" w:eastAsia="宋体" w:cs="Times New Roman"/>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1.梧桐树天牛防治；2.白蚁防治。</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（1）</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根据季节及苗木生长特性，病虫害防治全面，针对性、可操作性强，得2.5分。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（2）</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根据季节及苗木生长特性，病虫害防治合理，</w:t>
            </w:r>
            <w:r>
              <w:rPr>
                <w:rFonts w:hint="eastAsia" w:ascii="宋体" w:hAnsi="宋体" w:cs="宋体"/>
                <w:color w:val="000000"/>
                <w:sz w:val="22"/>
                <w:szCs w:val="22"/>
                <w:highlight w:val="none"/>
              </w:rPr>
              <w:t xml:space="preserve">针对性</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可操作性较强，得1.5 分。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（3）</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根据季节及苗木生长特性，病虫害防治基本合理，具备一定的针对性、可操作性，得0.5分。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（4）</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不合理</w:t>
            </w:r>
            <w:r>
              <w:rPr>
                <w:rFonts w:hint="eastAsia" w:ascii="Times New Roman" w:hAnsi="Times New Roman" w:eastAsia="宋体" w:cs="Times New Roman"/>
                <w:highlight w:val="none"/>
                <w:lang w:val="en-US" w:eastAsia="zh-CN"/>
              </w:rPr>
              <w:t xml:space="preserve">、不具备可操作性</w:t>
            </w:r>
            <w:r>
              <w:rPr>
                <w:rFonts w:hint="eastAsia" w:ascii="宋体" w:hAnsi="宋体" w:cs="宋体"/>
                <w:color w:val="000000"/>
                <w:sz w:val="22"/>
                <w:szCs w:val="22"/>
                <w:highlight w:val="none"/>
              </w:rPr>
              <w:t xml:space="preserve">或者未提供方案的</w:t>
            </w:r>
            <w:r>
              <w:rPr>
                <w:rFonts w:hint="eastAsia" w:ascii="宋体" w:hAnsi="宋体" w:cs="宋体"/>
                <w:color w:val="000000"/>
                <w:sz w:val="22"/>
                <w:szCs w:val="22"/>
                <w:highlight w:val="none"/>
                <w:lang w:val="en-US" w:eastAsia="zh-CN"/>
              </w:rPr>
              <w:t xml:space="preserve">不得分。</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bidi="ar-SA"/>
              </w:rPr>
            </w:pPr>
            <w:r>
              <w:rPr>
                <w:rFonts w:hint="eastAsia" w:ascii="Times New Roman" w:hAnsi="Times New Roman" w:eastAsia="宋体" w:cs="Times New Roman"/>
                <w:highlight w:val="none"/>
                <w:lang w:val="en-US" w:eastAsia="zh-CN"/>
              </w:rPr>
              <w:t xml:space="preserve">本项最多得5分。</w:t>
            </w:r>
            <w:r>
              <w:rPr>
                <w:rFonts w:hint="eastAsia" w:ascii="宋体" w:hAnsi="宋体" w:cs="宋体"/>
                <w:color w:val="000000"/>
                <w:sz w:val="22"/>
                <w:szCs w:val="22"/>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rPr>
                <w:rFonts w:hint="eastAsia" w:ascii="宋体" w:hAnsi="宋体" w:eastAsia="宋体" w:cs="宋体"/>
                <w:spacing w:val="-6"/>
                <w:highlight w:val="none"/>
                <w:lang w:val="en-US" w:eastAsia="zh-CN"/>
              </w:rPr>
            </w:r>
            <w:r/>
          </w:p>
        </w:tc>
      </w:tr>
      <w:tr>
        <w:trPr>
          <w:trHeight w:val="825"/>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highlight w:val="none"/>
                <w:lang w:val="en-US" w:eastAsia="zh-CN"/>
              </w:rPr>
              <w:t xml:space="preserve">2.5</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宋体" w:hAnsi="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乔木专项修剪方案</w:t>
            </w:r>
            <w:r>
              <w:rPr>
                <w:rFonts w:hint="eastAsia" w:ascii="宋体" w:hAnsi="宋体" w:cs="宋体"/>
                <w:color w:val="000000"/>
                <w:sz w:val="22"/>
                <w:szCs w:val="22"/>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宋体" w:hAnsi="宋体" w:cs="宋体"/>
                <w:color w:val="000000"/>
                <w:sz w:val="22"/>
                <w:szCs w:val="22"/>
                <w:highlight w:val="none"/>
                <w:lang w:val="en-US" w:eastAsia="zh-CN"/>
              </w:rPr>
              <w:t xml:space="preserve">评委根据投标人针对本项目的乔木专项修剪方案</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包括</w:t>
            </w:r>
            <w:r>
              <w:rPr>
                <w:rFonts w:hint="eastAsia" w:ascii="Times New Roman" w:hAnsi="Times New Roman" w:eastAsia="宋体" w:cs="Times New Roman"/>
                <w:highlight w:val="none"/>
                <w:lang w:val="en-US" w:eastAsia="zh-CN"/>
              </w:rPr>
              <w:t xml:space="preserve">（每项内容逐条阐述）：</w:t>
            </w:r>
            <w:r>
              <w:rPr>
                <w:rFonts w:hint="eastAsia" w:ascii="Times New Roman" w:hAnsi="Times New Roman" w:eastAsia="宋体" w:cs="Times New Roman"/>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1.高大乔木专项修剪；2.行道树专项修剪。</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（1）</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结合道路现有的乔木品种及分布情况，充分考虑植物的特性,制定详细、可行、 针对性强的专项修剪方案，可操作性强得，得2.5分。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结合道路现有的乔木分布情况，较充分考虑植物的特性,制定较具体可行的专项修剪方案，可操作性较强的，得1.5分。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结合道路现有的绿化特点，考虑植物的特性基本充分，制定绿化重难点养护方案基本明确，具有一定的可操作性，得 0.5 </w:t>
            </w:r>
            <w:r>
              <w:rPr>
                <w:rFonts w:hint="eastAsia" w:ascii="宋体" w:hAnsi="宋体" w:eastAsia="宋体" w:cs="宋体"/>
                <w:color w:val="000000"/>
                <w:sz w:val="22"/>
                <w:szCs w:val="22"/>
                <w:highlight w:val="none"/>
                <w:lang w:val="en-US" w:eastAsia="zh-CN"/>
              </w:rPr>
              <w:t xml:space="preserve">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w:t>
            </w:r>
            <w:r>
              <w:rPr>
                <w:rFonts w:hint="eastAsia" w:ascii="Times New Roman" w:hAnsi="Times New Roman" w:eastAsia="宋体" w:cs="Times New Roman"/>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不合理</w:t>
            </w:r>
            <w:r>
              <w:rPr>
                <w:rFonts w:hint="eastAsia" w:ascii="Times New Roman" w:hAnsi="Times New Roman" w:eastAsia="宋体" w:cs="Times New Roman"/>
                <w:highlight w:val="none"/>
                <w:lang w:val="en-US" w:eastAsia="zh-CN"/>
              </w:rPr>
              <w:t xml:space="preserve">、不具备可操作性</w:t>
            </w:r>
            <w:r>
              <w:rPr>
                <w:rFonts w:hint="eastAsia" w:ascii="宋体" w:hAnsi="宋体" w:eastAsia="宋体" w:cs="宋体"/>
                <w:color w:val="000000"/>
                <w:sz w:val="22"/>
                <w:szCs w:val="22"/>
                <w:highlight w:val="none"/>
                <w:lang w:val="en-US" w:eastAsia="zh-CN"/>
              </w:rPr>
              <w:t xml:space="preserve">或者未提供方案的不得分。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bidi="ar-SA"/>
              </w:rPr>
            </w:pPr>
            <w:r>
              <w:rPr>
                <w:rFonts w:hint="eastAsia" w:ascii="Times New Roman" w:hAnsi="Times New Roman" w:eastAsia="宋体" w:cs="Times New Roman"/>
                <w:highlight w:val="none"/>
                <w:lang w:val="en-US" w:eastAsia="zh-CN"/>
              </w:rPr>
              <w:t xml:space="preserve">本项最多得5分。</w:t>
            </w:r>
            <w:r>
              <w:rPr>
                <w:rFonts w:hint="eastAsia" w:ascii="宋体" w:hAnsi="宋体" w:cs="宋体"/>
                <w:color w:val="000000"/>
                <w:sz w:val="22"/>
                <w:szCs w:val="22"/>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rPr>
                <w:rFonts w:hint="eastAsia" w:ascii="宋体" w:hAnsi="宋体" w:eastAsia="宋体" w:cs="宋体"/>
                <w:spacing w:val="-6"/>
                <w:highlight w:val="none"/>
                <w:lang w:val="en-US" w:eastAsia="zh-CN"/>
              </w:rPr>
            </w:r>
            <w:r/>
          </w:p>
        </w:tc>
      </w:tr>
      <w:tr>
        <w:trPr>
          <w:trHeight w:val="90"/>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highlight w:val="none"/>
                <w:lang w:val="en-US" w:eastAsia="zh-CN"/>
              </w:rPr>
              <w:t xml:space="preserve">2.6</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宋体" w:hAnsi="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苗木施肥方案</w:t>
            </w:r>
            <w:r>
              <w:rPr>
                <w:rFonts w:hint="eastAsia" w:ascii="宋体" w:hAnsi="宋体" w:cs="宋体"/>
                <w:color w:val="000000"/>
                <w:sz w:val="22"/>
                <w:szCs w:val="22"/>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宋体" w:hAnsi="宋体" w:cs="宋体"/>
                <w:color w:val="000000"/>
                <w:sz w:val="22"/>
                <w:szCs w:val="22"/>
                <w:highlight w:val="none"/>
                <w:lang w:val="en-US" w:eastAsia="zh-CN"/>
              </w:rPr>
              <w:t xml:space="preserve">评委根据投标人针对本项目苗木施肥方案</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包括</w:t>
            </w:r>
            <w:r>
              <w:rPr>
                <w:rFonts w:hint="eastAsia" w:ascii="Times New Roman" w:hAnsi="Times New Roman" w:eastAsia="宋体" w:cs="Times New Roman"/>
                <w:highlight w:val="none"/>
                <w:lang w:val="en-US" w:eastAsia="zh-CN"/>
              </w:rPr>
              <w:t xml:space="preserve">（每项内容逐条阐述）：</w:t>
            </w:r>
            <w:r>
              <w:rPr>
                <w:rFonts w:hint="eastAsia" w:ascii="Times New Roman" w:hAnsi="Times New Roman" w:eastAsia="宋体" w:cs="Times New Roman"/>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1.施肥方案；2.施肥植物品种、肥料品种选择；3.施肥计划</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结合现有的苗木品种及特性情况，充分考虑植物的特性，针对性的编制施肥方案，确保植物所需养分适宜，可操作性强的，得1分。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lang w:val="en-US" w:eastAsia="zh-CN"/>
              </w:rPr>
              <w:t xml:space="preserve">结合现有的苗木品种及特性情况，基本考虑植物的特性，编制施肥方案，提供植物所需养分，具有一定的可操作性，得0.5分。 </w:t>
            </w:r>
            <w:r>
              <w:rPr>
                <w:rFonts w:hint="eastAsia" w:ascii="宋体" w:hAnsi="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w:t>
            </w:r>
            <w:r>
              <w:rPr>
                <w:rFonts w:hint="eastAsia" w:ascii="Times New Roman" w:hAnsi="Times New Roman" w:eastAsia="宋体" w:cs="Times New Roman"/>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不合理</w:t>
            </w:r>
            <w:r>
              <w:rPr>
                <w:rFonts w:hint="eastAsia" w:ascii="Times New Roman" w:hAnsi="Times New Roman" w:eastAsia="宋体" w:cs="Times New Roman"/>
                <w:highlight w:val="none"/>
                <w:lang w:val="en-US" w:eastAsia="zh-CN"/>
              </w:rPr>
              <w:t xml:space="preserve">、不具备可操作性</w:t>
            </w:r>
            <w:r>
              <w:rPr>
                <w:rFonts w:hint="eastAsia" w:ascii="宋体" w:hAnsi="宋体" w:eastAsia="宋体" w:cs="宋体"/>
                <w:color w:val="000000"/>
                <w:sz w:val="22"/>
                <w:szCs w:val="22"/>
                <w:highlight w:val="none"/>
                <w:lang w:val="en-US" w:eastAsia="zh-CN"/>
              </w:rPr>
              <w:t xml:space="preserve">或者未提供方案的不得分。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cs="宋体"/>
                <w:color w:val="000000"/>
                <w:sz w:val="22"/>
                <w:szCs w:val="22"/>
                <w:highlight w:val="none"/>
                <w:lang w:val="en-US" w:eastAsia="zh-CN" w:bidi="ar-SA"/>
              </w:rPr>
            </w:pPr>
            <w:r>
              <w:rPr>
                <w:rFonts w:hint="eastAsia" w:ascii="Times New Roman" w:hAnsi="Times New Roman" w:eastAsia="宋体" w:cs="Times New Roman"/>
                <w:highlight w:val="none"/>
                <w:lang w:val="en-US" w:eastAsia="zh-CN"/>
              </w:rPr>
              <w:t xml:space="preserve">本项最多得3分。</w:t>
            </w:r>
            <w:r>
              <w:rPr>
                <w:rFonts w:hint="eastAsia" w:ascii="宋体" w:hAnsi="宋体" w:cs="宋体"/>
                <w:color w:val="000000"/>
                <w:sz w:val="22"/>
                <w:szCs w:val="22"/>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rPr>
                <w:rFonts w:hint="eastAsia" w:ascii="宋体" w:hAnsi="宋体" w:eastAsia="宋体" w:cs="宋体"/>
                <w:spacing w:val="-6"/>
                <w:highlight w:val="none"/>
                <w:lang w:val="en-US" w:eastAsia="zh-CN"/>
              </w:rPr>
            </w:r>
            <w:r/>
          </w:p>
        </w:tc>
      </w:tr>
      <w:tr>
        <w:trPr>
          <w:trHeight w:val="825"/>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highlight w:val="none"/>
                <w:lang w:val="en-US" w:eastAsia="zh-CN"/>
              </w:rPr>
              <w:t xml:space="preserve">2.7</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险灾预防方案</w:t>
            </w:r>
            <w:r>
              <w:rPr>
                <w:rFonts w:hint="eastAsia" w:ascii="宋体" w:hAnsi="宋体" w:eastAsia="宋体" w:cs="宋体"/>
                <w:color w:val="000000"/>
                <w:sz w:val="22"/>
                <w:szCs w:val="22"/>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宋体" w:hAnsi="宋体" w:cs="宋体"/>
                <w:color w:val="000000"/>
                <w:sz w:val="22"/>
                <w:szCs w:val="22"/>
                <w:highlight w:val="none"/>
                <w:lang w:val="en-US" w:eastAsia="zh-CN"/>
              </w:rPr>
              <w:t xml:space="preserve">评委根据</w:t>
            </w:r>
            <w:r>
              <w:rPr>
                <w:rFonts w:hint="eastAsia" w:ascii="宋体" w:hAnsi="宋体" w:cs="宋体"/>
                <w:color w:val="000000"/>
                <w:sz w:val="22"/>
                <w:szCs w:val="22"/>
                <w:highlight w:val="none"/>
              </w:rPr>
              <w:t xml:space="preserve">投标人</w:t>
            </w:r>
            <w:r>
              <w:rPr>
                <w:rFonts w:hint="eastAsia" w:ascii="宋体" w:hAnsi="宋体" w:cs="宋体"/>
                <w:color w:val="000000"/>
                <w:sz w:val="22"/>
                <w:szCs w:val="22"/>
                <w:highlight w:val="none"/>
                <w:lang w:val="en-US" w:eastAsia="zh-CN"/>
              </w:rPr>
              <w:t xml:space="preserve">提供的</w:t>
            </w:r>
            <w:r>
              <w:rPr>
                <w:rFonts w:hint="eastAsia" w:ascii="宋体" w:hAnsi="宋体" w:eastAsia="宋体" w:cs="宋体"/>
                <w:color w:val="000000"/>
                <w:sz w:val="22"/>
                <w:szCs w:val="22"/>
                <w:highlight w:val="none"/>
                <w:lang w:val="en-US" w:eastAsia="zh-CN"/>
              </w:rPr>
              <w:t xml:space="preserve">险灾预防方案，包括</w:t>
            </w:r>
            <w:r>
              <w:rPr>
                <w:rFonts w:hint="eastAsia" w:ascii="Times New Roman" w:hAnsi="Times New Roman" w:eastAsia="宋体" w:cs="Times New Roman"/>
                <w:highlight w:val="none"/>
                <w:lang w:val="en-US" w:eastAsia="zh-CN"/>
              </w:rPr>
              <w:t xml:space="preserve">（每项内容逐条阐述）：</w:t>
            </w:r>
            <w:r>
              <w:rPr>
                <w:rFonts w:hint="eastAsia" w:ascii="Times New Roman" w:hAnsi="Times New Roman" w:eastAsia="宋体" w:cs="Times New Roman"/>
                <w:highlight w:val="none"/>
                <w:lang w:val="en-US" w:eastAsia="zh-CN"/>
              </w:rPr>
            </w:r>
            <w:r/>
          </w:p>
          <w:p>
            <w:pPr>
              <w:pStyle w:val="946"/>
              <w:spacing w:line="264" w:lineRule="auto"/>
              <w:rPr>
                <w:rFonts w:hint="eastAsia" w:ascii="宋体" w:hAnsi="宋体" w:cs="宋体"/>
                <w:color w:val="000000"/>
                <w:sz w:val="22"/>
                <w:szCs w:val="22"/>
                <w:highlight w:val="none"/>
              </w:rPr>
            </w:pPr>
            <w:r>
              <w:rPr>
                <w:rFonts w:hint="eastAsia" w:ascii="Times New Roman" w:hAnsi="Times New Roman" w:eastAsia="宋体" w:cs="Times New Roman"/>
                <w:highlight w:val="none"/>
                <w:lang w:val="en-US" w:eastAsia="zh-CN"/>
              </w:rPr>
              <w:t xml:space="preserve">1.</w:t>
            </w:r>
            <w:r>
              <w:rPr>
                <w:rFonts w:hint="eastAsia" w:ascii="宋体" w:hAnsi="宋体" w:cs="宋体"/>
                <w:color w:val="000000"/>
                <w:sz w:val="22"/>
                <w:szCs w:val="22"/>
                <w:highlight w:val="none"/>
              </w:rPr>
              <w:t xml:space="preserve">针对防</w:t>
            </w:r>
            <w:r>
              <w:rPr>
                <w:rFonts w:hint="eastAsia" w:ascii="宋体" w:hAnsi="宋体" w:cs="宋体"/>
                <w:color w:val="000000"/>
                <w:sz w:val="22"/>
                <w:szCs w:val="22"/>
                <w:highlight w:val="none"/>
                <w:lang w:val="en-US" w:eastAsia="zh-CN"/>
              </w:rPr>
              <w:t xml:space="preserve">洪防台</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防汛、抗旱、防雪抗冻、抢险抗灾、恶劣天气等</w:t>
            </w:r>
            <w:r>
              <w:rPr>
                <w:rFonts w:hint="eastAsia" w:ascii="宋体" w:hAnsi="宋体" w:cs="宋体"/>
                <w:color w:val="000000"/>
                <w:sz w:val="22"/>
                <w:szCs w:val="22"/>
                <w:highlight w:val="none"/>
              </w:rPr>
              <w:t xml:space="preserve">，而制定</w:t>
            </w:r>
            <w:r>
              <w:rPr>
                <w:rFonts w:hint="eastAsia" w:ascii="宋体" w:hAnsi="宋体" w:cs="宋体"/>
                <w:color w:val="000000"/>
                <w:sz w:val="22"/>
                <w:szCs w:val="22"/>
                <w:highlight w:val="none"/>
                <w:lang w:val="en-US" w:eastAsia="zh-CN"/>
              </w:rPr>
              <w:t xml:space="preserve">险灾</w:t>
            </w:r>
            <w:r>
              <w:rPr>
                <w:rFonts w:hint="eastAsia" w:ascii="宋体" w:hAnsi="宋体" w:cs="宋体"/>
                <w:color w:val="000000"/>
                <w:sz w:val="22"/>
                <w:szCs w:val="22"/>
                <w:highlight w:val="none"/>
              </w:rPr>
              <w:t xml:space="preserve">预案</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针对防</w:t>
            </w:r>
            <w:r>
              <w:rPr>
                <w:rFonts w:hint="eastAsia" w:ascii="宋体" w:hAnsi="宋体" w:cs="宋体"/>
                <w:color w:val="000000"/>
                <w:sz w:val="22"/>
                <w:szCs w:val="22"/>
                <w:highlight w:val="none"/>
                <w:lang w:val="en-US" w:eastAsia="zh-CN"/>
              </w:rPr>
              <w:t xml:space="preserve">洪防台</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防汛、抗旱、防雪抗冻、抢险抗灾、恶劣天气等</w:t>
            </w:r>
            <w:r>
              <w:rPr>
                <w:rFonts w:hint="eastAsia" w:ascii="宋体" w:hAnsi="宋体" w:cs="宋体"/>
                <w:color w:val="000000"/>
                <w:sz w:val="22"/>
                <w:szCs w:val="22"/>
                <w:highlight w:val="none"/>
              </w:rPr>
              <w:t xml:space="preserve">，而制定处置方案</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详细，科学合理，针对性强的，得</w:t>
            </w:r>
            <w:r>
              <w:rPr>
                <w:rFonts w:hint="eastAsia" w:ascii="宋体" w:hAnsi="宋体" w:cs="宋体"/>
                <w:color w:val="000000"/>
                <w:sz w:val="22"/>
                <w:szCs w:val="22"/>
                <w:highlight w:val="none"/>
                <w:lang w:val="en-US" w:eastAsia="zh-CN"/>
              </w:rPr>
              <w:t xml:space="preserve">2.5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Times New Roman" w:hAnsi="Times New Roman" w:eastAsia="宋体" w:cs="Times New Roman"/>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较详细</w:t>
            </w:r>
            <w:r>
              <w:rPr>
                <w:rFonts w:hint="eastAsia" w:ascii="宋体" w:hAnsi="宋体" w:cs="宋体"/>
                <w:color w:val="000000"/>
                <w:sz w:val="22"/>
                <w:szCs w:val="22"/>
                <w:highlight w:val="none"/>
              </w:rPr>
              <w:t xml:space="preserve">，较为</w:t>
            </w:r>
            <w:r>
              <w:rPr>
                <w:rFonts w:hint="eastAsia" w:ascii="宋体" w:hAnsi="宋体" w:cs="宋体"/>
                <w:color w:val="000000"/>
                <w:sz w:val="22"/>
                <w:szCs w:val="22"/>
                <w:highlight w:val="none"/>
                <w:lang w:val="en-US" w:eastAsia="zh-CN"/>
              </w:rPr>
              <w:t xml:space="preserve">科学</w:t>
            </w:r>
            <w:r>
              <w:rPr>
                <w:rFonts w:hint="eastAsia" w:ascii="宋体" w:hAnsi="宋体" w:cs="宋体"/>
                <w:color w:val="000000"/>
                <w:sz w:val="22"/>
                <w:szCs w:val="22"/>
                <w:highlight w:val="none"/>
              </w:rPr>
              <w:t xml:space="preserve">合理，针对性较强的，得</w:t>
            </w:r>
            <w:r>
              <w:rPr>
                <w:rFonts w:hint="eastAsia" w:ascii="宋体" w:hAnsi="宋体" w:cs="宋体"/>
                <w:color w:val="000000"/>
                <w:sz w:val="22"/>
                <w:szCs w:val="22"/>
                <w:highlight w:val="none"/>
                <w:lang w:val="en-US" w:eastAsia="zh-CN"/>
              </w:rPr>
              <w:t xml:space="preserve">1.5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基本全面，基本合理，有一定针对性的，得</w:t>
            </w:r>
            <w:r>
              <w:rPr>
                <w:rFonts w:hint="eastAsia" w:ascii="宋体" w:hAnsi="宋体" w:cs="宋体"/>
                <w:color w:val="000000"/>
                <w:sz w:val="22"/>
                <w:szCs w:val="22"/>
                <w:highlight w:val="none"/>
                <w:lang w:val="en-US" w:eastAsia="zh-CN"/>
              </w:rPr>
              <w:t xml:space="preserve">0.5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946"/>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Times New Roman" w:hAnsi="Times New Roman" w:eastAsia="宋体" w:cs="Times New Roman"/>
                <w:highlight w:val="none"/>
                <w:lang w:val="en-US" w:eastAsia="zh-CN"/>
              </w:rPr>
              <w:t xml:space="preserve">上述每项内容</w:t>
            </w:r>
            <w:r>
              <w:rPr>
                <w:rFonts w:hint="eastAsia" w:ascii="宋体" w:hAnsi="宋体" w:cs="宋体"/>
                <w:color w:val="000000"/>
                <w:sz w:val="22"/>
                <w:szCs w:val="22"/>
                <w:highlight w:val="none"/>
              </w:rPr>
              <w:t xml:space="preserve">不合理</w:t>
            </w:r>
            <w:r>
              <w:rPr>
                <w:rFonts w:hint="eastAsia" w:ascii="Times New Roman" w:hAnsi="Times New Roman" w:eastAsia="宋体" w:cs="Times New Roman"/>
                <w:highlight w:val="none"/>
                <w:lang w:val="en-US" w:eastAsia="zh-CN"/>
              </w:rPr>
              <w:t xml:space="preserve">、不具备针对性</w:t>
            </w:r>
            <w:r>
              <w:rPr>
                <w:rFonts w:hint="eastAsia" w:ascii="宋体" w:hAnsi="宋体" w:cs="宋体"/>
                <w:color w:val="000000"/>
                <w:sz w:val="22"/>
                <w:szCs w:val="22"/>
                <w:highlight w:val="none"/>
              </w:rPr>
              <w:t xml:space="preserve">或者未提供方案的不得分。</w:t>
            </w:r>
            <w:r>
              <w:rPr>
                <w:rFonts w:hint="eastAsia" w:ascii="宋体" w:hAnsi="宋体" w:cs="宋体"/>
                <w:color w:val="000000"/>
                <w:sz w:val="22"/>
                <w:szCs w:val="22"/>
                <w:highlight w:val="none"/>
              </w:rPr>
            </w:r>
            <w:r/>
          </w:p>
          <w:p>
            <w:pPr>
              <w:pStyle w:val="946"/>
              <w:spacing w:line="264" w:lineRule="auto"/>
              <w:rPr>
                <w:rFonts w:hint="eastAsia" w:ascii="宋体" w:hAnsi="宋体" w:eastAsia="宋体" w:cs="宋体"/>
                <w:color w:val="000000"/>
                <w:sz w:val="22"/>
                <w:szCs w:val="22"/>
                <w:highlight w:val="none"/>
                <w:lang w:val="en-US" w:eastAsia="zh-CN" w:bidi="ar-SA"/>
              </w:rPr>
            </w:pPr>
            <w:r>
              <w:rPr>
                <w:rFonts w:hint="eastAsia" w:ascii="Times New Roman" w:hAnsi="Times New Roman" w:eastAsia="宋体" w:cs="Times New Roman"/>
                <w:highlight w:val="none"/>
                <w:lang w:val="en-US" w:eastAsia="zh-CN"/>
              </w:rPr>
              <w:t xml:space="preserve">本项最多得5分。</w:t>
            </w:r>
            <w:r>
              <w:rPr>
                <w:rFonts w:hint="eastAsia" w:ascii="宋体" w:hAnsi="宋体" w:eastAsia="宋体" w:cs="宋体"/>
                <w:color w:val="000000"/>
                <w:sz w:val="22"/>
                <w:szCs w:val="22"/>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rPr>
                <w:rFonts w:hint="eastAsia" w:ascii="宋体" w:hAnsi="宋体" w:eastAsia="宋体" w:cs="宋体"/>
                <w:spacing w:val="-6"/>
                <w:highlight w:val="none"/>
                <w:lang w:val="en-US" w:eastAsia="zh-CN"/>
              </w:rPr>
            </w:r>
            <w:r/>
          </w:p>
        </w:tc>
      </w:tr>
      <w:tr>
        <w:trPr>
          <w:trHeight w:val="825"/>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highlight w:val="none"/>
                <w:lang w:val="en-US" w:eastAsia="zh-CN"/>
              </w:rPr>
              <w:t xml:space="preserve">2.8</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rPr>
              <w:t xml:space="preserve">大型活动保障方案及突发事件应急解决方案</w:t>
            </w:r>
            <w:r>
              <w:rPr>
                <w:rFonts w:hint="eastAsia" w:ascii="宋体" w:hAnsi="宋体" w:cs="宋体"/>
                <w:color w:val="000000"/>
                <w:sz w:val="22"/>
                <w:szCs w:val="22"/>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宋体" w:hAnsi="宋体" w:eastAsia="宋体" w:cs="宋体"/>
                <w:color w:val="000000"/>
                <w:sz w:val="22"/>
                <w:szCs w:val="22"/>
                <w:highlight w:val="none"/>
                <w:lang w:val="en-US" w:eastAsia="zh-CN"/>
              </w:rPr>
              <w:t xml:space="preserve">评委根据投标人提供的大型活动保障方案及突发事件应急解决方案，包括</w:t>
            </w:r>
            <w:r>
              <w:rPr>
                <w:rFonts w:hint="eastAsia" w:ascii="Times New Roman" w:hAnsi="Times New Roman" w:eastAsia="宋体" w:cs="Times New Roman"/>
                <w:highlight w:val="none"/>
                <w:lang w:val="en-US" w:eastAsia="zh-CN"/>
              </w:rPr>
              <w:t xml:space="preserve">（每项内容逐条阐述）：</w:t>
            </w:r>
            <w:r>
              <w:rPr>
                <w:rFonts w:hint="eastAsia" w:ascii="Times New Roman" w:hAnsi="Times New Roman" w:eastAsia="宋体" w:cs="Times New Roman"/>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针对本项目大型活动与重大接待任务期间的保障、意识形态事件、舆情及其他危害人身与财产安全的突发事件及各类不可抗力因素的影响而制定保障方案；2.针对本项目大型活动与重大接待任务期间的保障、意识形态事件、舆情及其他危害人身与财产安全的突发事件及各类不可抗力因素的影响突发应急事件预案以及处置方案。</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hint="eastAsia" w:ascii="Times New Roman" w:hAnsi="Times New Roman" w:eastAsia="宋体" w:cs="Times New Roman"/>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方案全面，内容详细，科学合理，针对性强的，得2.5分；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w:t>
            </w:r>
            <w:r>
              <w:rPr>
                <w:rFonts w:hint="eastAsia" w:ascii="Times New Roman" w:hAnsi="Times New Roman" w:eastAsia="宋体" w:cs="Times New Roman"/>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方案较全面，内容较为合理，针对性较强的，得1.5分；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w:t>
            </w:r>
            <w:r>
              <w:rPr>
                <w:rFonts w:hint="eastAsia" w:ascii="Times New Roman" w:hAnsi="Times New Roman" w:eastAsia="宋体" w:cs="Times New Roman"/>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方案基本全面，内容基本合理，有一定针对性的，得0.5分；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w:t>
            </w:r>
            <w:r>
              <w:rPr>
                <w:rFonts w:hint="eastAsia" w:ascii="Times New Roman" w:hAnsi="Times New Roman" w:eastAsia="宋体" w:cs="Times New Roman"/>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不合理、不具备针对性或者未提供方案的不得分。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bidi="ar-SA"/>
              </w:rPr>
            </w:pPr>
            <w:r>
              <w:rPr>
                <w:rFonts w:hint="eastAsia" w:ascii="Times New Roman" w:hAnsi="Times New Roman" w:eastAsia="宋体" w:cs="Times New Roman"/>
                <w:highlight w:val="none"/>
                <w:lang w:val="en-US" w:eastAsia="zh-CN"/>
              </w:rPr>
              <w:t xml:space="preserve">本项最多得5分。</w:t>
            </w:r>
            <w:r>
              <w:rPr>
                <w:rFonts w:hint="eastAsia" w:ascii="宋体" w:hAnsi="宋体" w:eastAsia="宋体" w:cs="宋体"/>
                <w:color w:val="000000"/>
                <w:sz w:val="22"/>
                <w:szCs w:val="22"/>
                <w:highlight w:val="none"/>
                <w:lang w:val="en-US" w:eastAsia="zh-CN" w:bidi="ar-SA"/>
              </w:rPr>
            </w:r>
            <w:r/>
          </w:p>
        </w:tc>
        <w:tc>
          <w:tcPr>
            <w:tcW w:w="573" w:type="dxa"/>
            <w:vAlign w:val="center"/>
            <w:textDirection w:val="lrTb"/>
            <w:noWrap w:val="false"/>
          </w:tcPr>
          <w:p>
            <w:pPr>
              <w:pStyle w:val="946"/>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rPr>
                <w:rFonts w:hint="eastAsia" w:ascii="宋体" w:hAnsi="宋体" w:eastAsia="宋体" w:cs="宋体"/>
                <w:spacing w:val="-6"/>
                <w:highlight w:val="none"/>
                <w:lang w:val="en-US" w:eastAsia="zh-CN"/>
              </w:rPr>
            </w:r>
            <w:r/>
          </w:p>
        </w:tc>
      </w:tr>
      <w:tr>
        <w:trPr>
          <w:trHeight w:val="825"/>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2.9</w:t>
            </w:r>
            <w:r>
              <w:rPr>
                <w:rFonts w:ascii="宋体" w:hAnsi="宋体" w:eastAsia="宋体" w:cs="宋体"/>
                <w:spacing w:val="-2"/>
                <w:highlight w:val="none"/>
                <w:lang w:val="en-US" w:eastAsia="zh-CN"/>
              </w:rPr>
            </w:r>
            <w:r/>
          </w:p>
        </w:tc>
        <w:tc>
          <w:tcPr>
            <w:tcW w:w="1179" w:type="dxa"/>
            <w:vAlign w:val="center"/>
            <w:textDirection w:val="lrTb"/>
            <w:noWrap w:val="false"/>
          </w:tcPr>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本地化服务</w:t>
            </w:r>
            <w:r>
              <w:rPr>
                <w:rFonts w:hint="eastAsia" w:ascii="宋体" w:hAnsi="宋体" w:eastAsia="宋体" w:cs="宋体"/>
                <w:color w:val="000000"/>
                <w:sz w:val="22"/>
                <w:szCs w:val="22"/>
                <w:highlight w:val="none"/>
                <w:lang w:val="en-US" w:eastAsia="zh-CN"/>
              </w:rPr>
            </w:r>
            <w:r/>
          </w:p>
        </w:tc>
        <w:tc>
          <w:tcPr>
            <w:tcW w:w="6616" w:type="dxa"/>
            <w:vAlign w:val="center"/>
            <w:textDirection w:val="lrTb"/>
            <w:noWrap w:val="false"/>
          </w:tcPr>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在仙林地区20km内具有1000㎡以上固定的办公场所、停放车辆、材料堆积及员工宿舍等场地的得2分。</w:t>
            </w:r>
            <w:r>
              <w:rPr>
                <w:rFonts w:hint="eastAsia" w:ascii="宋体" w:hAnsi="宋体" w:eastAsia="宋体" w:cs="宋体"/>
                <w:color w:val="000000"/>
                <w:sz w:val="22"/>
                <w:szCs w:val="22"/>
                <w:highlight w:val="none"/>
                <w:lang w:val="en-US" w:eastAsia="zh-CN"/>
              </w:rPr>
            </w:r>
            <w:r/>
          </w:p>
          <w:p>
            <w:pPr>
              <w:pStyle w:val="946"/>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以上提供房产证（或租赁合同）及地点距离等相关证明材料，或提供承诺书（承诺内容为在中标后15个日历天内提交符合上述场地条件的证明材料原件供采购人核验，格式自拟）。</w:t>
            </w:r>
            <w:r>
              <w:rPr>
                <w:rFonts w:hint="eastAsia" w:ascii="宋体" w:hAnsi="宋体" w:eastAsia="宋体" w:cs="宋体"/>
                <w:color w:val="000000"/>
                <w:sz w:val="22"/>
                <w:szCs w:val="22"/>
                <w:highlight w:val="none"/>
                <w:lang w:val="en-US" w:eastAsia="zh-CN"/>
              </w:rPr>
            </w:r>
            <w:r/>
          </w:p>
        </w:tc>
        <w:tc>
          <w:tcPr>
            <w:tcW w:w="573" w:type="dxa"/>
            <w:vAlign w:val="center"/>
            <w:textDirection w:val="lrTb"/>
            <w:noWrap w:val="false"/>
          </w:tcPr>
          <w:p>
            <w:pPr>
              <w:pStyle w:val="946"/>
              <w:jc w:val="center"/>
              <w:spacing w:line="264" w:lineRule="auto"/>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w:t>
            </w:r>
            <w:r>
              <w:rPr>
                <w:rFonts w:ascii="宋体" w:hAnsi="宋体" w:eastAsia="宋体" w:cs="宋体"/>
                <w:color w:val="000000"/>
                <w:sz w:val="22"/>
                <w:szCs w:val="22"/>
                <w:highlight w:val="none"/>
                <w:lang w:val="en-US" w:eastAsia="zh-CN"/>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客观分</w:t>
            </w:r>
            <w:r>
              <w:rPr>
                <w:rFonts w:hint="eastAsia" w:ascii="宋体" w:hAnsi="宋体" w:eastAsia="宋体" w:cs="宋体"/>
                <w:spacing w:val="-6"/>
                <w:highlight w:val="none"/>
                <w:lang w:val="en-US" w:eastAsia="zh-CN"/>
              </w:rPr>
            </w:r>
            <w:r/>
          </w:p>
        </w:tc>
      </w:tr>
      <w:tr>
        <w:trPr>
          <w:trHeight w:val="455"/>
        </w:trPr>
        <w:tc>
          <w:tcPr>
            <w:gridSpan w:val="5"/>
            <w:tcW w:w="9747" w:type="dxa"/>
            <w:vAlign w:val="center"/>
            <w:textDirection w:val="lrTb"/>
            <w:noWrap w:val="false"/>
          </w:tcPr>
          <w:p>
            <w:pPr>
              <w:pStyle w:val="946"/>
              <w:keepLines w:val="0"/>
              <w:keepNext w:val="0"/>
              <w:pageBreakBefore w:val="0"/>
              <w:spacing w:line="264"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3.业绩</w:t>
            </w:r>
            <w:r>
              <w:rPr>
                <w:rFonts w:ascii="宋体" w:hAnsi="宋体" w:eastAsia="宋体" w:cs="宋体"/>
                <w:highlight w:val="none"/>
              </w:rPr>
            </w:r>
            <w:r/>
          </w:p>
        </w:tc>
      </w:tr>
      <w:tr>
        <w:trPr>
          <w:trHeight w:val="307"/>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highlight w:val="none"/>
              </w:rPr>
            </w:pPr>
            <w:r>
              <w:rPr>
                <w:rFonts w:ascii="宋体" w:hAnsi="宋体" w:eastAsia="宋体" w:cs="宋体"/>
                <w:spacing w:val="-2"/>
                <w:highlight w:val="none"/>
              </w:rPr>
              <w:t xml:space="preserve">3.1</w:t>
            </w:r>
            <w:r>
              <w:rPr>
                <w:rFonts w:ascii="宋体" w:hAnsi="宋体" w:eastAsia="宋体" w:cs="宋体"/>
                <w:spacing w:val="-2"/>
                <w:highlight w:val="none"/>
              </w:rPr>
            </w:r>
            <w:r/>
          </w:p>
        </w:tc>
        <w:tc>
          <w:tcPr>
            <w:tcW w:w="1179" w:type="dxa"/>
            <w:vAlign w:val="center"/>
            <w:textDirection w:val="lrTb"/>
            <w:noWrap w:val="false"/>
          </w:tcPr>
          <w:p>
            <w:pPr>
              <w:pStyle w:val="946"/>
              <w:jc w:val="both"/>
              <w:spacing w:line="264"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投标人业绩</w:t>
            </w:r>
            <w:r>
              <w:rPr>
                <w:rFonts w:hint="eastAsia" w:ascii="Times New Roman" w:hAnsi="Times New Roman" w:eastAsia="宋体" w:cs="Times New Roman"/>
                <w:highlight w:val="none"/>
                <w:lang w:val="en-US" w:eastAsia="zh-CN"/>
              </w:rPr>
            </w:r>
            <w:r/>
          </w:p>
        </w:tc>
        <w:tc>
          <w:tcPr>
            <w:tcW w:w="6616" w:type="dxa"/>
            <w:vAlign w:val="center"/>
            <w:textDirection w:val="lrTb"/>
            <w:noWrap w:val="false"/>
          </w:tcPr>
          <w:p>
            <w:pPr>
              <w:pStyle w:val="946"/>
              <w:jc w:val="both"/>
              <w:spacing w:line="264"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投标人提供2020年1月1日（含）以来类似项目业绩（至少包含与本项目采购需求类似的</w:t>
            </w:r>
            <w:r>
              <w:rPr>
                <w:rFonts w:hint="eastAsia" w:eastAsia="宋体" w:cs="Times New Roman"/>
                <w:highlight w:val="none"/>
                <w:lang w:val="en-US" w:eastAsia="zh-CN"/>
              </w:rPr>
              <w:t xml:space="preserve">城市</w:t>
            </w:r>
            <w:r>
              <w:rPr>
                <w:rFonts w:hint="eastAsia" w:ascii="Times New Roman" w:hAnsi="Times New Roman" w:eastAsia="宋体" w:cs="Times New Roman"/>
                <w:highlight w:val="none"/>
                <w:lang w:val="en-US" w:eastAsia="zh-CN"/>
              </w:rPr>
              <w:t xml:space="preserve">道路绿化养护</w:t>
            </w:r>
            <w:r>
              <w:rPr>
                <w:rFonts w:hint="eastAsia" w:eastAsia="宋体" w:cs="Times New Roman"/>
                <w:highlight w:val="none"/>
                <w:lang w:val="en-US" w:eastAsia="zh-CN"/>
              </w:rPr>
              <w:t xml:space="preserve">及苗木补植服务业绩，内容缺项不得分</w:t>
            </w:r>
            <w:r>
              <w:rPr>
                <w:rFonts w:hint="eastAsia" w:ascii="Times New Roman" w:hAnsi="Times New Roman" w:eastAsia="宋体" w:cs="Times New Roman"/>
                <w:highlight w:val="none"/>
                <w:lang w:val="en-US" w:eastAsia="zh-CN"/>
              </w:rPr>
              <w:t xml:space="preserve">），每提供1个得3分，最多得9分。（时间以合同签订时间为准，提供有效合同，合同页须清晰可见相应内容）</w:t>
            </w:r>
            <w:r>
              <w:rPr>
                <w:rFonts w:hint="eastAsia" w:ascii="Times New Roman" w:hAnsi="Times New Roman" w:eastAsia="宋体" w:cs="Times New Roman"/>
                <w:highlight w:val="none"/>
                <w:lang w:val="en-US" w:eastAsia="zh-CN"/>
              </w:rPr>
            </w:r>
            <w:r/>
          </w:p>
          <w:p>
            <w:pPr>
              <w:pStyle w:val="946"/>
              <w:jc w:val="both"/>
              <w:spacing w:line="264"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注：各采购包投标人业绩和项目负责人业绩不可兼得。（城市道路定义【城市道路交通管理设施设置规范（DB 3201/T 256-2015）】：通达城市的各地区，供城市内交通运输及行人使用，便于居民生活、工作及文化娱乐活动，并与市外道路连接负担着对外交通的道路。包括快速路、城市主干路、城市次干</w:t>
            </w:r>
            <w:r>
              <w:rPr>
                <w:rFonts w:hint="eastAsia" w:ascii="Times New Roman" w:hAnsi="Times New Roman" w:eastAsia="宋体" w:cs="Times New Roman"/>
                <w:highlight w:val="none"/>
                <w:lang w:val="en-US" w:eastAsia="zh-CN"/>
              </w:rPr>
              <w:t xml:space="preserve">路、城市支路以及城市街巷。公路定义【城市道路交通管理设施设置规范（DB 3201/T 256-2015）】：连接城市之间、城乡之间、乡村之间，以及工矿基地之间按照国家技术标准修建的，由公路主管部门验收、维护和管理的道路。公路在车行道外设路肩，两侧种行道树，边沟排水。公路按行政等级可分为：国家公路、省公路、县公路、乡公路、村公路(简称为国、省、乡、村道)以及专用公路六个等级一般把国道和省道称为干线，县道和乡道称为支线。按使用任务、功能和适应的交通量分为高速公路，一级公路、二级公路、三级公路、四级公路五个等级。</w:t>
            </w:r>
            <w:r>
              <w:rPr>
                <w:rFonts w:hint="eastAsia" w:ascii="Times New Roman" w:hAnsi="Times New Roman" w:eastAsia="宋体" w:cs="Times New Roman"/>
                <w:highlight w:val="none"/>
                <w:lang w:val="en-US" w:eastAsia="zh-CN"/>
              </w:rPr>
            </w:r>
            <w:r/>
          </w:p>
        </w:tc>
        <w:tc>
          <w:tcPr>
            <w:tcW w:w="573" w:type="dxa"/>
            <w:vAlign w:val="center"/>
            <w:textDirection w:val="lrTb"/>
            <w:noWrap w:val="false"/>
          </w:tcPr>
          <w:p>
            <w:pPr>
              <w:pStyle w:val="946"/>
              <w:jc w:val="center"/>
              <w:spacing w:line="264" w:lineRule="auto"/>
              <w:widowControl w:val="off"/>
              <w:rPr>
                <w:rFonts w:ascii="宋体" w:hAnsi="宋体" w:eastAsia="宋体" w:cs="宋体"/>
                <w:highlight w:val="none"/>
              </w:rPr>
            </w:pPr>
            <w:r>
              <w:rPr>
                <w:rFonts w:hint="eastAsia" w:ascii="宋体" w:hAnsi="宋体" w:eastAsia="宋体" w:cs="宋体"/>
                <w:highlight w:val="none"/>
                <w:lang w:val="en-US" w:eastAsia="zh-CN"/>
              </w:rPr>
              <w:t xml:space="preserve">9</w:t>
            </w:r>
            <w:r>
              <w:rPr>
                <w:rFonts w:ascii="宋体" w:hAnsi="宋体" w:eastAsia="宋体" w:cs="宋体"/>
                <w:highlight w:val="none"/>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highlight w:val="none"/>
                <w:lang w:eastAsia="zh-CN"/>
              </w:rPr>
            </w:pPr>
            <w:r>
              <w:rPr>
                <w:rFonts w:hint="eastAsia" w:ascii="宋体" w:hAnsi="宋体" w:eastAsia="宋体" w:cs="宋体"/>
                <w:spacing w:val="-6"/>
                <w:highlight w:val="none"/>
              </w:rPr>
              <w:t xml:space="preserve">客</w:t>
            </w:r>
            <w:r>
              <w:rPr>
                <w:rFonts w:hint="eastAsia"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hint="eastAsia" w:ascii="宋体" w:hAnsi="宋体" w:eastAsia="宋体" w:cs="宋体"/>
                <w:highlight w:val="none"/>
                <w:lang w:eastAsia="zh-CN"/>
              </w:rPr>
            </w:r>
            <w:r/>
          </w:p>
        </w:tc>
      </w:tr>
      <w:tr>
        <w:trPr>
          <w:trHeight w:val="269"/>
        </w:trPr>
        <w:tc>
          <w:tcPr>
            <w:gridSpan w:val="5"/>
            <w:tcW w:w="9747" w:type="dxa"/>
            <w:vAlign w:val="top"/>
            <w:textDirection w:val="lrTb"/>
            <w:noWrap w:val="false"/>
          </w:tcPr>
          <w:p>
            <w:pPr>
              <w:pStyle w:val="946"/>
              <w:keepLines w:val="0"/>
              <w:keepNext w:val="0"/>
              <w:pageBreakBefore w:val="0"/>
              <w:spacing w:before="123" w:line="264"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4.履约能力</w:t>
            </w:r>
            <w:r>
              <w:rPr>
                <w:rFonts w:ascii="宋体" w:hAnsi="宋体" w:eastAsia="宋体" w:cs="宋体"/>
                <w:highlight w:val="none"/>
              </w:rPr>
            </w:r>
            <w:r/>
          </w:p>
        </w:tc>
      </w:tr>
      <w:tr>
        <w:trPr>
          <w:trHeight w:val="792"/>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t xml:space="preserve">4.1</w:t>
            </w:r>
            <w:r>
              <w:rPr>
                <w:rFonts w:ascii="宋体" w:hAnsi="宋体" w:eastAsia="宋体" w:cs="宋体"/>
                <w:color w:val="000000"/>
                <w:spacing w:val="-2"/>
                <w:highlight w:val="none"/>
              </w:rPr>
            </w:r>
            <w:r/>
          </w:p>
        </w:tc>
        <w:tc>
          <w:tcPr>
            <w:tcW w:w="1179"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履约能力1</w:t>
            </w:r>
            <w:r>
              <w:rPr>
                <w:rFonts w:hint="eastAsia" w:ascii="Times New Roman" w:hAnsi="Times New Roman" w:eastAsia="宋体" w:cs="Times New Roman"/>
                <w:highlight w:val="none"/>
                <w:lang w:val="en-US" w:eastAsia="zh-CN"/>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投标人拟投入各采购包的项目负责人：</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（1）自2020年1月1日以来（含），承担过类似项目业绩（至少包含与本项目采购需求类似的</w:t>
            </w:r>
            <w:r>
              <w:rPr>
                <w:rFonts w:hint="eastAsia" w:eastAsia="宋体" w:cs="Times New Roman"/>
                <w:highlight w:val="none"/>
                <w:lang w:val="en-US" w:eastAsia="zh-CN"/>
              </w:rPr>
              <w:t xml:space="preserve">城市</w:t>
            </w:r>
            <w:r>
              <w:rPr>
                <w:rFonts w:hint="eastAsia" w:ascii="Times New Roman" w:hAnsi="Times New Roman" w:eastAsia="宋体" w:cs="Times New Roman"/>
                <w:highlight w:val="none"/>
                <w:lang w:val="en-US" w:eastAsia="zh-CN"/>
              </w:rPr>
              <w:t xml:space="preserve">道路绿化养护</w:t>
            </w:r>
            <w:r>
              <w:rPr>
                <w:rFonts w:hint="eastAsia" w:eastAsia="宋体" w:cs="Times New Roman"/>
                <w:highlight w:val="none"/>
                <w:lang w:val="en-US" w:eastAsia="zh-CN"/>
              </w:rPr>
              <w:t xml:space="preserve">及苗木补植服务</w:t>
            </w:r>
            <w:r>
              <w:rPr>
                <w:rFonts w:hint="eastAsia" w:ascii="Times New Roman" w:hAnsi="Times New Roman" w:eastAsia="宋体" w:cs="Times New Roman"/>
                <w:highlight w:val="none"/>
                <w:lang w:val="en-US" w:eastAsia="zh-CN"/>
              </w:rPr>
              <w:t xml:space="preserve">业绩），每提供1个得3分，最高得3分。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（时间以合同签订时间为准，提供合同，合同须体现所承接项目的项目内容和项目负责人名字，若合同中不能体现，须提供业主证明材料并加盖业主公章）</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注：各采购包项目负责人业绩和投标人业绩不可兼得。</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2、具有园林绿化类相关的中级职称证书得3分，高级或以上职称证书得5分（提供本人证书，证书不可兼得，按最高分计）。</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ascii="Times New Roman" w:hAnsi="Times New Roman" w:eastAsia="宋体" w:cs="Times New Roman"/>
                <w:highlight w:val="none"/>
                <w:lang w:val="zh-CN" w:eastAsia="zh-CN"/>
              </w:rPr>
              <w:t xml:space="preserve">（提供上述</w:t>
            </w:r>
            <w:r>
              <w:rPr>
                <w:rFonts w:hint="eastAsia" w:ascii="Times New Roman" w:hAnsi="Times New Roman" w:eastAsia="宋体" w:cs="Times New Roman"/>
                <w:highlight w:val="none"/>
                <w:lang w:val="en-US" w:eastAsia="zh-CN"/>
              </w:rPr>
              <w:t xml:space="preserve">证明材料及</w:t>
            </w:r>
            <w:r>
              <w:rPr>
                <w:rFonts w:hint="eastAsia" w:ascii="Times New Roman" w:hAnsi="Times New Roman" w:eastAsia="宋体" w:cs="Times New Roman"/>
                <w:highlight w:val="none"/>
                <w:lang w:val="zh-CN" w:eastAsia="zh-CN"/>
              </w:rPr>
              <w:t xml:space="preserve">投标人</w:t>
            </w:r>
            <w:r>
              <w:rPr>
                <w:rFonts w:ascii="Times New Roman" w:hAnsi="Times New Roman" w:eastAsia="宋体" w:cs="Times New Roman"/>
                <w:highlight w:val="none"/>
                <w:lang w:val="zh-CN" w:eastAsia="zh-CN"/>
              </w:rPr>
              <w:t xml:space="preserve">为其缴纳的</w:t>
            </w:r>
            <w:r>
              <w:rPr>
                <w:rFonts w:ascii="Times New Roman" w:hAnsi="Times New Roman" w:eastAsia="宋体" w:cs="Times New Roman"/>
                <w:highlight w:val="none"/>
                <w:lang w:val="en-US" w:eastAsia="zh-CN"/>
              </w:rPr>
              <w:t xml:space="preserve">20</w:t>
            </w:r>
            <w:r>
              <w:rPr>
                <w:rFonts w:hint="eastAsia" w:ascii="Times New Roman" w:hAnsi="Times New Roman" w:eastAsia="宋体" w:cs="Times New Roman"/>
                <w:highlight w:val="none"/>
                <w:lang w:val="en-US" w:eastAsia="zh-CN"/>
              </w:rPr>
              <w:t xml:space="preserve">24</w:t>
            </w:r>
            <w:r>
              <w:rPr>
                <w:rFonts w:ascii="Times New Roman" w:hAnsi="Times New Roman" w:eastAsia="宋体" w:cs="Times New Roman"/>
                <w:highlight w:val="none"/>
                <w:lang w:val="zh-CN" w:eastAsia="zh-CN"/>
              </w:rPr>
              <w:t xml:space="preserve">年</w:t>
            </w:r>
            <w:r>
              <w:rPr>
                <w:rFonts w:hint="eastAsia" w:ascii="Times New Roman" w:hAnsi="Times New Roman" w:eastAsia="宋体" w:cs="Times New Roman"/>
                <w:highlight w:val="none"/>
                <w:lang w:val="en-US" w:eastAsia="zh-CN"/>
              </w:rPr>
              <w:t xml:space="preserve">10</w:t>
            </w:r>
            <w:r>
              <w:rPr>
                <w:rFonts w:ascii="Times New Roman" w:hAnsi="Times New Roman" w:eastAsia="宋体" w:cs="Times New Roman"/>
                <w:highlight w:val="none"/>
                <w:lang w:val="zh-CN" w:eastAsia="zh-CN"/>
              </w:rPr>
              <w:t xml:space="preserve">月以来任意一个月的社保证明</w:t>
            </w:r>
            <w:r>
              <w:rPr>
                <w:rFonts w:hint="eastAsia" w:ascii="Times New Roman" w:hAnsi="Times New Roman" w:eastAsia="宋体" w:cs="Times New Roman"/>
                <w:highlight w:val="none"/>
                <w:lang w:val="zh-CN" w:eastAsia="zh-CN"/>
              </w:rPr>
              <w:t xml:space="preserve">材料</w:t>
            </w:r>
            <w:r>
              <w:rPr>
                <w:rFonts w:ascii="Times New Roman" w:hAnsi="Times New Roman" w:eastAsia="宋体" w:cs="Times New Roman"/>
                <w:highlight w:val="none"/>
                <w:lang w:val="zh-CN" w:eastAsia="zh-CN"/>
              </w:rPr>
              <w:t xml:space="preserve">，缺一不可）</w:t>
            </w:r>
            <w:r>
              <w:rPr>
                <w:rFonts w:hint="eastAsia" w:ascii="Times New Roman" w:hAnsi="Times New Roman" w:eastAsia="宋体" w:cs="Times New Roman"/>
                <w:highlight w:val="none"/>
                <w:lang w:val="en-US" w:eastAsia="zh-CN"/>
              </w:rPr>
            </w:r>
            <w:r/>
          </w:p>
          <w:p>
            <w:pPr>
              <w:pStyle w:val="946"/>
              <w:spacing w:line="264" w:lineRule="auto"/>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园林绿化类专业是指园林绿化工程规划、园林绿化设计、园林绿化施工及养护管理相关的专业，包括：园林（含园林规划设计、园林植物、风景园林、园林绿化等）、园艺、景观、植物（含植保、森保等）等专业。（城市道路定义【城市道路交通管理设施设置规范（DB 3201/T 256-2015）】：通达城市的各地区，供城市内交通运输及行人使用，便于居民生活、工作及文化娱乐活动，并与市外道路连接负担着对外交通的道路。包括快速路、城市主干路、城市次干</w:t>
            </w:r>
            <w:r>
              <w:rPr>
                <w:rFonts w:hint="eastAsia" w:ascii="Times New Roman" w:hAnsi="Times New Roman" w:eastAsia="宋体" w:cs="Times New Roman"/>
                <w:highlight w:val="none"/>
                <w:lang w:val="en-US" w:eastAsia="zh-CN"/>
              </w:rPr>
              <w:t xml:space="preserve">路、城市支路以及城市街巷。公路定义【城市道路交通管理设施设置规范（DB 3201/T 256-2015）】：连接城市之间、城乡之间、乡村之间，以及工矿基地之间按照国家技术标准修建的，由公路主管部门验收、维护和管理的道路。公路在车行道外设路肩，两侧种行道树，边沟排水。公路按行政等级可分为：国家公路、省公路、县公路、乡公路、村公路(简称为国、省、乡、村道)以及专用公路六个等级一般把国道和省道称为干线，县道和乡道称为支线。按使用任务、功能和适应的交通量分为高速公路，一级公路、二级公路、三级公路、四级公路五个等级。</w:t>
            </w:r>
            <w:r>
              <w:rPr>
                <w:rFonts w:ascii="Times New Roman" w:hAnsi="Times New Roman" w:eastAsia="宋体" w:cs="Times New Roman"/>
                <w:highlight w:val="none"/>
                <w:lang w:val="en-US" w:eastAsia="zh-CN"/>
              </w:rPr>
            </w:r>
            <w:r/>
          </w:p>
        </w:tc>
        <w:tc>
          <w:tcPr>
            <w:tcW w:w="573"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8</w:t>
            </w:r>
            <w:r>
              <w:rPr>
                <w:rFonts w:ascii="宋体" w:hAnsi="宋体" w:eastAsia="宋体" w:cs="宋体"/>
                <w:color w:val="000000"/>
                <w:sz w:val="21"/>
                <w:szCs w:val="21"/>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spacing w:val="-6"/>
                <w:highlight w:val="none"/>
              </w:rPr>
              <w:t xml:space="preserve">客</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ascii="宋体" w:hAnsi="宋体" w:eastAsia="宋体" w:cs="宋体"/>
                <w:color w:val="000000"/>
                <w:highlight w:val="none"/>
              </w:rPr>
            </w:r>
            <w:r/>
          </w:p>
        </w:tc>
      </w:tr>
      <w:tr>
        <w:trPr>
          <w:trHeight w:val="896"/>
        </w:trPr>
        <w:tc>
          <w:tcPr>
            <w:tcW w:w="519"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spacing w:val="-2"/>
                <w:highlight w:val="none"/>
              </w:rPr>
            </w:pPr>
            <w:r>
              <w:rPr>
                <w:rFonts w:hint="eastAsia" w:ascii="宋体" w:hAnsi="宋体" w:eastAsia="宋体" w:cs="宋体"/>
                <w:spacing w:val="-2"/>
                <w:highlight w:val="none"/>
              </w:rPr>
              <w:t xml:space="preserve">4</w:t>
            </w:r>
            <w:r>
              <w:rPr>
                <w:rFonts w:ascii="宋体" w:hAnsi="宋体" w:eastAsia="宋体" w:cs="宋体"/>
                <w:spacing w:val="-2"/>
                <w:highlight w:val="none"/>
              </w:rPr>
              <w:t xml:space="preserve">.2</w:t>
            </w:r>
            <w:r>
              <w:rPr>
                <w:rFonts w:ascii="宋体" w:hAnsi="宋体" w:eastAsia="宋体" w:cs="宋体"/>
                <w:spacing w:val="-2"/>
                <w:highlight w:val="none"/>
              </w:rPr>
            </w:r>
            <w:r/>
          </w:p>
        </w:tc>
        <w:tc>
          <w:tcPr>
            <w:tcW w:w="1179"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履约能力2</w:t>
            </w:r>
            <w:r>
              <w:rPr>
                <w:rFonts w:hint="eastAsia" w:ascii="Times New Roman" w:hAnsi="Times New Roman" w:eastAsia="宋体" w:cs="Times New Roman"/>
                <w:highlight w:val="none"/>
                <w:lang w:val="en-US" w:eastAsia="zh-CN"/>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投标人拟投入各采购包的技术负责人具有园林绿化类相关的中级或以上职称证书得3分。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ascii="Times New Roman" w:hAnsi="Times New Roman" w:eastAsia="宋体" w:cs="Times New Roman"/>
                <w:highlight w:val="none"/>
                <w:lang w:val="zh-CN" w:eastAsia="zh-CN"/>
              </w:rPr>
              <w:t xml:space="preserve">（提供</w:t>
            </w:r>
            <w:r>
              <w:rPr>
                <w:rFonts w:hint="eastAsia" w:ascii="Times New Roman" w:hAnsi="Times New Roman" w:eastAsia="宋体" w:cs="Times New Roman"/>
                <w:highlight w:val="none"/>
                <w:lang w:val="en-US" w:eastAsia="zh-CN"/>
              </w:rPr>
              <w:t xml:space="preserve">本人证书及</w:t>
            </w:r>
            <w:r>
              <w:rPr>
                <w:rFonts w:hint="eastAsia" w:ascii="Times New Roman" w:hAnsi="Times New Roman" w:eastAsia="宋体" w:cs="Times New Roman"/>
                <w:highlight w:val="none"/>
                <w:lang w:val="zh-CN" w:eastAsia="zh-CN"/>
              </w:rPr>
              <w:t xml:space="preserve">投标人</w:t>
            </w:r>
            <w:r>
              <w:rPr>
                <w:rFonts w:ascii="Times New Roman" w:hAnsi="Times New Roman" w:eastAsia="宋体" w:cs="Times New Roman"/>
                <w:highlight w:val="none"/>
                <w:lang w:val="zh-CN" w:eastAsia="zh-CN"/>
              </w:rPr>
              <w:t xml:space="preserve">为其缴纳的</w:t>
            </w:r>
            <w:r>
              <w:rPr>
                <w:rFonts w:ascii="Times New Roman" w:hAnsi="Times New Roman" w:eastAsia="宋体" w:cs="Times New Roman"/>
                <w:highlight w:val="none"/>
                <w:lang w:val="en-US" w:eastAsia="zh-CN"/>
              </w:rPr>
              <w:t xml:space="preserve">20</w:t>
            </w:r>
            <w:r>
              <w:rPr>
                <w:rFonts w:hint="eastAsia" w:ascii="Times New Roman" w:hAnsi="Times New Roman" w:eastAsia="宋体" w:cs="Times New Roman"/>
                <w:highlight w:val="none"/>
                <w:lang w:val="en-US" w:eastAsia="zh-CN"/>
              </w:rPr>
              <w:t xml:space="preserve">24</w:t>
            </w:r>
            <w:r>
              <w:rPr>
                <w:rFonts w:ascii="Times New Roman" w:hAnsi="Times New Roman" w:eastAsia="宋体" w:cs="Times New Roman"/>
                <w:highlight w:val="none"/>
                <w:lang w:val="zh-CN" w:eastAsia="zh-CN"/>
              </w:rPr>
              <w:t xml:space="preserve">年</w:t>
            </w:r>
            <w:r>
              <w:rPr>
                <w:rFonts w:hint="eastAsia" w:ascii="Times New Roman" w:hAnsi="Times New Roman" w:eastAsia="宋体" w:cs="Times New Roman"/>
                <w:highlight w:val="none"/>
                <w:lang w:val="en-US" w:eastAsia="zh-CN"/>
              </w:rPr>
              <w:t xml:space="preserve">10</w:t>
            </w:r>
            <w:r>
              <w:rPr>
                <w:rFonts w:ascii="Times New Roman" w:hAnsi="Times New Roman" w:eastAsia="宋体" w:cs="Times New Roman"/>
                <w:highlight w:val="none"/>
                <w:lang w:val="zh-CN" w:eastAsia="zh-CN"/>
              </w:rPr>
              <w:t xml:space="preserve">月以来任意一个月的社保证明</w:t>
            </w:r>
            <w:r>
              <w:rPr>
                <w:rFonts w:hint="eastAsia" w:ascii="Times New Roman" w:hAnsi="Times New Roman" w:eastAsia="宋体" w:cs="Times New Roman"/>
                <w:highlight w:val="none"/>
                <w:lang w:val="zh-CN" w:eastAsia="zh-CN"/>
              </w:rPr>
              <w:t xml:space="preserve">材料</w:t>
            </w:r>
            <w:r>
              <w:rPr>
                <w:rFonts w:ascii="Times New Roman" w:hAnsi="Times New Roman" w:eastAsia="宋体" w:cs="Times New Roman"/>
                <w:highlight w:val="none"/>
                <w:lang w:val="zh-CN" w:eastAsia="zh-CN"/>
              </w:rPr>
              <w:t xml:space="preserve">，缺一不可）</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园林绿化类专业是指园林绿化工程规划、园林绿化设计、园林绿化施工及养护管理相关的专业，包括：园林（含园林规划设计、园林植物、风景园林、园林绿化等）、园艺、景观、植物（含植保、森保等）等专业。</w:t>
            </w:r>
            <w:r>
              <w:rPr>
                <w:rFonts w:hint="eastAsia" w:ascii="Times New Roman" w:hAnsi="Times New Roman" w:eastAsia="宋体" w:cs="Times New Roman"/>
                <w:highlight w:val="none"/>
                <w:lang w:val="en-US" w:eastAsia="zh-CN"/>
              </w:rPr>
            </w:r>
            <w:r/>
          </w:p>
        </w:tc>
        <w:tc>
          <w:tcPr>
            <w:tcW w:w="573" w:type="dxa"/>
            <w:vAlign w:val="center"/>
            <w:textDirection w:val="lrTb"/>
            <w:noWrap w:val="false"/>
          </w:tcPr>
          <w:p>
            <w:pPr>
              <w:pStyle w:val="946"/>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3</w:t>
            </w:r>
            <w:r>
              <w:rPr>
                <w:rFonts w:hint="eastAsia" w:ascii="宋体" w:hAnsi="宋体" w:eastAsia="宋体" w:cs="宋体"/>
                <w:sz w:val="21"/>
                <w:szCs w:val="21"/>
                <w:highlight w:val="none"/>
                <w:lang w:val="en-US" w:eastAsia="zh-CN" w:bidi="ar-SA"/>
              </w:rPr>
            </w:r>
            <w:r/>
          </w:p>
        </w:tc>
        <w:tc>
          <w:tcPr>
            <w:tcW w:w="860"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highlight w:val="none"/>
              </w:rPr>
            </w:pPr>
            <w:r>
              <w:rPr>
                <w:rFonts w:hint="eastAsia" w:ascii="宋体" w:hAnsi="宋体" w:eastAsia="宋体" w:cs="宋体"/>
                <w:spacing w:val="-6"/>
                <w:highlight w:val="none"/>
              </w:rPr>
              <w:t xml:space="preserve">客</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ascii="宋体" w:hAnsi="宋体" w:eastAsia="宋体" w:cs="宋体"/>
                <w:highlight w:val="none"/>
              </w:rPr>
            </w:r>
            <w:r/>
          </w:p>
        </w:tc>
      </w:tr>
      <w:tr>
        <w:trPr>
          <w:trHeight w:val="760"/>
        </w:trPr>
        <w:tc>
          <w:tcPr>
            <w:tcW w:w="519" w:type="dxa"/>
            <w:vAlign w:val="center"/>
            <w:textDirection w:val="lrTb"/>
            <w:noWrap w:val="false"/>
          </w:tcPr>
          <w:p>
            <w:pPr>
              <w:pStyle w:val="946"/>
              <w:jc w:val="center"/>
              <w:keepLines w:val="0"/>
              <w:keepNext w:val="0"/>
              <w:pageBreakBefore w:val="0"/>
              <w:spacing w:line="264" w:lineRule="auto"/>
              <w:widowControl w:val="off"/>
              <w:rPr>
                <w:rFonts w:ascii="宋体" w:hAnsi="宋体" w:eastAsia="宋体" w:cs="宋体"/>
                <w:spacing w:val="-3"/>
                <w:highlight w:val="none"/>
              </w:rPr>
            </w:pPr>
            <w:r>
              <w:rPr>
                <w:rFonts w:hint="eastAsia" w:ascii="宋体" w:hAnsi="宋体" w:eastAsia="宋体" w:cs="宋体"/>
                <w:spacing w:val="-3"/>
                <w:highlight w:val="none"/>
              </w:rPr>
              <w:t xml:space="preserve">4.3</w:t>
            </w:r>
            <w:r>
              <w:rPr>
                <w:rFonts w:ascii="宋体" w:hAnsi="宋体" w:eastAsia="宋体" w:cs="宋体"/>
                <w:spacing w:val="-3"/>
                <w:highlight w:val="none"/>
              </w:rPr>
            </w:r>
            <w:r/>
          </w:p>
        </w:tc>
        <w:tc>
          <w:tcPr>
            <w:tcW w:w="1179"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履约能力3</w:t>
            </w:r>
            <w:r>
              <w:rPr>
                <w:rFonts w:hint="eastAsia" w:ascii="Times New Roman" w:hAnsi="Times New Roman" w:eastAsia="宋体" w:cs="Times New Roman"/>
                <w:highlight w:val="none"/>
                <w:lang w:val="en-US" w:eastAsia="zh-CN"/>
              </w:rPr>
            </w:r>
            <w:r/>
          </w:p>
        </w:tc>
        <w:tc>
          <w:tcPr>
            <w:tcW w:w="6616" w:type="dxa"/>
            <w:vAlign w:val="center"/>
            <w:textDirection w:val="lrTb"/>
            <w:noWrap w:val="false"/>
          </w:tcPr>
          <w:p>
            <w:pPr>
              <w:pStyle w:val="946"/>
              <w:spacing w:line="264" w:lineRule="auto"/>
              <w:rPr>
                <w:rFonts w:ascii="Times New Roman" w:hAnsi="Times New Roman" w:eastAsia="宋体" w:cs="Times New Roman"/>
                <w:highlight w:val="none"/>
                <w:lang w:val="zh-CN" w:eastAsia="zh-CN"/>
              </w:rPr>
            </w:pPr>
            <w:r>
              <w:rPr>
                <w:rFonts w:ascii="Times New Roman" w:hAnsi="Times New Roman" w:eastAsia="宋体" w:cs="Times New Roman"/>
                <w:highlight w:val="none"/>
                <w:lang w:val="zh-CN" w:eastAsia="zh-CN"/>
              </w:rPr>
              <w:t xml:space="preserve">投标人拟投入</w:t>
            </w:r>
            <w:r>
              <w:rPr>
                <w:rFonts w:hint="eastAsia" w:ascii="Times New Roman" w:hAnsi="Times New Roman" w:eastAsia="宋体" w:cs="Times New Roman"/>
                <w:highlight w:val="none"/>
                <w:lang w:val="en-US" w:eastAsia="zh-CN"/>
              </w:rPr>
              <w:t xml:space="preserve">各采购包的</w:t>
            </w:r>
            <w:r>
              <w:rPr>
                <w:rFonts w:ascii="Times New Roman" w:hAnsi="Times New Roman" w:eastAsia="宋体" w:cs="Times New Roman"/>
                <w:highlight w:val="none"/>
                <w:lang w:val="zh-CN" w:eastAsia="zh-CN"/>
              </w:rPr>
              <w:t xml:space="preserve">项目实施人员（除项目</w:t>
            </w:r>
            <w:r>
              <w:rPr>
                <w:rFonts w:hint="eastAsia" w:ascii="Times New Roman" w:hAnsi="Times New Roman" w:eastAsia="宋体" w:cs="Times New Roman"/>
                <w:highlight w:val="none"/>
                <w:lang w:val="en-US" w:eastAsia="zh-CN"/>
              </w:rPr>
              <w:t xml:space="preserve">负责人</w:t>
            </w:r>
            <w:r>
              <w:rPr>
                <w:rFonts w:ascii="Times New Roman" w:hAnsi="Times New Roman" w:eastAsia="宋体" w:cs="Times New Roman"/>
                <w:highlight w:val="none"/>
                <w:lang w:val="zh-CN" w:eastAsia="zh-CN"/>
              </w:rPr>
              <w:t xml:space="preserve">、技术负责人外）</w:t>
            </w:r>
            <w:r>
              <w:rPr>
                <w:rFonts w:hint="eastAsia" w:ascii="Times New Roman" w:hAnsi="Times New Roman" w:eastAsia="宋体" w:cs="Times New Roman"/>
                <w:highlight w:val="none"/>
                <w:lang w:val="en-US" w:eastAsia="zh-CN"/>
              </w:rPr>
              <w:t xml:space="preserve">具有</w:t>
            </w:r>
            <w:r>
              <w:rPr>
                <w:rFonts w:ascii="Times New Roman" w:hAnsi="Times New Roman" w:eastAsia="宋体" w:cs="Times New Roman"/>
                <w:highlight w:val="none"/>
                <w:lang w:val="zh-CN" w:eastAsia="zh-CN"/>
              </w:rPr>
              <w:t xml:space="preserve">安全员、资料员</w:t>
            </w:r>
            <w:r>
              <w:rPr>
                <w:rFonts w:hint="eastAsia" w:ascii="Times New Roman" w:hAnsi="Times New Roman" w:eastAsia="宋体" w:cs="Times New Roman"/>
                <w:highlight w:val="none"/>
                <w:lang w:val="en-US" w:eastAsia="zh-CN"/>
              </w:rPr>
              <w:t xml:space="preserve">证书</w:t>
            </w:r>
            <w:r>
              <w:rPr>
                <w:rFonts w:hint="eastAsia" w:ascii="Times New Roman" w:hAnsi="Times New Roman" w:eastAsia="宋体" w:cs="Times New Roman"/>
                <w:highlight w:val="none"/>
                <w:lang w:val="zh-CN" w:eastAsia="zh-CN"/>
              </w:rPr>
              <w:t xml:space="preserve">，</w:t>
            </w:r>
            <w:r>
              <w:rPr>
                <w:rFonts w:ascii="Times New Roman" w:hAnsi="Times New Roman" w:eastAsia="宋体" w:cs="Times New Roman"/>
                <w:highlight w:val="none"/>
                <w:lang w:val="zh-CN" w:eastAsia="zh-CN"/>
              </w:rPr>
              <w:t xml:space="preserve">每</w:t>
            </w:r>
            <w:r>
              <w:rPr>
                <w:rFonts w:hint="eastAsia" w:ascii="Times New Roman" w:hAnsi="Times New Roman" w:eastAsia="宋体" w:cs="Times New Roman"/>
                <w:highlight w:val="none"/>
                <w:lang w:val="en-US" w:eastAsia="zh-CN"/>
              </w:rPr>
              <w:t xml:space="preserve">提供1类</w:t>
            </w:r>
            <w:r>
              <w:rPr>
                <w:rFonts w:ascii="Times New Roman" w:hAnsi="Times New Roman" w:eastAsia="宋体" w:cs="Times New Roman"/>
                <w:highlight w:val="none"/>
                <w:lang w:val="zh-CN" w:eastAsia="zh-CN"/>
              </w:rPr>
              <w:t xml:space="preserve">证书得</w:t>
            </w:r>
            <w:r>
              <w:rPr>
                <w:rFonts w:hint="eastAsia" w:ascii="Times New Roman" w:hAnsi="Times New Roman" w:eastAsia="宋体" w:cs="Times New Roman"/>
                <w:highlight w:val="none"/>
                <w:lang w:val="en-US" w:eastAsia="zh-CN"/>
              </w:rPr>
              <w:t xml:space="preserve">2</w:t>
            </w:r>
            <w:r>
              <w:rPr>
                <w:rFonts w:ascii="Times New Roman" w:hAnsi="Times New Roman" w:eastAsia="宋体" w:cs="Times New Roman"/>
                <w:highlight w:val="none"/>
                <w:lang w:val="zh-CN" w:eastAsia="zh-CN"/>
              </w:rPr>
              <w:t xml:space="preserve">分，</w:t>
            </w:r>
            <w:r>
              <w:rPr>
                <w:rFonts w:hint="eastAsia" w:ascii="Times New Roman" w:hAnsi="Times New Roman" w:eastAsia="宋体" w:cs="Times New Roman"/>
                <w:highlight w:val="none"/>
                <w:lang w:val="en-US" w:eastAsia="zh-CN"/>
              </w:rPr>
              <w:t xml:space="preserve">最多得4</w:t>
            </w:r>
            <w:r>
              <w:rPr>
                <w:rFonts w:ascii="Times New Roman" w:hAnsi="Times New Roman" w:eastAsia="宋体" w:cs="Times New Roman"/>
                <w:highlight w:val="none"/>
                <w:lang w:val="zh-CN" w:eastAsia="zh-CN"/>
              </w:rPr>
              <w:t xml:space="preserve">分。</w:t>
            </w:r>
            <w:r>
              <w:rPr>
                <w:rFonts w:ascii="Times New Roman" w:hAnsi="Times New Roman" w:eastAsia="宋体" w:cs="Times New Roman"/>
                <w:highlight w:val="none"/>
                <w:lang w:val="zh-CN" w:eastAsia="zh-CN"/>
              </w:rPr>
            </w:r>
            <w:r/>
          </w:p>
          <w:p>
            <w:pPr>
              <w:pStyle w:val="946"/>
              <w:spacing w:line="264" w:lineRule="auto"/>
              <w:rPr>
                <w:rFonts w:hint="eastAsia" w:ascii="Times New Roman" w:hAnsi="Times New Roman" w:eastAsia="宋体" w:cs="Times New Roman"/>
                <w:highlight w:val="none"/>
                <w:lang w:val="en-US" w:eastAsia="zh-CN"/>
              </w:rPr>
            </w:pPr>
            <w:r>
              <w:rPr>
                <w:rFonts w:ascii="Times New Roman" w:hAnsi="Times New Roman" w:eastAsia="宋体" w:cs="Times New Roman"/>
                <w:highlight w:val="none"/>
                <w:lang w:val="zh-CN" w:eastAsia="zh-CN"/>
              </w:rPr>
              <w:t xml:space="preserve">（提供</w:t>
            </w:r>
            <w:r>
              <w:rPr>
                <w:rFonts w:hint="eastAsia" w:ascii="Times New Roman" w:hAnsi="Times New Roman" w:eastAsia="宋体" w:cs="Times New Roman"/>
                <w:highlight w:val="none"/>
                <w:lang w:val="en-US" w:eastAsia="zh-CN"/>
              </w:rPr>
              <w:t xml:space="preserve">本人证书及</w:t>
            </w:r>
            <w:r>
              <w:rPr>
                <w:rFonts w:hint="eastAsia" w:ascii="Times New Roman" w:hAnsi="Times New Roman" w:eastAsia="宋体" w:cs="Times New Roman"/>
                <w:highlight w:val="none"/>
                <w:lang w:val="zh-CN" w:eastAsia="zh-CN"/>
              </w:rPr>
              <w:t xml:space="preserve">投标人</w:t>
            </w:r>
            <w:r>
              <w:rPr>
                <w:rFonts w:ascii="Times New Roman" w:hAnsi="Times New Roman" w:eastAsia="宋体" w:cs="Times New Roman"/>
                <w:highlight w:val="none"/>
                <w:lang w:val="zh-CN" w:eastAsia="zh-CN"/>
              </w:rPr>
              <w:t xml:space="preserve">为其缴纳的</w:t>
            </w:r>
            <w:r>
              <w:rPr>
                <w:rFonts w:ascii="Times New Roman" w:hAnsi="Times New Roman" w:eastAsia="宋体" w:cs="Times New Roman"/>
                <w:highlight w:val="none"/>
                <w:lang w:val="en-US" w:eastAsia="zh-CN"/>
              </w:rPr>
              <w:t xml:space="preserve">20</w:t>
            </w:r>
            <w:r>
              <w:rPr>
                <w:rFonts w:hint="eastAsia" w:ascii="Times New Roman" w:hAnsi="Times New Roman" w:eastAsia="宋体" w:cs="Times New Roman"/>
                <w:highlight w:val="none"/>
                <w:lang w:val="en-US" w:eastAsia="zh-CN"/>
              </w:rPr>
              <w:t xml:space="preserve">24</w:t>
            </w:r>
            <w:r>
              <w:rPr>
                <w:rFonts w:ascii="Times New Roman" w:hAnsi="Times New Roman" w:eastAsia="宋体" w:cs="Times New Roman"/>
                <w:highlight w:val="none"/>
                <w:lang w:val="zh-CN" w:eastAsia="zh-CN"/>
              </w:rPr>
              <w:t xml:space="preserve">年</w:t>
            </w:r>
            <w:r>
              <w:rPr>
                <w:rFonts w:hint="eastAsia" w:ascii="Times New Roman" w:hAnsi="Times New Roman" w:eastAsia="宋体" w:cs="Times New Roman"/>
                <w:highlight w:val="none"/>
                <w:lang w:val="en-US" w:eastAsia="zh-CN"/>
              </w:rPr>
              <w:t xml:space="preserve">10</w:t>
            </w:r>
            <w:r>
              <w:rPr>
                <w:rFonts w:ascii="Times New Roman" w:hAnsi="Times New Roman" w:eastAsia="宋体" w:cs="Times New Roman"/>
                <w:highlight w:val="none"/>
                <w:lang w:val="zh-CN" w:eastAsia="zh-CN"/>
              </w:rPr>
              <w:t xml:space="preserve">月以来任意一个月的社保证明</w:t>
            </w:r>
            <w:r>
              <w:rPr>
                <w:rFonts w:hint="eastAsia" w:ascii="Times New Roman" w:hAnsi="Times New Roman" w:eastAsia="宋体" w:cs="Times New Roman"/>
                <w:highlight w:val="none"/>
                <w:lang w:val="zh-CN" w:eastAsia="zh-CN"/>
              </w:rPr>
              <w:t xml:space="preserve">材料</w:t>
            </w:r>
            <w:r>
              <w:rPr>
                <w:rFonts w:ascii="Times New Roman" w:hAnsi="Times New Roman" w:eastAsia="宋体" w:cs="Times New Roman"/>
                <w:highlight w:val="none"/>
                <w:lang w:val="zh-CN" w:eastAsia="zh-CN"/>
              </w:rPr>
              <w:t xml:space="preserve">，缺一不可）</w:t>
            </w:r>
            <w:r>
              <w:rPr>
                <w:rFonts w:hint="eastAsia" w:ascii="Times New Roman" w:hAnsi="Times New Roman" w:eastAsia="宋体" w:cs="Times New Roman"/>
                <w:highlight w:val="none"/>
                <w:lang w:val="en-US" w:eastAsia="zh-CN"/>
              </w:rPr>
            </w:r>
            <w:r/>
          </w:p>
          <w:p>
            <w:pPr>
              <w:pStyle w:val="946"/>
              <w:spacing w:line="264" w:lineRule="auto"/>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注：一人多证不可兼得，按最高分计。</w:t>
            </w:r>
            <w:r>
              <w:rPr>
                <w:rFonts w:ascii="Times New Roman" w:hAnsi="Times New Roman" w:eastAsia="宋体" w:cs="Times New Roman"/>
                <w:highlight w:val="none"/>
                <w:lang w:val="en-US" w:eastAsia="zh-CN"/>
              </w:rPr>
            </w:r>
            <w:r/>
          </w:p>
        </w:tc>
        <w:tc>
          <w:tcPr>
            <w:tcW w:w="573"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highlight w:val="none"/>
                <w:lang w:val="en-US" w:eastAsia="zh-CN"/>
              </w:rPr>
              <w:t xml:space="preserve">4</w:t>
            </w:r>
            <w:r>
              <w:rPr>
                <w:rFonts w:ascii="宋体" w:hAnsi="宋体" w:eastAsia="宋体" w:cs="宋体"/>
                <w:color w:val="000000"/>
                <w:highlight w:val="none"/>
              </w:rPr>
            </w:r>
            <w:r/>
          </w:p>
        </w:tc>
        <w:tc>
          <w:tcPr>
            <w:tcW w:w="860" w:type="dxa"/>
            <w:vAlign w:val="center"/>
            <w:textDirection w:val="lrTb"/>
            <w:noWrap w:val="false"/>
          </w:tcPr>
          <w:p>
            <w:pPr>
              <w:pStyle w:val="946"/>
              <w:ind w:right="89"/>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spacing w:val="-6"/>
                <w:highlight w:val="none"/>
              </w:rPr>
              <w:t xml:space="preserve">客</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rPr>
                <w:rFonts w:ascii="宋体" w:hAnsi="宋体" w:eastAsia="宋体" w:cs="宋体"/>
                <w:color w:val="000000"/>
                <w:highlight w:val="none"/>
              </w:rPr>
              <w:t xml:space="preserve"> </w:t>
            </w:r>
            <w:r>
              <w:rPr>
                <w:rFonts w:ascii="宋体" w:hAnsi="宋体" w:eastAsia="宋体" w:cs="宋体"/>
                <w:color w:val="000000"/>
                <w:highlight w:val="none"/>
              </w:rPr>
            </w:r>
            <w:r/>
          </w:p>
        </w:tc>
      </w:tr>
      <w:tr>
        <w:trPr>
          <w:trHeight w:val="90"/>
        </w:trPr>
        <w:tc>
          <w:tcPr>
            <w:tcW w:w="519" w:type="dxa"/>
            <w:vAlign w:val="center"/>
            <w:textDirection w:val="lrTb"/>
            <w:noWrap w:val="false"/>
          </w:tcPr>
          <w:p>
            <w:pPr>
              <w:pStyle w:val="946"/>
              <w:jc w:val="center"/>
              <w:keepLines w:val="0"/>
              <w:keepNext w:val="0"/>
              <w:pageBreakBefore w:val="0"/>
              <w:spacing w:line="264" w:lineRule="auto"/>
              <w:widowControl w:val="off"/>
              <w:rPr>
                <w:rFonts w:hint="eastAsia" w:ascii="宋体" w:hAnsi="宋体" w:eastAsia="宋体" w:cs="宋体"/>
                <w:spacing w:val="-3"/>
                <w:sz w:val="21"/>
                <w:szCs w:val="21"/>
                <w:highlight w:val="none"/>
                <w:lang w:val="en-US" w:eastAsia="zh-CN" w:bidi="ar-SA"/>
              </w:rPr>
            </w:pPr>
            <w:r>
              <w:rPr>
                <w:rFonts w:hint="eastAsia" w:ascii="宋体" w:hAnsi="宋体" w:eastAsia="宋体" w:cs="宋体"/>
                <w:spacing w:val="-3"/>
                <w:highlight w:val="none"/>
                <w:lang w:val="en-US" w:eastAsia="zh-CN"/>
              </w:rPr>
              <w:t xml:space="preserve">4.4</w:t>
            </w:r>
            <w:r>
              <w:rPr>
                <w:rFonts w:hint="eastAsia" w:ascii="宋体" w:hAnsi="宋体" w:eastAsia="宋体" w:cs="宋体"/>
                <w:spacing w:val="-3"/>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highlight w:val="none"/>
                <w:lang w:val="en-US" w:eastAsia="zh-CN"/>
              </w:rPr>
              <w:t xml:space="preserve">履约能力4</w:t>
            </w:r>
            <w:r>
              <w:rPr>
                <w:rFonts w:hint="eastAsia" w:ascii="Times New Roman" w:hAnsi="Times New Roman" w:eastAsia="宋体" w:cs="Times New Roman"/>
                <w:sz w:val="21"/>
                <w:szCs w:val="21"/>
                <w:highlight w:val="none"/>
                <w:lang w:val="en-US" w:eastAsia="zh-CN" w:bidi="ar-SA"/>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投标人拟投入各采购包的园林养护工（园林绿化工）具有园林绿化工程师中级（含）以上职称证书，每提供1个证书得1分，满分6分。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ascii="Times New Roman" w:hAnsi="Times New Roman" w:eastAsia="宋体" w:cs="Times New Roman"/>
                <w:highlight w:val="none"/>
                <w:lang w:val="zh-CN" w:eastAsia="zh-CN"/>
              </w:rPr>
              <w:t xml:space="preserve">（提供</w:t>
            </w:r>
            <w:r>
              <w:rPr>
                <w:rFonts w:hint="eastAsia" w:ascii="Times New Roman" w:hAnsi="Times New Roman" w:eastAsia="宋体" w:cs="Times New Roman"/>
                <w:highlight w:val="none"/>
                <w:lang w:val="en-US" w:eastAsia="zh-CN"/>
              </w:rPr>
              <w:t xml:space="preserve">本人证书及</w:t>
            </w:r>
            <w:r>
              <w:rPr>
                <w:rFonts w:hint="eastAsia" w:ascii="Times New Roman" w:hAnsi="Times New Roman" w:eastAsia="宋体" w:cs="Times New Roman"/>
                <w:highlight w:val="none"/>
                <w:lang w:val="zh-CN" w:eastAsia="zh-CN"/>
              </w:rPr>
              <w:t xml:space="preserve">投标人</w:t>
            </w:r>
            <w:r>
              <w:rPr>
                <w:rFonts w:ascii="Times New Roman" w:hAnsi="Times New Roman" w:eastAsia="宋体" w:cs="Times New Roman"/>
                <w:highlight w:val="none"/>
                <w:lang w:val="zh-CN" w:eastAsia="zh-CN"/>
              </w:rPr>
              <w:t xml:space="preserve">为其缴纳的</w:t>
            </w:r>
            <w:r>
              <w:rPr>
                <w:rFonts w:ascii="Times New Roman" w:hAnsi="Times New Roman" w:eastAsia="宋体" w:cs="Times New Roman"/>
                <w:highlight w:val="none"/>
                <w:lang w:val="en-US" w:eastAsia="zh-CN"/>
              </w:rPr>
              <w:t xml:space="preserve">20</w:t>
            </w:r>
            <w:r>
              <w:rPr>
                <w:rFonts w:hint="eastAsia" w:ascii="Times New Roman" w:hAnsi="Times New Roman" w:eastAsia="宋体" w:cs="Times New Roman"/>
                <w:highlight w:val="none"/>
                <w:lang w:val="en-US" w:eastAsia="zh-CN"/>
              </w:rPr>
              <w:t xml:space="preserve">24</w:t>
            </w:r>
            <w:r>
              <w:rPr>
                <w:rFonts w:ascii="Times New Roman" w:hAnsi="Times New Roman" w:eastAsia="宋体" w:cs="Times New Roman"/>
                <w:highlight w:val="none"/>
                <w:lang w:val="zh-CN" w:eastAsia="zh-CN"/>
              </w:rPr>
              <w:t xml:space="preserve">年</w:t>
            </w:r>
            <w:r>
              <w:rPr>
                <w:rFonts w:hint="eastAsia" w:ascii="Times New Roman" w:hAnsi="Times New Roman" w:eastAsia="宋体" w:cs="Times New Roman"/>
                <w:highlight w:val="none"/>
                <w:lang w:val="en-US" w:eastAsia="zh-CN"/>
              </w:rPr>
              <w:t xml:space="preserve">10</w:t>
            </w:r>
            <w:r>
              <w:rPr>
                <w:rFonts w:ascii="Times New Roman" w:hAnsi="Times New Roman" w:eastAsia="宋体" w:cs="Times New Roman"/>
                <w:highlight w:val="none"/>
                <w:lang w:val="zh-CN" w:eastAsia="zh-CN"/>
              </w:rPr>
              <w:t xml:space="preserve">月以来任意一个月的社保证明</w:t>
            </w:r>
            <w:r>
              <w:rPr>
                <w:rFonts w:hint="eastAsia" w:ascii="Times New Roman" w:hAnsi="Times New Roman" w:eastAsia="宋体" w:cs="Times New Roman"/>
                <w:highlight w:val="none"/>
                <w:lang w:val="zh-CN" w:eastAsia="zh-CN"/>
              </w:rPr>
              <w:t xml:space="preserve">材料</w:t>
            </w:r>
            <w:r>
              <w:rPr>
                <w:rFonts w:ascii="Times New Roman" w:hAnsi="Times New Roman" w:eastAsia="宋体" w:cs="Times New Roman"/>
                <w:highlight w:val="none"/>
                <w:lang w:val="zh-CN" w:eastAsia="zh-CN"/>
              </w:rPr>
              <w:t xml:space="preserve">，缺一不可）</w:t>
            </w:r>
            <w:r>
              <w:rPr>
                <w:rFonts w:hint="eastAsia" w:ascii="Times New Roman" w:hAnsi="Times New Roman" w:eastAsia="宋体" w:cs="Times New Roman"/>
                <w:highlight w:val="none"/>
                <w:lang w:val="en-US" w:eastAsia="zh-CN"/>
              </w:rPr>
            </w:r>
            <w:r/>
          </w:p>
          <w:p>
            <w:pPr>
              <w:pStyle w:val="946"/>
              <w:spacing w:line="264" w:lineRule="auto"/>
              <w:rPr>
                <w:rFonts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highlight w:val="none"/>
                <w:lang w:val="en-US" w:eastAsia="zh-CN"/>
              </w:rPr>
              <w:t xml:space="preserve">注：一人多证不可兼得，按最高分计。</w:t>
            </w:r>
            <w:r>
              <w:rPr>
                <w:rFonts w:ascii="Times New Roman" w:hAnsi="Times New Roman" w:eastAsia="宋体" w:cs="Times New Roman"/>
                <w:sz w:val="21"/>
                <w:szCs w:val="21"/>
                <w:highlight w:val="none"/>
                <w:lang w:val="en-US" w:eastAsia="zh-CN" w:bidi="ar-SA"/>
              </w:rPr>
            </w:r>
            <w:r/>
          </w:p>
        </w:tc>
        <w:tc>
          <w:tcPr>
            <w:tcW w:w="573"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6</w:t>
            </w:r>
            <w:r>
              <w:rPr>
                <w:rFonts w:ascii="宋体" w:hAnsi="宋体" w:eastAsia="宋体" w:cs="宋体"/>
                <w:highlight w:val="none"/>
                <w:lang w:val="en-US" w:eastAsia="zh-CN"/>
              </w:rPr>
            </w:r>
            <w:r/>
          </w:p>
        </w:tc>
        <w:tc>
          <w:tcPr>
            <w:tcW w:w="860" w:type="dxa"/>
            <w:vAlign w:val="center"/>
            <w:textDirection w:val="lrTb"/>
            <w:noWrap w:val="false"/>
          </w:tcPr>
          <w:p>
            <w:pPr>
              <w:pStyle w:val="946"/>
              <w:ind w:right="89"/>
              <w:jc w:val="center"/>
              <w:keepLines w:val="0"/>
              <w:keepNext w:val="0"/>
              <w:pageBreakBefore w:val="0"/>
              <w:spacing w:before="68" w:line="264" w:lineRule="auto"/>
              <w:widowControl w:val="off"/>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客观分</w:t>
            </w:r>
            <w:r>
              <w:rPr>
                <w:rFonts w:hint="eastAsia" w:ascii="宋体" w:hAnsi="宋体" w:eastAsia="宋体" w:cs="宋体"/>
                <w:spacing w:val="-6"/>
                <w:highlight w:val="none"/>
                <w:lang w:val="en-US" w:eastAsia="zh-CN"/>
              </w:rPr>
            </w:r>
            <w:r/>
          </w:p>
        </w:tc>
      </w:tr>
      <w:tr>
        <w:trPr>
          <w:trHeight w:val="760"/>
        </w:trPr>
        <w:tc>
          <w:tcPr>
            <w:tcW w:w="519" w:type="dxa"/>
            <w:vAlign w:val="center"/>
            <w:textDirection w:val="lrTb"/>
            <w:noWrap w:val="false"/>
          </w:tcPr>
          <w:p>
            <w:pPr>
              <w:pStyle w:val="946"/>
              <w:jc w:val="center"/>
              <w:keepLines w:val="0"/>
              <w:keepNext w:val="0"/>
              <w:pageBreakBefore w:val="0"/>
              <w:spacing w:line="264" w:lineRule="auto"/>
              <w:widowControl w:val="off"/>
              <w:rPr>
                <w:rFonts w:hint="eastAsia" w:ascii="宋体" w:hAnsi="宋体" w:eastAsia="宋体" w:cs="宋体"/>
                <w:spacing w:val="-3"/>
                <w:sz w:val="21"/>
                <w:szCs w:val="21"/>
                <w:highlight w:val="none"/>
                <w:lang w:val="en-US" w:eastAsia="zh-CN" w:bidi="ar-SA"/>
              </w:rPr>
            </w:pPr>
            <w:r>
              <w:rPr>
                <w:rFonts w:hint="eastAsia" w:ascii="宋体" w:hAnsi="宋体" w:eastAsia="宋体" w:cs="宋体"/>
                <w:spacing w:val="-3"/>
                <w:highlight w:val="none"/>
                <w:lang w:val="en-US" w:eastAsia="zh-CN"/>
              </w:rPr>
              <w:t xml:space="preserve">4.5</w:t>
            </w:r>
            <w:r>
              <w:rPr>
                <w:rFonts w:hint="eastAsia" w:ascii="宋体" w:hAnsi="宋体" w:eastAsia="宋体" w:cs="宋体"/>
                <w:spacing w:val="-3"/>
                <w:sz w:val="21"/>
                <w:szCs w:val="21"/>
                <w:highlight w:val="none"/>
                <w:lang w:val="en-US" w:eastAsia="zh-CN" w:bidi="ar-SA"/>
              </w:rPr>
            </w:r>
            <w:r/>
          </w:p>
        </w:tc>
        <w:tc>
          <w:tcPr>
            <w:tcW w:w="1179"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履约能力5</w:t>
            </w:r>
            <w:r>
              <w:rPr>
                <w:rFonts w:hint="eastAsia" w:ascii="Times New Roman" w:hAnsi="Times New Roman" w:eastAsia="宋体" w:cs="Times New Roman"/>
                <w:highlight w:val="none"/>
                <w:lang w:val="en-US" w:eastAsia="zh-CN"/>
              </w:rPr>
            </w:r>
            <w:r/>
          </w:p>
        </w:tc>
        <w:tc>
          <w:tcPr>
            <w:tcW w:w="6616" w:type="dxa"/>
            <w:vAlign w:val="center"/>
            <w:textDirection w:val="lrTb"/>
            <w:noWrap w:val="false"/>
          </w:tcPr>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投标人拟投入本项目的车辆或设备：</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1、8吨（含）以上绿化用洒水车（带冲洗功能），有1台得2分，满分4分。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2、高空作业车辆1台，得2分。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3、雾炮车1台，得2分。</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4、高空农药喷洒车1台，得2分。</w:t>
            </w:r>
            <w:r>
              <w:rPr>
                <w:rFonts w:hint="eastAsia" w:ascii="Times New Roman" w:hAnsi="Times New Roman" w:eastAsia="宋体" w:cs="Times New Roman"/>
                <w:highlight w:val="none"/>
                <w:lang w:val="en-US" w:eastAsia="zh-CN"/>
              </w:rPr>
            </w:r>
            <w:r/>
          </w:p>
          <w:p>
            <w:pPr>
              <w:pStyle w:val="946"/>
              <w:spacing w:line="264" w:lineRule="auto"/>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上述车辆若为租赁得该项一半分值。</w:t>
            </w:r>
            <w:r>
              <w:rPr>
                <w:rFonts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备注：</w:t>
            </w:r>
            <w:r>
              <w:rPr>
                <w:rFonts w:hint="eastAsia" w:ascii="Times New Roman" w:hAnsi="Times New Roman" w:eastAsia="宋体" w:cs="Times New Roman"/>
                <w:highlight w:val="none"/>
                <w:lang w:val="en-US" w:eastAsia="zh-CN"/>
              </w:rPr>
            </w:r>
            <w:r/>
          </w:p>
          <w:p>
            <w:pPr>
              <w:pStyle w:val="946"/>
              <w:spacing w:line="264"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（1）上述车辆若为自有：提供有效期内行驶证、自购发票（</w:t>
            </w:r>
            <w:r>
              <w:rPr>
                <w:rFonts w:hint="eastAsia" w:ascii="宋体" w:hAnsi="宋体" w:eastAsia="宋体" w:cs="宋体"/>
                <w:color w:val="000000"/>
                <w:sz w:val="21"/>
                <w:szCs w:val="21"/>
                <w:highlight w:val="none"/>
                <w:lang w:val="en-US" w:eastAsia="zh-CN" w:bidi="ar"/>
              </w:rPr>
              <w:t xml:space="preserve">发票抬头和行驶证单位名称需与投标人名称一致）</w:t>
            </w:r>
            <w:r>
              <w:rPr>
                <w:rFonts w:hint="eastAsia" w:ascii="Times New Roman" w:hAnsi="Times New Roman" w:eastAsia="宋体" w:cs="Times New Roman"/>
                <w:highlight w:val="none"/>
                <w:lang w:val="en-US" w:eastAsia="zh-CN"/>
              </w:rPr>
              <w:t xml:space="preserve">；若为租赁：提供行驶证及租赁协议（</w:t>
            </w:r>
            <w:r>
              <w:rPr>
                <w:rFonts w:hint="eastAsia" w:ascii="宋体" w:hAnsi="宋体" w:eastAsia="宋体" w:cs="宋体"/>
                <w:color w:val="000000"/>
                <w:sz w:val="21"/>
                <w:szCs w:val="21"/>
                <w:highlight w:val="none"/>
                <w:lang w:val="en-US" w:eastAsia="zh-CN" w:bidi="ar"/>
              </w:rPr>
              <w:t xml:space="preserve">租赁合同乙方需与投标人名称一致，</w:t>
            </w:r>
            <w:r>
              <w:rPr>
                <w:rFonts w:hint="eastAsia" w:ascii="Times New Roman" w:hAnsi="Times New Roman" w:eastAsia="宋体" w:cs="Times New Roman"/>
                <w:highlight w:val="none"/>
                <w:lang w:val="en-US" w:eastAsia="zh-CN"/>
              </w:rPr>
              <w:t xml:space="preserve">租赁合同有效期须覆盖合同养护期限）</w:t>
            </w:r>
            <w:r>
              <w:rPr>
                <w:rFonts w:hint="eastAsia" w:ascii="Times New Roman" w:hAnsi="Times New Roman" w:eastAsia="宋体" w:cs="Times New Roman"/>
                <w:highlight w:val="none"/>
                <w:lang w:val="en-US" w:eastAsia="zh-CN"/>
              </w:rPr>
            </w:r>
            <w:r/>
          </w:p>
          <w:p>
            <w:pPr>
              <w:pStyle w:val="1010"/>
              <w:ind w:left="0" w:right="0"/>
              <w:jc w:val="both"/>
              <w:keepLines w:val="0"/>
              <w:keepNext w:val="0"/>
              <w:spacing w:before="0" w:beforeAutospacing="0" w:after="0" w:afterAutospacing="0" w:line="288" w:lineRule="auto"/>
              <w:widowControl w:val="off"/>
              <w:rPr>
                <w:rFonts w:hint="eastAsia" w:ascii="Times New Roman" w:hAnsi="Times New Roman"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2</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行驶证或发票上车辆或设备</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t xml:space="preserve">无需与评分标准给定名称完全一致，但功能需相同；如提供的机械设备名称与评分标准给定名称不同时，应提供功能说明，相应功能应符合采购要求，否则不得分。</w:t>
            </w:r>
            <w:r>
              <w:rPr>
                <w:rFonts w:hint="eastAsia" w:ascii="Times New Roman" w:hAnsi="Times New Roman" w:eastAsia="宋体" w:cs="Times New Roman"/>
                <w:sz w:val="24"/>
                <w:szCs w:val="24"/>
                <w:highlight w:val="none"/>
                <w:lang w:val="en-US" w:eastAsia="zh-CN" w:bidi="ar-SA"/>
              </w:rPr>
            </w:r>
            <w:r/>
          </w:p>
        </w:tc>
        <w:tc>
          <w:tcPr>
            <w:tcW w:w="573" w:type="dxa"/>
            <w:vAlign w:val="center"/>
            <w:textDirection w:val="lrTb"/>
            <w:noWrap w:val="false"/>
          </w:tcPr>
          <w:p>
            <w:pPr>
              <w:pStyle w:val="946"/>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10</w:t>
            </w:r>
            <w:r>
              <w:rPr>
                <w:rFonts w:ascii="宋体" w:hAnsi="宋体" w:eastAsia="宋体" w:cs="宋体"/>
                <w:highlight w:val="none"/>
                <w:lang w:val="en-US" w:eastAsia="zh-CN"/>
              </w:rPr>
            </w:r>
            <w:r/>
          </w:p>
        </w:tc>
        <w:tc>
          <w:tcPr>
            <w:tcW w:w="860" w:type="dxa"/>
            <w:vAlign w:val="center"/>
            <w:textDirection w:val="lrTb"/>
            <w:noWrap w:val="false"/>
          </w:tcPr>
          <w:p>
            <w:pPr>
              <w:pStyle w:val="946"/>
              <w:ind w:right="89"/>
              <w:jc w:val="center"/>
              <w:keepLines w:val="0"/>
              <w:keepNext w:val="0"/>
              <w:pageBreakBefore w:val="0"/>
              <w:spacing w:before="68" w:line="264" w:lineRule="auto"/>
              <w:widowControl w:val="off"/>
              <w:rPr>
                <w:rFonts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客观分</w:t>
            </w:r>
            <w:r>
              <w:rPr>
                <w:rFonts w:ascii="宋体" w:hAnsi="宋体" w:eastAsia="宋体" w:cs="宋体"/>
                <w:spacing w:val="-6"/>
                <w:highlight w:val="none"/>
                <w:lang w:val="en-US" w:eastAsia="zh-CN"/>
              </w:rPr>
            </w:r>
            <w:r/>
          </w:p>
        </w:tc>
      </w:tr>
      <w:tr>
        <w:trPr>
          <w:trHeight w:val="464"/>
        </w:trPr>
        <w:tc>
          <w:tcPr>
            <w:tcW w:w="519" w:type="dxa"/>
            <w:vAlign w:val="center"/>
            <w:textDirection w:val="lrTb"/>
            <w:noWrap w:val="false"/>
          </w:tcPr>
          <w:p>
            <w:pPr>
              <w:pStyle w:val="946"/>
              <w:jc w:val="center"/>
              <w:keepLines w:val="0"/>
              <w:keepNext w:val="0"/>
              <w:pageBreakBefore w:val="0"/>
              <w:spacing w:line="264" w:lineRule="auto"/>
              <w:widowControl w:val="off"/>
              <w:rPr>
                <w:rFonts w:hint="eastAsia" w:ascii="宋体" w:hAnsi="宋体" w:eastAsia="宋体" w:cs="宋体"/>
                <w:color w:val="ff0000"/>
                <w:highlight w:val="none"/>
              </w:rPr>
            </w:pPr>
            <w:r>
              <w:rPr>
                <w:rFonts w:ascii="宋体" w:hAnsi="宋体" w:eastAsia="宋体" w:cs="宋体"/>
                <w:spacing w:val="-3"/>
                <w:highlight w:val="none"/>
              </w:rPr>
              <w:t xml:space="preserve">合</w:t>
            </w:r>
            <w:r>
              <w:rPr>
                <w:rFonts w:ascii="宋体" w:hAnsi="宋体" w:eastAsia="宋体" w:cs="宋体"/>
                <w:spacing w:val="-2"/>
                <w:highlight w:val="none"/>
              </w:rPr>
              <w:t xml:space="preserve">计</w:t>
            </w:r>
            <w:r>
              <w:rPr>
                <w:rFonts w:hint="eastAsia" w:ascii="宋体" w:hAnsi="宋体" w:eastAsia="宋体" w:cs="宋体"/>
                <w:color w:val="ff0000"/>
                <w:highlight w:val="none"/>
              </w:rPr>
            </w:r>
            <w:r/>
          </w:p>
        </w:tc>
        <w:tc>
          <w:tcPr>
            <w:gridSpan w:val="2"/>
            <w:tcW w:w="7795" w:type="dxa"/>
            <w:vAlign w:val="center"/>
            <w:textDirection w:val="lrTb"/>
            <w:noWrap w:val="false"/>
          </w:tcPr>
          <w:p>
            <w:pPr>
              <w:pStyle w:val="946"/>
              <w:ind w:left="172"/>
              <w:jc w:val="center"/>
              <w:keepLines w:val="0"/>
              <w:keepNext w:val="0"/>
              <w:pageBreakBefore w:val="0"/>
              <w:spacing w:before="123" w:line="264" w:lineRule="auto"/>
              <w:widowControl w:val="off"/>
              <w:rPr>
                <w:rFonts w:ascii="宋体" w:hAnsi="宋体" w:eastAsia="宋体" w:cs="宋体"/>
                <w:color w:val="ff0000"/>
                <w:spacing w:val="-2"/>
                <w:highlight w:val="none"/>
              </w:rPr>
            </w:pPr>
            <w:r>
              <w:rPr>
                <w:rFonts w:ascii="宋体" w:hAnsi="宋体" w:eastAsia="宋体" w:cs="宋体"/>
                <w:color w:val="ff0000"/>
                <w:spacing w:val="-2"/>
                <w:highlight w:val="none"/>
              </w:rPr>
            </w:r>
            <w:r/>
          </w:p>
        </w:tc>
        <w:tc>
          <w:tcPr>
            <w:gridSpan w:val="2"/>
            <w:tcW w:w="1433" w:type="dxa"/>
            <w:vAlign w:val="center"/>
            <w:textDirection w:val="lrTb"/>
            <w:noWrap w:val="false"/>
          </w:tcPr>
          <w:p>
            <w:pPr>
              <w:pStyle w:val="946"/>
              <w:jc w:val="center"/>
              <w:keepLines w:val="0"/>
              <w:keepNext w:val="0"/>
              <w:pageBreakBefore w:val="0"/>
              <w:spacing w:line="264" w:lineRule="auto"/>
              <w:widowControl w:val="off"/>
              <w:rPr>
                <w:rFonts w:hint="eastAsia" w:ascii="宋体" w:hAnsi="宋体" w:eastAsia="宋体" w:cs="宋体"/>
                <w:color w:val="000000"/>
                <w:highlight w:val="none"/>
              </w:rPr>
            </w:pPr>
            <w:r>
              <w:rPr>
                <w:rFonts w:ascii="宋体" w:hAnsi="宋体" w:eastAsia="宋体" w:cs="宋体"/>
                <w:color w:val="000000"/>
                <w:spacing w:val="-11"/>
                <w:highlight w:val="none"/>
              </w:rPr>
              <w:t xml:space="preserve">100分</w:t>
            </w:r>
            <w:r>
              <w:rPr>
                <w:rFonts w:hint="eastAsia" w:ascii="宋体" w:hAnsi="宋体" w:eastAsia="宋体" w:cs="宋体"/>
                <w:color w:val="000000"/>
                <w:highlight w:val="none"/>
              </w:rPr>
            </w:r>
            <w:r/>
          </w:p>
        </w:tc>
      </w:tr>
    </w:tbl>
    <w:p>
      <w:pPr>
        <w:pStyle w:val="946"/>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46"/>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6"/>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rPr>
          <w:rFonts w:hint="eastAsia"/>
          <w:highlight w:val="none"/>
          <w:lang w:val="en-US" w:eastAsia="zh-CN"/>
        </w:rPr>
      </w:pPr>
      <w:r>
        <w:rPr>
          <w:rFonts w:hint="eastAsia"/>
          <w:highlight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rPr>
          <w:rFonts w:hint="eastAsia"/>
          <w:highlight w:val="none"/>
          <w:lang w:val="en-US" w:eastAsia="zh-CN"/>
        </w:rPr>
      </w:pPr>
      <w:r>
        <w:rPr>
          <w:rFonts w:hint="eastAsia"/>
          <w:highlight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rPr>
          <w:rFonts w:hint="eastAsia"/>
          <w:highlight w:val="none"/>
          <w:lang w:val="en-US" w:eastAsia="zh-CN"/>
        </w:rPr>
      </w:pPr>
      <w:r>
        <w:rPr>
          <w:rFonts w:hint="eastAsia"/>
          <w:highlight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rPr>
          <w:rFonts w:hint="eastAsia"/>
          <w:highlight w:val="none"/>
          <w:lang w:val="en-US" w:eastAsia="zh-CN"/>
        </w:rPr>
      </w:pPr>
      <w:r>
        <w:rPr>
          <w:rFonts w:hint="eastAsia"/>
          <w:highlight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rPr>
          <w:rFonts w:hint="eastAsia"/>
          <w:highlight w:val="none"/>
          <w:lang w:val="en-US" w:eastAsia="zh-CN"/>
        </w:rPr>
      </w:pPr>
      <w:r>
        <w:rPr>
          <w:rFonts w:hint="eastAsia"/>
          <w:highlight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rPr>
          <w:rFonts w:hint="eastAsia"/>
          <w:highlight w:val="none"/>
          <w:lang w:val="en-US" w:eastAsia="zh-CN"/>
        </w:rPr>
      </w:pPr>
      <w:r>
        <w:rPr>
          <w:rFonts w:hint="eastAsia"/>
          <w:highlight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rPr>
          <w:rFonts w:hint="eastAsia"/>
          <w:highlight w:val="none"/>
          <w:lang w:val="en-US" w:eastAsia="zh-CN"/>
        </w:rPr>
      </w:pPr>
      <w:r>
        <w:rPr>
          <w:rFonts w:hint="eastAsia"/>
          <w:highlight w:val="none"/>
          <w:lang w:val="en-US" w:eastAsia="zh-CN"/>
        </w:rPr>
      </w:r>
      <w:r/>
    </w:p>
    <w:p>
      <w:pPr>
        <w:pStyle w:val="958"/>
        <w:rPr>
          <w:rFonts w:hint="eastAsia"/>
          <w:highlight w:val="none"/>
          <w:lang w:val="en-US" w:eastAsia="zh-CN"/>
        </w:rPr>
      </w:pPr>
      <w:r>
        <w:rPr>
          <w:rFonts w:hint="eastAsia"/>
          <w:highlight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t xml:space="preserve">第六章  投标文件格式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946"/>
        <w:jc w:val="center"/>
        <w:rPr>
          <w:rFonts w:hint="eastAsia" w:ascii="宋体" w:hAnsi="宋体"/>
          <w:b/>
          <w:sz w:val="72"/>
          <w:highlight w:val="none"/>
        </w:rPr>
      </w:pPr>
      <w:r/>
      <w:bookmarkStart w:id="193" w:name="_Hlt26955039"/>
      <w:r/>
      <w:bookmarkEnd w:id="193"/>
      <w:r/>
      <w:bookmarkStart w:id="194" w:name="_Hlt26671244"/>
      <w:r/>
      <w:bookmarkEnd w:id="194"/>
      <w:r/>
      <w:bookmarkStart w:id="195" w:name="_Toc26554094"/>
      <w:r/>
      <w:bookmarkStart w:id="196" w:name="_Toc120614282"/>
      <w:r/>
      <w:bookmarkStart w:id="197" w:name="_Toc49090576"/>
      <w:r>
        <w:rPr>
          <w:rFonts w:hint="eastAsia" w:ascii="宋体" w:hAnsi="宋体"/>
          <w:b/>
          <w:sz w:val="72"/>
          <w:highlight w:val="none"/>
        </w:rPr>
      </w:r>
      <w:r/>
    </w:p>
    <w:p>
      <w:pPr>
        <w:pStyle w:val="946"/>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946"/>
        <w:jc w:val="center"/>
        <w:rPr>
          <w:rFonts w:hint="eastAsia" w:ascii="宋体" w:hAnsi="宋体"/>
          <w:b/>
          <w:sz w:val="72"/>
          <w:highlight w:val="none"/>
        </w:rPr>
      </w:pPr>
      <w:r>
        <w:rPr>
          <w:rFonts w:hint="eastAsia" w:ascii="宋体" w:hAnsi="宋体"/>
          <w:b/>
          <w:sz w:val="72"/>
          <w:highlight w:val="none"/>
        </w:rPr>
      </w:r>
      <w:r/>
    </w:p>
    <w:p>
      <w:pPr>
        <w:pStyle w:val="946"/>
        <w:jc w:val="center"/>
        <w:rPr>
          <w:rFonts w:hint="eastAsia" w:ascii="宋体" w:hAnsi="宋体"/>
          <w:b/>
          <w:sz w:val="72"/>
          <w:highlight w:val="none"/>
        </w:rPr>
      </w:pPr>
      <w:r>
        <w:rPr>
          <w:rFonts w:hint="eastAsia" w:ascii="宋体" w:hAnsi="宋体"/>
          <w:b/>
          <w:sz w:val="72"/>
          <w:highlight w:val="none"/>
        </w:rPr>
      </w:r>
      <w:r/>
    </w:p>
    <w:p>
      <w:pPr>
        <w:pStyle w:val="946"/>
        <w:jc w:val="center"/>
        <w:rPr>
          <w:rFonts w:hint="eastAsia" w:ascii="宋体" w:hAnsi="宋体"/>
          <w:b/>
          <w:sz w:val="36"/>
          <w:highlight w:val="none"/>
        </w:rPr>
      </w:pPr>
      <w:r>
        <w:rPr>
          <w:rFonts w:hint="eastAsia" w:ascii="宋体" w:hAnsi="宋体"/>
          <w:b/>
          <w:sz w:val="36"/>
          <w:highlight w:val="none"/>
        </w:rPr>
      </w:r>
      <w:r/>
    </w:p>
    <w:p>
      <w:pPr>
        <w:pStyle w:val="946"/>
        <w:jc w:val="center"/>
        <w:rPr>
          <w:rFonts w:hint="eastAsia" w:ascii="宋体" w:hAnsi="宋体"/>
          <w:b/>
          <w:sz w:val="36"/>
          <w:highlight w:val="none"/>
        </w:rPr>
      </w:pPr>
      <w:r>
        <w:rPr>
          <w:rFonts w:hint="eastAsia" w:ascii="宋体" w:hAnsi="宋体"/>
          <w:b/>
          <w:sz w:val="36"/>
          <w:highlight w:val="none"/>
        </w:rPr>
      </w:r>
      <w:r/>
    </w:p>
    <w:p>
      <w:pPr>
        <w:pStyle w:val="946"/>
        <w:jc w:val="center"/>
        <w:rPr>
          <w:rFonts w:hint="eastAsia" w:ascii="宋体" w:hAnsi="宋体"/>
          <w:b/>
          <w:sz w:val="36"/>
          <w:highlight w:val="none"/>
        </w:rPr>
      </w:pPr>
      <w:r>
        <w:rPr>
          <w:rFonts w:hint="eastAsia" w:ascii="宋体" w:hAnsi="宋体"/>
          <w:b/>
          <w:sz w:val="36"/>
          <w:highlight w:val="none"/>
        </w:rPr>
      </w:r>
      <w:r/>
    </w:p>
    <w:p>
      <w:pPr>
        <w:pStyle w:val="946"/>
        <w:ind w:firstLine="1084"/>
        <w:rPr>
          <w:rFonts w:ascii="宋体" w:hAnsi="宋体" w:eastAsia="宋体"/>
          <w:b/>
          <w:sz w:val="36"/>
          <w:highlight w:val="none"/>
          <w:lang w:val="en-US" w:eastAsia="zh-CN"/>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lang w:val="en-US" w:eastAsia="zh-CN"/>
        </w:rPr>
      </w:r>
      <w:r/>
    </w:p>
    <w:p>
      <w:pPr>
        <w:pStyle w:val="946"/>
        <w:ind w:firstLine="1084"/>
        <w:rPr>
          <w:rFonts w:ascii="宋体" w:hAnsi="宋体" w:eastAsia="宋体"/>
          <w:b/>
          <w:sz w:val="36"/>
          <w:highlight w:val="none"/>
          <w:u w:val="single"/>
          <w:lang w:val="en-US" w:eastAsia="zh-CN"/>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946"/>
        <w:rPr>
          <w:rFonts w:ascii="宋体" w:hAnsi="宋体" w:eastAsia="宋体"/>
          <w:b/>
          <w:sz w:val="36"/>
          <w:highlight w:val="none"/>
          <w:u w:val="single"/>
          <w:lang w:val="en-US" w:eastAsia="zh-CN"/>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946"/>
        <w:rPr>
          <w:rFonts w:ascii="宋体" w:hAnsi="宋体" w:eastAsia="宋体"/>
          <w:b/>
          <w:sz w:val="36"/>
          <w:highlight w:val="none"/>
          <w:u w:val="single"/>
          <w:lang w:val="en-US" w:eastAsia="zh-CN"/>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946"/>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46"/>
        <w:spacing w:line="440" w:lineRule="exact"/>
        <w:rPr>
          <w:rFonts w:ascii="宋体" w:hAnsi="宋体"/>
          <w:highlight w:val="none"/>
        </w:rPr>
      </w:pPr>
      <w:r>
        <w:rPr>
          <w:rFonts w:ascii="宋体" w:hAnsi="宋体"/>
          <w:highlight w:val="none"/>
        </w:rPr>
      </w:r>
      <w:r/>
    </w:p>
    <w:p>
      <w:pPr>
        <w:pStyle w:val="946"/>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宋体" w:hAnsi="宋体"/>
          <w:b/>
          <w:bCs/>
          <w:sz w:val="32"/>
          <w:szCs w:val="32"/>
          <w:highlight w:val="none"/>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一、供应商信用承诺函</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三、法人授权书</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四、投标函</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五、开标一览表（采购包1、采购包2）</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六、投标分项报价表（采购包1、采购包2）</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七、技术要求响应及偏离表（采购包1、采购包2）</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八、商务要求响应及偏离表（采购包1、采购包2）</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十一、联合体协议（如有）</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十二、分包承诺书（如有）</w:t>
      </w:r>
      <w:r>
        <w:rPr>
          <w:rFonts w:hint="eastAsia" w:ascii="宋体" w:hAnsi="宋体" w:eastAsia="宋体" w:cs="宋体"/>
          <w:b w:val="0"/>
          <w:bCs w:val="0"/>
          <w:i w:val="0"/>
          <w:sz w:val="28"/>
          <w:szCs w:val="28"/>
          <w:highlight w:val="none"/>
          <w:u w:val="none"/>
          <w:lang w:val="en-US" w:eastAsia="zh-CN"/>
        </w:rPr>
      </w:r>
      <w:r/>
    </w:p>
    <w:p>
      <w:pPr>
        <w:pStyle w:val="94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1052"/>
        <w:rPr>
          <w:rFonts w:ascii="宋体" w:hAnsi="宋体"/>
          <w:sz w:val="24"/>
          <w:highlight w:val="none"/>
        </w:rPr>
      </w:pPr>
      <w:r>
        <w:rPr>
          <w:rFonts w:ascii="宋体" w:hAnsi="宋体"/>
          <w:sz w:val="24"/>
          <w:highlight w:val="none"/>
        </w:rPr>
      </w:r>
      <w:r/>
    </w:p>
    <w:p>
      <w:pPr>
        <w:pStyle w:val="1052"/>
        <w:rPr>
          <w:rFonts w:ascii="宋体" w:hAnsi="宋体"/>
          <w:sz w:val="24"/>
          <w:highlight w:val="none"/>
        </w:rPr>
      </w:pPr>
      <w:r>
        <w:rPr>
          <w:rFonts w:ascii="宋体" w:hAnsi="宋体"/>
          <w:sz w:val="24"/>
          <w:highlight w:val="none"/>
        </w:rPr>
      </w:r>
      <w:r/>
    </w:p>
    <w:p>
      <w:pPr>
        <w:pStyle w:val="1052"/>
        <w:rPr>
          <w:rFonts w:ascii="宋体" w:hAnsi="宋体"/>
          <w:sz w:val="24"/>
          <w:highlight w:val="none"/>
        </w:rPr>
      </w:pPr>
      <w:r>
        <w:rPr>
          <w:rFonts w:ascii="宋体" w:hAnsi="宋体"/>
          <w:sz w:val="24"/>
          <w:highlight w:val="none"/>
        </w:rPr>
      </w:r>
      <w:r/>
    </w:p>
    <w:p>
      <w:pPr>
        <w:pStyle w:val="1052"/>
        <w:rPr>
          <w:rFonts w:ascii="宋体" w:hAnsi="宋体"/>
          <w:sz w:val="24"/>
          <w:highlight w:val="none"/>
        </w:rPr>
      </w:pPr>
      <w:r>
        <w:rPr>
          <w:rFonts w:ascii="宋体" w:hAnsi="宋体"/>
          <w:sz w:val="24"/>
          <w:highlight w:val="none"/>
        </w:rPr>
      </w:r>
      <w:r/>
    </w:p>
    <w:p>
      <w:pPr>
        <w:pStyle w:val="1052"/>
        <w:rPr>
          <w:rFonts w:ascii="宋体" w:hAnsi="宋体"/>
          <w:sz w:val="24"/>
          <w:highlight w:val="none"/>
        </w:rPr>
      </w:pPr>
      <w:r>
        <w:rPr>
          <w:rFonts w:ascii="宋体" w:hAnsi="宋体"/>
          <w:sz w:val="24"/>
          <w:highlight w:val="none"/>
        </w:rPr>
      </w:r>
      <w:r/>
    </w:p>
    <w:p>
      <w:pPr>
        <w:pStyle w:val="946"/>
        <w:ind w:firstLine="480"/>
        <w:spacing w:line="440" w:lineRule="exact"/>
        <w:rPr>
          <w:rFonts w:ascii="宋体" w:hAnsi="宋体"/>
          <w:sz w:val="24"/>
          <w:highlight w:val="none"/>
        </w:rPr>
      </w:pPr>
      <w:r>
        <w:rPr>
          <w:rFonts w:ascii="宋体" w:hAnsi="宋体"/>
          <w:sz w:val="24"/>
          <w:highlight w:val="none"/>
        </w:rPr>
      </w:r>
      <w:r/>
    </w:p>
    <w:p>
      <w:pPr>
        <w:pStyle w:val="946"/>
        <w:rPr>
          <w:rFonts w:hint="eastAsia" w:ascii="黑体" w:hAnsi="黑体" w:eastAsia="黑体" w:cs="Times New Roman"/>
          <w:i/>
          <w:sz w:val="32"/>
          <w:szCs w:val="32"/>
          <w:highlight w:val="none"/>
          <w:u w:val="single"/>
          <w:lang w:val="en-US" w:eastAsia="zh-CN"/>
        </w:rPr>
      </w:pPr>
      <w:r/>
      <w:bookmarkEnd w:id="195"/>
      <w:r/>
      <w:bookmarkEnd w:id="196"/>
      <w:r/>
      <w:bookmarkEnd w:id="197"/>
      <w:r/>
      <w:bookmarkStart w:id="198" w:name="_Toc120614284"/>
      <w:r>
        <w:rPr>
          <w:rFonts w:hint="eastAsia" w:ascii="黑体" w:hAnsi="黑体" w:eastAsia="黑体" w:cs="Times New Roman"/>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rPr>
          <w:rFonts w:hint="eastAsia" w:ascii="黑体" w:hAnsi="黑体" w:eastAsia="黑体" w:cs="Times New Roman"/>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rPr>
          <w:rFonts w:hint="eastAsia" w:ascii="黑体" w:hAnsi="黑体" w:eastAsia="黑体" w:cs="Times New Roman"/>
          <w:bCs/>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rPr>
          <w:rFonts w:hint="eastAsia" w:ascii="黑体" w:hAnsi="黑体" w:eastAsia="黑体" w:cs="Times New Roman"/>
          <w:bCs/>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rPr>
          <w:rFonts w:hint="eastAsia" w:ascii="黑体" w:hAnsi="黑体" w:eastAsia="黑体" w:cs="Times New Roman"/>
          <w:bCs/>
          <w:i/>
          <w:sz w:val="32"/>
          <w:szCs w:val="32"/>
          <w:highlight w:val="none"/>
          <w:u w:val="single"/>
          <w:lang w:val="en-US" w:eastAsia="zh-CN"/>
        </w:rPr>
      </w:r>
      <w:r/>
    </w:p>
    <w:p>
      <w:pPr>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bCs/>
          <w:i/>
          <w:sz w:val="32"/>
          <w:szCs w:val="32"/>
          <w:highlight w:val="none"/>
          <w:u w:val="single"/>
          <w:lang w:val="en-US" w:eastAsia="zh-CN"/>
        </w:rPr>
      </w:r>
      <w:r>
        <w:rPr>
          <w:rFonts w:hint="eastAsia" w:ascii="黑体" w:hAnsi="黑体" w:eastAsia="黑体" w:cs="Times New Roman"/>
          <w:bCs/>
          <w:i/>
          <w:sz w:val="32"/>
          <w:szCs w:val="32"/>
          <w:highlight w:val="none"/>
          <w:u w:val="single"/>
          <w:lang w:val="en-US" w:eastAsia="zh-CN"/>
        </w:rPr>
      </w:r>
      <w:r/>
    </w:p>
    <w:p>
      <w:pPr>
        <w:pStyle w:val="946"/>
        <w:rPr>
          <w:rFonts w:hint="eastAsia" w:ascii="黑体" w:hAnsi="黑体" w:eastAsia="黑体" w:cs="Times New Roman"/>
          <w:bCs/>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946"/>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946"/>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6"/>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一、供应商信用承诺函</w:t>
      </w:r>
      <w:r>
        <w:rPr>
          <w:rFonts w:hint="eastAsia" w:ascii="黑体" w:hAnsi="黑体" w:eastAsia="黑体" w:cs="Times New Roman"/>
          <w:i w:val="0"/>
          <w:sz w:val="32"/>
          <w:szCs w:val="32"/>
          <w:highlight w:val="none"/>
          <w:u w:val="none"/>
          <w:lang w:val="en-US" w:eastAsia="zh-CN"/>
        </w:rPr>
      </w:r>
      <w:r/>
    </w:p>
    <w:p>
      <w:pPr>
        <w:pStyle w:val="946"/>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0"/>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946"/>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如果我公司中标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将在中标结果公示后七个工作日内向采购人提供下列材料核验：</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46"/>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4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46"/>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rPr>
          <w:rFonts w:hint="eastAsia"/>
          <w:color w:val="000000"/>
          <w:sz w:val="24"/>
          <w:szCs w:val="24"/>
          <w:highlight w:val="none"/>
        </w:rPr>
      </w:r>
      <w:r/>
    </w:p>
    <w:p>
      <w:pPr>
        <w:pStyle w:val="946"/>
        <w:ind w:firstLine="492"/>
        <w:spacing w:line="460" w:lineRule="exact"/>
        <w:rPr>
          <w:color w:val="000000"/>
          <w:sz w:val="24"/>
          <w:szCs w:val="24"/>
          <w:highlight w:val="none"/>
        </w:rPr>
      </w:pPr>
      <w:r>
        <w:rPr>
          <w:color w:val="000000"/>
          <w:sz w:val="24"/>
          <w:szCs w:val="24"/>
          <w:highlight w:val="none"/>
        </w:rPr>
      </w:r>
      <w:r/>
    </w:p>
    <w:p>
      <w:pPr>
        <w:pStyle w:val="1071"/>
        <w:rPr>
          <w:color w:val="000000"/>
          <w:sz w:val="24"/>
          <w:szCs w:val="24"/>
          <w:highlight w:val="none"/>
        </w:rPr>
      </w:pPr>
      <w:r>
        <w:rPr>
          <w:color w:val="000000"/>
          <w:sz w:val="24"/>
          <w:szCs w:val="24"/>
          <w:highlight w:val="none"/>
        </w:rPr>
      </w:r>
      <w:r/>
    </w:p>
    <w:p>
      <w:pPr>
        <w:pStyle w:val="946"/>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46"/>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46"/>
        <w:rPr>
          <w:sz w:val="24"/>
          <w:szCs w:val="24"/>
          <w:highlight w:val="none"/>
        </w:rPr>
      </w:pPr>
      <w:r>
        <w:rPr>
          <w:sz w:val="24"/>
          <w:szCs w:val="24"/>
          <w:highlight w:val="none"/>
        </w:rPr>
      </w:r>
      <w:r/>
    </w:p>
    <w:p>
      <w:pPr>
        <w:pStyle w:val="946"/>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46"/>
        <w:ind w:firstLine="480"/>
        <w:spacing w:line="440" w:lineRule="exact"/>
        <w:rPr>
          <w:rFonts w:hint="eastAsia" w:ascii="宋体" w:hAnsi="宋体"/>
          <w:b w:val="0"/>
          <w:bCs w:val="0"/>
          <w:sz w:val="24"/>
          <w:szCs w:val="24"/>
          <w:highlight w:val="none"/>
          <w:lang w:eastAsia="zh-CN"/>
        </w:rPr>
      </w:pPr>
      <w:r>
        <w:rPr>
          <w:rFonts w:hint="eastAsia" w:ascii="宋体" w:hAnsi="宋体"/>
          <w:b w:val="0"/>
          <w:bCs w:val="0"/>
          <w:sz w:val="24"/>
          <w:szCs w:val="24"/>
          <w:highlight w:val="none"/>
          <w:lang w:eastAsia="zh-CN"/>
        </w:rPr>
      </w:r>
      <w:r/>
    </w:p>
    <w:p>
      <w:pPr>
        <w:pStyle w:val="946"/>
        <w:rPr>
          <w:rFonts w:hint="eastAsia"/>
          <w:highlight w:val="none"/>
          <w:lang w:eastAsia="zh-CN"/>
        </w:rPr>
      </w:pPr>
      <w:r>
        <w:rPr>
          <w:rFonts w:hint="eastAsia"/>
          <w:highlight w:val="none"/>
          <w:lang w:eastAsia="zh-CN"/>
        </w:rPr>
      </w:r>
      <w:r/>
    </w:p>
    <w:p>
      <w:pPr>
        <w:rPr>
          <w:rFonts w:hint="eastAsia" w:ascii="黑体" w:hAnsi="黑体" w:eastAsia="黑体" w:cs="Times New Roman"/>
          <w:bCs w:val="0"/>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rPr>
          <w:rFonts w:hint="eastAsia" w:ascii="黑体" w:hAnsi="黑体" w:eastAsia="黑体" w:cs="Times New Roman"/>
          <w:i w:val="0"/>
          <w:color w:val="000000"/>
          <w:sz w:val="32"/>
          <w:szCs w:val="32"/>
          <w:highlight w:val="none"/>
          <w:u w:val="none"/>
          <w:lang w:eastAsia="zh-CN"/>
        </w:rPr>
      </w:r>
      <w:r/>
    </w:p>
    <w:p>
      <w:pPr>
        <w:pStyle w:val="946"/>
        <w:rPr>
          <w:rFonts w:hint="eastAsia" w:ascii="黑体" w:hAnsi="黑体" w:eastAsia="黑体" w:cs="Times New Roman"/>
          <w:bCs w:val="0"/>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946"/>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946"/>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1033"/>
        <w:ind w:firstLine="480"/>
        <w:tabs>
          <w:tab w:val="left" w:pos="36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本项目申请人的特定资格要求中要求提供的</w:t>
      </w:r>
      <w:r>
        <w:rPr>
          <w:rFonts w:hint="eastAsia" w:ascii="Times New Roman" w:hAnsi="Times New Roman" w:eastAsia="宋体" w:cs="Times New Roman"/>
          <w:sz w:val="24"/>
          <w:szCs w:val="24"/>
          <w:highlight w:val="none"/>
          <w:lang w:val="en-US" w:eastAsia="zh-CN"/>
        </w:rPr>
        <w:t xml:space="preserve">材料</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946"/>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1057"/>
        <w:rPr>
          <w:rFonts w:hint="eastAsia"/>
          <w:highlight w:val="none"/>
        </w:rPr>
      </w:pPr>
      <w:r>
        <w:rPr>
          <w:rFonts w:hint="eastAsia"/>
          <w:highlight w:val="none"/>
        </w:rPr>
      </w:r>
      <w:r/>
    </w:p>
    <w:p>
      <w:pPr>
        <w:pStyle w:val="946"/>
        <w:rPr>
          <w:rFonts w:hint="eastAsia"/>
          <w:highlight w:val="none"/>
        </w:rPr>
      </w:pPr>
      <w:r>
        <w:rPr>
          <w:rFonts w:hint="eastAsia"/>
          <w:highlight w:val="none"/>
        </w:rPr>
      </w:r>
      <w:r/>
    </w:p>
    <w:p>
      <w:pPr>
        <w:pStyle w:val="946"/>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946"/>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946"/>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946"/>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946"/>
        <w:jc w:val="left"/>
        <w:spacing w:line="360" w:lineRule="auto"/>
        <w:rPr>
          <w:rFonts w:hint="eastAsia" w:ascii="黑体" w:hAnsi="黑体" w:eastAsia="黑体" w:cs="Times New Roman"/>
          <w:i w:val="0"/>
          <w:sz w:val="32"/>
          <w:szCs w:val="32"/>
          <w:highlight w:val="none"/>
          <w:u w:val="none"/>
        </w:rPr>
      </w:pPr>
      <w:r>
        <w:rPr>
          <w:rFonts w:hint="eastAsia" w:ascii="黑体" w:hAnsi="黑体" w:eastAsia="黑体" w:cs="Times New Roman"/>
          <w:i w:val="0"/>
          <w:sz w:val="32"/>
          <w:szCs w:val="32"/>
          <w:highlight w:val="none"/>
          <w:u w:val="none"/>
          <w:lang w:eastAsia="zh-CN"/>
        </w:rPr>
        <w:t xml:space="preserve">三</w:t>
      </w:r>
      <w:r>
        <w:rPr>
          <w:rFonts w:hint="eastAsia" w:ascii="黑体" w:hAnsi="黑体" w:eastAsia="黑体" w:cs="Times New Roman"/>
          <w:i w:val="0"/>
          <w:sz w:val="32"/>
          <w:szCs w:val="32"/>
          <w:highlight w:val="none"/>
          <w:u w:val="none"/>
        </w:rPr>
        <w:t xml:space="preserve">、法人授权书</w:t>
      </w:r>
      <w:r>
        <w:rPr>
          <w:rFonts w:hint="eastAsia" w:ascii="黑体" w:hAnsi="黑体" w:eastAsia="黑体" w:cs="Times New Roman"/>
          <w:i w:val="0"/>
          <w:sz w:val="32"/>
          <w:szCs w:val="32"/>
          <w:highlight w:val="none"/>
          <w:u w:val="none"/>
        </w:rPr>
      </w:r>
      <w:r/>
    </w:p>
    <w:p>
      <w:pPr>
        <w:pStyle w:val="946"/>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0"/>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1033"/>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33"/>
        <w:ind w:firstLine="480"/>
        <w:spacing w:line="480" w:lineRule="exact"/>
        <w:tabs>
          <w:tab w:val="left" w:pos="360" w:leader="none"/>
        </w:tabs>
        <w:rPr>
          <w:rFonts w:hint="eastAsia"/>
          <w:sz w:val="24"/>
          <w:szCs w:val="24"/>
          <w:highlight w:val="none"/>
        </w:rPr>
      </w:pPr>
      <w:r>
        <w:rPr>
          <w:rFonts w:hint="eastAsia"/>
          <w:sz w:val="24"/>
          <w:szCs w:val="24"/>
          <w:highlight w:val="none"/>
        </w:rPr>
        <w:t xml:space="preserve">本授权书声明：</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（投标人名称）授权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sz w:val="24"/>
          <w:szCs w:val="24"/>
          <w:highlight w:val="none"/>
        </w:rPr>
        <w:t xml:space="preserve">（被授权人姓名）</w:t>
      </w:r>
      <w:r>
        <w:rPr>
          <w:rFonts w:hint="eastAsia"/>
          <w:sz w:val="24"/>
          <w:szCs w:val="24"/>
          <w:highlight w:val="none"/>
          <w:lang w:val="en-US" w:eastAsia="zh-CN"/>
        </w:rPr>
        <w:t xml:space="preserve">作</w:t>
      </w:r>
      <w:r>
        <w:rPr>
          <w:rFonts w:hint="eastAsia"/>
          <w:sz w:val="24"/>
          <w:szCs w:val="24"/>
          <w:highlight w:val="none"/>
        </w:rPr>
        <w:t xml:space="preserve">为我方</w:t>
      </w:r>
      <w:r>
        <w:rPr>
          <w:rFonts w:hint="eastAsia"/>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sz w:val="24"/>
          <w:szCs w:val="24"/>
          <w:highlight w:val="none"/>
        </w:rPr>
        <w:t xml:space="preserve">项目采购活动的合法代理人</w:t>
      </w:r>
      <w:r>
        <w:rPr>
          <w:rFonts w:hint="eastAsia"/>
          <w:sz w:val="24"/>
          <w:szCs w:val="24"/>
          <w:highlight w:val="none"/>
          <w:lang w:eastAsia="zh-CN"/>
        </w:rPr>
        <w:t xml:space="preserve">，</w:t>
      </w:r>
      <w:r>
        <w:rPr>
          <w:rFonts w:hint="eastAsia"/>
          <w:sz w:val="24"/>
          <w:szCs w:val="24"/>
          <w:highlight w:val="none"/>
        </w:rPr>
        <w:t xml:space="preserve">以本单位名义全权处理一切与该项目采购有关的事务。</w:t>
      </w:r>
      <w:r>
        <w:rPr>
          <w:rFonts w:hint="eastAsia"/>
          <w:sz w:val="24"/>
          <w:szCs w:val="24"/>
          <w:highlight w:val="none"/>
        </w:rPr>
      </w:r>
      <w:r/>
    </w:p>
    <w:p>
      <w:pPr>
        <w:pStyle w:val="1033"/>
        <w:ind w:firstLine="480"/>
        <w:spacing w:line="480" w:lineRule="exact"/>
        <w:tabs>
          <w:tab w:val="left" w:pos="360" w:leader="none"/>
        </w:tabs>
        <w:rPr>
          <w:rFonts w:hint="eastAsia"/>
          <w:sz w:val="24"/>
          <w:szCs w:val="24"/>
          <w:highlight w:val="none"/>
        </w:rPr>
      </w:pPr>
      <w:r>
        <w:rPr>
          <w:rFonts w:hint="eastAsia"/>
          <w:sz w:val="24"/>
          <w:szCs w:val="24"/>
          <w:highlight w:val="none"/>
        </w:rPr>
        <w:t xml:space="preserve">本授权书</w:t>
      </w:r>
      <w:r>
        <w:rPr>
          <w:rFonts w:hint="eastAsia"/>
          <w:sz w:val="24"/>
          <w:szCs w:val="24"/>
          <w:highlight w:val="none"/>
          <w:lang w:val="en-US" w:eastAsia="zh-CN"/>
        </w:rPr>
        <w:t xml:space="preserve">自</w:t>
      </w:r>
      <w:r>
        <w:rPr>
          <w:rFonts w:hint="eastAsia"/>
          <w:sz w:val="24"/>
          <w:szCs w:val="24"/>
          <w:highlight w:val="none"/>
        </w:rPr>
        <w:t xml:space="preserve">______年____月____日起生效</w:t>
      </w:r>
      <w:r>
        <w:rPr>
          <w:rFonts w:hint="eastAsia"/>
          <w:sz w:val="24"/>
          <w:szCs w:val="24"/>
          <w:highlight w:val="none"/>
          <w:lang w:eastAsia="zh-CN"/>
        </w:rPr>
        <w:t xml:space="preserve">，</w:t>
      </w:r>
      <w:r>
        <w:rPr>
          <w:rFonts w:hint="eastAsia"/>
          <w:sz w:val="24"/>
          <w:szCs w:val="24"/>
          <w:highlight w:val="none"/>
        </w:rPr>
        <w:t xml:space="preserve">特此声明。</w:t>
      </w:r>
      <w:r>
        <w:rPr>
          <w:rFonts w:hint="eastAsia"/>
          <w:sz w:val="24"/>
          <w:szCs w:val="24"/>
          <w:highlight w:val="none"/>
        </w:rPr>
      </w:r>
      <w:r/>
    </w:p>
    <w:p>
      <w:pPr>
        <w:pStyle w:val="1033"/>
        <w:ind w:firstLine="480"/>
        <w:spacing w:line="480" w:lineRule="exact"/>
        <w:tabs>
          <w:tab w:val="left" w:pos="360" w:leader="none"/>
        </w:tabs>
        <w:rPr>
          <w:rFonts w:hint="eastAsia"/>
          <w:sz w:val="24"/>
          <w:szCs w:val="24"/>
          <w:highlight w:val="none"/>
        </w:rPr>
      </w:pPr>
      <w:r>
        <w:rPr>
          <w:rFonts w:hint="eastAsia"/>
          <w:sz w:val="24"/>
          <w:szCs w:val="24"/>
          <w:highlight w:val="none"/>
        </w:rPr>
        <w:t xml:space="preserve">被授权人身份证号码：</w:t>
      </w:r>
      <w:r>
        <w:rPr>
          <w:rFonts w:hint="eastAsia"/>
          <w:sz w:val="24"/>
          <w:szCs w:val="24"/>
          <w:highlight w:val="none"/>
        </w:rPr>
      </w:r>
      <w:r/>
    </w:p>
    <w:p>
      <w:pPr>
        <w:pStyle w:val="1033"/>
        <w:ind w:firstLine="480"/>
        <w:spacing w:line="480" w:lineRule="exact"/>
        <w:tabs>
          <w:tab w:val="left" w:pos="360" w:leader="none"/>
        </w:tabs>
        <w:rPr>
          <w:rFonts w:hint="eastAsia" w:eastAsia="宋体"/>
          <w:sz w:val="24"/>
          <w:szCs w:val="24"/>
          <w:highlight w:val="none"/>
          <w:u w:val="single"/>
          <w:lang w:val="en-US" w:eastAsia="zh-CN"/>
        </w:rPr>
      </w:pPr>
      <w:r>
        <w:rPr>
          <w:rFonts w:hint="eastAsia"/>
          <w:sz w:val="24"/>
          <w:szCs w:val="24"/>
          <w:highlight w:val="none"/>
        </w:rPr>
        <w:t xml:space="preserve">被授权人联系电话：（手机）</w:t>
      </w:r>
      <w:r>
        <w:rPr>
          <w:rFonts w:hint="eastAsia" w:eastAsia="宋体"/>
          <w:sz w:val="24"/>
          <w:szCs w:val="24"/>
          <w:highlight w:val="none"/>
          <w:u w:val="single"/>
          <w:lang w:val="en-US" w:eastAsia="zh-CN"/>
        </w:rPr>
      </w:r>
      <w:r/>
    </w:p>
    <w:p>
      <w:pPr>
        <w:pStyle w:val="1033"/>
        <w:ind w:firstLine="468"/>
        <w:spacing w:line="480" w:lineRule="exact"/>
        <w:tabs>
          <w:tab w:val="left" w:pos="360" w:leader="none"/>
        </w:tabs>
        <w:rPr>
          <w:rFonts w:eastAsia="宋体"/>
          <w:sz w:val="24"/>
          <w:szCs w:val="24"/>
          <w:highlight w:val="none"/>
          <w:lang w:val="en-US" w:eastAsia="zh-CN"/>
        </w:rPr>
      </w:pPr>
      <w:r>
        <w:rPr>
          <w:rFonts w:hint="eastAsia"/>
          <w:sz w:val="24"/>
          <w:szCs w:val="24"/>
          <w:highlight w:val="none"/>
          <w:lang w:val="en-US" w:eastAsia="zh-CN"/>
        </w:rPr>
        <w:t xml:space="preserve">单位</w:t>
      </w:r>
      <w:r>
        <w:rPr>
          <w:rFonts w:hint="eastAsia"/>
          <w:sz w:val="24"/>
          <w:szCs w:val="24"/>
          <w:highlight w:val="none"/>
        </w:rPr>
        <w:t xml:space="preserve">名称：</w:t>
      </w:r>
      <w:r>
        <w:rPr>
          <w:rFonts w:hint="eastAsia" w:ascii="宋体" w:hAnsi="宋体" w:eastAsia="宋体" w:cs="宋体"/>
          <w:sz w:val="24"/>
          <w:szCs w:val="24"/>
          <w:highlight w:val="none"/>
          <w:u w:val="none"/>
        </w:rPr>
        <w:t xml:space="preserve">（加盖电子公章）</w:t>
      </w:r>
      <w:r>
        <w:rPr>
          <w:rFonts w:eastAsia="宋体"/>
          <w:sz w:val="24"/>
          <w:szCs w:val="24"/>
          <w:highlight w:val="none"/>
          <w:lang w:val="en-US" w:eastAsia="zh-CN"/>
        </w:rPr>
      </w:r>
      <w:r/>
    </w:p>
    <w:p>
      <w:pPr>
        <w:pStyle w:val="1033"/>
        <w:ind w:firstLine="480"/>
        <w:spacing w:line="480" w:lineRule="exact"/>
        <w:tabs>
          <w:tab w:val="left" w:pos="360" w:leader="none"/>
        </w:tabs>
        <w:rPr>
          <w:rFonts w:hint="eastAsia"/>
          <w:sz w:val="24"/>
          <w:szCs w:val="24"/>
          <w:highlight w:val="none"/>
          <w:u w:val="single"/>
        </w:rPr>
      </w:pPr>
      <w:r>
        <w:rPr>
          <w:rFonts w:hint="eastAsia"/>
          <w:sz w:val="24"/>
          <w:szCs w:val="24"/>
          <w:highlight w:val="none"/>
        </w:rPr>
        <w:t xml:space="preserve">单位地址：</w:t>
      </w:r>
      <w:r>
        <w:rPr>
          <w:rFonts w:hint="eastAsia"/>
          <w:sz w:val="24"/>
          <w:szCs w:val="24"/>
          <w:highlight w:val="none"/>
          <w:u w:val="single"/>
        </w:rPr>
      </w:r>
      <w:r/>
    </w:p>
    <w:p>
      <w:pPr>
        <w:pStyle w:val="1033"/>
        <w:ind w:firstLine="480"/>
        <w:spacing w:line="480" w:lineRule="exact"/>
        <w:tabs>
          <w:tab w:val="left" w:pos="360" w:leader="none"/>
        </w:tabs>
        <w:rPr>
          <w:rFonts w:hint="eastAsia"/>
          <w:sz w:val="24"/>
          <w:szCs w:val="24"/>
          <w:highlight w:val="none"/>
        </w:rPr>
      </w:pPr>
      <w:r>
        <w:rPr>
          <w:rFonts w:hint="eastAsia"/>
          <w:sz w:val="24"/>
          <w:szCs w:val="24"/>
          <w:highlight w:val="none"/>
        </w:rPr>
        <w:t xml:space="preserve">日</w:t>
      </w:r>
      <w:r>
        <w:rPr>
          <w:rFonts w:hint="eastAsia"/>
          <w:sz w:val="24"/>
          <w:szCs w:val="24"/>
          <w:highlight w:val="none"/>
          <w:lang w:val="en-US" w:eastAsia="zh-CN"/>
        </w:rPr>
        <w:t xml:space="preserve">    </w:t>
      </w:r>
      <w:r>
        <w:rPr>
          <w:rFonts w:hint="eastAsia"/>
          <w:sz w:val="24"/>
          <w:szCs w:val="24"/>
          <w:highlight w:val="none"/>
        </w:rPr>
        <w:t xml:space="preserve">期：</w:t>
      </w:r>
      <w:bookmarkStart w:id="199" w:name="_Hlt26955070"/>
      <w:r/>
      <w:bookmarkEnd w:id="199"/>
      <w:r/>
      <w:bookmarkStart w:id="200" w:name="_Hlt26671380"/>
      <w:r/>
      <w:bookmarkEnd w:id="200"/>
      <w:r/>
      <w:bookmarkStart w:id="201" w:name="_格式3__银行出具的资信证明"/>
      <w:r/>
      <w:bookmarkEnd w:id="201"/>
      <w:r>
        <w:rPr>
          <w:rFonts w:hint="eastAsia"/>
          <w:sz w:val="24"/>
          <w:szCs w:val="24"/>
          <w:highlight w:val="none"/>
        </w:rPr>
      </w:r>
      <w:r/>
    </w:p>
    <w:p>
      <w:pPr>
        <w:pStyle w:val="961"/>
        <w:rPr>
          <w:rFonts w:hint="eastAsia"/>
          <w:i/>
          <w:sz w:val="24"/>
          <w:szCs w:val="24"/>
          <w:highlight w:val="none"/>
          <w:u w:val="single"/>
        </w:rPr>
      </w:pPr>
      <w:r>
        <w:rPr>
          <w:rFonts w:hint="eastAsia"/>
          <w:i/>
          <w:sz w:val="24"/>
          <w:szCs w:val="24"/>
          <w:highlight w:val="none"/>
          <w:u w:val="single"/>
        </w:rPr>
      </w:r>
      <w:r/>
    </w:p>
    <w:p>
      <w:pPr>
        <w:pStyle w:val="961"/>
        <w:rPr>
          <w:rFonts w:hint="eastAsia"/>
          <w:i/>
          <w:sz w:val="24"/>
          <w:szCs w:val="24"/>
          <w:highlight w:val="none"/>
          <w:u w:val="single"/>
        </w:rPr>
      </w:pPr>
      <w:r>
        <w:rPr>
          <w:rFonts w:hint="eastAsia"/>
          <w:i/>
          <w:sz w:val="24"/>
          <w:szCs w:val="24"/>
          <w:highlight w:val="none"/>
          <w:u w:val="single"/>
        </w:rPr>
      </w:r>
      <w:r/>
    </w:p>
    <w:p>
      <w:pPr>
        <w:pStyle w:val="961"/>
        <w:rPr>
          <w:rFonts w:hint="eastAsia"/>
          <w:i/>
          <w:sz w:val="24"/>
          <w:szCs w:val="24"/>
          <w:highlight w:val="none"/>
          <w:u w:val="single"/>
        </w:rPr>
      </w:pPr>
      <w:r>
        <w:rPr>
          <w:rFonts w:hint="eastAsia"/>
          <w:i/>
          <w:sz w:val="24"/>
          <w:szCs w:val="24"/>
          <w:highlight w:val="none"/>
          <w:u w:val="single"/>
        </w:rPr>
      </w:r>
      <w:r/>
    </w:p>
    <w:p>
      <w:pPr>
        <w:pStyle w:val="961"/>
        <w:ind w:firstLine="0"/>
        <w:rPr>
          <w:rFonts w:hint="eastAsia"/>
          <w:highlight w:val="none"/>
        </w:rPr>
      </w:pPr>
      <w:r>
        <w:rPr>
          <w:rFonts w:hint="eastAsia"/>
          <w:highlight w:val="none"/>
        </w:rPr>
      </w:r>
      <w:r/>
    </w:p>
    <w:p>
      <w:pPr>
        <w:pStyle w:val="946"/>
        <w:spacing w:line="460" w:lineRule="exact"/>
        <w:rPr>
          <w:rFonts w:hint="eastAsia" w:ascii="楷体" w:hAnsi="楷体" w:eastAsia="楷体"/>
          <w:bCs/>
          <w:sz w:val="24"/>
          <w:szCs w:val="24"/>
          <w:highlight w:val="none"/>
        </w:rPr>
      </w:pPr>
      <w:r>
        <w:rPr>
          <w:rFonts w:hint="eastAsia" w:ascii="楷体" w:hAnsi="楷体" w:eastAsia="楷体"/>
          <w:bCs/>
          <w:sz w:val="24"/>
          <w:szCs w:val="24"/>
          <w:highlight w:val="none"/>
        </w:rPr>
      </w:r>
      <w:r/>
    </w:p>
    <w:p>
      <w:pPr>
        <w:pStyle w:val="946"/>
        <w:spacing w:line="460" w:lineRule="exact"/>
        <w:rPr>
          <w:rFonts w:hint="eastAsia" w:ascii="宋体" w:hAnsi="宋体"/>
          <w:bCs/>
          <w:sz w:val="24"/>
          <w:highlight w:val="none"/>
        </w:rPr>
      </w:pPr>
      <w:r>
        <w:rPr>
          <w:rFonts w:hint="eastAsia" w:ascii="宋体" w:hAnsi="宋体"/>
          <w:bCs/>
          <w:sz w:val="24"/>
          <w:highlight w:val="none"/>
        </w:rPr>
      </w:r>
      <w:r/>
    </w:p>
    <w:p>
      <w:pPr>
        <w:pStyle w:val="1052"/>
        <w:rPr>
          <w:rFonts w:hint="eastAsia" w:ascii="宋体" w:hAnsi="宋体"/>
          <w:sz w:val="24"/>
          <w:szCs w:val="24"/>
          <w:highlight w:val="none"/>
        </w:rPr>
      </w:pPr>
      <w:r>
        <w:rPr>
          <w:rFonts w:hint="eastAsia" w:ascii="宋体" w:hAnsi="宋体"/>
          <w:bCs/>
          <w:sz w:val="24"/>
          <w:highlight w:val="none"/>
        </w:rPr>
      </w:r>
      <w:r>
        <w:rPr>
          <w:rFonts w:hint="eastAsia" w:ascii="宋体" w:hAnsi="宋体"/>
          <w:bCs/>
          <w:sz w:val="24"/>
          <w:highlight w:val="none"/>
        </w:rPr>
      </w:r>
      <w:r/>
    </w:p>
    <w:p>
      <w:pPr>
        <w:pStyle w:val="1052"/>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1052"/>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1052"/>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1052"/>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1052"/>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1052"/>
        <w:rPr>
          <w:rFonts w:hint="eastAsia" w:ascii="宋体" w:hAnsi="宋体"/>
          <w:sz w:val="24"/>
          <w:szCs w:val="24"/>
          <w:highlight w:val="none"/>
        </w:rPr>
      </w:pPr>
      <w:r>
        <w:rPr>
          <w:rFonts w:hint="eastAsia" w:ascii="宋体" w:hAnsi="宋体"/>
          <w:bCs/>
          <w:sz w:val="24"/>
          <w:highlight w:val="none"/>
        </w:rPr>
      </w:r>
      <w:r/>
    </w:p>
    <w:p>
      <w:pPr>
        <w:pStyle w:val="1052"/>
        <w:rPr>
          <w:rFonts w:hint="eastAsia" w:ascii="宋体" w:hAnsi="宋体"/>
          <w:bCs/>
          <w:sz w:val="24"/>
          <w:highlight w:val="none"/>
        </w:rPr>
      </w:pPr>
      <w:r>
        <w:rPr>
          <w:rFonts w:hint="eastAsia" w:ascii="宋体" w:hAnsi="宋体"/>
          <w:bCs/>
          <w:sz w:val="24"/>
          <w:highlight w:val="none"/>
        </w:rPr>
      </w:r>
      <w:r/>
    </w:p>
    <w:p>
      <w:pPr>
        <w:pStyle w:val="946"/>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四、投标函</w:t>
      </w:r>
      <w:r>
        <w:rPr>
          <w:rFonts w:hint="eastAsia" w:ascii="黑体" w:hAnsi="黑体" w:eastAsia="黑体" w:cs="Times New Roman"/>
          <w:i w:val="0"/>
          <w:sz w:val="32"/>
          <w:szCs w:val="32"/>
          <w:highlight w:val="none"/>
          <w:u w:val="none"/>
          <w:lang w:eastAsia="zh-CN"/>
        </w:rPr>
      </w:r>
      <w:r/>
    </w:p>
    <w:p>
      <w:pPr>
        <w:pStyle w:val="946"/>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48"/>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lang w:eastAsia="zh-CN"/>
        </w:rPr>
        <w:t xml:space="preserve">南京市公共资源交易中心</w:t>
      </w:r>
      <w:r>
        <w:rPr>
          <w:rFonts w:hint="eastAsia" w:ascii="宋体" w:hAnsi="宋体"/>
          <w:szCs w:val="21"/>
          <w:highlight w:val="none"/>
          <w:lang w:eastAsia="zh-CN"/>
        </w:rPr>
      </w:r>
      <w:r/>
    </w:p>
    <w:p>
      <w:pPr>
        <w:pStyle w:val="1048"/>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cs="Times New Roman"/>
          <w:sz w:val="24"/>
          <w:szCs w:val="21"/>
          <w:highlight w:val="none"/>
          <w:lang w:val="en-US" w:eastAsia="zh-CN"/>
        </w:rPr>
        <w:t xml:space="preserve">项目</w:t>
      </w:r>
      <w:r>
        <w:rPr>
          <w:rFonts w:hint="eastAsia" w:ascii="宋体" w:hAnsi="宋体"/>
          <w:szCs w:val="21"/>
          <w:highlight w:val="none"/>
        </w:rPr>
        <w:t xml:space="preserve">招标文件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48"/>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w:t>
      </w:r>
      <w:r>
        <w:rPr>
          <w:rFonts w:hint="eastAsia" w:ascii="宋体" w:hAnsi="宋体"/>
          <w:szCs w:val="21"/>
          <w:highlight w:val="none"/>
          <w:lang w:eastAsia="zh-CN"/>
        </w:rPr>
        <w:t xml:space="preserve">，</w:t>
      </w:r>
      <w:r>
        <w:rPr>
          <w:rFonts w:hint="eastAsia" w:ascii="宋体" w:hAnsi="宋体"/>
          <w:szCs w:val="21"/>
          <w:highlight w:val="none"/>
        </w:rPr>
        <w:t xml:space="preserve">向买方提供所需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1048"/>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48"/>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w:t>
      </w:r>
      <w:r>
        <w:rPr>
          <w:rFonts w:hint="eastAsia" w:ascii="宋体" w:hAnsi="宋体"/>
          <w:szCs w:val="21"/>
          <w:highlight w:val="none"/>
          <w:lang w:eastAsia="zh-CN"/>
        </w:rPr>
        <w:t xml:space="preserve">，</w:t>
      </w:r>
      <w:r>
        <w:rPr>
          <w:rFonts w:hint="eastAsia" w:ascii="宋体" w:hAnsi="宋体"/>
          <w:szCs w:val="21"/>
          <w:highlight w:val="none"/>
        </w:rPr>
        <w:t xml:space="preserve">我们知道必须放弃提出含糊不清或误解问题的权利。</w:t>
      </w:r>
      <w:r>
        <w:rPr>
          <w:rFonts w:hint="eastAsia" w:ascii="宋体" w:hAnsi="宋体"/>
          <w:szCs w:val="21"/>
          <w:highlight w:val="none"/>
        </w:rPr>
      </w:r>
      <w:r/>
    </w:p>
    <w:p>
      <w:pPr>
        <w:pStyle w:val="1048"/>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w:t>
      </w:r>
      <w:r>
        <w:rPr>
          <w:rFonts w:hint="eastAsia" w:ascii="宋体" w:hAnsi="宋体"/>
          <w:szCs w:val="21"/>
          <w:highlight w:val="none"/>
          <w:lang w:eastAsia="zh-CN"/>
        </w:rPr>
        <w:t xml:space="preserve">，</w:t>
      </w:r>
      <w:r>
        <w:rPr>
          <w:rFonts w:hint="eastAsia" w:ascii="宋体" w:hAnsi="宋体"/>
          <w:szCs w:val="21"/>
          <w:highlight w:val="none"/>
        </w:rPr>
        <w:t xml:space="preserve">并在规定的投标有效期期满之前均具有约束力。</w:t>
      </w:r>
      <w:r>
        <w:rPr>
          <w:rFonts w:hint="eastAsia" w:ascii="宋体" w:hAnsi="宋体"/>
          <w:szCs w:val="21"/>
          <w:highlight w:val="none"/>
        </w:rPr>
      </w:r>
      <w:r/>
    </w:p>
    <w:p>
      <w:pPr>
        <w:pStyle w:val="1048"/>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w:t>
      </w:r>
      <w:r>
        <w:rPr>
          <w:rFonts w:hint="eastAsia" w:ascii="宋体" w:hAnsi="宋体"/>
          <w:szCs w:val="21"/>
          <w:highlight w:val="none"/>
          <w:lang w:eastAsia="zh-CN"/>
        </w:rPr>
        <w:t xml:space="preserve">，</w:t>
      </w:r>
      <w:r>
        <w:rPr>
          <w:rFonts w:hint="eastAsia" w:ascii="宋体" w:hAnsi="宋体"/>
          <w:szCs w:val="21"/>
          <w:highlight w:val="none"/>
        </w:rPr>
        <w:t xml:space="preserve">并保证我方已提供和将要提供的文件是真实的、准确的。</w:t>
      </w:r>
      <w:r>
        <w:rPr>
          <w:rFonts w:hint="eastAsia" w:ascii="宋体" w:hAnsi="宋体"/>
          <w:szCs w:val="21"/>
          <w:highlight w:val="none"/>
        </w:rPr>
      </w:r>
      <w:r/>
    </w:p>
    <w:p>
      <w:pPr>
        <w:pStyle w:val="1048"/>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w:t>
      </w:r>
      <w:r>
        <w:rPr>
          <w:rFonts w:hint="eastAsia" w:ascii="宋体" w:hAnsi="宋体"/>
          <w:szCs w:val="21"/>
          <w:highlight w:val="none"/>
          <w:lang w:eastAsia="zh-CN"/>
        </w:rPr>
        <w:t xml:space="preserve">，</w:t>
      </w:r>
      <w:r>
        <w:rPr>
          <w:rFonts w:hint="eastAsia" w:ascii="宋体" w:hAnsi="宋体"/>
          <w:szCs w:val="21"/>
          <w:highlight w:val="none"/>
        </w:rPr>
        <w:t xml:space="preserve">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w:t>
      </w:r>
      <w:r>
        <w:rPr>
          <w:rFonts w:hint="eastAsia" w:ascii="宋体" w:hAnsi="宋体"/>
          <w:szCs w:val="21"/>
          <w:highlight w:val="none"/>
          <w:lang w:eastAsia="zh-CN"/>
        </w:rPr>
        <w:t xml:space="preserve">，</w:t>
      </w:r>
      <w:r>
        <w:rPr>
          <w:rFonts w:hint="eastAsia" w:ascii="宋体" w:hAnsi="宋体"/>
          <w:szCs w:val="21"/>
          <w:highlight w:val="none"/>
        </w:rPr>
        <w:t xml:space="preserve">交付买方验收、使用。</w:t>
      </w:r>
      <w:r>
        <w:rPr>
          <w:rFonts w:hint="eastAsia" w:ascii="宋体" w:hAnsi="宋体"/>
          <w:szCs w:val="21"/>
          <w:highlight w:val="none"/>
        </w:rPr>
      </w:r>
      <w:r/>
    </w:p>
    <w:p>
      <w:pPr>
        <w:pStyle w:val="946"/>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1048"/>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8</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104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48"/>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104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104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104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104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946"/>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104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1048"/>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1048"/>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946"/>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946"/>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sz w:val="24"/>
          <w:szCs w:val="24"/>
          <w:highlight w:val="none"/>
        </w:rPr>
      </w:pPr>
      <w:r>
        <w:rPr>
          <w:rFonts w:hint="eastAsia" w:ascii="宋体" w:hAnsi="宋体"/>
          <w:bCs/>
          <w:sz w:val="24"/>
          <w:highlight w:val="none"/>
        </w:rPr>
      </w:r>
      <w:r>
        <w:rPr>
          <w:rFonts w:hint="eastAsia" w:ascii="宋体" w:hAnsi="宋体"/>
          <w:bCs/>
          <w:sz w:val="24"/>
          <w:highlight w:val="none"/>
        </w:rPr>
      </w:r>
      <w:r/>
    </w:p>
    <w:p>
      <w:pPr>
        <w:pStyle w:val="946"/>
        <w:ind w:firstLine="240"/>
        <w:jc w:val="center"/>
        <w:spacing w:line="560" w:lineRule="exact"/>
        <w:rPr>
          <w:rFonts w:hint="eastAsia" w:ascii="宋体" w:hAnsi="宋体"/>
          <w:sz w:val="24"/>
          <w:szCs w:val="24"/>
          <w:highlight w:val="none"/>
        </w:rPr>
      </w:pPr>
      <w:r>
        <w:rPr>
          <w:rFonts w:hint="eastAsia" w:ascii="宋体" w:hAnsi="宋体"/>
          <w:bCs/>
          <w:sz w:val="24"/>
          <w:highlight w:val="none"/>
        </w:rPr>
      </w:r>
      <w:r/>
    </w:p>
    <w:p>
      <w:pPr>
        <w:pStyle w:val="946"/>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五、开标一览表</w:t>
      </w:r>
      <w:r>
        <w:rPr>
          <w:rFonts w:hint="eastAsia" w:ascii="黑体" w:hAnsi="黑体" w:eastAsia="黑体" w:cs="Times New Roman"/>
          <w:i w:val="0"/>
          <w:sz w:val="32"/>
          <w:szCs w:val="32"/>
          <w:highlight w:val="none"/>
          <w:u w:val="none"/>
          <w:lang w:val="en-US" w:eastAsia="zh-CN"/>
        </w:rPr>
      </w:r>
      <w:r/>
    </w:p>
    <w:p>
      <w:pPr>
        <w:pStyle w:val="94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开标一览表（采购包1、采购包2）</w:t>
      </w:r>
      <w:r>
        <w:rPr>
          <w:rFonts w:hint="eastAsia" w:ascii="方正小标宋简体" w:hAnsi="方正小标宋简体" w:eastAsia="方正小标宋简体" w:cs="方正小标宋简体"/>
          <w:color w:val="000000"/>
          <w:sz w:val="32"/>
          <w:szCs w:val="32"/>
          <w:highlight w:val="none"/>
          <w:lang w:val="en-US" w:eastAsia="zh-CN"/>
        </w:rPr>
      </w:r>
      <w:r/>
    </w:p>
    <w:p>
      <w:pPr>
        <w:pStyle w:val="946"/>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946"/>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46"/>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分包号：</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46"/>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1048"/>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w:t>
            </w:r>
            <w:r>
              <w:rPr>
                <w:rFonts w:hint="eastAsia" w:ascii="宋体" w:hAnsi="宋体" w:cs="宋体"/>
                <w:highlight w:val="none"/>
                <w:lang w:val="en-US" w:eastAsia="zh-CN"/>
              </w:rPr>
              <w:t xml:space="preserve">/二年</w:t>
            </w:r>
            <w:r>
              <w:rPr>
                <w:rFonts w:hint="eastAsia" w:ascii="宋体" w:hAnsi="宋体" w:cs="宋体"/>
                <w:highlight w:val="none"/>
              </w:rPr>
              <w:t xml:space="preserve">：   </w:t>
            </w:r>
            <w:r>
              <w:rPr>
                <w:rFonts w:hint="eastAsia" w:ascii="宋体" w:hAnsi="宋体"/>
                <w:szCs w:val="21"/>
                <w:highlight w:val="none"/>
              </w:rPr>
            </w:r>
            <w:r/>
          </w:p>
        </w:tc>
      </w:tr>
    </w:tbl>
    <w:p>
      <w:pPr>
        <w:pStyle w:val="946"/>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946"/>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946"/>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46"/>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46"/>
        <w:jc w:val="center"/>
        <w:spacing w:line="360" w:lineRule="auto"/>
        <w:rPr>
          <w:rFonts w:hint="eastAsia" w:ascii="黑体" w:eastAsia="黑体" w:cs="Times New Roman"/>
          <w:color w:val="000000"/>
          <w:sz w:val="32"/>
          <w:szCs w:val="32"/>
          <w:highlight w:val="none"/>
          <w:lang w:val="en-US" w:eastAsia="zh-CN"/>
        </w:rPr>
        <w:outlineLvl w:val="0"/>
      </w:pPr>
      <w:r>
        <w:rPr>
          <w:rFonts w:hint="eastAsia" w:ascii="黑体" w:eastAsia="黑体" w:cs="Times New Roman"/>
          <w:color w:val="000000"/>
          <w:sz w:val="32"/>
          <w:szCs w:val="32"/>
          <w:highlight w:val="none"/>
          <w:lang w:val="en-US" w:eastAsia="zh-CN"/>
        </w:rPr>
      </w:r>
      <w:r/>
    </w:p>
    <w:p>
      <w:pPr>
        <w:pStyle w:val="946"/>
        <w:jc w:val="center"/>
        <w:spacing w:line="360" w:lineRule="auto"/>
        <w:rPr>
          <w:rFonts w:hint="eastAsia" w:ascii="黑体" w:eastAsia="黑体" w:cs="Times New Roman"/>
          <w:color w:val="000000"/>
          <w:sz w:val="32"/>
          <w:szCs w:val="32"/>
          <w:highlight w:val="none"/>
          <w:lang w:val="en-US" w:eastAsia="zh-CN"/>
        </w:rPr>
        <w:outlineLvl w:val="0"/>
      </w:pPr>
      <w:r>
        <w:rPr>
          <w:rFonts w:hint="eastAsia" w:ascii="黑体" w:eastAsia="黑体" w:cs="Times New Roman"/>
          <w:color w:val="000000"/>
          <w:sz w:val="32"/>
          <w:szCs w:val="32"/>
          <w:highlight w:val="none"/>
          <w:lang w:val="en-US" w:eastAsia="zh-CN"/>
        </w:rPr>
      </w:r>
      <w:r/>
    </w:p>
    <w:p>
      <w:pPr>
        <w:pStyle w:val="958"/>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6"/>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8"/>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6"/>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8"/>
        <w:rPr>
          <w:rFonts w:hint="eastAsia"/>
          <w:highlight w:val="none"/>
          <w:lang w:val="en-US" w:eastAsia="zh-CN"/>
        </w:rPr>
      </w:pPr>
      <w:r>
        <w:rPr>
          <w:rFonts w:hint="eastAsia"/>
          <w:highlight w:val="none"/>
          <w:lang w:val="en-US" w:eastAsia="zh-CN"/>
        </w:rPr>
      </w:r>
      <w:r/>
    </w:p>
    <w:p>
      <w:pPr>
        <w:pStyle w:val="946"/>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6"/>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6"/>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6"/>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none"/>
          <w:u w:val="none"/>
          <w:lang w:val="en-US" w:eastAsia="zh-CN"/>
        </w:rPr>
      </w:r>
      <w:r/>
    </w:p>
    <w:p>
      <w:pPr>
        <w:pStyle w:val="946"/>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投标分项报价表（采购包1）</w:t>
      </w:r>
      <w:r>
        <w:rPr>
          <w:rFonts w:hint="eastAsia" w:ascii="方正小标宋简体" w:hAnsi="方正小标宋简体" w:eastAsia="方正小标宋简体" w:cs="方正小标宋简体"/>
          <w:color w:val="000000"/>
          <w:sz w:val="32"/>
          <w:szCs w:val="32"/>
          <w:highlight w:val="none"/>
          <w:lang w:val="en-US" w:eastAsia="zh-CN"/>
        </w:rPr>
      </w:r>
      <w:r/>
    </w:p>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1、绿化养护服务</w:t>
      </w:r>
      <w:r>
        <w:rPr>
          <w:rFonts w:hint="eastAsia" w:ascii="黑体" w:hAnsi="黑体" w:eastAsia="黑体" w:cs="黑体"/>
          <w:color w:val="000000"/>
          <w:sz w:val="24"/>
          <w:szCs w:val="24"/>
          <w:highlight w:val="none"/>
          <w:lang w:val="en-US" w:eastAsia="zh-CN"/>
        </w:rPr>
      </w:r>
      <w:r/>
    </w:p>
    <w:tbl>
      <w:tblPr>
        <w:tblW w:w="0" w:type="auto"/>
        <w:jc w:val="center"/>
        <w:tblInd w:w="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1021"/>
        <w:gridCol w:w="1312"/>
        <w:gridCol w:w="4535"/>
        <w:gridCol w:w="832"/>
        <w:gridCol w:w="1579"/>
        <w:gridCol w:w="969"/>
        <w:gridCol w:w="969"/>
      </w:tblGrid>
      <w:tr>
        <w:trPr>
          <w:trHeight w:val="345"/>
        </w:trPr>
        <w:tc>
          <w:tcPr>
            <w:tcW w:w="1021"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312"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4535"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项目特征</w:t>
            </w:r>
            <w:r>
              <w:rPr>
                <w:rFonts w:hint="eastAsia" w:ascii="宋体" w:hAnsi="宋体" w:eastAsia="宋体" w:cs="宋体"/>
                <w:b/>
                <w:i w:val="0"/>
                <w:color w:val="000000"/>
                <w:sz w:val="20"/>
                <w:szCs w:val="20"/>
                <w:highlight w:val="none"/>
                <w:u w:val="none"/>
              </w:rPr>
            </w:r>
            <w:r/>
          </w:p>
        </w:tc>
        <w:tc>
          <w:tcPr>
            <w:tcW w:w="832"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1579"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数量</w:t>
            </w:r>
            <w:r>
              <w:rPr>
                <w:rFonts w:hint="eastAsia" w:ascii="宋体" w:hAnsi="宋体" w:eastAsia="宋体" w:cs="宋体"/>
                <w:b/>
                <w:i w:val="0"/>
                <w:color w:val="000000"/>
                <w:sz w:val="20"/>
                <w:szCs w:val="20"/>
                <w:highlight w:val="none"/>
                <w:u w:val="none"/>
              </w:rPr>
            </w:r>
            <w:r/>
          </w:p>
        </w:tc>
        <w:tc>
          <w:tcPr>
            <w:tcW w:w="969" w:type="dxa"/>
            <w:vAlign w:val="center"/>
            <w:textDirection w:val="lrTb"/>
            <w:noWrap w:val="false"/>
          </w:tcPr>
          <w:p>
            <w:pPr>
              <w:jc w:val="cente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分项单价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c>
          <w:tcPr>
            <w:tcW w:w="969" w:type="dxa"/>
            <w:vAlign w:val="center"/>
            <w:textDirection w:val="lrTb"/>
            <w:noWrap w:val="false"/>
          </w:tcPr>
          <w:p>
            <w:pPr>
              <w:jc w:val="cente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w:t>
            </w:r>
            <w:r>
              <w:rPr>
                <w:rFonts w:hint="eastAsia" w:ascii="宋体" w:hAnsi="宋体" w:eastAsia="宋体" w:cs="宋体"/>
                <w:b/>
                <w:bCs/>
                <w:i w:val="0"/>
                <w:iCs w:val="0"/>
                <w:color w:val="000000"/>
                <w:sz w:val="20"/>
                <w:szCs w:val="20"/>
                <w:highlight w:val="none"/>
                <w:u w:val="none"/>
                <w:lang w:val="en-US" w:eastAsia="zh-CN" w:bidi="ar"/>
              </w:rPr>
              <w:t xml:space="preserve">总</w:t>
            </w:r>
            <w:r>
              <w:rPr>
                <w:rFonts w:hint="eastAsia" w:ascii="宋体" w:hAnsi="宋体" w:eastAsia="宋体" w:cs="宋体"/>
                <w:b/>
                <w:bCs/>
                <w:i w:val="0"/>
                <w:iCs w:val="0"/>
                <w:color w:val="000000"/>
                <w:sz w:val="20"/>
                <w:szCs w:val="20"/>
                <w:highlight w:val="none"/>
                <w:u w:val="none"/>
                <w:lang w:val="en-US" w:eastAsia="zh-CN" w:bidi="ar"/>
              </w:rPr>
              <w:t xml:space="preserve">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r>
      <w:tr>
        <w:trPr>
          <w:trHeight w:val="1109"/>
        </w:trPr>
        <w:tc>
          <w:tcPr>
            <w:tcW w:w="102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312"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535"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1、专业养护二级，养护期24个月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2、部位：九乡河生态公园</w:t>
            </w:r>
            <w:r>
              <w:rPr>
                <w:rFonts w:hint="eastAsia" w:ascii="宋体" w:hAnsi="宋体" w:eastAsia="宋体" w:cs="宋体"/>
                <w:i w:val="0"/>
                <w:color w:val="000000"/>
                <w:sz w:val="18"/>
                <w:szCs w:val="18"/>
                <w:highlight w:val="none"/>
                <w:u w:val="none"/>
              </w:rPr>
            </w:r>
            <w:r/>
          </w:p>
        </w:tc>
        <w:tc>
          <w:tcPr>
            <w:tcW w:w="832"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57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1243400</w:t>
            </w:r>
            <w:r>
              <w:rPr>
                <w:rFonts w:hint="eastAsia" w:ascii="宋体" w:hAnsi="宋体" w:eastAsia="宋体" w:cs="宋体"/>
                <w:i w:val="0"/>
                <w:color w:val="000000"/>
                <w:sz w:val="20"/>
                <w:szCs w:val="20"/>
                <w:highlight w:val="none"/>
                <w:u w:val="none"/>
              </w:rPr>
            </w:r>
            <w:r/>
          </w:p>
        </w:tc>
        <w:tc>
          <w:tcPr>
            <w:tcW w:w="96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96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660"/>
        </w:trPr>
        <w:tc>
          <w:tcPr>
            <w:tcW w:w="1021" w:type="dxa"/>
            <w:vAlign w:val="center"/>
            <w:textDirection w:val="lrTb"/>
            <w:noWrap w:val="false"/>
          </w:tcPr>
          <w:p>
            <w:pPr>
              <w:pStyle w:val="946"/>
              <w:jc w:val="center"/>
              <w:rPr>
                <w:rFonts w:hint="eastAsia" w:ascii="Arial" w:hAnsi="Arial" w:cs="Arial"/>
                <w:i w:val="0"/>
                <w:color w:val="000000"/>
                <w:sz w:val="20"/>
                <w:szCs w:val="20"/>
                <w:highlight w:val="none"/>
                <w:u w:val="none"/>
              </w:rPr>
            </w:pPr>
            <w:r>
              <w:rPr>
                <w:rFonts w:hint="eastAsia" w:ascii="Arial" w:hAnsi="Arial" w:cs="Arial"/>
                <w:i w:val="0"/>
                <w:color w:val="000000"/>
                <w:sz w:val="20"/>
                <w:szCs w:val="20"/>
                <w:highlight w:val="none"/>
                <w:u w:val="none"/>
              </w:rPr>
            </w:r>
            <w:r/>
          </w:p>
        </w:tc>
        <w:tc>
          <w:tcPr>
            <w:gridSpan w:val="2"/>
            <w:tcW w:w="5847"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合计</w:t>
            </w:r>
            <w:r>
              <w:rPr>
                <w:rFonts w:hint="eastAsia" w:ascii="宋体" w:hAnsi="宋体" w:eastAsia="宋体" w:cs="宋体"/>
                <w:i w:val="0"/>
                <w:color w:val="000000"/>
                <w:sz w:val="20"/>
                <w:szCs w:val="20"/>
                <w:highlight w:val="none"/>
                <w:u w:val="none"/>
              </w:rPr>
            </w:r>
            <w:r/>
          </w:p>
        </w:tc>
        <w:tc>
          <w:tcPr>
            <w:tcW w:w="832" w:type="dxa"/>
            <w:vAlign w:val="center"/>
            <w:textDirection w:val="lrTb"/>
            <w:noWrap w:val="false"/>
          </w:tcPr>
          <w:p>
            <w:pPr>
              <w:pStyle w:val="946"/>
              <w:jc w:val="center"/>
              <w:rPr>
                <w:rFonts w:ascii="Arial" w:hAnsi="Arial" w:cs="Arial"/>
                <w:i w:val="0"/>
                <w:color w:val="000000"/>
                <w:sz w:val="20"/>
                <w:szCs w:val="20"/>
                <w:highlight w:val="none"/>
                <w:u w:val="none"/>
              </w:rPr>
            </w:pPr>
            <w:r>
              <w:rPr>
                <w:rFonts w:ascii="Arial" w:hAnsi="Arial" w:cs="Arial"/>
                <w:i w:val="0"/>
                <w:color w:val="000000"/>
                <w:sz w:val="20"/>
                <w:szCs w:val="20"/>
                <w:highlight w:val="none"/>
                <w:u w:val="none"/>
              </w:rPr>
            </w:r>
            <w:r/>
          </w:p>
        </w:tc>
        <w:tc>
          <w:tcPr>
            <w:tcW w:w="1579" w:type="dxa"/>
            <w:vAlign w:val="center"/>
            <w:textDirection w:val="lrTb"/>
            <w:noWrap w:val="false"/>
          </w:tcPr>
          <w:p>
            <w:pPr>
              <w:pStyle w:val="946"/>
              <w:jc w:val="center"/>
              <w:rPr>
                <w:rFonts w:ascii="Arial" w:hAnsi="Arial" w:cs="Arial"/>
                <w:i w:val="0"/>
                <w:color w:val="000000"/>
                <w:sz w:val="20"/>
                <w:szCs w:val="20"/>
                <w:highlight w:val="none"/>
                <w:u w:val="none"/>
              </w:rPr>
            </w:pPr>
            <w:r>
              <w:rPr>
                <w:rFonts w:ascii="Arial" w:hAnsi="Arial" w:cs="Arial"/>
                <w:i w:val="0"/>
                <w:color w:val="000000"/>
                <w:sz w:val="20"/>
                <w:szCs w:val="20"/>
                <w:highlight w:val="none"/>
                <w:u w:val="none"/>
              </w:rPr>
            </w:r>
            <w:r/>
          </w:p>
        </w:tc>
        <w:tc>
          <w:tcPr>
            <w:tcW w:w="969" w:type="dxa"/>
            <w:vAlign w:val="center"/>
            <w:textDirection w:val="lrTb"/>
            <w:noWrap w:val="false"/>
          </w:tcPr>
          <w:p>
            <w:pPr>
              <w:rPr>
                <w:rFonts w:ascii="Arial" w:hAnsi="Arial" w:cs="Arial"/>
                <w:bCs w:val="0"/>
                <w:i w:val="0"/>
                <w:color w:val="000000"/>
                <w:sz w:val="20"/>
                <w:szCs w:val="20"/>
                <w:highlight w:val="none"/>
                <w:u w:val="none"/>
              </w:rPr>
            </w:pPr>
            <w:r>
              <w:rPr>
                <w:rFonts w:ascii="Arial" w:hAnsi="Arial" w:cs="Arial"/>
                <w:i w:val="0"/>
                <w:iCs w:val="0"/>
                <w:color w:val="000000"/>
                <w:sz w:val="20"/>
                <w:szCs w:val="20"/>
                <w:highlight w:val="none"/>
                <w:u w:val="none"/>
              </w:rPr>
            </w:r>
            <w:r>
              <w:rPr>
                <w:rFonts w:ascii="Arial" w:hAnsi="Arial" w:cs="Arial"/>
                <w:i w:val="0"/>
                <w:iCs w:val="0"/>
                <w:color w:val="000000"/>
                <w:sz w:val="20"/>
                <w:szCs w:val="20"/>
                <w:highlight w:val="none"/>
                <w:u w:val="none"/>
              </w:rPr>
            </w:r>
          </w:p>
        </w:tc>
        <w:tc>
          <w:tcPr>
            <w:tcW w:w="969" w:type="dxa"/>
            <w:vAlign w:val="center"/>
            <w:textDirection w:val="lrTb"/>
            <w:noWrap w:val="false"/>
          </w:tcPr>
          <w:p>
            <w:pPr>
              <w:rPr>
                <w:rFonts w:ascii="Arial" w:hAnsi="Arial" w:cs="Arial"/>
                <w:bCs w:val="0"/>
                <w:i w:val="0"/>
                <w:color w:val="000000"/>
                <w:sz w:val="20"/>
                <w:szCs w:val="20"/>
                <w:highlight w:val="none"/>
                <w:u w:val="none"/>
              </w:rPr>
            </w:pPr>
            <w:r>
              <w:rPr>
                <w:rFonts w:ascii="Arial" w:hAnsi="Arial" w:cs="Arial"/>
                <w:i w:val="0"/>
                <w:iCs w:val="0"/>
                <w:color w:val="000000"/>
                <w:sz w:val="20"/>
                <w:szCs w:val="20"/>
                <w:highlight w:val="none"/>
                <w:u w:val="none"/>
              </w:rPr>
            </w:r>
            <w:r>
              <w:rPr>
                <w:rFonts w:ascii="Arial" w:hAnsi="Arial" w:cs="Arial"/>
                <w:i w:val="0"/>
                <w:iCs w:val="0"/>
                <w:color w:val="000000"/>
                <w:sz w:val="20"/>
                <w:szCs w:val="20"/>
                <w:highlight w:val="none"/>
                <w:u w:val="none"/>
              </w:rPr>
            </w:r>
          </w:p>
        </w:tc>
      </w:tr>
    </w:tbl>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46"/>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2、苗木补植服务</w:t>
      </w:r>
      <w:r>
        <w:rPr>
          <w:rFonts w:ascii="黑体" w:hAnsi="黑体" w:eastAsia="黑体" w:cs="黑体"/>
          <w:color w:val="000000"/>
          <w:sz w:val="24"/>
          <w:szCs w:val="24"/>
          <w:highlight w:val="none"/>
          <w:lang w:val="en-US" w:eastAsia="zh-CN"/>
        </w:rPr>
      </w:r>
      <w:r/>
    </w:p>
    <w:tbl>
      <w:tblPr>
        <w:tblW w:w="0" w:type="auto"/>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524"/>
        <w:gridCol w:w="5641"/>
        <w:gridCol w:w="1174"/>
        <w:gridCol w:w="1419"/>
        <w:gridCol w:w="1007"/>
        <w:gridCol w:w="1007"/>
      </w:tblGrid>
      <w:tr>
        <w:trPr>
          <w:trHeight w:val="345"/>
        </w:trPr>
        <w:tc>
          <w:tcPr>
            <w:tcW w:w="52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5641"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117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1419"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数量</w:t>
            </w:r>
            <w:r>
              <w:rPr>
                <w:rFonts w:hint="eastAsia" w:ascii="宋体" w:hAnsi="宋体" w:eastAsia="宋体" w:cs="宋体"/>
                <w:b/>
                <w:i w:val="0"/>
                <w:color w:val="000000"/>
                <w:sz w:val="20"/>
                <w:szCs w:val="20"/>
                <w:highlight w:val="none"/>
                <w:u w:val="none"/>
              </w:rPr>
            </w:r>
            <w:r/>
          </w:p>
        </w:tc>
        <w:tc>
          <w:tcPr>
            <w:tcW w:w="1007" w:type="dxa"/>
            <w:vAlign w:val="center"/>
            <w:textDirection w:val="lrTb"/>
            <w:noWrap w:val="false"/>
          </w:tcPr>
          <w:p>
            <w:pPr>
              <w:jc w:val="cente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分项单价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c>
          <w:tcPr>
            <w:tcW w:w="1007" w:type="dxa"/>
            <w:vAlign w:val="center"/>
            <w:textDirection w:val="lrTb"/>
            <w:noWrap w:val="false"/>
          </w:tcPr>
          <w:p>
            <w:pPr>
              <w:jc w:val="cente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w:t>
            </w:r>
            <w:r>
              <w:rPr>
                <w:rFonts w:hint="eastAsia" w:ascii="宋体" w:hAnsi="宋体" w:eastAsia="宋体" w:cs="宋体"/>
                <w:b/>
                <w:bCs/>
                <w:i w:val="0"/>
                <w:iCs w:val="0"/>
                <w:color w:val="000000"/>
                <w:sz w:val="20"/>
                <w:szCs w:val="20"/>
                <w:highlight w:val="none"/>
                <w:u w:val="none"/>
                <w:lang w:val="en-US" w:eastAsia="zh-CN" w:bidi="ar"/>
              </w:rPr>
              <w:t xml:space="preserve">总</w:t>
            </w:r>
            <w:r>
              <w:rPr>
                <w:rFonts w:hint="eastAsia" w:ascii="宋体" w:hAnsi="宋体" w:eastAsia="宋体" w:cs="宋体"/>
                <w:b/>
                <w:bCs/>
                <w:i w:val="0"/>
                <w:iCs w:val="0"/>
                <w:color w:val="000000"/>
                <w:sz w:val="20"/>
                <w:szCs w:val="20"/>
                <w:highlight w:val="none"/>
                <w:u w:val="none"/>
                <w:lang w:val="en-US" w:eastAsia="zh-CN" w:bidi="ar"/>
              </w:rPr>
              <w:t xml:space="preserve">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移植乔木</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移植亚乔木</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移植灌木球</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栽植红叶石楠</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栽植铺地柏</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栽植海桐</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栽植毛鹃</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栽植法青</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栽植金边阔叶麦冬</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栽植细叶麦冬</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栽植吉祥草</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铺种草坪</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1700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吊运景石</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t</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绿化隔离护栏</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高护栏网</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护栏维护</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95"/>
        </w:trPr>
        <w:tc>
          <w:tcPr>
            <w:tcW w:w="52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w:t>
            </w: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钢管支撑</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60</w:t>
            </w: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524"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5641"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合  计</w:t>
            </w:r>
            <w:r>
              <w:rPr>
                <w:rFonts w:hint="eastAsia" w:ascii="宋体" w:hAnsi="宋体" w:eastAsia="宋体" w:cs="宋体"/>
                <w:i w:val="0"/>
                <w:color w:val="000000"/>
                <w:sz w:val="20"/>
                <w:szCs w:val="20"/>
                <w:highlight w:val="none"/>
                <w:u w:val="none"/>
              </w:rPr>
            </w:r>
            <w:r/>
          </w:p>
        </w:tc>
        <w:tc>
          <w:tcPr>
            <w:tcW w:w="1174"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419"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c>
          <w:tcPr>
            <w:tcW w:w="1007"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r>
    </w:tbl>
    <w:p>
      <w:pPr>
        <w:pStyle w:val="946"/>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46"/>
        <w:numPr>
          <w:ilvl w:val="0"/>
          <w:numId w:val="0"/>
        </w:numPr>
        <w:ind w:firstLine="640"/>
        <w:jc w:val="center"/>
        <w:keepLines w:val="0"/>
        <w:keepNext w:val="0"/>
        <w:pageBreakBefore w:val="0"/>
        <w:spacing w:line="288" w:lineRule="auto"/>
        <w:widowControl w:val="off"/>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投标分项报价表（采购包2）</w:t>
      </w:r>
      <w:r>
        <w:rPr>
          <w:rFonts w:hint="eastAsia" w:ascii="方正小标宋简体" w:hAnsi="方正小标宋简体" w:eastAsia="方正小标宋简体" w:cs="方正小标宋简体"/>
          <w:color w:val="000000"/>
          <w:sz w:val="32"/>
          <w:szCs w:val="32"/>
          <w:highlight w:val="none"/>
          <w:lang w:val="en-US" w:eastAsia="zh-CN"/>
        </w:rPr>
      </w:r>
      <w:r/>
    </w:p>
    <w:p>
      <w:pPr>
        <w:pStyle w:val="946"/>
        <w:ind w:firstLine="480"/>
        <w:keepLines w:val="0"/>
        <w:keepNext w:val="0"/>
        <w:pageBreakBefore w:val="0"/>
        <w:spacing w:line="288" w:lineRule="auto"/>
        <w:widowControl w:val="off"/>
        <w:rPr>
          <w:rFonts w:ascii="宋体" w:hAnsi="宋体" w:eastAsia="黑体"/>
          <w:sz w:val="24"/>
          <w:szCs w:val="24"/>
          <w:highlight w:val="none"/>
          <w:lang w:val="en-US" w:eastAsia="zh-CN"/>
        </w:rPr>
      </w:pPr>
      <w:r>
        <w:rPr>
          <w:rFonts w:hint="eastAsia" w:ascii="宋体" w:hAnsi="宋体" w:eastAsia="黑体"/>
          <w:sz w:val="24"/>
          <w:szCs w:val="24"/>
          <w:highlight w:val="none"/>
          <w:lang w:val="en-US" w:eastAsia="zh-CN"/>
        </w:rPr>
        <w:t xml:space="preserve">绿化养护服务</w:t>
      </w:r>
      <w:r>
        <w:rPr>
          <w:rFonts w:ascii="宋体" w:hAnsi="宋体" w:eastAsia="黑体"/>
          <w:sz w:val="24"/>
          <w:szCs w:val="24"/>
          <w:highlight w:val="none"/>
          <w:lang w:val="en-US" w:eastAsia="zh-CN"/>
        </w:rPr>
      </w:r>
      <w:r/>
    </w:p>
    <w:tbl>
      <w:tblPr>
        <w:tblW w:w="9317" w:type="dxa"/>
        <w:tblInd w:w="24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06"/>
        <w:gridCol w:w="1289"/>
        <w:gridCol w:w="4254"/>
        <w:gridCol w:w="816"/>
        <w:gridCol w:w="1176"/>
        <w:gridCol w:w="1176"/>
        <w:gridCol w:w="1176"/>
      </w:tblGrid>
      <w:tr>
        <w:trPr>
          <w:trHeight w:val="345"/>
        </w:trPr>
        <w:tc>
          <w:tcPr>
            <w:tcW w:w="606"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289"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4254"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项目特征</w:t>
            </w:r>
            <w:r>
              <w:rPr>
                <w:rFonts w:hint="eastAsia" w:ascii="宋体" w:hAnsi="宋体" w:eastAsia="宋体" w:cs="宋体"/>
                <w:b/>
                <w:i w:val="0"/>
                <w:color w:val="000000"/>
                <w:sz w:val="20"/>
                <w:szCs w:val="20"/>
                <w:highlight w:val="none"/>
                <w:u w:val="none"/>
              </w:rPr>
            </w:r>
            <w:r/>
          </w:p>
        </w:tc>
        <w:tc>
          <w:tcPr>
            <w:tcW w:w="816"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1176" w:type="dxa"/>
            <w:vAlign w:val="center"/>
            <w:vMerge w:val="restart"/>
            <w:textDirection w:val="lrTb"/>
            <w:noWrap w:val="false"/>
          </w:tcPr>
          <w:p>
            <w:pPr>
              <w:pStyle w:val="946"/>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数量</w:t>
            </w:r>
            <w:r>
              <w:rPr>
                <w:rFonts w:hint="eastAsia" w:ascii="宋体" w:hAnsi="宋体" w:eastAsia="宋体" w:cs="宋体"/>
                <w:b/>
                <w:i w:val="0"/>
                <w:color w:val="000000"/>
                <w:sz w:val="20"/>
                <w:szCs w:val="20"/>
                <w:highlight w:val="none"/>
                <w:u w:val="none"/>
              </w:rPr>
            </w:r>
            <w:r/>
          </w:p>
        </w:tc>
        <w:tc>
          <w:tcPr>
            <w:tcW w:w="1176" w:type="dxa"/>
            <w:vAlign w:val="center"/>
            <w:textDirection w:val="lrTb"/>
            <w:noWrap w:val="false"/>
          </w:tcPr>
          <w:p>
            <w:pPr>
              <w:jc w:val="cente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分项单价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c>
          <w:tcPr>
            <w:tcW w:w="1176" w:type="dxa"/>
            <w:vAlign w:val="center"/>
            <w:textDirection w:val="lrTb"/>
            <w:noWrap w:val="false"/>
          </w:tcPr>
          <w:p>
            <w:pPr>
              <w:jc w:val="cente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w:t>
            </w:r>
            <w:r>
              <w:rPr>
                <w:rFonts w:hint="eastAsia" w:ascii="宋体" w:hAnsi="宋体" w:eastAsia="宋体" w:cs="宋体"/>
                <w:b/>
                <w:bCs/>
                <w:i w:val="0"/>
                <w:iCs w:val="0"/>
                <w:color w:val="000000"/>
                <w:sz w:val="20"/>
                <w:szCs w:val="20"/>
                <w:highlight w:val="none"/>
                <w:u w:val="none"/>
                <w:lang w:val="en-US" w:eastAsia="zh-CN" w:bidi="ar"/>
              </w:rPr>
              <w:t xml:space="preserve">总</w:t>
            </w:r>
            <w:r>
              <w:rPr>
                <w:rFonts w:hint="eastAsia" w:ascii="宋体" w:hAnsi="宋体" w:eastAsia="宋体" w:cs="宋体"/>
                <w:b/>
                <w:bCs/>
                <w:i w:val="0"/>
                <w:iCs w:val="0"/>
                <w:color w:val="000000"/>
                <w:sz w:val="20"/>
                <w:szCs w:val="20"/>
                <w:highlight w:val="none"/>
                <w:u w:val="none"/>
                <w:lang w:val="en-US" w:eastAsia="zh-CN" w:bidi="ar"/>
              </w:rPr>
              <w:t xml:space="preserve">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r>
      <w:tr>
        <w:trPr>
          <w:trHeight w:val="810"/>
        </w:trPr>
        <w:tc>
          <w:tcPr>
            <w:tcW w:w="6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289"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254"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2、部位：312国道（公路管理站~九乡河西路）防护林</w:t>
            </w:r>
            <w:r>
              <w:rPr>
                <w:rFonts w:hint="eastAsia" w:ascii="宋体" w:hAnsi="宋体" w:eastAsia="宋体" w:cs="宋体"/>
                <w:i w:val="0"/>
                <w:color w:val="000000"/>
                <w:sz w:val="18"/>
                <w:szCs w:val="18"/>
                <w:highlight w:val="none"/>
                <w:u w:val="none"/>
              </w:rPr>
            </w:r>
            <w:r/>
          </w:p>
        </w:tc>
        <w:tc>
          <w:tcPr>
            <w:tcW w:w="81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294581</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810"/>
        </w:trPr>
        <w:tc>
          <w:tcPr>
            <w:tcW w:w="6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1289"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254"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2、部位：312国道（公路管理站~九乡河西路）边分带</w:t>
            </w:r>
            <w:r>
              <w:rPr>
                <w:rFonts w:hint="eastAsia" w:ascii="宋体" w:hAnsi="宋体" w:eastAsia="宋体" w:cs="宋体"/>
                <w:i w:val="0"/>
                <w:color w:val="000000"/>
                <w:sz w:val="18"/>
                <w:szCs w:val="18"/>
                <w:highlight w:val="none"/>
                <w:u w:val="none"/>
              </w:rPr>
            </w:r>
            <w:r/>
          </w:p>
        </w:tc>
        <w:tc>
          <w:tcPr>
            <w:tcW w:w="81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75000</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810"/>
        </w:trPr>
        <w:tc>
          <w:tcPr>
            <w:tcW w:w="6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1289"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254"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2、部位：312国道（四桥连接线~毕升路）防护林</w:t>
            </w:r>
            <w:r>
              <w:rPr>
                <w:rFonts w:hint="eastAsia" w:ascii="宋体" w:hAnsi="宋体" w:eastAsia="宋体" w:cs="宋体"/>
                <w:i w:val="0"/>
                <w:color w:val="000000"/>
                <w:sz w:val="18"/>
                <w:szCs w:val="18"/>
                <w:highlight w:val="none"/>
                <w:u w:val="none"/>
              </w:rPr>
            </w:r>
            <w:r/>
          </w:p>
        </w:tc>
        <w:tc>
          <w:tcPr>
            <w:tcW w:w="81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97670</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810"/>
        </w:trPr>
        <w:tc>
          <w:tcPr>
            <w:tcW w:w="6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1289"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254"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2、部位：312国道（四桥连接线~元化路）边分带</w:t>
            </w:r>
            <w:r>
              <w:rPr>
                <w:rFonts w:hint="eastAsia" w:ascii="宋体" w:hAnsi="宋体" w:eastAsia="宋体" w:cs="宋体"/>
                <w:i w:val="0"/>
                <w:color w:val="000000"/>
                <w:sz w:val="18"/>
                <w:szCs w:val="18"/>
                <w:highlight w:val="none"/>
                <w:u w:val="none"/>
              </w:rPr>
            </w:r>
            <w:r/>
          </w:p>
        </w:tc>
        <w:tc>
          <w:tcPr>
            <w:tcW w:w="81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5000</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810"/>
        </w:trPr>
        <w:tc>
          <w:tcPr>
            <w:tcW w:w="6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1289"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254"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2、部位：衡阳湖防护林</w:t>
            </w:r>
            <w:r>
              <w:rPr>
                <w:rFonts w:hint="eastAsia" w:ascii="宋体" w:hAnsi="宋体" w:eastAsia="宋体" w:cs="宋体"/>
                <w:i w:val="0"/>
                <w:color w:val="000000"/>
                <w:sz w:val="18"/>
                <w:szCs w:val="18"/>
                <w:highlight w:val="none"/>
                <w:u w:val="none"/>
              </w:rPr>
            </w:r>
            <w:r/>
          </w:p>
        </w:tc>
        <w:tc>
          <w:tcPr>
            <w:tcW w:w="81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39600</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810"/>
        </w:trPr>
        <w:tc>
          <w:tcPr>
            <w:tcW w:w="6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1289"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254"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2、部位：仙林湖路东侧防护林</w:t>
            </w:r>
            <w:r>
              <w:rPr>
                <w:rFonts w:hint="eastAsia" w:ascii="宋体" w:hAnsi="宋体" w:eastAsia="宋体" w:cs="宋体"/>
                <w:i w:val="0"/>
                <w:color w:val="000000"/>
                <w:sz w:val="18"/>
                <w:szCs w:val="18"/>
                <w:highlight w:val="none"/>
                <w:u w:val="none"/>
              </w:rPr>
            </w:r>
            <w:r/>
          </w:p>
        </w:tc>
        <w:tc>
          <w:tcPr>
            <w:tcW w:w="81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98365</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810"/>
        </w:trPr>
        <w:tc>
          <w:tcPr>
            <w:tcW w:w="6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1289"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254"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2、部位：萧宏二期林地</w:t>
            </w:r>
            <w:r>
              <w:rPr>
                <w:rFonts w:hint="eastAsia" w:ascii="宋体" w:hAnsi="宋体" w:eastAsia="宋体" w:cs="宋体"/>
                <w:i w:val="0"/>
                <w:color w:val="000000"/>
                <w:sz w:val="18"/>
                <w:szCs w:val="18"/>
                <w:highlight w:val="none"/>
                <w:u w:val="none"/>
              </w:rPr>
            </w:r>
            <w:r/>
          </w:p>
        </w:tc>
        <w:tc>
          <w:tcPr>
            <w:tcW w:w="81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56052</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810"/>
        </w:trPr>
        <w:tc>
          <w:tcPr>
            <w:tcW w:w="6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1289"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254"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2、部位：汇通路泄洪沟东侧绿地</w:t>
            </w:r>
            <w:r>
              <w:rPr>
                <w:rFonts w:hint="eastAsia" w:ascii="宋体" w:hAnsi="宋体" w:eastAsia="宋体" w:cs="宋体"/>
                <w:i w:val="0"/>
                <w:color w:val="000000"/>
                <w:sz w:val="18"/>
                <w:szCs w:val="18"/>
                <w:highlight w:val="none"/>
                <w:u w:val="none"/>
              </w:rPr>
            </w:r>
            <w:r/>
          </w:p>
        </w:tc>
        <w:tc>
          <w:tcPr>
            <w:tcW w:w="81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18700</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810"/>
        </w:trPr>
        <w:tc>
          <w:tcPr>
            <w:tcW w:w="6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1289"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254"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1、专业养护三级 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2、部位：绿化废弃物处置场及周边绿化</w:t>
            </w:r>
            <w:r>
              <w:rPr>
                <w:rFonts w:hint="eastAsia" w:ascii="宋体" w:hAnsi="宋体" w:eastAsia="宋体" w:cs="宋体"/>
                <w:i w:val="0"/>
                <w:color w:val="000000"/>
                <w:sz w:val="18"/>
                <w:szCs w:val="18"/>
                <w:highlight w:val="none"/>
                <w:u w:val="none"/>
              </w:rPr>
            </w:r>
            <w:r/>
          </w:p>
        </w:tc>
        <w:tc>
          <w:tcPr>
            <w:tcW w:w="81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2300</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810"/>
        </w:trPr>
        <w:tc>
          <w:tcPr>
            <w:tcW w:w="6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289"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254"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2、部位：小红花东侧林地</w:t>
            </w:r>
            <w:r>
              <w:rPr>
                <w:rFonts w:hint="eastAsia" w:ascii="宋体" w:hAnsi="宋体" w:eastAsia="宋体" w:cs="宋体"/>
                <w:i w:val="0"/>
                <w:color w:val="000000"/>
                <w:sz w:val="18"/>
                <w:szCs w:val="18"/>
                <w:highlight w:val="none"/>
                <w:u w:val="none"/>
              </w:rPr>
            </w:r>
            <w:r/>
          </w:p>
        </w:tc>
        <w:tc>
          <w:tcPr>
            <w:tcW w:w="81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27990</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810"/>
        </w:trPr>
        <w:tc>
          <w:tcPr>
            <w:tcW w:w="6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1289"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254"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2、部位：龙王山变电站周边林地</w:t>
            </w:r>
            <w:r>
              <w:rPr>
                <w:rFonts w:hint="eastAsia" w:ascii="宋体" w:hAnsi="宋体" w:eastAsia="宋体" w:cs="宋体"/>
                <w:i w:val="0"/>
                <w:color w:val="000000"/>
                <w:sz w:val="18"/>
                <w:szCs w:val="18"/>
                <w:highlight w:val="none"/>
                <w:u w:val="none"/>
              </w:rPr>
            </w:r>
            <w:r/>
          </w:p>
        </w:tc>
        <w:tc>
          <w:tcPr>
            <w:tcW w:w="81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19796</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810"/>
        </w:trPr>
        <w:tc>
          <w:tcPr>
            <w:tcW w:w="6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1289"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254"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2、部位：和园东侧林地</w:t>
            </w:r>
            <w:r>
              <w:rPr>
                <w:rFonts w:hint="eastAsia" w:ascii="宋体" w:hAnsi="宋体" w:eastAsia="宋体" w:cs="宋体"/>
                <w:i w:val="0"/>
                <w:color w:val="000000"/>
                <w:sz w:val="18"/>
                <w:szCs w:val="18"/>
                <w:highlight w:val="none"/>
                <w:u w:val="none"/>
              </w:rPr>
            </w:r>
            <w:r/>
          </w:p>
        </w:tc>
        <w:tc>
          <w:tcPr>
            <w:tcW w:w="81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11815</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810"/>
        </w:trPr>
        <w:tc>
          <w:tcPr>
            <w:tcW w:w="6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1289"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254"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2、部位：紫薇堂南侧林地（含构梁）</w:t>
            </w:r>
            <w:r>
              <w:rPr>
                <w:rFonts w:hint="eastAsia" w:ascii="宋体" w:hAnsi="宋体" w:eastAsia="宋体" w:cs="宋体"/>
                <w:i w:val="0"/>
                <w:color w:val="000000"/>
                <w:sz w:val="18"/>
                <w:szCs w:val="18"/>
                <w:highlight w:val="none"/>
                <w:u w:val="none"/>
              </w:rPr>
            </w:r>
            <w:r/>
          </w:p>
        </w:tc>
        <w:tc>
          <w:tcPr>
            <w:tcW w:w="81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24157</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810"/>
        </w:trPr>
        <w:tc>
          <w:tcPr>
            <w:tcW w:w="60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1289" w:type="dxa"/>
            <w:vAlign w:val="center"/>
            <w:textDirection w:val="lrTb"/>
            <w:noWrap w:val="false"/>
          </w:tcPr>
          <w:p>
            <w:pPr>
              <w:pStyle w:val="946"/>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254" w:type="dxa"/>
            <w:vAlign w:val="center"/>
            <w:textDirection w:val="lrTb"/>
            <w:noWrap w:val="false"/>
          </w:tcPr>
          <w:p>
            <w:pPr>
              <w:pStyle w:val="946"/>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1、专业养护三级，养护期24个月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2、部位：龙王山南侧宕口林地</w:t>
            </w:r>
            <w:r>
              <w:rPr>
                <w:rFonts w:hint="eastAsia" w:ascii="宋体" w:hAnsi="宋体" w:eastAsia="宋体" w:cs="宋体"/>
                <w:i w:val="0"/>
                <w:color w:val="000000"/>
                <w:sz w:val="18"/>
                <w:szCs w:val="18"/>
                <w:highlight w:val="none"/>
                <w:u w:val="none"/>
              </w:rPr>
            </w:r>
            <w:r/>
          </w:p>
        </w:tc>
        <w:tc>
          <w:tcPr>
            <w:tcW w:w="81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36957.8</w:t>
            </w: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606"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gridSpan w:val="2"/>
            <w:tcW w:w="5542" w:type="dxa"/>
            <w:vAlign w:val="center"/>
            <w:textDirection w:val="lrTb"/>
            <w:noWrap w:val="false"/>
          </w:tcPr>
          <w:p>
            <w:pPr>
              <w:pStyle w:val="946"/>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合计</w:t>
            </w:r>
            <w:r>
              <w:rPr>
                <w:rFonts w:hint="eastAsia" w:ascii="宋体" w:hAnsi="宋体" w:eastAsia="宋体" w:cs="宋体"/>
                <w:i w:val="0"/>
                <w:color w:val="000000"/>
                <w:sz w:val="20"/>
                <w:szCs w:val="20"/>
                <w:highlight w:val="none"/>
                <w:u w:val="none"/>
              </w:rPr>
            </w:r>
            <w:r/>
          </w:p>
        </w:tc>
        <w:tc>
          <w:tcPr>
            <w:tcW w:w="816"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pStyle w:val="946"/>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c>
          <w:tcPr>
            <w:tcW w:w="1176"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r>
    </w:tbl>
    <w:p>
      <w:pPr>
        <w:pStyle w:val="946"/>
        <w:ind w:right="180" w:firstLine="480"/>
        <w:jc w:val="both"/>
        <w:keepLines w:val="0"/>
        <w:keepNext w:val="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46"/>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46"/>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101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101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101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2.《投标分项报价表》中“合计”应当与《开标一览表》中“投标总报价”一致。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1010"/>
        <w:ind w:firstLine="480"/>
        <w:jc w:val="both"/>
        <w:keepLines w:val="0"/>
        <w:keepNext w:val="0"/>
        <w:pageBreakBefore w:val="0"/>
        <w:spacing w:before="0" w:beforeAutospacing="0" w:after="0" w:afterAutospacing="0" w:line="360" w:lineRule="auto"/>
        <w:widowControl/>
        <w:rPr>
          <w:rFonts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3.《投标分项报价表》中的分项名称须与“第四章-技术要求”中的名称一一对应，如有缺项、漏项，视为无效投标。“项目清单”中分项仅为一项的，此表无需提供。</w:t>
      </w:r>
      <w:r>
        <w:rPr>
          <w:rFonts w:ascii="宋体" w:hAnsi="宋体" w:eastAsia="宋体" w:cs="宋体"/>
          <w:b w:val="0"/>
          <w:bCs w:val="0"/>
          <w:color w:val="000000"/>
          <w:sz w:val="24"/>
          <w:szCs w:val="24"/>
          <w:highlight w:val="none"/>
          <w:lang w:val="en-US" w:eastAsia="zh-CN"/>
        </w:rPr>
      </w:r>
      <w:r/>
    </w:p>
    <w:p>
      <w:pPr>
        <w:pStyle w:val="101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hint="eastAsia" w:ascii="宋体" w:hAnsi="宋体" w:eastAsia="宋体" w:cs="宋体"/>
          <w:color w:val="000000"/>
          <w:sz w:val="24"/>
          <w:szCs w:val="24"/>
          <w:highlight w:val="none"/>
          <w:lang w:val="en-US" w:eastAsia="zh-CN"/>
        </w:rPr>
      </w:r>
      <w:r/>
    </w:p>
    <w:p>
      <w:pPr>
        <w:pStyle w:val="946"/>
        <w:jc w:val="center"/>
        <w:spacing w:line="360" w:lineRule="auto"/>
        <w:rPr>
          <w:rFonts w:hint="eastAsia" w:ascii="黑体" w:eastAsia="黑体" w:cs="Times New Roman"/>
          <w:color w:val="000000"/>
          <w:sz w:val="32"/>
          <w:szCs w:val="32"/>
          <w:highlight w:val="none"/>
          <w:lang w:val="en-US" w:eastAsia="zh-CN"/>
        </w:rPr>
        <w:outlineLvl w:val="0"/>
      </w:pPr>
      <w:r>
        <w:rPr>
          <w:rFonts w:hint="eastAsia" w:ascii="黑体" w:eastAsia="黑体" w:cs="Times New Roman"/>
          <w:color w:val="000000"/>
          <w:sz w:val="32"/>
          <w:szCs w:val="32"/>
          <w:highlight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w:t>
      </w:r>
      <w:bookmarkEnd w:id="198"/>
      <w:r>
        <w:rPr>
          <w:rFonts w:hint="eastAsia" w:ascii="黑体" w:hAnsi="黑体" w:eastAsia="黑体" w:cs="Times New Roman"/>
          <w:i w:val="0"/>
          <w:color w:val="000000"/>
          <w:sz w:val="32"/>
          <w:szCs w:val="32"/>
          <w:highlight w:val="none"/>
          <w:u w:val="none"/>
          <w:lang w:val="en-US" w:eastAsia="zh-CN"/>
        </w:rPr>
        <w:t xml:space="preserve">技术要求响应及偏离表</w:t>
      </w:r>
      <w:r>
        <w:rPr>
          <w:rFonts w:hint="eastAsia" w:ascii="黑体" w:hAnsi="黑体" w:eastAsia="黑体" w:cs="Times New Roman"/>
          <w:i w:val="0"/>
          <w:color w:val="000000"/>
          <w:sz w:val="32"/>
          <w:szCs w:val="32"/>
          <w:highlight w:val="none"/>
          <w:u w:val="none"/>
          <w:lang w:val="en-US" w:eastAsia="zh-CN"/>
        </w:rPr>
      </w:r>
      <w:r/>
    </w:p>
    <w:p>
      <w:pPr>
        <w:pStyle w:val="94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技术要求响应及偏离表（采购包1、采购包2）</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946"/>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6"/>
              <w:jc w:val="center"/>
              <w:rPr>
                <w:highlight w:val="none"/>
              </w:rPr>
            </w:pPr>
            <w:r>
              <w:rPr>
                <w:highlight w:val="none"/>
              </w:rPr>
            </w:r>
            <w:r/>
          </w:p>
          <w:p>
            <w:pPr>
              <w:pStyle w:val="1016"/>
              <w:rPr>
                <w:rFonts w:hint="eastAsia"/>
                <w:highlight w:val="none"/>
              </w:rPr>
            </w:pPr>
            <w:r>
              <w:rPr>
                <w:rFonts w:hint="eastAsia"/>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1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6"/>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46"/>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101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101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46"/>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946"/>
        <w:rPr>
          <w:rFonts w:hint="eastAsia" w:ascii="黑体" w:hAnsi="黑体" w:eastAsia="黑体" w:cs="Times New Roman"/>
          <w:i w:val="0"/>
          <w:iCs/>
          <w:color w:val="000000"/>
          <w:sz w:val="32"/>
          <w:szCs w:val="32"/>
          <w:highlight w:val="none"/>
          <w:u w:val="none"/>
          <w:lang w:val="en-US" w:eastAsia="zh-CN"/>
        </w:rPr>
      </w:pPr>
      <w:r/>
      <w:bookmarkStart w:id="202" w:name="_Hlt26955054"/>
      <w:r/>
      <w:bookmarkEnd w:id="202"/>
      <w:r>
        <w:rPr>
          <w:rFonts w:hint="eastAsia" w:ascii="黑体" w:hAnsi="黑体" w:eastAsia="黑体" w:cs="Times New Roman"/>
          <w:i w:val="0"/>
          <w:iCs/>
          <w:color w:val="000000"/>
          <w:sz w:val="32"/>
          <w:szCs w:val="32"/>
          <w:highlight w:val="none"/>
          <w:u w:val="none"/>
          <w:lang w:val="en-US" w:eastAsia="zh-CN"/>
        </w:rPr>
      </w:r>
      <w:r/>
    </w:p>
    <w:p>
      <w:pPr>
        <w:pStyle w:val="946"/>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46"/>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iCs/>
          <w:color w:val="000000"/>
          <w:sz w:val="32"/>
          <w:szCs w:val="32"/>
          <w:highlight w:val="none"/>
          <w:u w:val="none"/>
          <w:lang w:val="en-US" w:eastAsia="zh-CN"/>
        </w:rPr>
      </w:r>
      <w:r>
        <w:rPr>
          <w:rFonts w:hint="eastAsia" w:ascii="黑体" w:hAnsi="黑体" w:eastAsia="黑体" w:cs="Times New Roman"/>
          <w:bCs w:val="0"/>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iCs/>
          <w:color w:val="000000"/>
          <w:sz w:val="32"/>
          <w:szCs w:val="32"/>
          <w:highlight w:val="none"/>
          <w:u w:val="none"/>
          <w:lang w:val="en-US" w:eastAsia="zh-CN"/>
        </w:rPr>
      </w:r>
      <w:r>
        <w:rPr>
          <w:rFonts w:hint="eastAsia" w:ascii="黑体" w:hAnsi="黑体" w:eastAsia="黑体" w:cs="Times New Roman"/>
          <w:bCs w:val="0"/>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iCs/>
          <w:color w:val="000000"/>
          <w:sz w:val="32"/>
          <w:szCs w:val="32"/>
          <w:highlight w:val="none"/>
          <w:u w:val="none"/>
          <w:lang w:val="en-US" w:eastAsia="zh-CN"/>
        </w:rPr>
      </w:r>
      <w:r>
        <w:rPr>
          <w:rFonts w:hint="eastAsia" w:ascii="黑体" w:hAnsi="黑体" w:eastAsia="黑体" w:cs="Times New Roman"/>
          <w:bCs w:val="0"/>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iCs/>
          <w:color w:val="000000"/>
          <w:sz w:val="32"/>
          <w:szCs w:val="32"/>
          <w:highlight w:val="none"/>
          <w:u w:val="none"/>
          <w:lang w:val="en-US" w:eastAsia="zh-CN"/>
        </w:rPr>
      </w:r>
      <w:r>
        <w:rPr>
          <w:rFonts w:hint="eastAsia" w:ascii="黑体" w:hAnsi="黑体" w:eastAsia="黑体" w:cs="Times New Roman"/>
          <w:bCs w:val="0"/>
          <w:i w:val="0"/>
          <w:iCs/>
          <w:color w:val="000000"/>
          <w:sz w:val="32"/>
          <w:szCs w:val="32"/>
          <w:highlight w:val="none"/>
          <w:u w:val="none"/>
          <w:lang w:val="en-US" w:eastAsia="zh-CN"/>
        </w:rPr>
      </w:r>
      <w:r/>
    </w:p>
    <w:p>
      <w:pPr>
        <w:pStyle w:val="946"/>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46"/>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94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商务要求响应及偏离表（采购包1、采购包2）</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46"/>
              <w:jc w:val="center"/>
              <w:rPr>
                <w:rFonts w:hint="eastAsia" w:ascii="宋体" w:hAnsi="宋体"/>
                <w:color w:val="000000"/>
                <w:sz w:val="24"/>
                <w:szCs w:val="24"/>
                <w:highlight w:val="none"/>
              </w:rPr>
            </w:pPr>
            <w:r/>
            <w:bookmarkStart w:id="203" w:name="_Hlt26580838"/>
            <w:r/>
            <w:bookmarkEnd w:id="203"/>
            <w:r/>
            <w:bookmarkStart w:id="204" w:name="_Hlt24879081"/>
            <w:r/>
            <w:bookmarkEnd w:id="204"/>
            <w:r/>
            <w:bookmarkStart w:id="205" w:name="_Hlt26782999"/>
            <w:r/>
            <w:bookmarkEnd w:id="205"/>
            <w:r/>
            <w:bookmarkStart w:id="206" w:name="_Hlt26955056"/>
            <w:r/>
            <w:bookmarkEnd w:id="206"/>
            <w:r/>
            <w:bookmarkStart w:id="207" w:name="_Hlt26671343"/>
            <w:r/>
            <w:bookmarkEnd w:id="207"/>
            <w:r/>
            <w:bookmarkStart w:id="208" w:name="_Hlt26609391"/>
            <w:r/>
            <w:bookmarkEnd w:id="208"/>
            <w:r/>
            <w:bookmarkStart w:id="209" w:name="_Hlt26955064"/>
            <w:r/>
            <w:bookmarkEnd w:id="209"/>
            <w:r/>
            <w:bookmarkStart w:id="210" w:name="_Hlt26671372"/>
            <w:r/>
            <w:bookmarkEnd w:id="210"/>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946"/>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6"/>
              <w:jc w:val="center"/>
              <w:rPr>
                <w:highlight w:val="none"/>
              </w:rPr>
            </w:pPr>
            <w:r>
              <w:rPr>
                <w:highlight w:val="none"/>
              </w:rPr>
            </w:r>
            <w:r/>
          </w:p>
          <w:p>
            <w:pPr>
              <w:pStyle w:val="1016"/>
              <w:rPr>
                <w:rFonts w:hint="eastAsia"/>
                <w:highlight w:val="none"/>
              </w:rPr>
            </w:pPr>
            <w:r>
              <w:rPr>
                <w:rFonts w:hint="eastAsia"/>
                <w:highlight w:val="none"/>
              </w:rPr>
            </w:r>
            <w:r/>
          </w:p>
        </w:tc>
        <w:tc>
          <w:tcPr>
            <w:tcW w:w="2832"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1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6"/>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46"/>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101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101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46"/>
        <w:rPr>
          <w:highlight w:val="none"/>
        </w:rPr>
      </w:pPr>
      <w:r>
        <w:rPr>
          <w:highlight w:val="none"/>
        </w:rPr>
      </w:r>
      <w:r/>
    </w:p>
    <w:p>
      <w:pPr>
        <w:pStyle w:val="946"/>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1074"/>
        <w:rPr>
          <w:rFonts w:hint="eastAsia" w:ascii="宋体" w:hAnsi="宋体" w:cs="仿宋"/>
          <w:b/>
          <w:bCs/>
          <w:sz w:val="32"/>
          <w:szCs w:val="32"/>
          <w:highlight w:val="none"/>
        </w:rPr>
      </w:pPr>
      <w:r>
        <w:rPr>
          <w:rFonts w:hint="eastAsia" w:ascii="宋体" w:hAnsi="宋体" w:cs="仿宋"/>
          <w:b/>
          <w:bCs/>
          <w:sz w:val="32"/>
          <w:szCs w:val="32"/>
          <w:highlight w:val="none"/>
        </w:rPr>
      </w:r>
      <w:r/>
    </w:p>
    <w:p>
      <w:pPr>
        <w:pStyle w:val="946"/>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iCs/>
          <w:sz w:val="32"/>
          <w:szCs w:val="32"/>
          <w:highlight w:val="none"/>
          <w:u w:val="none"/>
          <w:lang w:val="en-US" w:eastAsia="zh-CN"/>
        </w:rPr>
      </w:r>
      <w:r>
        <w:rPr>
          <w:rFonts w:hint="eastAsia" w:ascii="黑体" w:hAnsi="黑体" w:eastAsia="黑体" w:cs="Times New Roman"/>
          <w:bCs w:val="0"/>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iCs/>
          <w:sz w:val="32"/>
          <w:szCs w:val="32"/>
          <w:highlight w:val="none"/>
          <w:u w:val="none"/>
          <w:lang w:val="en-US" w:eastAsia="zh-CN"/>
        </w:rPr>
      </w:r>
      <w:r>
        <w:rPr>
          <w:rFonts w:hint="eastAsia" w:ascii="黑体" w:hAnsi="黑体" w:eastAsia="黑体" w:cs="Times New Roman"/>
          <w:bCs w:val="0"/>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iCs/>
          <w:sz w:val="32"/>
          <w:szCs w:val="32"/>
          <w:highlight w:val="none"/>
          <w:u w:val="none"/>
          <w:lang w:val="en-US" w:eastAsia="zh-CN"/>
        </w:rPr>
      </w:r>
      <w:r>
        <w:rPr>
          <w:rFonts w:hint="eastAsia" w:ascii="黑体" w:hAnsi="黑体" w:eastAsia="黑体" w:cs="Times New Roman"/>
          <w:bCs w:val="0"/>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iCs/>
          <w:sz w:val="32"/>
          <w:szCs w:val="32"/>
          <w:highlight w:val="none"/>
          <w:u w:val="none"/>
          <w:lang w:val="en-US" w:eastAsia="zh-CN"/>
        </w:rPr>
      </w:r>
      <w:r>
        <w:rPr>
          <w:rFonts w:hint="eastAsia" w:ascii="黑体" w:hAnsi="黑体" w:eastAsia="黑体" w:cs="Times New Roman"/>
          <w:bCs w:val="0"/>
          <w:i w:val="0"/>
          <w:iCs/>
          <w:sz w:val="32"/>
          <w:szCs w:val="32"/>
          <w:highlight w:val="none"/>
          <w:u w:val="none"/>
          <w:lang w:val="en-US" w:eastAsia="zh-CN"/>
        </w:rPr>
      </w:r>
      <w:r/>
    </w:p>
    <w:p>
      <w:pPr>
        <w:pStyle w:val="946"/>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946"/>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946"/>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九、中小企业声明函</w:t>
      </w:r>
      <w:r>
        <w:rPr>
          <w:rFonts w:hint="eastAsia" w:ascii="黑体" w:hAnsi="黑体" w:eastAsia="黑体" w:cs="Times New Roman"/>
          <w:i w:val="0"/>
          <w:iCs/>
          <w:sz w:val="32"/>
          <w:szCs w:val="32"/>
          <w:highlight w:val="none"/>
          <w:u w:val="none"/>
          <w:lang w:val="en-US" w:eastAsia="zh-CN"/>
        </w:rPr>
      </w:r>
      <w:r/>
    </w:p>
    <w:p>
      <w:pPr>
        <w:pStyle w:val="946"/>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946"/>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根据《政府采购促进中小企业发展管理办法》(财库〔2020〕46号)的规定</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（分包号：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lang w:eastAsia="zh-CN"/>
        </w:rPr>
        <w:t xml:space="preserve">，</w:t>
      </w:r>
      <w:r>
        <w:rPr>
          <w:rFonts w:hint="eastAsia" w:ascii="宋体" w:hAnsi="宋体"/>
          <w:sz w:val="24"/>
          <w:szCs w:val="24"/>
          <w:highlight w:val="none"/>
        </w:rPr>
        <w:t xml:space="preserve">服务全部由符合政策的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946"/>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946"/>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946"/>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46"/>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不属于大企业的分支机构</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不存在控股股东为大企业的情形</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也不存在与大企业的负责人为同一人的情形。</w:t>
      </w:r>
      <w:r>
        <w:rPr>
          <w:rFonts w:hint="eastAsia" w:ascii="宋体" w:hAnsi="宋体"/>
          <w:sz w:val="24"/>
          <w:szCs w:val="24"/>
          <w:highlight w:val="none"/>
        </w:rPr>
      </w:r>
      <w:r/>
    </w:p>
    <w:p>
      <w:pPr>
        <w:pStyle w:val="946"/>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1074"/>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46"/>
        <w:keepLines w:val="0"/>
        <w:keepNext w:val="0"/>
        <w:pageBreakBefore w:val="0"/>
        <w:spacing w:line="360" w:lineRule="auto"/>
        <w:rPr>
          <w:rFonts w:hint="eastAsia"/>
          <w:highlight w:val="none"/>
          <w:lang w:eastAsia="zh-CN"/>
        </w:rPr>
      </w:pPr>
      <w:r>
        <w:rPr>
          <w:rFonts w:hint="eastAsia"/>
          <w:highlight w:val="none"/>
          <w:lang w:eastAsia="zh-CN"/>
        </w:rPr>
      </w:r>
      <w:r/>
    </w:p>
    <w:p>
      <w:pPr>
        <w:pStyle w:val="946"/>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46"/>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46"/>
        <w:ind w:firstLine="48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946"/>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u w:val="none"/>
          <w:lang w:val="en-US" w:eastAsia="zh-CN"/>
        </w:rPr>
        <w:t xml:space="preserve">内打“√”。</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投标人如不提供此声明函，不得参加专门面向中小企业采购项目或者</w:t>
      </w:r>
      <w:r>
        <w:rPr>
          <w:rFonts w:hint="eastAsia" w:ascii="宋体" w:hAnsi="宋体" w:eastAsia="宋体" w:cs="Times New Roman"/>
          <w:sz w:val="24"/>
          <w:szCs w:val="24"/>
          <w:highlight w:val="none"/>
          <w:lang w:val="en-US" w:eastAsia="zh-CN"/>
        </w:rPr>
        <w:t xml:space="preserve">不得享受小微企业价格扣除政策</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lang w:eastAsia="zh-CN"/>
        </w:rPr>
        <w:t xml:space="preserve">清单中列示的所有</w:t>
      </w:r>
      <w:r>
        <w:rPr>
          <w:rFonts w:ascii="宋体" w:hAnsi="宋体" w:eastAsia="宋体" w:cs="Times New Roman"/>
          <w:sz w:val="24"/>
          <w:szCs w:val="24"/>
          <w:highlight w:val="none"/>
          <w:lang w:val="en-US" w:eastAsia="zh-CN"/>
        </w:rPr>
        <w:t xml:space="preserve">服务</w:t>
      </w:r>
      <w:r>
        <w:rPr>
          <w:rFonts w:hint="eastAsia" w:ascii="宋体" w:hAnsi="宋体" w:eastAsia="宋体" w:cs="Times New Roman"/>
          <w:sz w:val="24"/>
          <w:szCs w:val="24"/>
          <w:highlight w:val="none"/>
          <w:lang w:eastAsia="zh-CN"/>
        </w:rPr>
        <w:t xml:space="preserve">，投标人须在声明函中逐项列示并明确承接企业的类型，如有缺失将按“不提供声明函”处理。此声明函将随成交结果同时公告，接受社会监督。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highlight w:val="none"/>
          <w:lang w:val="en-US" w:eastAsia="zh-CN"/>
        </w:rPr>
        <w:t xml:space="preserve">4.服务</w:t>
      </w:r>
      <w:r>
        <w:rPr>
          <w:rFonts w:hint="eastAsia" w:ascii="宋体" w:hAnsi="宋体" w:eastAsia="宋体" w:cs="Times New Roman"/>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highlight w:val="none"/>
          <w:lang w:eastAsia="zh-CN"/>
        </w:rPr>
      </w:r>
      <w:r/>
    </w:p>
    <w:p>
      <w:pPr>
        <w:pStyle w:val="946"/>
        <w:ind w:firstLine="0"/>
        <w:jc w:val="left"/>
        <w:spacing w:line="360" w:lineRule="auto"/>
        <w:rPr>
          <w:rFonts w:hint="eastAsia" w:ascii="黑体" w:hAnsi="黑体" w:eastAsia="黑体"/>
          <w:b w:val="0"/>
          <w:sz w:val="32"/>
          <w:szCs w:val="32"/>
          <w:highlight w:val="none"/>
        </w:rPr>
      </w:pPr>
      <w:r>
        <w:rPr>
          <w:rFonts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946"/>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946"/>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w:t>
      </w:r>
      <w:r>
        <w:rPr>
          <w:rFonts w:hint="eastAsia" w:ascii="宋体" w:hAnsi="宋体"/>
          <w:sz w:val="24"/>
          <w:highlight w:val="none"/>
          <w:lang w:eastAsia="zh-CN"/>
        </w:rPr>
        <w:t xml:space="preserve">，</w:t>
      </w:r>
      <w:r>
        <w:rPr>
          <w:rFonts w:hint="eastAsia" w:ascii="宋体" w:hAnsi="宋体"/>
          <w:sz w:val="24"/>
          <w:highlight w:val="none"/>
        </w:rPr>
        <w:t xml:space="preserve">根据《财政部 民政部 中国残疾人联合会关于促进残疾人就业政府采购政策的通知》（财库〔2017〕141号）的规定</w:t>
      </w:r>
      <w:r>
        <w:rPr>
          <w:rFonts w:hint="eastAsia" w:ascii="宋体" w:hAnsi="宋体"/>
          <w:sz w:val="24"/>
          <w:highlight w:val="none"/>
          <w:lang w:eastAsia="zh-CN"/>
        </w:rPr>
        <w:t xml:space="preserve">，</w:t>
      </w:r>
      <w:r>
        <w:rPr>
          <w:rFonts w:hint="eastAsia" w:ascii="宋体" w:hAnsi="宋体"/>
          <w:sz w:val="24"/>
          <w:highlight w:val="none"/>
        </w:rPr>
        <w:t xml:space="preserve">本单位为符合条件的残疾人福利性单位</w:t>
      </w:r>
      <w:r>
        <w:rPr>
          <w:rFonts w:hint="eastAsia" w:ascii="宋体" w:hAnsi="宋体"/>
          <w:sz w:val="24"/>
          <w:highlight w:val="none"/>
          <w:lang w:eastAsia="zh-CN"/>
        </w:rPr>
        <w:t xml:space="preserve">，</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（分包号：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94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w:t>
      </w:r>
      <w:r>
        <w:rPr>
          <w:rFonts w:hint="eastAsia" w:ascii="宋体" w:hAnsi="宋体"/>
          <w:sz w:val="24"/>
          <w:highlight w:val="none"/>
          <w:lang w:eastAsia="zh-CN"/>
        </w:rPr>
        <w:t xml:space="preserve">，</w:t>
      </w:r>
      <w:r>
        <w:rPr>
          <w:rFonts w:hint="eastAsia" w:ascii="宋体" w:hAnsi="宋体"/>
          <w:sz w:val="24"/>
          <w:highlight w:val="none"/>
        </w:rPr>
        <w:t xml:space="preserve">将依法承担相应责任。</w:t>
      </w:r>
      <w:r>
        <w:rPr>
          <w:rFonts w:hint="eastAsia" w:ascii="宋体" w:hAnsi="宋体"/>
          <w:sz w:val="24"/>
          <w:highlight w:val="none"/>
        </w:rPr>
      </w:r>
      <w:r/>
    </w:p>
    <w:p>
      <w:pPr>
        <w:pStyle w:val="1074"/>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946"/>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946"/>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46"/>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94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94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4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如不提供此声明函</w:t>
      </w:r>
      <w:r>
        <w:rPr>
          <w:rFonts w:hint="eastAsia" w:ascii="宋体" w:hAnsi="宋体"/>
          <w:sz w:val="24"/>
          <w:highlight w:val="none"/>
          <w:lang w:eastAsia="zh-CN"/>
        </w:rPr>
        <w:t xml:space="preserve">，</w:t>
      </w:r>
      <w:r>
        <w:rPr>
          <w:rFonts w:hint="eastAsia" w:ascii="宋体" w:hAnsi="宋体"/>
          <w:sz w:val="24"/>
          <w:highlight w:val="none"/>
        </w:rPr>
        <w:t xml:space="preserve">价格将不</w:t>
      </w:r>
      <w:r>
        <w:rPr>
          <w:rFonts w:hint="eastAsia" w:ascii="宋体" w:hAnsi="宋体"/>
          <w:sz w:val="24"/>
          <w:highlight w:val="none"/>
          <w:lang w:eastAsia="zh-CN"/>
        </w:rPr>
        <w:t xml:space="preserve">作</w:t>
      </w:r>
      <w:r>
        <w:rPr>
          <w:rFonts w:hint="eastAsia" w:ascii="宋体" w:hAnsi="宋体"/>
          <w:sz w:val="24"/>
          <w:highlight w:val="none"/>
        </w:rPr>
        <w:t xml:space="preserve">相应扣除。</w:t>
      </w:r>
      <w:r>
        <w:rPr>
          <w:rFonts w:hint="eastAsia" w:ascii="宋体" w:hAnsi="宋体"/>
          <w:sz w:val="24"/>
          <w:highlight w:val="none"/>
        </w:rPr>
      </w:r>
      <w:r/>
    </w:p>
    <w:p>
      <w:pPr>
        <w:pStyle w:val="946"/>
        <w:ind w:firstLine="480"/>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中标人为残疾人福利</w:t>
      </w:r>
      <w:r>
        <w:rPr>
          <w:rFonts w:hint="eastAsia" w:ascii="宋体" w:hAnsi="宋体"/>
          <w:sz w:val="24"/>
          <w:highlight w:val="none"/>
          <w:lang w:val="en-US" w:eastAsia="zh-CN"/>
        </w:rPr>
        <w:t xml:space="preserve">性</w:t>
      </w:r>
      <w:r>
        <w:rPr>
          <w:rFonts w:hint="eastAsia" w:ascii="宋体" w:hAnsi="宋体"/>
          <w:sz w:val="24"/>
          <w:highlight w:val="none"/>
        </w:rPr>
        <w:t xml:space="preserve">单位的</w:t>
      </w:r>
      <w:r>
        <w:rPr>
          <w:rFonts w:hint="eastAsia" w:ascii="宋体" w:hAnsi="宋体"/>
          <w:sz w:val="24"/>
          <w:highlight w:val="none"/>
          <w:lang w:eastAsia="zh-CN"/>
        </w:rPr>
        <w:t xml:space="preserve">，</w:t>
      </w:r>
      <w:r>
        <w:rPr>
          <w:rFonts w:hint="eastAsia" w:ascii="宋体" w:hAnsi="宋体"/>
          <w:sz w:val="24"/>
          <w:highlight w:val="none"/>
        </w:rPr>
        <w:t xml:space="preserve">此声明函将随中标结果同时公告</w:t>
      </w:r>
      <w:r>
        <w:rPr>
          <w:rFonts w:hint="eastAsia" w:ascii="宋体" w:hAnsi="宋体"/>
          <w:sz w:val="24"/>
          <w:highlight w:val="none"/>
          <w:lang w:eastAsia="zh-CN"/>
        </w:rPr>
        <w:t xml:space="preserve">，</w:t>
      </w:r>
      <w:r>
        <w:rPr>
          <w:rFonts w:hint="eastAsia" w:ascii="宋体" w:hAnsi="宋体"/>
          <w:sz w:val="24"/>
          <w:highlight w:val="none"/>
        </w:rPr>
        <w:t xml:space="preserve">接受社会监督</w:t>
      </w:r>
      <w:r>
        <w:rPr>
          <w:rFonts w:hint="eastAsia" w:ascii="宋体" w:hAnsi="宋体"/>
          <w:sz w:val="24"/>
          <w:highlight w:val="none"/>
          <w:lang w:eastAsia="zh-CN"/>
        </w:rPr>
        <w:t xml:space="preserve">。</w:t>
      </w:r>
      <w:r>
        <w:rPr>
          <w:rFonts w:ascii="宋体" w:hAnsi="宋体"/>
          <w:sz w:val="24"/>
          <w:highlight w:val="none"/>
        </w:rPr>
      </w:r>
      <w:r/>
    </w:p>
    <w:p>
      <w:pPr>
        <w:pStyle w:val="946"/>
        <w:ind w:firstLine="480"/>
        <w:spacing w:line="480" w:lineRule="exact"/>
        <w:rPr>
          <w:rFonts w:ascii="宋体" w:hAnsi="宋体"/>
          <w:sz w:val="24"/>
          <w:highlight w:val="none"/>
        </w:rPr>
      </w:pPr>
      <w:r>
        <w:rPr>
          <w:rFonts w:ascii="宋体" w:hAnsi="宋体"/>
          <w:sz w:val="24"/>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6"/>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946"/>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十一、联合体协议</w:t>
      </w:r>
      <w:r>
        <w:rPr>
          <w:rFonts w:hint="eastAsia" w:ascii="黑体" w:hAnsi="黑体" w:eastAsia="黑体" w:cs="Times New Roman"/>
          <w:i w:val="0"/>
          <w:iCs/>
          <w:sz w:val="32"/>
          <w:szCs w:val="32"/>
          <w:highlight w:val="none"/>
          <w:u w:val="none"/>
          <w:lang w:val="en-US" w:eastAsia="zh-CN"/>
        </w:rPr>
      </w:r>
      <w:r/>
    </w:p>
    <w:p>
      <w:pPr>
        <w:pStyle w:val="946"/>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946"/>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946"/>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（供应商1）</w:t>
      </w:r>
      <w:r>
        <w:rPr>
          <w:rFonts w:hint="eastAsia" w:ascii="宋体" w:hAnsi="宋体"/>
          <w:sz w:val="24"/>
          <w:highlight w:val="none"/>
          <w:u w:val="single"/>
          <w:lang w:eastAsia="zh-CN"/>
        </w:rPr>
        <w:t xml:space="preserve">，</w:t>
      </w:r>
      <w:r>
        <w:rPr>
          <w:rFonts w:hint="eastAsia" w:ascii="宋体" w:hAnsi="宋体"/>
          <w:sz w:val="24"/>
          <w:highlight w:val="none"/>
          <w:u w:val="single"/>
        </w:rPr>
        <w:t xml:space="preserve">（供应商2） </w:t>
      </w:r>
      <w:r>
        <w:rPr>
          <w:rFonts w:hint="eastAsia" w:ascii="宋体" w:hAnsi="宋体"/>
          <w:sz w:val="24"/>
          <w:highlight w:val="none"/>
          <w:u w:val="single"/>
          <w:lang w:eastAsia="zh-CN"/>
        </w:rPr>
        <w:t xml:space="preserve">，</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highlight w:val="none"/>
          <w:lang w:eastAsia="zh-CN"/>
        </w:rPr>
        <w:t xml:space="preserve">，</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（分包号：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946"/>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w:t>
      </w:r>
      <w:r>
        <w:rPr>
          <w:rFonts w:hint="eastAsia" w:ascii="宋体" w:hAnsi="宋体"/>
          <w:sz w:val="24"/>
          <w:highlight w:val="none"/>
          <w:lang w:eastAsia="zh-CN"/>
        </w:rPr>
        <w:t xml:space="preserve">，</w:t>
      </w:r>
      <w:r>
        <w:rPr>
          <w:rFonts w:hint="eastAsia" w:ascii="宋体" w:hAnsi="宋体"/>
          <w:sz w:val="24"/>
          <w:highlight w:val="none"/>
        </w:rPr>
        <w:t xml:space="preserve">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w:t>
      </w:r>
      <w:r>
        <w:rPr>
          <w:rFonts w:hint="eastAsia" w:ascii="宋体" w:hAnsi="宋体"/>
          <w:sz w:val="24"/>
          <w:highlight w:val="none"/>
          <w:lang w:eastAsia="zh-CN"/>
        </w:rPr>
        <w:t xml:space="preserve">，</w:t>
      </w:r>
      <w:r>
        <w:rPr>
          <w:rFonts w:hint="eastAsia" w:ascii="宋体" w:hAnsi="宋体"/>
          <w:sz w:val="24"/>
          <w:highlight w:val="none"/>
        </w:rPr>
        <w:t xml:space="preserve">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联合体中各供应商所承担的工作和相应的责任）。</w:t>
      </w:r>
      <w:r>
        <w:rPr>
          <w:rFonts w:ascii="宋体" w:hAnsi="宋体"/>
          <w:sz w:val="24"/>
          <w:highlight w:val="none"/>
        </w:rPr>
      </w:r>
      <w:r/>
    </w:p>
    <w:p>
      <w:pPr>
        <w:pStyle w:val="946"/>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lang w:eastAsia="zh-CN"/>
        </w:rPr>
        <w:t xml:space="preserve">，</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946"/>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946"/>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946"/>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946"/>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94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94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46"/>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946"/>
        <w:ind w:firstLine="480"/>
        <w:keepLines w:val="0"/>
        <w:keepNext w:val="0"/>
        <w:pageBreakBefore w:val="0"/>
        <w:spacing w:line="360" w:lineRule="auto"/>
        <w:widowControl w:val="off"/>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none"/>
          <w:lang w:val="en-US" w:eastAsia="zh-CN"/>
        </w:rPr>
      </w:r>
      <w:r/>
    </w:p>
    <w:p>
      <w:pPr>
        <w:pStyle w:val="946"/>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016"/>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946"/>
        <w:rPr>
          <w:rFonts w:hint="eastAsia"/>
          <w:highlight w:val="none"/>
        </w:rPr>
      </w:pPr>
      <w:r>
        <w:rPr>
          <w:rFonts w:hint="eastAsia"/>
          <w:highlight w:val="none"/>
        </w:rPr>
      </w:r>
      <w:r/>
    </w:p>
    <w:p>
      <w:pPr>
        <w:pStyle w:val="946"/>
        <w:ind w:firstLine="645"/>
        <w:spacing w:line="560" w:lineRule="exact"/>
        <w:rPr>
          <w:rFonts w:ascii="宋体" w:hAnsi="宋体"/>
          <w:sz w:val="24"/>
          <w:highlight w:val="none"/>
        </w:rPr>
      </w:pPr>
      <w:r>
        <w:rPr>
          <w:rFonts w:ascii="宋体" w:hAnsi="宋体"/>
          <w:sz w:val="24"/>
          <w:highlight w:val="none"/>
        </w:rPr>
      </w:r>
      <w:r/>
    </w:p>
    <w:p>
      <w:pPr>
        <w:pStyle w:val="946"/>
        <w:ind w:firstLine="645"/>
        <w:spacing w:line="560" w:lineRule="exact"/>
        <w:rPr>
          <w:rFonts w:hint="eastAsia" w:ascii="宋体" w:hAnsi="宋体"/>
          <w:sz w:val="24"/>
          <w:highlight w:val="none"/>
        </w:rPr>
      </w:pPr>
      <w:r>
        <w:rPr>
          <w:rFonts w:hint="eastAsia" w:ascii="宋体" w:hAnsi="宋体"/>
          <w:sz w:val="24"/>
          <w:highlight w:val="none"/>
        </w:rPr>
      </w:r>
      <w:r/>
    </w:p>
    <w:p>
      <w:pPr>
        <w:pStyle w:val="1074"/>
        <w:rPr>
          <w:rFonts w:hint="eastAsia" w:ascii="宋体" w:hAnsi="宋体"/>
          <w:sz w:val="24"/>
          <w:highlight w:val="none"/>
        </w:rPr>
      </w:pPr>
      <w:r>
        <w:rPr>
          <w:rFonts w:hint="eastAsia" w:ascii="宋体" w:hAnsi="宋体"/>
          <w:sz w:val="24"/>
          <w:highlight w:val="none"/>
        </w:rPr>
      </w:r>
      <w:r/>
    </w:p>
    <w:p>
      <w:pPr>
        <w:rPr>
          <w:rFonts w:hint="eastAsia" w:ascii="宋体" w:hAnsi="宋体"/>
          <w:sz w:val="24"/>
          <w:szCs w:val="24"/>
          <w:highlight w:val="none"/>
        </w:rPr>
      </w:pPr>
      <w:r>
        <w:rPr>
          <w:rFonts w:hint="eastAsia" w:ascii="宋体" w:hAnsi="宋体"/>
          <w:sz w:val="24"/>
          <w:highlight w:val="none"/>
        </w:rPr>
      </w:r>
      <w:r>
        <w:rPr>
          <w:rFonts w:hint="eastAsia" w:ascii="宋体" w:hAnsi="宋体"/>
          <w:sz w:val="24"/>
          <w:highlight w:val="none"/>
        </w:rPr>
      </w: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946"/>
        <w:rPr>
          <w:rFonts w:hint="eastAsia" w:ascii="宋体" w:hAnsi="宋体"/>
          <w:sz w:val="24"/>
          <w:szCs w:val="24"/>
          <w:highlight w:val="none"/>
        </w:rPr>
      </w:pPr>
      <w:r>
        <w:rPr>
          <w:rFonts w:hint="eastAsia" w:ascii="宋体" w:hAnsi="宋体"/>
          <w:sz w:val="24"/>
          <w:highlight w:val="none"/>
        </w:rPr>
      </w:r>
      <w:r/>
    </w:p>
    <w:p>
      <w:pPr>
        <w:pStyle w:val="1074"/>
        <w:rPr>
          <w:rFonts w:hint="eastAsia"/>
          <w:highlight w:val="none"/>
        </w:rPr>
      </w:pPr>
      <w:r>
        <w:rPr>
          <w:rFonts w:hint="eastAsia"/>
          <w:highlight w:val="none"/>
        </w:rPr>
      </w:r>
      <w:r/>
    </w:p>
    <w:p>
      <w:pPr>
        <w:pStyle w:val="946"/>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十二、分包承诺书</w:t>
      </w:r>
      <w:r>
        <w:rPr>
          <w:rFonts w:hint="eastAsia" w:ascii="黑体" w:hAnsi="黑体" w:eastAsia="黑体" w:cs="Times New Roman"/>
          <w:i w:val="0"/>
          <w:iCs/>
          <w:sz w:val="32"/>
          <w:szCs w:val="32"/>
          <w:highlight w:val="none"/>
          <w:u w:val="none"/>
          <w:lang w:val="en-US" w:eastAsia="zh-CN"/>
        </w:rPr>
      </w:r>
      <w:r/>
    </w:p>
    <w:p>
      <w:pPr>
        <w:pStyle w:val="946"/>
        <w:rPr>
          <w:rFonts w:hint="eastAsia"/>
          <w:highlight w:val="none"/>
        </w:rPr>
      </w:pPr>
      <w:r>
        <w:rPr>
          <w:rFonts w:hint="eastAsia"/>
          <w:highlight w:val="none"/>
        </w:rPr>
      </w:r>
      <w:r/>
    </w:p>
    <w:p>
      <w:pPr>
        <w:pStyle w:val="946"/>
        <w:jc w:val="center"/>
        <w:keepLines w:val="0"/>
        <w:keepNext w:val="0"/>
        <w:pageBreakBefore w:val="0"/>
        <w:spacing w:line="360" w:lineRule="auto"/>
        <w:rPr>
          <w:rFonts w:hint="eastAsia" w:ascii="宋体" w:hAnsi="宋体" w:eastAsia="宋体" w:cs="宋体"/>
          <w:b w:val="0"/>
          <w:bCs w:val="0"/>
          <w:sz w:val="32"/>
          <w:szCs w:val="32"/>
          <w:highlight w:val="none"/>
          <w:lang w:val="zh-CN" w:eastAsia="zh-CN"/>
        </w:rPr>
      </w:pPr>
      <w:r>
        <w:rPr>
          <w:rFonts w:hint="eastAsia" w:ascii="宋体" w:hAnsi="宋体" w:eastAsia="宋体" w:cs="宋体"/>
          <w:b w:val="0"/>
          <w:bCs w:val="0"/>
          <w:sz w:val="32"/>
          <w:szCs w:val="32"/>
          <w:highlight w:val="none"/>
          <w:lang w:val="zh-CN" w:eastAsia="zh-CN"/>
        </w:rPr>
        <w:t xml:space="preserve">分包承诺书</w:t>
      </w:r>
      <w:r>
        <w:rPr>
          <w:rFonts w:hint="eastAsia" w:ascii="宋体" w:hAnsi="宋体" w:eastAsia="宋体" w:cs="宋体"/>
          <w:b w:val="0"/>
          <w:bCs w:val="0"/>
          <w:sz w:val="32"/>
          <w:szCs w:val="32"/>
          <w:highlight w:val="none"/>
          <w:lang w:val="zh-CN" w:eastAsia="zh-CN"/>
        </w:rPr>
      </w:r>
      <w:r/>
    </w:p>
    <w:p>
      <w:pPr>
        <w:pStyle w:val="946"/>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eastAsia="zh-CN"/>
        </w:rPr>
      </w:r>
      <w:r/>
    </w:p>
    <w:p>
      <w:pPr>
        <w:pStyle w:val="946"/>
        <w:ind w:firstLine="0"/>
        <w:keepLines w:val="0"/>
        <w:keepNext w:val="0"/>
        <w:pageBreakBefore w:val="0"/>
        <w:spacing w:line="48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采购人名称</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r>
      <w:r/>
    </w:p>
    <w:p>
      <w:pPr>
        <w:pStyle w:val="946"/>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（供应商名称）郑重承诺：</w:t>
      </w:r>
      <w:r>
        <w:rPr>
          <w:rFonts w:hint="eastAsia" w:ascii="宋体" w:hAnsi="宋体" w:eastAsia="宋体" w:cs="宋体"/>
          <w:color w:val="000000"/>
          <w:sz w:val="24"/>
          <w:szCs w:val="24"/>
          <w:highlight w:val="none"/>
        </w:rPr>
      </w:r>
      <w:r/>
    </w:p>
    <w:p>
      <w:pPr>
        <w:pStyle w:val="946"/>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如我公司中标（成交）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 xml:space="preserve">（项目名称）项目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拟将项目中的</w:t>
      </w:r>
      <w:r>
        <w:rPr>
          <w:rFonts w:hint="eastAsia" w:ascii="宋体" w:hAnsi="宋体" w:eastAsia="宋体" w:cs="宋体"/>
          <w:color w:val="000000"/>
          <w:sz w:val="24"/>
          <w:szCs w:val="24"/>
          <w:highlight w:val="none"/>
          <w:lang w:val="en-US" w:eastAsia="zh-CN"/>
        </w:rPr>
      </w:r>
      <w:r/>
    </w:p>
    <w:p>
      <w:pPr>
        <w:pStyle w:val="946"/>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建设内容，分包给具有相应资质</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供应商实施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并在签订合同时提供分包意向协议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6"/>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ind w:right="180" w:firstLine="360"/>
        <w:jc w:val="right"/>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（加盖电子公章）</w:t>
      </w:r>
      <w:r>
        <w:rPr>
          <w:rFonts w:hint="eastAsia" w:ascii="宋体" w:hAnsi="宋体" w:eastAsia="宋体" w:cs="宋体"/>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94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6"/>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946"/>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6"/>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分</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94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94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46"/>
        <w:rPr>
          <w:rFonts w:hint="eastAsia" w:ascii="宋体" w:hAnsi="宋体"/>
          <w:sz w:val="24"/>
          <w:szCs w:val="24"/>
          <w:highlight w:val="none"/>
        </w:rPr>
      </w:pPr>
      <w:r>
        <w:rPr>
          <w:rFonts w:hint="eastAsia" w:ascii="宋体" w:hAnsi="宋体"/>
          <w:sz w:val="24"/>
          <w:szCs w:val="24"/>
          <w:highlight w:val="none"/>
        </w:rPr>
      </w:r>
      <w:r/>
    </w:p>
    <w:p>
      <w:pPr>
        <w:pStyle w:val="946"/>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字(签章)：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946"/>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946"/>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946"/>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946"/>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94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94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94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94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94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94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946"/>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946"/>
        <w:rPr>
          <w:highlight w:val="none"/>
        </w:rPr>
      </w:pPr>
      <w:r>
        <w:rPr>
          <w:highlight w:val="none"/>
        </w:r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rPr>
        <w:rStyle w:val="1020"/>
      </w:rPr>
    </w:r>
    <w:r/>
  </w:p>
  <w:p>
    <w:pPr>
      <w:pStyle w:val="99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tabs>
                              <w:tab w:val="clear" w:pos="4153" w:leader="none"/>
                              <w:tab w:val="clear" w:pos="8306" w:leader="none"/>
                            </w:tabs>
                            <w:rPr>
                              <w:rStyle w:val="1020"/>
                              <w:rFonts w:ascii="Times New Roman" w:hAnsi="Times New Roman" w:cs="Times New Roman"/>
                            </w:rPr>
                          </w:pPr>
                          <w:r>
                            <w:rPr>
                              <w:rFonts w:ascii="Times New Roman" w:hAnsi="Times New Roman" w:cs="Times New Roman"/>
                            </w:rPr>
                            <w:fldChar w:fldCharType="begin"/>
                          </w:r>
                          <w:r>
                            <w:rPr>
                              <w:rStyle w:val="1020"/>
                              <w:rFonts w:ascii="Times New Roman" w:hAnsi="Times New Roman" w:cs="Times New Roman"/>
                            </w:rPr>
                            <w:instrText xml:space="preserve">PAGE  </w:instrText>
                          </w:r>
                          <w:r>
                            <w:rPr>
                              <w:rFonts w:ascii="Times New Roman" w:hAnsi="Times New Roman" w:cs="Times New Roman"/>
                            </w:rPr>
                            <w:fldChar w:fldCharType="separate"/>
                          </w:r>
                          <w:r>
                            <w:rPr>
                              <w:rStyle w:val="1020"/>
                              <w:rFonts w:ascii="Times New Roman" w:hAnsi="Times New Roman" w:cs="Times New Roman"/>
                            </w:rPr>
                            <w:t xml:space="preserve">３５</w:t>
                          </w:r>
                          <w:r>
                            <w:rPr>
                              <w:rFonts w:ascii="Times New Roman" w:hAnsi="Times New Roman" w:cs="Times New Roman"/>
                            </w:rPr>
                            <w:fldChar w:fldCharType="end"/>
                          </w:r>
                          <w:r>
                            <w:rPr>
                              <w:rStyle w:val="1020"/>
                              <w:rFonts w:ascii="Times New Roman" w:hAnsi="Times New Roman" w:cs="Times New Roman"/>
                            </w:rPr>
                          </w:r>
                          <w:r/>
                        </w:p>
                        <w:p>
                          <w:pPr>
                            <w:pStyle w:val="94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tabs>
                        <w:tab w:val="clear" w:pos="4153" w:leader="none"/>
                        <w:tab w:val="clear" w:pos="8306" w:leader="none"/>
                      </w:tabs>
                      <w:rPr>
                        <w:rStyle w:val="1020"/>
                        <w:rFonts w:ascii="Times New Roman" w:hAnsi="Times New Roman" w:cs="Times New Roman"/>
                      </w:rPr>
                    </w:pPr>
                    <w:r>
                      <w:rPr>
                        <w:rFonts w:ascii="Times New Roman" w:hAnsi="Times New Roman" w:cs="Times New Roman"/>
                      </w:rPr>
                      <w:fldChar w:fldCharType="begin"/>
                    </w:r>
                    <w:r>
                      <w:rPr>
                        <w:rStyle w:val="1020"/>
                        <w:rFonts w:ascii="Times New Roman" w:hAnsi="Times New Roman" w:cs="Times New Roman"/>
                      </w:rPr>
                      <w:instrText xml:space="preserve">PAGE  </w:instrText>
                    </w:r>
                    <w:r>
                      <w:rPr>
                        <w:rFonts w:ascii="Times New Roman" w:hAnsi="Times New Roman" w:cs="Times New Roman"/>
                      </w:rPr>
                      <w:fldChar w:fldCharType="separate"/>
                    </w:r>
                    <w:r>
                      <w:rPr>
                        <w:rStyle w:val="1020"/>
                        <w:rFonts w:ascii="Times New Roman" w:hAnsi="Times New Roman" w:cs="Times New Roman"/>
                      </w:rPr>
                      <w:t xml:space="preserve">３５</w:t>
                    </w:r>
                    <w:r>
                      <w:rPr>
                        <w:rFonts w:ascii="Times New Roman" w:hAnsi="Times New Roman" w:cs="Times New Roman"/>
                      </w:rPr>
                      <w:fldChar w:fldCharType="end"/>
                    </w:r>
                    <w:r>
                      <w:rPr>
                        <w:rStyle w:val="1020"/>
                        <w:rFonts w:ascii="Times New Roman" w:hAnsi="Times New Roman" w:cs="Times New Roman"/>
                      </w:rPr>
                    </w:r>
                    <w:r/>
                  </w:p>
                  <w:p>
                    <w:pPr>
                      <w:pStyle w:val="946"/>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 xml:space="preserve">- 0 -</w:t>
                          </w:r>
                          <w:r>
                            <w:rPr>
                              <w:rFonts w:hint="eastAsia"/>
                              <w:sz w:val="18"/>
                              <w:lang w:eastAsia="zh-CN"/>
                            </w:rPr>
                            <w:fldChar w:fldCharType="end"/>
                          </w:r>
                          <w:r>
                            <w:rPr>
                              <w:rFonts w:hint="eastAsia" w:eastAsia="宋体"/>
                              <w:sz w:val="18"/>
                              <w:lang w:eastAsia="zh-CN"/>
                            </w:rPr>
                          </w:r>
                          <w:r/>
                        </w:p>
                        <w:p>
                          <w:pPr>
                            <w:pStyle w:val="94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 xml:space="preserve">- 0 -</w:t>
                    </w:r>
                    <w:r>
                      <w:rPr>
                        <w:rFonts w:hint="eastAsia"/>
                        <w:sz w:val="18"/>
                        <w:lang w:eastAsia="zh-CN"/>
                      </w:rPr>
                      <w:fldChar w:fldCharType="end"/>
                    </w:r>
                    <w:r>
                      <w:rPr>
                        <w:rFonts w:hint="eastAsia" w:eastAsia="宋体"/>
                        <w:sz w:val="18"/>
                        <w:lang w:eastAsia="zh-CN"/>
                      </w:rPr>
                    </w:r>
                    <w:r/>
                  </w:p>
                  <w:p>
                    <w:pPr>
                      <w:pStyle w:val="94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4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46"/>
        <w:ind w:left="1440" w:hanging="360"/>
      </w:pPr>
      <w:rPr>
        <w:rFonts w:ascii="Courier New" w:hAnsi="Courier New" w:eastAsia="Courier New" w:cs="Courier New"/>
      </w:rPr>
    </w:lvl>
    <w:lvl w:ilvl="2">
      <w:start w:val="1"/>
      <w:numFmt w:val="bullet"/>
      <w:isLgl w:val="false"/>
      <w:suff w:val="tab"/>
      <w:lvlText w:val="§"/>
      <w:lvlJc w:val="left"/>
      <w:pPr>
        <w:pStyle w:val="946"/>
        <w:ind w:left="2160" w:hanging="360"/>
      </w:pPr>
      <w:rPr>
        <w:rFonts w:ascii="Wingdings" w:hAnsi="Wingdings" w:eastAsia="Wingdings" w:cs="Wingdings"/>
      </w:rPr>
    </w:lvl>
    <w:lvl w:ilvl="3">
      <w:start w:val="1"/>
      <w:numFmt w:val="bullet"/>
      <w:isLgl w:val="false"/>
      <w:suff w:val="tab"/>
      <w:lvlText w:val="·"/>
      <w:lvlJc w:val="left"/>
      <w:pPr>
        <w:pStyle w:val="946"/>
        <w:ind w:left="2880" w:hanging="360"/>
      </w:pPr>
      <w:rPr>
        <w:rFonts w:ascii="Symbol" w:hAnsi="Symbol" w:eastAsia="Symbol" w:cs="Symbol"/>
      </w:rPr>
    </w:lvl>
    <w:lvl w:ilvl="4">
      <w:start w:val="1"/>
      <w:numFmt w:val="bullet"/>
      <w:isLgl w:val="false"/>
      <w:suff w:val="tab"/>
      <w:lvlText w:val="o"/>
      <w:lvlJc w:val="left"/>
      <w:pPr>
        <w:pStyle w:val="946"/>
        <w:ind w:left="3600" w:hanging="360"/>
      </w:pPr>
      <w:rPr>
        <w:rFonts w:ascii="Courier New" w:hAnsi="Courier New" w:eastAsia="Courier New" w:cs="Courier New"/>
      </w:rPr>
    </w:lvl>
    <w:lvl w:ilvl="5">
      <w:start w:val="1"/>
      <w:numFmt w:val="bullet"/>
      <w:isLgl w:val="false"/>
      <w:suff w:val="tab"/>
      <w:lvlText w:val="§"/>
      <w:lvlJc w:val="left"/>
      <w:pPr>
        <w:pStyle w:val="946"/>
        <w:ind w:left="4320" w:hanging="360"/>
      </w:pPr>
      <w:rPr>
        <w:rFonts w:ascii="Wingdings" w:hAnsi="Wingdings" w:eastAsia="Wingdings" w:cs="Wingdings"/>
      </w:rPr>
    </w:lvl>
    <w:lvl w:ilvl="6">
      <w:start w:val="1"/>
      <w:numFmt w:val="bullet"/>
      <w:isLgl w:val="false"/>
      <w:suff w:val="tab"/>
      <w:lvlText w:val="·"/>
      <w:lvlJc w:val="left"/>
      <w:pPr>
        <w:pStyle w:val="946"/>
        <w:ind w:left="5040" w:hanging="360"/>
      </w:pPr>
      <w:rPr>
        <w:rFonts w:ascii="Symbol" w:hAnsi="Symbol" w:eastAsia="Symbol" w:cs="Symbol"/>
      </w:rPr>
    </w:lvl>
    <w:lvl w:ilvl="7">
      <w:start w:val="1"/>
      <w:numFmt w:val="bullet"/>
      <w:isLgl w:val="false"/>
      <w:suff w:val="tab"/>
      <w:lvlText w:val="o"/>
      <w:lvlJc w:val="left"/>
      <w:pPr>
        <w:pStyle w:val="946"/>
        <w:ind w:left="5760" w:hanging="360"/>
      </w:pPr>
      <w:rPr>
        <w:rFonts w:ascii="Courier New" w:hAnsi="Courier New" w:eastAsia="Courier New" w:cs="Courier New"/>
      </w:rPr>
    </w:lvl>
    <w:lvl w:ilvl="8">
      <w:start w:val="1"/>
      <w:numFmt w:val="bullet"/>
      <w:isLgl w:val="false"/>
      <w:suff w:val="tab"/>
      <w:lvlText w:val="§"/>
      <w:lvlJc w:val="left"/>
      <w:pPr>
        <w:pStyle w:val="946"/>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8"/>
      <w:isLgl w:val="false"/>
      <w:suff w:val="tab"/>
      <w:lvlText w:val="附录%1."/>
      <w:lvlJc w:val="left"/>
      <w:pPr>
        <w:pStyle w:val="94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65"/>
      <w:isLgl w:val="false"/>
      <w:suff w:val="tab"/>
      <w:lvlText w:val="%1."/>
      <w:lvlJc w:val="left"/>
      <w:pPr>
        <w:pStyle w:val="946"/>
        <w:ind w:left="709" w:hanging="709"/>
        <w:tabs>
          <w:tab w:val="num" w:pos="709" w:leader="none"/>
        </w:tabs>
      </w:pPr>
      <w:rPr>
        <w:rFonts w:hint="eastAsia"/>
      </w:rPr>
    </w:lvl>
    <w:lvl w:ilvl="1">
      <w:start w:val="1"/>
      <w:numFmt w:val="decimal"/>
      <w:isLgl w:val="false"/>
      <w:suff w:val="tab"/>
      <w:lvlText w:val="%1.%2"/>
      <w:lvlJc w:val="left"/>
      <w:pPr>
        <w:pStyle w:val="946"/>
        <w:ind w:left="709" w:hanging="709"/>
        <w:tabs>
          <w:tab w:val="num" w:pos="709" w:leader="none"/>
        </w:tabs>
      </w:pPr>
      <w:rPr>
        <w:rFonts w:hint="eastAsia"/>
      </w:rPr>
    </w:lvl>
    <w:lvl w:ilvl="2">
      <w:start w:val="1"/>
      <w:numFmt w:val="decimal"/>
      <w:isLgl w:val="false"/>
      <w:suff w:val="tab"/>
      <w:lvlText w:val="%1.%2.%3."/>
      <w:lvlJc w:val="left"/>
      <w:pPr>
        <w:pStyle w:val="946"/>
        <w:ind w:left="425" w:hanging="425"/>
        <w:tabs>
          <w:tab w:val="num" w:pos="425" w:leader="none"/>
        </w:tabs>
      </w:pPr>
      <w:rPr>
        <w:rFonts w:hint="eastAsia"/>
      </w:rPr>
    </w:lvl>
    <w:lvl w:ilvl="3">
      <w:start w:val="1"/>
      <w:numFmt w:val="decimal"/>
      <w:isLgl w:val="false"/>
      <w:suff w:val="tab"/>
      <w:lvlText w:val="%1.%2.%3.%4."/>
      <w:lvlJc w:val="left"/>
      <w:pPr>
        <w:pStyle w:val="946"/>
        <w:ind w:left="851" w:hanging="851"/>
        <w:tabs>
          <w:tab w:val="num" w:pos="851" w:leader="none"/>
        </w:tabs>
      </w:pPr>
      <w:rPr>
        <w:rFonts w:hint="eastAsia"/>
      </w:rPr>
    </w:lvl>
    <w:lvl w:ilvl="4">
      <w:start w:val="1"/>
      <w:numFmt w:val="decimal"/>
      <w:isLgl w:val="false"/>
      <w:suff w:val="tab"/>
      <w:lvlText w:val="%1.%2.%3.%4.%5."/>
      <w:lvlJc w:val="left"/>
      <w:pPr>
        <w:pStyle w:val="946"/>
        <w:ind w:left="992" w:hanging="992"/>
        <w:tabs>
          <w:tab w:val="num" w:pos="992" w:leader="none"/>
        </w:tabs>
      </w:pPr>
      <w:rPr>
        <w:rFonts w:hint="eastAsia"/>
      </w:rPr>
    </w:lvl>
    <w:lvl w:ilvl="5">
      <w:start w:val="1"/>
      <w:numFmt w:val="decimal"/>
      <w:isLgl w:val="false"/>
      <w:suff w:val="tab"/>
      <w:lvlText w:val="%1.%2.%3.%4.%5.%6."/>
      <w:lvlJc w:val="left"/>
      <w:pPr>
        <w:pStyle w:val="946"/>
        <w:ind w:left="1134" w:hanging="1134"/>
        <w:tabs>
          <w:tab w:val="num" w:pos="1134" w:leader="none"/>
        </w:tabs>
      </w:pPr>
      <w:rPr>
        <w:rFonts w:hint="eastAsia"/>
      </w:rPr>
    </w:lvl>
    <w:lvl w:ilvl="6">
      <w:start w:val="1"/>
      <w:numFmt w:val="decimal"/>
      <w:isLgl w:val="false"/>
      <w:suff w:val="tab"/>
      <w:lvlText w:val="%1.%2.%3.%4.%5.%6.%7."/>
      <w:lvlJc w:val="left"/>
      <w:pPr>
        <w:pStyle w:val="946"/>
        <w:ind w:left="1276" w:hanging="1276"/>
        <w:tabs>
          <w:tab w:val="num" w:pos="1276" w:leader="none"/>
        </w:tabs>
      </w:pPr>
      <w:rPr>
        <w:rFonts w:hint="eastAsia"/>
      </w:rPr>
    </w:lvl>
    <w:lvl w:ilvl="7">
      <w:start w:val="1"/>
      <w:numFmt w:val="decimal"/>
      <w:isLgl w:val="false"/>
      <w:suff w:val="tab"/>
      <w:lvlText w:val="%1.%2.%3.%4.%5.%6.%7.%8."/>
      <w:lvlJc w:val="left"/>
      <w:pPr>
        <w:pStyle w:val="946"/>
        <w:ind w:left="1418" w:hanging="1418"/>
        <w:tabs>
          <w:tab w:val="num" w:pos="1418" w:leader="none"/>
        </w:tabs>
      </w:pPr>
      <w:rPr>
        <w:rFonts w:hint="eastAsia"/>
      </w:rPr>
    </w:lvl>
    <w:lvl w:ilvl="8">
      <w:start w:val="1"/>
      <w:numFmt w:val="decimal"/>
      <w:isLgl w:val="false"/>
      <w:suff w:val="tab"/>
      <w:lvlText w:val="%1.%2.%3.%4.%5.%6.%7.%8.%9."/>
      <w:lvlJc w:val="left"/>
      <w:pPr>
        <w:pStyle w:val="946"/>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46"/>
        <w:ind w:left="0" w:firstLine="0"/>
      </w:pPr>
      <w:rPr>
        <w:rFonts w:hint="eastAsia"/>
      </w:rPr>
    </w:lvl>
    <w:lvl w:ilvl="1">
      <w:start w:val="1"/>
      <w:numFmt w:val="decimal"/>
      <w:isLgl w:val="false"/>
      <w:suff w:val="nothing"/>
      <w:lvlText w:val="%2、"/>
      <w:lvlJc w:val="left"/>
      <w:pPr>
        <w:pStyle w:val="946"/>
        <w:ind w:left="0" w:firstLine="0"/>
      </w:pPr>
      <w:rPr>
        <w:rFonts w:hint="eastAsia"/>
      </w:rPr>
    </w:lvl>
    <w:lvl w:ilvl="2">
      <w:start w:val="1"/>
      <w:numFmt w:val="decimal"/>
      <w:isLgl w:val="false"/>
      <w:suff w:val="nothing"/>
      <w:lvlText w:val="%2.%3 "/>
      <w:lvlJc w:val="left"/>
      <w:pPr>
        <w:pStyle w:val="946"/>
        <w:ind w:left="0" w:firstLine="0"/>
      </w:pPr>
      <w:rPr>
        <w:rFonts w:hint="eastAsia"/>
      </w:rPr>
    </w:lvl>
    <w:lvl w:ilvl="3">
      <w:start w:val="1"/>
      <w:numFmt w:val="decimal"/>
      <w:isLgl w:val="false"/>
      <w:suff w:val="nothing"/>
      <w:lvlText w:val="%2.%3.%4 "/>
      <w:lvlJc w:val="left"/>
      <w:pPr>
        <w:pStyle w:val="946"/>
        <w:ind w:left="0" w:firstLine="0"/>
      </w:pPr>
      <w:rPr>
        <w:rFonts w:hint="eastAsia"/>
      </w:rPr>
    </w:lvl>
    <w:lvl w:ilvl="4">
      <w:start w:val="1"/>
      <w:numFmt w:val="decimal"/>
      <w:isLgl w:val="false"/>
      <w:suff w:val="nothing"/>
      <w:lvlText w:val="%2.%3.%4.%5 "/>
      <w:lvlJc w:val="left"/>
      <w:pPr>
        <w:pStyle w:val="946"/>
        <w:ind w:left="0" w:firstLine="0"/>
      </w:pPr>
      <w:rPr>
        <w:rFonts w:hint="eastAsia"/>
      </w:rPr>
    </w:lvl>
    <w:lvl w:ilvl="5">
      <w:start w:val="1"/>
      <w:numFmt w:val="decimal"/>
      <w:pStyle w:val="952"/>
      <w:isLgl w:val="false"/>
      <w:suff w:val="nothing"/>
      <w:lvlText w:val=""/>
      <w:lvlJc w:val="left"/>
      <w:pPr>
        <w:pStyle w:val="946"/>
        <w:ind w:left="0" w:firstLine="0"/>
      </w:pPr>
      <w:rPr>
        <w:rFonts w:hint="eastAsia"/>
      </w:rPr>
    </w:lvl>
    <w:lvl w:ilvl="6">
      <w:start w:val="1"/>
      <w:numFmt w:val="decimal"/>
      <w:pStyle w:val="953"/>
      <w:isLgl w:val="false"/>
      <w:suff w:val="nothing"/>
      <w:lvlText w:val=""/>
      <w:lvlJc w:val="left"/>
      <w:pPr>
        <w:pStyle w:val="946"/>
        <w:ind w:left="0" w:firstLine="0"/>
      </w:pPr>
      <w:rPr>
        <w:rFonts w:hint="eastAsia"/>
      </w:rPr>
    </w:lvl>
    <w:lvl w:ilvl="7">
      <w:start w:val="1"/>
      <w:numFmt w:val="decimal"/>
      <w:pStyle w:val="954"/>
      <w:isLgl w:val="false"/>
      <w:suff w:val="nothing"/>
      <w:lvlText w:val=""/>
      <w:lvlJc w:val="left"/>
      <w:pPr>
        <w:pStyle w:val="946"/>
        <w:ind w:left="0" w:firstLine="0"/>
      </w:pPr>
      <w:rPr>
        <w:rFonts w:hint="eastAsia"/>
      </w:rPr>
    </w:lvl>
    <w:lvl w:ilvl="8">
      <w:start w:val="1"/>
      <w:numFmt w:val="decimal"/>
      <w:pStyle w:val="955"/>
      <w:isLgl w:val="false"/>
      <w:suff w:val="nothing"/>
      <w:lvlText w:val=""/>
      <w:lvlJc w:val="left"/>
      <w:pPr>
        <w:pStyle w:val="946"/>
        <w:ind w:left="0" w:firstLine="0"/>
      </w:pPr>
      <w:rPr>
        <w:rFonts w:hint="eastAsia"/>
      </w:rPr>
    </w:lvl>
  </w:abstractNum>
  <w:abstractNum w:abstractNumId="6">
    <w:multiLevelType w:val="hybridMultilevel"/>
    <w:lvl w:ilvl="0">
      <w:start w:val="14"/>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1"/>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6"/>
    <w:next w:val="946"/>
    <w:link w:val="769"/>
    <w:uiPriority w:val="9"/>
    <w:qFormat/>
    <w:pPr>
      <w:keepLines/>
      <w:keepNext/>
      <w:spacing w:before="480" w:after="200"/>
      <w:outlineLvl w:val="0"/>
    </w:pPr>
    <w:rPr>
      <w:rFonts w:ascii="Arial" w:hAnsi="Arial" w:eastAsia="Arial" w:cs="Arial"/>
      <w:sz w:val="40"/>
      <w:szCs w:val="40"/>
    </w:rPr>
  </w:style>
  <w:style w:type="character" w:styleId="769">
    <w:name w:val="Heading 1 Char"/>
    <w:link w:val="768"/>
    <w:uiPriority w:val="9"/>
    <w:rPr>
      <w:rFonts w:ascii="Arial" w:hAnsi="Arial" w:eastAsia="Arial" w:cs="Arial"/>
      <w:sz w:val="40"/>
      <w:szCs w:val="40"/>
    </w:rPr>
  </w:style>
  <w:style w:type="paragraph" w:styleId="770">
    <w:name w:val="Heading 2"/>
    <w:basedOn w:val="946"/>
    <w:next w:val="946"/>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link w:val="770"/>
    <w:uiPriority w:val="9"/>
    <w:rPr>
      <w:rFonts w:ascii="Arial" w:hAnsi="Arial" w:eastAsia="Arial" w:cs="Arial"/>
      <w:sz w:val="34"/>
    </w:rPr>
  </w:style>
  <w:style w:type="paragraph" w:styleId="772">
    <w:name w:val="Heading 3"/>
    <w:basedOn w:val="946"/>
    <w:next w:val="946"/>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6"/>
    <w:next w:val="946"/>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6"/>
    <w:next w:val="946"/>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6"/>
    <w:next w:val="946"/>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6"/>
    <w:next w:val="946"/>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6"/>
    <w:next w:val="946"/>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6"/>
    <w:next w:val="946"/>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List Paragraph"/>
    <w:basedOn w:val="946"/>
    <w:uiPriority w:val="34"/>
    <w:qFormat/>
    <w:pPr>
      <w:contextualSpacing/>
      <w:ind w:left="720"/>
    </w:pPr>
  </w:style>
  <w:style w:type="paragraph" w:styleId="787">
    <w:name w:val="No Spacing"/>
    <w:uiPriority w:val="1"/>
    <w:qFormat/>
    <w:pPr>
      <w:spacing w:before="0" w:after="0" w:line="240" w:lineRule="auto"/>
    </w:pPr>
  </w:style>
  <w:style w:type="paragraph" w:styleId="788">
    <w:name w:val="Title"/>
    <w:basedOn w:val="946"/>
    <w:next w:val="946"/>
    <w:link w:val="789"/>
    <w:uiPriority w:val="10"/>
    <w:qFormat/>
    <w:pPr>
      <w:contextualSpacing/>
      <w:spacing w:before="300" w:after="200"/>
    </w:pPr>
    <w:rPr>
      <w:sz w:val="48"/>
      <w:szCs w:val="48"/>
    </w:rPr>
  </w:style>
  <w:style w:type="character" w:styleId="789">
    <w:name w:val="Title Char"/>
    <w:link w:val="788"/>
    <w:uiPriority w:val="10"/>
    <w:rPr>
      <w:sz w:val="48"/>
      <w:szCs w:val="48"/>
    </w:rPr>
  </w:style>
  <w:style w:type="paragraph" w:styleId="790">
    <w:name w:val="Subtitle"/>
    <w:basedOn w:val="946"/>
    <w:next w:val="946"/>
    <w:link w:val="791"/>
    <w:uiPriority w:val="11"/>
    <w:qFormat/>
    <w:pPr>
      <w:spacing w:before="200" w:after="200"/>
    </w:pPr>
    <w:rPr>
      <w:sz w:val="24"/>
      <w:szCs w:val="24"/>
    </w:rPr>
  </w:style>
  <w:style w:type="character" w:styleId="791">
    <w:name w:val="Subtitle Char"/>
    <w:link w:val="790"/>
    <w:uiPriority w:val="11"/>
    <w:rPr>
      <w:sz w:val="24"/>
      <w:szCs w:val="24"/>
    </w:rPr>
  </w:style>
  <w:style w:type="paragraph" w:styleId="792">
    <w:name w:val="Quote"/>
    <w:basedOn w:val="946"/>
    <w:next w:val="946"/>
    <w:link w:val="793"/>
    <w:uiPriority w:val="29"/>
    <w:qFormat/>
    <w:pPr>
      <w:ind w:left="720" w:right="720"/>
    </w:pPr>
    <w:rPr>
      <w:i/>
    </w:rPr>
  </w:style>
  <w:style w:type="character" w:styleId="793">
    <w:name w:val="Quote Char"/>
    <w:link w:val="792"/>
    <w:uiPriority w:val="29"/>
    <w:rPr>
      <w:i/>
    </w:rPr>
  </w:style>
  <w:style w:type="paragraph" w:styleId="794">
    <w:name w:val="Intense Quote"/>
    <w:basedOn w:val="946"/>
    <w:next w:val="9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paragraph" w:styleId="796">
    <w:name w:val="Header"/>
    <w:basedOn w:val="946"/>
    <w:link w:val="797"/>
    <w:uiPriority w:val="99"/>
    <w:unhideWhenUsed/>
    <w:pPr>
      <w:spacing w:after="0" w:line="240" w:lineRule="auto"/>
      <w:tabs>
        <w:tab w:val="center" w:pos="7143" w:leader="none"/>
        <w:tab w:val="right" w:pos="14287" w:leader="none"/>
      </w:tabs>
    </w:pPr>
  </w:style>
  <w:style w:type="character" w:styleId="797">
    <w:name w:val="Header Char"/>
    <w:link w:val="796"/>
    <w:uiPriority w:val="99"/>
  </w:style>
  <w:style w:type="paragraph" w:styleId="798">
    <w:name w:val="Footer"/>
    <w:basedOn w:val="946"/>
    <w:link w:val="801"/>
    <w:uiPriority w:val="99"/>
    <w:unhideWhenUsed/>
    <w:pPr>
      <w:spacing w:after="0" w:line="240" w:lineRule="auto"/>
      <w:tabs>
        <w:tab w:val="center" w:pos="7143" w:leader="none"/>
        <w:tab w:val="right" w:pos="14287" w:leader="none"/>
      </w:tabs>
    </w:pPr>
  </w:style>
  <w:style w:type="character" w:styleId="799">
    <w:name w:val="Footer Char"/>
    <w:link w:val="798"/>
    <w:uiPriority w:val="99"/>
  </w:style>
  <w:style w:type="paragraph" w:styleId="800">
    <w:name w:val="Caption"/>
    <w:basedOn w:val="946"/>
    <w:next w:val="946"/>
    <w:uiPriority w:val="35"/>
    <w:semiHidden/>
    <w:unhideWhenUsed/>
    <w:qFormat/>
    <w:pPr>
      <w:spacing w:line="276" w:lineRule="auto"/>
    </w:pPr>
    <w:rPr>
      <w:b/>
      <w:bCs/>
      <w:color w:val="4f81bd" w:themeColor="accent1"/>
      <w:sz w:val="18"/>
      <w:szCs w:val="18"/>
    </w:rPr>
  </w:style>
  <w:style w:type="character" w:styleId="801">
    <w:name w:val="Caption Char"/>
    <w:basedOn w:val="800"/>
    <w:link w:val="798"/>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6"/>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uiPriority w:val="99"/>
    <w:unhideWhenUsed/>
    <w:rPr>
      <w:vertAlign w:val="superscript"/>
    </w:rPr>
  </w:style>
  <w:style w:type="paragraph" w:styleId="932">
    <w:name w:val="endnote text"/>
    <w:basedOn w:val="946"/>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uiPriority w:val="99"/>
    <w:semiHidden/>
    <w:unhideWhenUsed/>
    <w:rPr>
      <w:vertAlign w:val="superscript"/>
    </w:rPr>
  </w:style>
  <w:style w:type="paragraph" w:styleId="935">
    <w:name w:val="toc 1"/>
    <w:basedOn w:val="946"/>
    <w:next w:val="946"/>
    <w:uiPriority w:val="39"/>
    <w:unhideWhenUsed/>
    <w:pPr>
      <w:ind w:left="0" w:right="0" w:firstLine="0"/>
      <w:spacing w:after="57"/>
    </w:p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58"/>
    <w:link w:val="946"/>
    <w:qFormat/>
    <w:pPr>
      <w:jc w:val="both"/>
      <w:widowControl w:val="off"/>
    </w:pPr>
    <w:rPr>
      <w:rFonts w:ascii="Times New Roman" w:hAnsi="Times New Roman"/>
      <w:sz w:val="21"/>
      <w:szCs w:val="21"/>
      <w:lang w:val="en-US" w:eastAsia="zh-CN" w:bidi="ar-SA"/>
    </w:rPr>
  </w:style>
  <w:style w:type="paragraph" w:styleId="947">
    <w:name w:val="标题 1"/>
    <w:basedOn w:val="946"/>
    <w:next w:val="946"/>
    <w:link w:val="959"/>
    <w:qFormat/>
    <w:pPr>
      <w:jc w:val="center"/>
      <w:keepNext/>
      <w:outlineLvl w:val="0"/>
    </w:pPr>
    <w:rPr>
      <w:rFonts w:ascii="楷体_GB2312" w:eastAsia="楷体_GB2312"/>
      <w:sz w:val="28"/>
      <w:szCs w:val="28"/>
    </w:rPr>
  </w:style>
  <w:style w:type="paragraph" w:styleId="948">
    <w:name w:val="标题 2"/>
    <w:basedOn w:val="946"/>
    <w:next w:val="961"/>
    <w:link w:val="960"/>
    <w:qFormat/>
    <w:pPr>
      <w:jc w:val="center"/>
      <w:keepLines/>
      <w:keepNext/>
      <w:spacing w:before="260" w:after="260" w:line="416" w:lineRule="auto"/>
      <w:outlineLvl w:val="1"/>
    </w:pPr>
    <w:rPr>
      <w:rFonts w:ascii="Arial" w:hAnsi="Arial" w:eastAsia="幼圆" w:cs="Arial"/>
      <w:b/>
      <w:bCs/>
      <w:sz w:val="44"/>
      <w:szCs w:val="44"/>
    </w:rPr>
  </w:style>
  <w:style w:type="paragraph" w:styleId="949">
    <w:name w:val="标题 3"/>
    <w:basedOn w:val="946"/>
    <w:next w:val="961"/>
    <w:link w:val="963"/>
    <w:qFormat/>
    <w:pPr>
      <w:keepLines/>
      <w:keepNext/>
      <w:spacing w:before="260" w:after="260" w:line="416" w:lineRule="auto"/>
      <w:outlineLvl w:val="2"/>
    </w:pPr>
    <w:rPr>
      <w:b/>
      <w:bCs/>
      <w:sz w:val="32"/>
      <w:szCs w:val="32"/>
    </w:rPr>
  </w:style>
  <w:style w:type="paragraph" w:styleId="950">
    <w:name w:val="标题 4"/>
    <w:basedOn w:val="946"/>
    <w:next w:val="961"/>
    <w:link w:val="964"/>
    <w:qFormat/>
    <w:pPr>
      <w:keepLines/>
      <w:keepNext/>
      <w:spacing w:before="280" w:after="290" w:line="376" w:lineRule="auto"/>
      <w:outlineLvl w:val="3"/>
    </w:pPr>
    <w:rPr>
      <w:rFonts w:ascii="Arial" w:hAnsi="Arial" w:eastAsia="黑体" w:cs="Arial"/>
      <w:b/>
      <w:bCs/>
      <w:sz w:val="28"/>
      <w:szCs w:val="28"/>
    </w:rPr>
  </w:style>
  <w:style w:type="paragraph" w:styleId="951">
    <w:name w:val="标题 5"/>
    <w:basedOn w:val="946"/>
    <w:next w:val="961"/>
    <w:link w:val="965"/>
    <w:qFormat/>
    <w:pPr>
      <w:keepNext/>
      <w:outlineLvl w:val="4"/>
    </w:pPr>
    <w:rPr>
      <w:rFonts w:ascii="宋体"/>
      <w:color w:val="000000"/>
      <w:sz w:val="28"/>
      <w:szCs w:val="28"/>
    </w:rPr>
  </w:style>
  <w:style w:type="paragraph" w:styleId="952">
    <w:name w:val="标题 6"/>
    <w:basedOn w:val="946"/>
    <w:next w:val="946"/>
    <w:link w:val="966"/>
    <w:qFormat/>
    <w:pPr>
      <w:numPr>
        <w:ilvl w:val="5"/>
        <w:numId w:val="1"/>
      </w:numPr>
      <w:keepLines/>
      <w:keepNext/>
      <w:spacing w:before="240" w:after="64" w:line="320" w:lineRule="auto"/>
      <w:outlineLvl w:val="5"/>
    </w:pPr>
    <w:rPr>
      <w:rFonts w:ascii="Arial" w:hAnsi="Arial" w:eastAsia="黑体"/>
      <w:b/>
      <w:bCs/>
      <w:sz w:val="24"/>
      <w:szCs w:val="24"/>
    </w:rPr>
  </w:style>
  <w:style w:type="paragraph" w:styleId="953">
    <w:name w:val="标题 7"/>
    <w:basedOn w:val="946"/>
    <w:next w:val="946"/>
    <w:link w:val="967"/>
    <w:qFormat/>
    <w:pPr>
      <w:numPr>
        <w:ilvl w:val="6"/>
        <w:numId w:val="1"/>
      </w:numPr>
      <w:keepLines/>
      <w:keepNext/>
      <w:spacing w:before="240" w:after="64" w:line="320" w:lineRule="auto"/>
      <w:outlineLvl w:val="6"/>
    </w:pPr>
    <w:rPr>
      <w:b/>
      <w:bCs/>
      <w:sz w:val="24"/>
      <w:szCs w:val="24"/>
    </w:rPr>
  </w:style>
  <w:style w:type="paragraph" w:styleId="954">
    <w:name w:val="标题 8"/>
    <w:basedOn w:val="946"/>
    <w:next w:val="946"/>
    <w:link w:val="968"/>
    <w:qFormat/>
    <w:pPr>
      <w:numPr>
        <w:ilvl w:val="7"/>
        <w:numId w:val="1"/>
      </w:numPr>
      <w:keepLines/>
      <w:keepNext/>
      <w:spacing w:before="240" w:after="64" w:line="320" w:lineRule="auto"/>
      <w:outlineLvl w:val="7"/>
    </w:pPr>
    <w:rPr>
      <w:rFonts w:ascii="Arial" w:hAnsi="Arial" w:eastAsia="黑体"/>
      <w:sz w:val="24"/>
      <w:szCs w:val="24"/>
    </w:rPr>
  </w:style>
  <w:style w:type="paragraph" w:styleId="955">
    <w:name w:val="标题 9"/>
    <w:basedOn w:val="946"/>
    <w:next w:val="946"/>
    <w:link w:val="969"/>
    <w:qFormat/>
    <w:pPr>
      <w:numPr>
        <w:ilvl w:val="8"/>
        <w:numId w:val="1"/>
      </w:numPr>
      <w:keepLines/>
      <w:keepNext/>
      <w:spacing w:before="240" w:after="64" w:line="320" w:lineRule="auto"/>
      <w:outlineLvl w:val="8"/>
    </w:pPr>
    <w:rPr>
      <w:rFonts w:ascii="Arial" w:hAnsi="Arial" w:eastAsia="黑体"/>
    </w:rPr>
  </w:style>
  <w:style w:type="character" w:styleId="956">
    <w:name w:val="默认段落字体"/>
    <w:next w:val="956"/>
    <w:link w:val="946"/>
    <w:uiPriority w:val="1"/>
    <w:unhideWhenUsed/>
  </w:style>
  <w:style w:type="table" w:styleId="957">
    <w:name w:val="普通表格"/>
    <w:next w:val="957"/>
    <w:link w:val="946"/>
    <w:uiPriority w:val="99"/>
    <w:unhideWhenUsed/>
    <w:tblPr/>
  </w:style>
  <w:style w:type="paragraph" w:styleId="958">
    <w:name w:val="标题 312"/>
    <w:basedOn w:val="946"/>
    <w:next w:val="946"/>
    <w:link w:val="946"/>
    <w:uiPriority w:val="9"/>
    <w:qFormat/>
    <w:pPr>
      <w:keepLines/>
      <w:keepNext/>
      <w:spacing w:before="320" w:after="200"/>
      <w:outlineLvl w:val="2"/>
    </w:pPr>
    <w:rPr>
      <w:rFonts w:ascii="Arial" w:hAnsi="Arial" w:eastAsia="Arial" w:cs="Arial"/>
      <w:sz w:val="30"/>
      <w:szCs w:val="30"/>
    </w:rPr>
  </w:style>
  <w:style w:type="character" w:styleId="959">
    <w:name w:val="标题 1 Char"/>
    <w:next w:val="959"/>
    <w:link w:val="947"/>
    <w:rPr>
      <w:rFonts w:ascii="楷体_GB2312" w:hAnsi="Times New Roman" w:eastAsia="楷体_GB2312" w:cs="Times New Roman"/>
      <w:sz w:val="28"/>
      <w:szCs w:val="28"/>
    </w:rPr>
  </w:style>
  <w:style w:type="character" w:styleId="960">
    <w:name w:val="标题 2 Char"/>
    <w:next w:val="960"/>
    <w:link w:val="948"/>
    <w:rPr>
      <w:rFonts w:ascii="Arial" w:hAnsi="Arial" w:eastAsia="幼圆" w:cs="Arial"/>
      <w:b/>
      <w:bCs/>
      <w:sz w:val="44"/>
      <w:szCs w:val="44"/>
    </w:rPr>
  </w:style>
  <w:style w:type="paragraph" w:styleId="961">
    <w:name w:val="正文缩进"/>
    <w:basedOn w:val="946"/>
    <w:next w:val="961"/>
    <w:link w:val="962"/>
    <w:pPr>
      <w:ind w:firstLine="420"/>
    </w:pPr>
  </w:style>
  <w:style w:type="character" w:styleId="962">
    <w:name w:val="正文缩进 Char"/>
    <w:next w:val="962"/>
    <w:link w:val="961"/>
    <w:rPr>
      <w:rFonts w:ascii="Times New Roman" w:hAnsi="Times New Roman" w:eastAsia="宋体" w:cs="Times New Roman"/>
      <w:szCs w:val="21"/>
    </w:rPr>
  </w:style>
  <w:style w:type="character" w:styleId="963">
    <w:name w:val="标题 3 Char"/>
    <w:next w:val="963"/>
    <w:link w:val="949"/>
    <w:rPr>
      <w:rFonts w:ascii="Times New Roman" w:hAnsi="Times New Roman" w:eastAsia="宋体" w:cs="Times New Roman"/>
      <w:b/>
      <w:bCs/>
      <w:sz w:val="32"/>
      <w:szCs w:val="32"/>
    </w:rPr>
  </w:style>
  <w:style w:type="character" w:styleId="964">
    <w:name w:val="标题 4 Char"/>
    <w:next w:val="964"/>
    <w:link w:val="950"/>
    <w:rPr>
      <w:rFonts w:ascii="Arial" w:hAnsi="Arial" w:eastAsia="黑体" w:cs="Arial"/>
      <w:b/>
      <w:bCs/>
      <w:sz w:val="28"/>
      <w:szCs w:val="28"/>
    </w:rPr>
  </w:style>
  <w:style w:type="character" w:styleId="965">
    <w:name w:val="标题 5 Char"/>
    <w:next w:val="965"/>
    <w:link w:val="951"/>
    <w:rPr>
      <w:rFonts w:ascii="宋体" w:hAnsi="Times New Roman" w:eastAsia="宋体" w:cs="Times New Roman"/>
      <w:color w:val="000000"/>
      <w:sz w:val="28"/>
      <w:szCs w:val="28"/>
    </w:rPr>
  </w:style>
  <w:style w:type="character" w:styleId="966">
    <w:name w:val="标题 6 Char"/>
    <w:next w:val="966"/>
    <w:link w:val="952"/>
    <w:rPr>
      <w:rFonts w:ascii="Arial" w:hAnsi="Arial" w:eastAsia="黑体" w:cs="Times New Roman"/>
      <w:b/>
      <w:bCs/>
      <w:sz w:val="24"/>
      <w:szCs w:val="24"/>
    </w:rPr>
  </w:style>
  <w:style w:type="character" w:styleId="967">
    <w:name w:val="标题 7 Char"/>
    <w:next w:val="967"/>
    <w:link w:val="953"/>
    <w:rPr>
      <w:rFonts w:ascii="Times New Roman" w:hAnsi="Times New Roman" w:eastAsia="宋体" w:cs="Times New Roman"/>
      <w:b/>
      <w:bCs/>
      <w:sz w:val="24"/>
      <w:szCs w:val="24"/>
    </w:rPr>
  </w:style>
  <w:style w:type="character" w:styleId="968">
    <w:name w:val="标题 8 Char"/>
    <w:next w:val="968"/>
    <w:link w:val="954"/>
    <w:rPr>
      <w:rFonts w:ascii="Arial" w:hAnsi="Arial" w:eastAsia="黑体" w:cs="Times New Roman"/>
      <w:sz w:val="24"/>
      <w:szCs w:val="24"/>
    </w:rPr>
  </w:style>
  <w:style w:type="character" w:styleId="969">
    <w:name w:val="标题 9 Char"/>
    <w:next w:val="969"/>
    <w:link w:val="955"/>
    <w:rPr>
      <w:rFonts w:ascii="Arial" w:hAnsi="Arial" w:eastAsia="黑体" w:cs="Times New Roman"/>
      <w:szCs w:val="21"/>
    </w:rPr>
  </w:style>
  <w:style w:type="paragraph" w:styleId="970">
    <w:name w:val="列表 3"/>
    <w:basedOn w:val="946"/>
    <w:next w:val="970"/>
    <w:link w:val="946"/>
    <w:pPr>
      <w:ind w:left="100" w:hanging="200"/>
    </w:pPr>
  </w:style>
  <w:style w:type="paragraph" w:styleId="971">
    <w:name w:val="目录 7"/>
    <w:basedOn w:val="946"/>
    <w:next w:val="946"/>
    <w:link w:val="946"/>
    <w:semiHidden/>
    <w:pPr>
      <w:ind w:left="1260"/>
      <w:jc w:val="left"/>
    </w:pPr>
  </w:style>
  <w:style w:type="paragraph" w:styleId="972">
    <w:name w:val="文档结构图"/>
    <w:basedOn w:val="946"/>
    <w:next w:val="972"/>
    <w:link w:val="973"/>
    <w:semiHidden/>
    <w:pPr>
      <w:shd w:val="clear" w:color="auto" w:fill="000080"/>
    </w:pPr>
  </w:style>
  <w:style w:type="character" w:styleId="973">
    <w:name w:val="文档结构图 Char"/>
    <w:next w:val="973"/>
    <w:link w:val="972"/>
    <w:semiHidden/>
    <w:rPr>
      <w:rFonts w:ascii="Times New Roman" w:hAnsi="Times New Roman" w:eastAsia="宋体" w:cs="Times New Roman"/>
      <w:szCs w:val="21"/>
      <w:shd w:val="clear" w:color="auto" w:fill="000080"/>
    </w:rPr>
  </w:style>
  <w:style w:type="paragraph" w:styleId="974">
    <w:name w:val="批注文字"/>
    <w:basedOn w:val="946"/>
    <w:next w:val="974"/>
    <w:link w:val="975"/>
    <w:semiHidden/>
    <w:pPr>
      <w:jc w:val="left"/>
    </w:pPr>
  </w:style>
  <w:style w:type="character" w:styleId="975">
    <w:name w:val="批注文字 Char"/>
    <w:next w:val="975"/>
    <w:link w:val="974"/>
    <w:semiHidden/>
    <w:rPr>
      <w:rFonts w:ascii="Times New Roman" w:hAnsi="Times New Roman" w:eastAsia="宋体" w:cs="Times New Roman"/>
      <w:szCs w:val="21"/>
    </w:rPr>
  </w:style>
  <w:style w:type="paragraph" w:styleId="976">
    <w:name w:val="正文文本 3"/>
    <w:basedOn w:val="946"/>
    <w:next w:val="976"/>
    <w:link w:val="977"/>
    <w:rPr>
      <w:rFonts w:ascii="仿宋_GB2312" w:hAnsi="Arial" w:eastAsia="仿宋_GB2312"/>
      <w:sz w:val="32"/>
      <w:szCs w:val="32"/>
    </w:rPr>
  </w:style>
  <w:style w:type="character" w:styleId="977">
    <w:name w:val="正文文本 3 Char"/>
    <w:next w:val="977"/>
    <w:link w:val="976"/>
    <w:rPr>
      <w:rFonts w:ascii="仿宋_GB2312" w:hAnsi="Arial" w:eastAsia="仿宋_GB2312" w:cs="Times New Roman"/>
      <w:sz w:val="32"/>
      <w:szCs w:val="32"/>
    </w:rPr>
  </w:style>
  <w:style w:type="paragraph" w:styleId="978">
    <w:name w:val="正文文本"/>
    <w:basedOn w:val="946"/>
    <w:next w:val="978"/>
    <w:link w:val="979"/>
    <w:rPr>
      <w:rFonts w:ascii="楷体_GB2312" w:hAnsi="Arial" w:eastAsia="楷体_GB2312"/>
      <w:sz w:val="28"/>
      <w:szCs w:val="28"/>
    </w:rPr>
  </w:style>
  <w:style w:type="character" w:styleId="979">
    <w:name w:val="正文文本 Char"/>
    <w:next w:val="979"/>
    <w:link w:val="978"/>
    <w:rPr>
      <w:rFonts w:ascii="楷体_GB2312" w:hAnsi="Arial" w:eastAsia="楷体_GB2312" w:cs="Times New Roman"/>
      <w:sz w:val="28"/>
      <w:szCs w:val="28"/>
    </w:rPr>
  </w:style>
  <w:style w:type="paragraph" w:styleId="980">
    <w:name w:val="正文文本缩进"/>
    <w:basedOn w:val="946"/>
    <w:next w:val="982"/>
    <w:link w:val="981"/>
    <w:pPr>
      <w:ind w:firstLine="645"/>
    </w:pPr>
    <w:rPr>
      <w:rFonts w:ascii="楷体_GB2312" w:eastAsia="楷体_GB2312"/>
      <w:sz w:val="32"/>
      <w:szCs w:val="32"/>
    </w:rPr>
  </w:style>
  <w:style w:type="character" w:styleId="981">
    <w:name w:val="正文文本缩进 Char"/>
    <w:next w:val="981"/>
    <w:link w:val="980"/>
    <w:rPr>
      <w:rFonts w:ascii="楷体_GB2312" w:hAnsi="Times New Roman" w:eastAsia="楷体_GB2312" w:cs="Times New Roman"/>
      <w:sz w:val="32"/>
      <w:szCs w:val="32"/>
    </w:rPr>
  </w:style>
  <w:style w:type="paragraph" w:styleId="982">
    <w:name w:val="寄信人地址"/>
    <w:basedOn w:val="946"/>
    <w:next w:val="982"/>
    <w:link w:val="946"/>
    <w:qFormat/>
    <w:rPr>
      <w:rFonts w:ascii="Arial" w:hAnsi="Arial" w:eastAsia="宋体" w:cs="宋体"/>
    </w:rPr>
  </w:style>
  <w:style w:type="paragraph" w:styleId="983">
    <w:name w:val="列表 2"/>
    <w:basedOn w:val="946"/>
    <w:next w:val="983"/>
    <w:link w:val="946"/>
    <w:pPr>
      <w:ind w:left="100" w:hanging="200"/>
    </w:pPr>
  </w:style>
  <w:style w:type="paragraph" w:styleId="984">
    <w:name w:val="目录 5"/>
    <w:basedOn w:val="946"/>
    <w:next w:val="946"/>
    <w:link w:val="946"/>
    <w:semiHidden/>
    <w:pPr>
      <w:ind w:left="840"/>
      <w:jc w:val="left"/>
    </w:pPr>
  </w:style>
  <w:style w:type="paragraph" w:styleId="985">
    <w:name w:val="目录 3"/>
    <w:basedOn w:val="946"/>
    <w:next w:val="946"/>
    <w:link w:val="946"/>
    <w:semiHidden/>
    <w:pPr>
      <w:ind w:left="420"/>
      <w:jc w:val="left"/>
    </w:pPr>
    <w:rPr>
      <w:i/>
      <w:iCs/>
      <w:szCs w:val="24"/>
    </w:rPr>
  </w:style>
  <w:style w:type="paragraph" w:styleId="986">
    <w:name w:val="纯文本"/>
    <w:basedOn w:val="946"/>
    <w:next w:val="986"/>
    <w:link w:val="987"/>
    <w:rPr>
      <w:rFonts w:ascii="宋体" w:hAnsi="Courier New" w:cs="Courier New"/>
    </w:rPr>
  </w:style>
  <w:style w:type="character" w:styleId="987">
    <w:name w:val="纯文本 Char"/>
    <w:next w:val="987"/>
    <w:link w:val="986"/>
    <w:rPr>
      <w:rFonts w:ascii="宋体" w:hAnsi="Courier New" w:eastAsia="宋体" w:cs="Courier New"/>
      <w:szCs w:val="21"/>
    </w:rPr>
  </w:style>
  <w:style w:type="paragraph" w:styleId="988">
    <w:name w:val="目录 8"/>
    <w:basedOn w:val="946"/>
    <w:next w:val="946"/>
    <w:link w:val="946"/>
    <w:semiHidden/>
    <w:pPr>
      <w:ind w:left="1470"/>
      <w:jc w:val="left"/>
    </w:pPr>
  </w:style>
  <w:style w:type="paragraph" w:styleId="989">
    <w:name w:val="日期"/>
    <w:basedOn w:val="946"/>
    <w:next w:val="946"/>
    <w:link w:val="990"/>
    <w:rPr>
      <w:sz w:val="24"/>
      <w:szCs w:val="24"/>
    </w:rPr>
  </w:style>
  <w:style w:type="character" w:styleId="990">
    <w:name w:val="日期 Char"/>
    <w:next w:val="990"/>
    <w:link w:val="989"/>
    <w:rPr>
      <w:rFonts w:ascii="Times New Roman" w:hAnsi="Times New Roman" w:eastAsia="宋体" w:cs="Times New Roman"/>
      <w:sz w:val="24"/>
      <w:szCs w:val="24"/>
    </w:rPr>
  </w:style>
  <w:style w:type="paragraph" w:styleId="991">
    <w:name w:val="正文文本缩进 2"/>
    <w:basedOn w:val="946"/>
    <w:next w:val="991"/>
    <w:link w:val="992"/>
    <w:pPr>
      <w:ind w:left="630" w:firstLine="645"/>
    </w:pPr>
    <w:rPr>
      <w:rFonts w:ascii="Arial" w:hAnsi="Arial" w:eastAsia="仿宋_GB2312" w:cs="Arial"/>
      <w:sz w:val="32"/>
      <w:szCs w:val="32"/>
    </w:rPr>
  </w:style>
  <w:style w:type="character" w:styleId="992">
    <w:name w:val="正文文本缩进 2 Char"/>
    <w:next w:val="992"/>
    <w:link w:val="991"/>
    <w:rPr>
      <w:rFonts w:ascii="Arial" w:hAnsi="Arial" w:eastAsia="仿宋_GB2312" w:cs="Arial"/>
      <w:sz w:val="32"/>
      <w:szCs w:val="32"/>
    </w:rPr>
  </w:style>
  <w:style w:type="paragraph" w:styleId="993">
    <w:name w:val="批注框文本"/>
    <w:basedOn w:val="946"/>
    <w:next w:val="993"/>
    <w:link w:val="994"/>
    <w:semiHidden/>
    <w:rPr>
      <w:sz w:val="18"/>
      <w:szCs w:val="18"/>
    </w:rPr>
  </w:style>
  <w:style w:type="character" w:styleId="994">
    <w:name w:val="批注框文本 Char"/>
    <w:next w:val="994"/>
    <w:link w:val="993"/>
    <w:semiHidden/>
    <w:rPr>
      <w:rFonts w:ascii="Times New Roman" w:hAnsi="Times New Roman" w:eastAsia="宋体" w:cs="Times New Roman"/>
      <w:sz w:val="18"/>
      <w:szCs w:val="18"/>
    </w:rPr>
  </w:style>
  <w:style w:type="paragraph" w:styleId="995">
    <w:name w:val="页脚"/>
    <w:basedOn w:val="946"/>
    <w:next w:val="995"/>
    <w:link w:val="996"/>
    <w:pPr>
      <w:jc w:val="left"/>
      <w:tabs>
        <w:tab w:val="center" w:pos="4153" w:leader="none"/>
        <w:tab w:val="right" w:pos="8306" w:leader="none"/>
      </w:tabs>
    </w:pPr>
    <w:rPr>
      <w:sz w:val="18"/>
      <w:szCs w:val="18"/>
    </w:rPr>
  </w:style>
  <w:style w:type="character" w:styleId="996">
    <w:name w:val="页脚 Char"/>
    <w:next w:val="996"/>
    <w:link w:val="995"/>
    <w:rPr>
      <w:rFonts w:ascii="Times New Roman" w:hAnsi="Times New Roman" w:eastAsia="宋体" w:cs="Times New Roman"/>
      <w:sz w:val="18"/>
      <w:szCs w:val="18"/>
    </w:rPr>
  </w:style>
  <w:style w:type="paragraph" w:styleId="997">
    <w:name w:val="页眉"/>
    <w:basedOn w:val="946"/>
    <w:next w:val="997"/>
    <w:link w:val="998"/>
    <w:pPr>
      <w:jc w:val="center"/>
      <w:tabs>
        <w:tab w:val="center" w:pos="4153" w:leader="none"/>
        <w:tab w:val="right" w:pos="8306" w:leader="none"/>
      </w:tabs>
      <w:pBdr>
        <w:bottom w:val="single" w:color="000000" w:sz="6" w:space="1"/>
      </w:pBdr>
    </w:pPr>
    <w:rPr>
      <w:sz w:val="18"/>
      <w:szCs w:val="18"/>
    </w:rPr>
  </w:style>
  <w:style w:type="character" w:styleId="998">
    <w:name w:val="页眉 Char"/>
    <w:next w:val="998"/>
    <w:link w:val="997"/>
    <w:rPr>
      <w:rFonts w:ascii="Times New Roman" w:hAnsi="Times New Roman" w:eastAsia="宋体" w:cs="Times New Roman"/>
      <w:sz w:val="18"/>
      <w:szCs w:val="18"/>
    </w:rPr>
  </w:style>
  <w:style w:type="paragraph" w:styleId="999">
    <w:name w:val="目录 1"/>
    <w:basedOn w:val="946"/>
    <w:next w:val="946"/>
    <w:link w:val="946"/>
    <w:semiHidden/>
    <w:pPr>
      <w:jc w:val="left"/>
      <w:spacing w:before="120" w:after="120" w:line="400" w:lineRule="exact"/>
      <w:tabs>
        <w:tab w:val="right" w:pos="8720" w:leader="dot"/>
      </w:tabs>
    </w:pPr>
    <w:rPr>
      <w:rFonts w:ascii="宋体" w:hAnsi="宋体"/>
      <w:caps/>
      <w:sz w:val="24"/>
      <w:szCs w:val="24"/>
    </w:rPr>
  </w:style>
  <w:style w:type="paragraph" w:styleId="1000">
    <w:name w:val="目录 4"/>
    <w:basedOn w:val="946"/>
    <w:next w:val="946"/>
    <w:link w:val="946"/>
    <w:semiHidden/>
    <w:pPr>
      <w:ind w:left="630"/>
      <w:jc w:val="left"/>
    </w:pPr>
  </w:style>
  <w:style w:type="paragraph" w:styleId="1001">
    <w:name w:val="列表"/>
    <w:basedOn w:val="946"/>
    <w:next w:val="1001"/>
    <w:link w:val="946"/>
    <w:pPr>
      <w:ind w:left="200" w:hanging="200"/>
    </w:pPr>
  </w:style>
  <w:style w:type="paragraph" w:styleId="1002">
    <w:name w:val="目录 6"/>
    <w:basedOn w:val="946"/>
    <w:next w:val="946"/>
    <w:link w:val="946"/>
    <w:semiHidden/>
    <w:pPr>
      <w:ind w:left="1050"/>
      <w:jc w:val="left"/>
    </w:pPr>
  </w:style>
  <w:style w:type="paragraph" w:styleId="1003">
    <w:name w:val="正文文本缩进 3"/>
    <w:basedOn w:val="946"/>
    <w:next w:val="1003"/>
    <w:link w:val="1004"/>
    <w:pPr>
      <w:ind w:left="645" w:firstLine="645"/>
    </w:pPr>
    <w:rPr>
      <w:rFonts w:ascii="Arial" w:hAnsi="Arial" w:eastAsia="仿宋_GB2312" w:cs="Arial"/>
      <w:color w:val="ffff00"/>
      <w:sz w:val="32"/>
      <w:szCs w:val="32"/>
    </w:rPr>
  </w:style>
  <w:style w:type="character" w:styleId="1004">
    <w:name w:val="正文文本缩进 3 Char"/>
    <w:next w:val="1004"/>
    <w:link w:val="1003"/>
    <w:rPr>
      <w:rFonts w:ascii="Arial" w:hAnsi="Arial" w:eastAsia="仿宋_GB2312" w:cs="Arial"/>
      <w:color w:val="ffff00"/>
      <w:sz w:val="32"/>
      <w:szCs w:val="32"/>
    </w:rPr>
  </w:style>
  <w:style w:type="paragraph" w:styleId="1005">
    <w:name w:val="图表目录"/>
    <w:basedOn w:val="946"/>
    <w:next w:val="946"/>
    <w:link w:val="946"/>
    <w:semiHidden/>
    <w:pPr>
      <w:ind w:left="840" w:hanging="420"/>
    </w:pPr>
  </w:style>
  <w:style w:type="paragraph" w:styleId="1006">
    <w:name w:val="目录 2"/>
    <w:basedOn w:val="946"/>
    <w:next w:val="946"/>
    <w:link w:val="946"/>
    <w:semiHidden/>
    <w:pPr>
      <w:ind w:left="210"/>
      <w:jc w:val="left"/>
    </w:pPr>
    <w:rPr>
      <w:smallCaps/>
      <w:szCs w:val="24"/>
    </w:rPr>
  </w:style>
  <w:style w:type="paragraph" w:styleId="1007">
    <w:name w:val="目录 9"/>
    <w:basedOn w:val="946"/>
    <w:next w:val="946"/>
    <w:link w:val="946"/>
    <w:semiHidden/>
    <w:pPr>
      <w:ind w:left="1680"/>
      <w:jc w:val="left"/>
    </w:pPr>
  </w:style>
  <w:style w:type="paragraph" w:styleId="1008">
    <w:name w:val="正文文本 2"/>
    <w:basedOn w:val="946"/>
    <w:next w:val="1008"/>
    <w:link w:val="1009"/>
    <w:pPr>
      <w:jc w:val="center"/>
      <w:widowControl/>
    </w:pPr>
    <w:rPr>
      <w:rFonts w:ascii="楷体_GB2312" w:eastAsia="楷体_GB2312"/>
      <w:sz w:val="28"/>
      <w:szCs w:val="28"/>
    </w:rPr>
  </w:style>
  <w:style w:type="character" w:styleId="1009">
    <w:name w:val="正文文本 2 Char"/>
    <w:next w:val="1009"/>
    <w:link w:val="1008"/>
    <w:rPr>
      <w:rFonts w:ascii="楷体_GB2312" w:hAnsi="Times New Roman" w:eastAsia="楷体_GB2312" w:cs="Times New Roman"/>
      <w:sz w:val="28"/>
      <w:szCs w:val="28"/>
    </w:rPr>
  </w:style>
  <w:style w:type="paragraph" w:styleId="1010">
    <w:name w:val="普通(网站)"/>
    <w:basedOn w:val="946"/>
    <w:next w:val="1010"/>
    <w:link w:val="946"/>
    <w:uiPriority w:val="99"/>
    <w:pPr>
      <w:jc w:val="left"/>
      <w:spacing w:before="100" w:beforeAutospacing="1" w:after="100" w:afterAutospacing="1"/>
      <w:widowControl/>
    </w:pPr>
    <w:rPr>
      <w:rFonts w:ascii="宋体" w:hAnsi="宋体" w:cs="宋体"/>
      <w:sz w:val="24"/>
      <w:szCs w:val="24"/>
    </w:rPr>
  </w:style>
  <w:style w:type="paragraph" w:styleId="1011">
    <w:name w:val="索引 1"/>
    <w:basedOn w:val="946"/>
    <w:next w:val="946"/>
    <w:link w:val="946"/>
    <w:semiHidden/>
    <w:pPr>
      <w:spacing w:line="240" w:lineRule="atLeast"/>
    </w:pPr>
    <w:rPr>
      <w:b/>
      <w:bCs/>
    </w:rPr>
  </w:style>
  <w:style w:type="paragraph" w:styleId="1012">
    <w:name w:val="批注主题"/>
    <w:basedOn w:val="974"/>
    <w:next w:val="974"/>
    <w:link w:val="1013"/>
    <w:semiHidden/>
    <w:rPr>
      <w:b/>
      <w:bCs/>
    </w:rPr>
  </w:style>
  <w:style w:type="character" w:styleId="1013">
    <w:name w:val="批注主题 Char"/>
    <w:next w:val="1013"/>
    <w:link w:val="1012"/>
    <w:semiHidden/>
    <w:rPr>
      <w:rFonts w:ascii="Times New Roman" w:hAnsi="Times New Roman" w:eastAsia="宋体" w:cs="Times New Roman"/>
      <w:b/>
      <w:bCs/>
      <w:szCs w:val="21"/>
    </w:rPr>
  </w:style>
  <w:style w:type="paragraph" w:styleId="1014">
    <w:name w:val="正文首行缩进"/>
    <w:basedOn w:val="946"/>
    <w:next w:val="1014"/>
    <w:link w:val="1015"/>
    <w:pPr>
      <w:ind w:firstLine="200"/>
      <w:spacing w:line="360" w:lineRule="auto"/>
    </w:pPr>
    <w:rPr>
      <w:rFonts w:ascii="仿宋_GB2312" w:eastAsia="仿宋_GB2312"/>
      <w:sz w:val="30"/>
      <w:szCs w:val="30"/>
    </w:rPr>
  </w:style>
  <w:style w:type="character" w:styleId="1015">
    <w:name w:val="正文首行缩进 Char"/>
    <w:next w:val="1015"/>
    <w:link w:val="1014"/>
    <w:rPr>
      <w:rFonts w:ascii="仿宋_GB2312" w:hAnsi="Times New Roman" w:eastAsia="仿宋_GB2312" w:cs="Times New Roman"/>
      <w:sz w:val="30"/>
      <w:szCs w:val="30"/>
    </w:rPr>
  </w:style>
  <w:style w:type="paragraph" w:styleId="1016">
    <w:name w:val="正文首行缩进 2"/>
    <w:basedOn w:val="980"/>
    <w:next w:val="946"/>
    <w:link w:val="1017"/>
    <w:pPr>
      <w:ind w:firstLine="420"/>
      <w:spacing w:line="360" w:lineRule="auto"/>
    </w:pPr>
    <w:rPr>
      <w:rFonts w:ascii="宋体" w:hAnsi="宋体" w:eastAsia="宋体"/>
      <w:sz w:val="21"/>
      <w:szCs w:val="20"/>
    </w:rPr>
  </w:style>
  <w:style w:type="character" w:styleId="1017">
    <w:name w:val="正文首行缩进 2 Char"/>
    <w:next w:val="1017"/>
    <w:link w:val="1016"/>
    <w:rPr>
      <w:rFonts w:ascii="宋体" w:hAnsi="宋体" w:eastAsia="宋体" w:cs="Times New Roman"/>
      <w:sz w:val="32"/>
      <w:szCs w:val="20"/>
    </w:rPr>
  </w:style>
  <w:style w:type="table" w:styleId="1018">
    <w:name w:val="网格型"/>
    <w:basedOn w:val="957"/>
    <w:next w:val="1018"/>
    <w:link w:val="946"/>
    <w:pPr>
      <w:jc w:val="both"/>
      <w:widowControl w:val="off"/>
    </w:pPr>
    <w:rPr>
      <w:rFonts w:ascii="Times New Roman" w:hAnsi="Times New Roman" w:eastAsia="宋体" w:cs="Times New Roman"/>
      <w:sz w:val="20"/>
      <w:szCs w:val="20"/>
    </w:rPr>
    <w:tblPr/>
  </w:style>
  <w:style w:type="character" w:styleId="1019">
    <w:name w:val="要点"/>
    <w:next w:val="1019"/>
    <w:link w:val="946"/>
    <w:qFormat/>
    <w:rPr>
      <w:b/>
      <w:bCs/>
    </w:rPr>
  </w:style>
  <w:style w:type="character" w:styleId="1020">
    <w:name w:val="页码"/>
    <w:next w:val="1020"/>
    <w:link w:val="946"/>
  </w:style>
  <w:style w:type="character" w:styleId="1021">
    <w:name w:val="已访问的超链接"/>
    <w:next w:val="1021"/>
    <w:link w:val="946"/>
    <w:rPr>
      <w:color w:val="800080"/>
      <w:u w:val="single"/>
    </w:rPr>
  </w:style>
  <w:style w:type="character" w:styleId="1022">
    <w:name w:val="超链接"/>
    <w:next w:val="1022"/>
    <w:link w:val="946"/>
    <w:rPr>
      <w:color w:val="0000ff"/>
      <w:u w:val="single"/>
    </w:rPr>
  </w:style>
  <w:style w:type="character" w:styleId="1023">
    <w:name w:val="批注引用"/>
    <w:next w:val="1023"/>
    <w:link w:val="946"/>
    <w:semiHidden/>
    <w:rPr>
      <w:sz w:val="21"/>
      <w:szCs w:val="21"/>
    </w:rPr>
  </w:style>
  <w:style w:type="character" w:styleId="1024">
    <w:name w:val="页码11"/>
    <w:basedOn w:val="1025"/>
    <w:next w:val="1024"/>
    <w:link w:val="946"/>
    <w:qFormat/>
    <w:rPr>
      <w:rFonts w:ascii="Times New Roman" w:hAnsi="Times New Roman"/>
      <w:sz w:val="21"/>
      <w:szCs w:val="21"/>
      <w:lang w:val="en-US" w:eastAsia="zh-CN" w:bidi="ar-SA"/>
    </w:rPr>
  </w:style>
  <w:style w:type="character" w:styleId="1025">
    <w:name w:val="默认段落字体11"/>
    <w:next w:val="1025"/>
    <w:link w:val="946"/>
    <w:uiPriority w:val="1"/>
    <w:unhideWhenUsed/>
    <w:qFormat/>
  </w:style>
  <w:style w:type="character" w:styleId="1026">
    <w:name w:val="font5 Char"/>
    <w:next w:val="1026"/>
    <w:link w:val="946"/>
    <w:rPr>
      <w:rFonts w:ascii="宋体" w:hAnsi="宋体" w:eastAsia="宋体"/>
      <w:sz w:val="28"/>
      <w:szCs w:val="28"/>
      <w:lang w:val="en-US" w:eastAsia="zh-CN" w:bidi="ar-SA"/>
    </w:rPr>
  </w:style>
  <w:style w:type="character" w:styleId="1027">
    <w:name w:val="二级目录 Char"/>
    <w:next w:val="1027"/>
    <w:link w:val="1028"/>
    <w:rPr>
      <w:b/>
      <w:sz w:val="30"/>
      <w:szCs w:val="28"/>
    </w:rPr>
  </w:style>
  <w:style w:type="paragraph" w:styleId="1028">
    <w:name w:val="二级目录"/>
    <w:next w:val="946"/>
    <w:link w:val="1027"/>
    <w:pPr>
      <w:numPr>
        <w:ilvl w:val="0"/>
        <w:numId w:val="2"/>
      </w:numPr>
      <w:tabs>
        <w:tab w:val="left" w:pos="907" w:leader="none"/>
        <w:tab w:val="left" w:pos="1145" w:leader="none"/>
      </w:tabs>
      <w:outlineLvl w:val="1"/>
    </w:pPr>
    <w:rPr>
      <w:b/>
      <w:sz w:val="30"/>
      <w:szCs w:val="28"/>
      <w:lang w:val="en-US" w:eastAsia="zh-CN" w:bidi="ar-SA"/>
    </w:rPr>
  </w:style>
  <w:style w:type="character" w:styleId="1029">
    <w:name w:val="列出段落 Char,Bullet List Char,numbered Char,FooterText Char,List Paragraph1 Char,Paragraphe de liste1 Char"/>
    <w:next w:val="1029"/>
    <w:link w:val="1030"/>
    <w:rPr>
      <w:rFonts w:ascii="Calibri" w:hAnsi="Calibri"/>
      <w:sz w:val="24"/>
      <w:szCs w:val="24"/>
      <w:lang w:eastAsia="en-US" w:bidi="en-US"/>
    </w:rPr>
  </w:style>
  <w:style w:type="paragraph" w:styleId="1030">
    <w:name w:val="列出段落1"/>
    <w:basedOn w:val="946"/>
    <w:next w:val="1030"/>
    <w:link w:val="1029"/>
    <w:qFormat/>
    <w:pPr>
      <w:contextualSpacing/>
      <w:ind w:left="720"/>
      <w:jc w:val="left"/>
      <w:widowControl/>
    </w:pPr>
    <w:rPr>
      <w:rFonts w:ascii="Calibri" w:hAnsi="Calibri" w:eastAsia="宋体" w:cs="Times New Roman"/>
      <w:sz w:val="24"/>
      <w:szCs w:val="24"/>
      <w:lang w:eastAsia="en-US" w:bidi="en-US"/>
    </w:rPr>
  </w:style>
  <w:style w:type="paragraph" w:styleId="1031">
    <w:name w:val="正文文本缩进11"/>
    <w:basedOn w:val="946"/>
    <w:next w:val="1032"/>
    <w:link w:val="946"/>
    <w:unhideWhenUsed/>
    <w:qFormat/>
    <w:pPr>
      <w:ind w:left="420"/>
      <w:spacing w:after="120"/>
    </w:pPr>
  </w:style>
  <w:style w:type="paragraph" w:styleId="1032">
    <w:name w:val="正文首行缩进 211"/>
    <w:basedOn w:val="1031"/>
    <w:next w:val="946"/>
    <w:link w:val="946"/>
    <w:qFormat/>
    <w:pPr>
      <w:ind w:left="0" w:firstLine="420"/>
      <w:spacing w:after="0" w:line="360" w:lineRule="auto"/>
    </w:pPr>
    <w:rPr>
      <w:rFonts w:ascii="宋体" w:hAnsi="宋体" w:eastAsia="宋体" w:cs="Times New Roman"/>
      <w:szCs w:val="20"/>
    </w:rPr>
  </w:style>
  <w:style w:type="paragraph" w:styleId="1033">
    <w:name w:val="Char"/>
    <w:basedOn w:val="946"/>
    <w:next w:val="1033"/>
    <w:link w:val="946"/>
    <w:pPr>
      <w:ind w:firstLine="200"/>
      <w:tabs>
        <w:tab w:val="left" w:pos="360" w:leader="none"/>
      </w:tabs>
    </w:pPr>
    <w:rPr>
      <w:sz w:val="28"/>
      <w:szCs w:val="30"/>
    </w:rPr>
  </w:style>
  <w:style w:type="paragraph" w:styleId="1034">
    <w:name w:val="xl24"/>
    <w:basedOn w:val="946"/>
    <w:next w:val="1034"/>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name w:val="寄信人地址1"/>
    <w:basedOn w:val="946"/>
    <w:next w:val="1035"/>
    <w:link w:val="946"/>
    <w:qFormat/>
    <w:rPr>
      <w:rFonts w:ascii="Arial" w:hAnsi="Arial" w:eastAsia="宋体" w:cs="宋体"/>
    </w:rPr>
  </w:style>
  <w:style w:type="paragraph" w:styleId="1036">
    <w:name w:val="正文文本首行缩进 2"/>
    <w:basedOn w:val="1037"/>
    <w:next w:val="1036"/>
    <w:link w:val="946"/>
    <w:qFormat/>
    <w:pPr>
      <w:ind w:left="0" w:firstLine="420"/>
      <w:spacing w:after="0" w:line="360" w:lineRule="auto"/>
    </w:pPr>
    <w:rPr>
      <w:rFonts w:ascii="宋体" w:hAnsi="宋体"/>
      <w:sz w:val="20"/>
      <w:szCs w:val="20"/>
      <w:lang w:val="en-US" w:eastAsia="en-US"/>
    </w:rPr>
  </w:style>
  <w:style w:type="paragraph" w:styleId="1037">
    <w:name w:val="正文文本缩进1"/>
    <w:basedOn w:val="946"/>
    <w:next w:val="1036"/>
    <w:link w:val="946"/>
    <w:unhideWhenUsed/>
    <w:qFormat/>
    <w:pPr>
      <w:ind w:left="420"/>
      <w:spacing w:after="120"/>
    </w:pPr>
  </w:style>
  <w:style w:type="paragraph" w:styleId="1038">
    <w:name w:val="xl28"/>
    <w:basedOn w:val="946"/>
    <w:next w:val="1038"/>
    <w:link w:val="9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9">
    <w:name w:val="纯文本1"/>
    <w:basedOn w:val="946"/>
    <w:next w:val="1039"/>
    <w:link w:val="946"/>
    <w:qFormat/>
    <w:rPr>
      <w:rFonts w:ascii="宋体" w:hAnsi="Courier New" w:cs="Courier New"/>
    </w:rPr>
  </w:style>
  <w:style w:type="paragraph" w:styleId="1040">
    <w:name w:val="xl26"/>
    <w:basedOn w:val="946"/>
    <w:next w:val="1040"/>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1">
    <w:name w:val="xl27"/>
    <w:basedOn w:val="946"/>
    <w:next w:val="1041"/>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name w:val=" Char Char Char Char Char Char Char Char Char Char"/>
    <w:basedOn w:val="946"/>
    <w:next w:val="1042"/>
    <w:link w:val="946"/>
    <w:pPr>
      <w:spacing w:line="360" w:lineRule="auto"/>
    </w:pPr>
    <w:rPr>
      <w:sz w:val="24"/>
      <w:szCs w:val="20"/>
    </w:rPr>
  </w:style>
  <w:style w:type="paragraph" w:styleId="1043">
    <w:name w:val="Body Text(ch)"/>
    <w:basedOn w:val="946"/>
    <w:next w:val="978"/>
    <w:link w:val="946"/>
    <w:pPr>
      <w:spacing w:after="120"/>
    </w:pPr>
    <w:rPr>
      <w:rFonts w:ascii="宋体" w:hAnsi="Arial"/>
      <w:bCs/>
      <w:iCs/>
      <w:szCs w:val="24"/>
    </w:rPr>
  </w:style>
  <w:style w:type="paragraph" w:styleId="1044">
    <w:name w:val="table_lines"/>
    <w:basedOn w:val="946"/>
    <w:next w:val="1044"/>
    <w:link w:val="946"/>
    <w:pPr>
      <w:jc w:val="left"/>
      <w:widowControl/>
    </w:pPr>
    <w:rPr>
      <w:sz w:val="20"/>
      <w:szCs w:val="20"/>
      <w:lang w:val="de-DE" w:eastAsia="de-DE"/>
    </w:rPr>
  </w:style>
  <w:style w:type="paragraph" w:styleId="1045">
    <w:name w:val=" Char"/>
    <w:basedOn w:val="972"/>
    <w:next w:val="1045"/>
    <w:link w:val="946"/>
    <w:rPr>
      <w:rFonts w:ascii="Tahoma" w:hAnsi="Tahoma"/>
      <w:sz w:val="24"/>
      <w:szCs w:val="24"/>
    </w:rPr>
  </w:style>
  <w:style w:type="paragraph" w:styleId="1046">
    <w:name w:val="Char Char Char Char Char Char Char Char"/>
    <w:basedOn w:val="946"/>
    <w:next w:val="1046"/>
    <w:link w:val="946"/>
    <w:pPr>
      <w:jc w:val="left"/>
      <w:spacing w:after="160" w:line="240" w:lineRule="exact"/>
      <w:widowControl/>
    </w:pPr>
    <w:rPr>
      <w:rFonts w:ascii="Verdana" w:hAnsi="Verdana"/>
      <w:sz w:val="20"/>
      <w:szCs w:val="20"/>
      <w:lang w:eastAsia="en-US"/>
    </w:rPr>
  </w:style>
  <w:style w:type="paragraph" w:styleId="1047">
    <w:name w:val="修订"/>
    <w:next w:val="1047"/>
    <w:link w:val="946"/>
    <w:uiPriority w:val="99"/>
    <w:semiHidden/>
    <w:rPr>
      <w:rFonts w:ascii="Times New Roman" w:hAnsi="Times New Roman"/>
      <w:sz w:val="21"/>
      <w:szCs w:val="21"/>
      <w:lang w:val="en-US" w:eastAsia="zh-CN" w:bidi="ar-SA"/>
    </w:rPr>
  </w:style>
  <w:style w:type="paragraph" w:styleId="1048">
    <w:name w:val="普通正文"/>
    <w:basedOn w:val="946"/>
    <w:next w:val="1048"/>
    <w:link w:val="946"/>
    <w:pPr>
      <w:ind w:firstLine="480"/>
      <w:jc w:val="left"/>
      <w:spacing w:before="120" w:after="120" w:line="360" w:lineRule="auto"/>
    </w:pPr>
    <w:rPr>
      <w:rFonts w:ascii="Arial" w:hAnsi="Arial"/>
      <w:sz w:val="24"/>
      <w:szCs w:val="24"/>
    </w:rPr>
  </w:style>
  <w:style w:type="paragraph" w:styleId="1049">
    <w:name w:val="普通 (Web)"/>
    <w:basedOn w:val="946"/>
    <w:next w:val="1049"/>
    <w:link w:val="946"/>
    <w:pPr>
      <w:jc w:val="left"/>
      <w:spacing w:before="100" w:beforeAutospacing="1" w:after="100" w:afterAutospacing="1"/>
      <w:widowControl/>
    </w:pPr>
    <w:rPr>
      <w:rFonts w:ascii="宋体" w:hAnsi="宋体"/>
      <w:sz w:val="24"/>
      <w:szCs w:val="24"/>
    </w:rPr>
  </w:style>
  <w:style w:type="paragraph" w:styleId="1050">
    <w:name w:val="页眉11"/>
    <w:basedOn w:val="946"/>
    <w:next w:val="1050"/>
    <w:link w:val="946"/>
    <w:uiPriority w:val="99"/>
    <w:unhideWhenUsed/>
    <w:qFormat/>
    <w:pPr>
      <w:spacing w:after="0" w:line="240" w:lineRule="auto"/>
      <w:tabs>
        <w:tab w:val="center" w:pos="7143" w:leader="none"/>
        <w:tab w:val="right" w:pos="14287" w:leader="none"/>
      </w:tabs>
    </w:pPr>
  </w:style>
  <w:style w:type="paragraph" w:styleId="1051">
    <w:name w:val="Char Char Char Char"/>
    <w:basedOn w:val="972"/>
    <w:next w:val="1051"/>
    <w:link w:val="946"/>
    <w:pPr>
      <w:spacing w:line="360" w:lineRule="auto"/>
    </w:pPr>
    <w:rPr>
      <w:rFonts w:ascii="Tahoma" w:hAnsi="Tahoma"/>
      <w:sz w:val="24"/>
      <w:szCs w:val="24"/>
    </w:rPr>
  </w:style>
  <w:style w:type="paragraph" w:styleId="1052">
    <w:name w:val="正文文本12"/>
    <w:basedOn w:val="946"/>
    <w:next w:val="1052"/>
    <w:link w:val="946"/>
    <w:uiPriority w:val="1"/>
    <w:qFormat/>
    <w:pPr>
      <w:ind w:left="120"/>
    </w:pPr>
    <w:rPr>
      <w:rFonts w:ascii="宋体" w:hAnsi="宋体" w:eastAsia="宋体" w:cs="宋体"/>
      <w:sz w:val="21"/>
      <w:szCs w:val="21"/>
      <w:lang w:val="zh-CN" w:eastAsia="zh-CN" w:bidi="zh-CN"/>
    </w:rPr>
  </w:style>
  <w:style w:type="paragraph" w:styleId="1053">
    <w:name w:val="font5"/>
    <w:basedOn w:val="946"/>
    <w:next w:val="1053"/>
    <w:link w:val="946"/>
    <w:pPr>
      <w:jc w:val="left"/>
      <w:spacing w:before="100" w:beforeAutospacing="1" w:after="100" w:afterAutospacing="1"/>
      <w:widowControl/>
    </w:pPr>
    <w:rPr>
      <w:rFonts w:hint="eastAsia" w:ascii="宋体" w:hAnsi="宋体"/>
      <w:sz w:val="28"/>
      <w:szCs w:val="28"/>
    </w:rPr>
  </w:style>
  <w:style w:type="paragraph" w:styleId="1054">
    <w:name w:val="标题3"/>
    <w:basedOn w:val="946"/>
    <w:next w:val="946"/>
    <w:link w:val="946"/>
    <w:pPr>
      <w:ind w:firstLine="624"/>
      <w:spacing w:line="590" w:lineRule="atLeast"/>
    </w:pPr>
    <w:rPr>
      <w:rFonts w:ascii="方正黑体_GBK" w:eastAsia="方正黑体_GBK"/>
      <w:sz w:val="32"/>
      <w:szCs w:val="32"/>
    </w:rPr>
  </w:style>
  <w:style w:type="paragraph" w:styleId="1055">
    <w:name w:val="标题1"/>
    <w:basedOn w:val="946"/>
    <w:next w:val="946"/>
    <w:link w:val="94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6">
    <w:name w:val=" Char Char Char Char Char Char Char Char"/>
    <w:basedOn w:val="946"/>
    <w:next w:val="1056"/>
    <w:link w:val="946"/>
    <w:pPr>
      <w:jc w:val="left"/>
      <w:spacing w:after="160" w:line="240" w:lineRule="exact"/>
      <w:widowControl/>
    </w:pPr>
    <w:rPr>
      <w:rFonts w:ascii="Verdana" w:hAnsi="Verdana"/>
      <w:sz w:val="20"/>
      <w:szCs w:val="20"/>
      <w:lang w:eastAsia="en-US"/>
    </w:rPr>
  </w:style>
  <w:style w:type="paragraph" w:styleId="1057">
    <w:name w:val="正文文本1"/>
    <w:basedOn w:val="946"/>
    <w:next w:val="946"/>
    <w:link w:val="946"/>
    <w:semiHidden/>
    <w:qFormat/>
    <w:rPr>
      <w:rFonts w:ascii="Arial" w:hAnsi="Arial" w:eastAsia="Arial" w:cs="Arial"/>
      <w:sz w:val="21"/>
      <w:szCs w:val="21"/>
      <w:lang w:val="en-US" w:eastAsia="en-US" w:bidi="ar-SA"/>
    </w:rPr>
  </w:style>
  <w:style w:type="paragraph" w:styleId="1058">
    <w:name w:val="附录1"/>
    <w:next w:val="1058"/>
    <w:link w:val="94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9">
    <w:name w:val="xl30"/>
    <w:basedOn w:val="946"/>
    <w:next w:val="1059"/>
    <w:link w:val="946"/>
    <w:pPr>
      <w:jc w:val="center"/>
      <w:spacing w:before="100" w:beforeAutospacing="1" w:after="100" w:afterAutospacing="1"/>
      <w:widowControl/>
    </w:pPr>
    <w:rPr>
      <w:rFonts w:ascii="宋体" w:hAnsi="宋体"/>
      <w:b/>
      <w:bCs/>
      <w:sz w:val="36"/>
      <w:szCs w:val="36"/>
    </w:rPr>
  </w:style>
  <w:style w:type="paragraph" w:styleId="1060">
    <w:name w:val="列出段落"/>
    <w:basedOn w:val="946"/>
    <w:next w:val="1060"/>
    <w:link w:val="946"/>
    <w:qFormat/>
    <w:pPr>
      <w:contextualSpacing/>
      <w:ind w:left="720"/>
      <w:jc w:val="left"/>
      <w:widowControl/>
    </w:pPr>
    <w:rPr>
      <w:rFonts w:ascii="Calibri" w:hAnsi="Calibri"/>
      <w:sz w:val="24"/>
      <w:szCs w:val="24"/>
      <w:lang w:eastAsia="en-US" w:bidi="en-US"/>
    </w:rPr>
  </w:style>
  <w:style w:type="paragraph" w:styleId="1061">
    <w:name w:val=" Char Char Char Char"/>
    <w:basedOn w:val="972"/>
    <w:next w:val="1061"/>
    <w:link w:val="946"/>
    <w:pPr>
      <w:spacing w:line="360" w:lineRule="auto"/>
    </w:pPr>
    <w:rPr>
      <w:rFonts w:ascii="Tahoma" w:hAnsi="Tahoma"/>
      <w:sz w:val="24"/>
      <w:szCs w:val="24"/>
    </w:rPr>
  </w:style>
  <w:style w:type="paragraph" w:styleId="1062">
    <w:name w:val="xl29"/>
    <w:basedOn w:val="946"/>
    <w:next w:val="1062"/>
    <w:link w:val="94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3">
    <w:name w:val="列表段落1"/>
    <w:basedOn w:val="946"/>
    <w:next w:val="1063"/>
    <w:link w:val="946"/>
    <w:qFormat/>
    <w:pPr>
      <w:ind w:firstLine="420"/>
    </w:pPr>
  </w:style>
  <w:style w:type="paragraph" w:styleId="1064">
    <w:name w:val="font7"/>
    <w:basedOn w:val="946"/>
    <w:next w:val="1064"/>
    <w:link w:val="946"/>
    <w:pPr>
      <w:jc w:val="left"/>
      <w:spacing w:before="100" w:beforeAutospacing="1" w:after="100" w:afterAutospacing="1"/>
      <w:widowControl/>
    </w:pPr>
    <w:rPr>
      <w:rFonts w:hint="eastAsia" w:ascii="宋体" w:hAnsi="宋体"/>
      <w:sz w:val="18"/>
      <w:szCs w:val="18"/>
    </w:rPr>
  </w:style>
  <w:style w:type="paragraph" w:styleId="1065">
    <w:name w:val="样式1"/>
    <w:basedOn w:val="946"/>
    <w:next w:val="1065"/>
    <w:link w:val="946"/>
    <w:pPr>
      <w:numPr>
        <w:ilvl w:val="0"/>
        <w:numId w:val="3"/>
      </w:numPr>
      <w:tabs>
        <w:tab w:val="left" w:pos="709" w:leader="none"/>
      </w:tabs>
    </w:pPr>
    <w:rPr>
      <w:rFonts w:ascii="宋体" w:hAnsi="宋体"/>
    </w:rPr>
  </w:style>
  <w:style w:type="paragraph" w:styleId="1066">
    <w:name w:val="xl25"/>
    <w:basedOn w:val="946"/>
    <w:next w:val="1066"/>
    <w:link w:val="94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7">
    <w:name w:val="无间隔"/>
    <w:next w:val="1067"/>
    <w:link w:val="946"/>
    <w:uiPriority w:val="99"/>
    <w:qFormat/>
    <w:pPr>
      <w:jc w:val="both"/>
      <w:widowControl w:val="off"/>
    </w:pPr>
    <w:rPr>
      <w:rFonts w:ascii="Times New Roman" w:hAnsi="Times New Roman"/>
      <w:sz w:val="21"/>
      <w:szCs w:val="21"/>
      <w:lang w:val="en-US" w:eastAsia="zh-CN" w:bidi="ar-SA"/>
    </w:rPr>
  </w:style>
  <w:style w:type="paragraph" w:styleId="1068">
    <w:name w:val="图标"/>
    <w:basedOn w:val="946"/>
    <w:next w:val="946"/>
    <w:link w:val="94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9">
    <w:name w:val="font6"/>
    <w:basedOn w:val="946"/>
    <w:next w:val="1069"/>
    <w:link w:val="946"/>
    <w:pPr>
      <w:jc w:val="left"/>
      <w:spacing w:before="100" w:beforeAutospacing="1" w:after="100" w:afterAutospacing="1"/>
      <w:widowControl/>
    </w:pPr>
    <w:rPr>
      <w:rFonts w:hint="eastAsia" w:ascii="宋体" w:hAnsi="宋体"/>
      <w:sz w:val="28"/>
      <w:szCs w:val="28"/>
      <w:u w:val="single"/>
    </w:rPr>
  </w:style>
  <w:style w:type="paragraph" w:styleId="1070">
    <w:name w:val="table_1stline"/>
    <w:basedOn w:val="946"/>
    <w:next w:val="1070"/>
    <w:link w:val="946"/>
    <w:pPr>
      <w:jc w:val="left"/>
      <w:spacing w:before="120"/>
      <w:widowControl/>
    </w:pPr>
    <w:rPr>
      <w:bCs/>
      <w:sz w:val="20"/>
      <w:szCs w:val="20"/>
      <w:lang w:val="de-DE" w:eastAsia="de-DE"/>
    </w:rPr>
  </w:style>
  <w:style w:type="paragraph" w:styleId="1071">
    <w:name w:val="正文文本 211"/>
    <w:basedOn w:val="946"/>
    <w:next w:val="1071"/>
    <w:link w:val="946"/>
    <w:uiPriority w:val="99"/>
    <w:qFormat/>
    <w:pPr>
      <w:jc w:val="center"/>
    </w:pPr>
    <w:rPr>
      <w:b/>
      <w:bCs/>
      <w:sz w:val="20"/>
      <w:szCs w:val="20"/>
    </w:rPr>
  </w:style>
  <w:style w:type="paragraph" w:styleId="1072">
    <w:name w:val="页脚11"/>
    <w:basedOn w:val="946"/>
    <w:next w:val="1072"/>
    <w:link w:val="946"/>
    <w:uiPriority w:val="99"/>
    <w:unhideWhenUsed/>
    <w:qFormat/>
    <w:pPr>
      <w:spacing w:after="0" w:line="240" w:lineRule="auto"/>
      <w:tabs>
        <w:tab w:val="center" w:pos="7143" w:leader="none"/>
        <w:tab w:val="right" w:pos="14287" w:leader="none"/>
      </w:tabs>
    </w:pPr>
  </w:style>
  <w:style w:type="paragraph" w:styleId="1073">
    <w:name w:val="4"/>
    <w:basedOn w:val="946"/>
    <w:next w:val="1003"/>
    <w:link w:val="946"/>
    <w:pPr>
      <w:ind w:firstLine="420"/>
      <w:spacing w:line="360" w:lineRule="auto"/>
    </w:pPr>
    <w:rPr>
      <w:color w:val="ff0000"/>
      <w:sz w:val="24"/>
      <w:szCs w:val="24"/>
    </w:rPr>
  </w:style>
  <w:style w:type="paragraph" w:styleId="1074">
    <w:name w:val="索引 41"/>
    <w:basedOn w:val="946"/>
    <w:next w:val="946"/>
    <w:link w:val="946"/>
    <w:semiHidden/>
    <w:qFormat/>
    <w:pPr>
      <w:ind w:left="1260"/>
    </w:pPr>
    <w:rPr>
      <w:rFonts w:ascii="Calibri" w:hAnsi="Calibri" w:eastAsia="Calibri" w:cs="宋体"/>
      <w:sz w:val="20"/>
      <w:lang w:val="zh-CN"/>
    </w:rPr>
  </w:style>
  <w:style w:type="table" w:styleId="1075">
    <w:name w:val="网格型1"/>
    <w:basedOn w:val="1076"/>
    <w:next w:val="1075"/>
    <w:link w:val="946"/>
    <w:qFormat/>
    <w:pPr>
      <w:jc w:val="both"/>
      <w:widowControl w:val="off"/>
    </w:pPr>
    <w:tblPr/>
  </w:style>
  <w:style w:type="table" w:styleId="1076">
    <w:name w:val="普通表格1"/>
    <w:next w:val="1076"/>
    <w:link w:val="946"/>
    <w:uiPriority w:val="99"/>
    <w:unhideWhenUsed/>
    <w:qFormat/>
    <w:tblPr/>
  </w:style>
  <w:style w:type="table" w:styleId="1077">
    <w:name w:val="网格型12"/>
    <w:next w:val="1077"/>
    <w:link w:val="946"/>
    <w:uiPriority w:val="59"/>
    <w:qFormat/>
    <w:rPr>
      <w:lang w:val="en-US" w:eastAsia="zh-CN" w:bidi="ar-SA"/>
    </w:rPr>
    <w:tblPr/>
  </w:style>
  <w:style w:type="table" w:styleId="1078">
    <w:name w:val="Table Normal_0"/>
    <w:next w:val="1078"/>
    <w:link w:val="946"/>
    <w:qFormat/>
    <w:tblPr/>
  </w:style>
  <w:style w:type="table" w:styleId="1079">
    <w:name w:val="Table Normal"/>
    <w:next w:val="1079"/>
    <w:link w:val="946"/>
    <w:qFormat/>
    <w:tblPr/>
  </w:style>
  <w:style w:type="character" w:styleId="1080" w:default="1">
    <w:name w:val="Default Paragraph Font"/>
    <w:uiPriority w:val="1"/>
    <w:semiHidden/>
    <w:unhideWhenUsed/>
  </w:style>
  <w:style w:type="numbering" w:styleId="1081" w:default="1">
    <w:name w:val="No List"/>
    <w:uiPriority w:val="99"/>
    <w:semiHidden/>
    <w:unhideWhenUsed/>
  </w:style>
  <w:style w:type="table" w:styleId="10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emf"/><Relationship Id="rId15" Type="http://schemas.openxmlformats.org/officeDocument/2006/relationships/oleObject" Target="embeddings/oleObject1.bin"/><Relationship Id="rId16" Type="http://schemas.openxmlformats.org/officeDocument/2006/relationships/image" Target="media/image2.emf"/><Relationship Id="rId17" Type="http://schemas.openxmlformats.org/officeDocument/2006/relationships/package" Target="embeddings/Microsoft_Word_Document1.docx"/><Relationship Id="rId18" Type="http://schemas.openxmlformats.org/officeDocument/2006/relationships/image" Target="media/image3.emf"/><Relationship Id="rId19" Type="http://schemas.openxmlformats.org/officeDocument/2006/relationships/package" Target="embeddings/Microsoft_Word_Document2.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6</cp:revision>
  <dcterms:created xsi:type="dcterms:W3CDTF">2023-03-16T02:16:00Z</dcterms:created>
  <dcterms:modified xsi:type="dcterms:W3CDTF">2025-02-28T02:50:17Z</dcterms:modified>
</cp:coreProperties>
</file>