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spacing w:before="120" w:beforeAutospacing="0" w:after="120" w:afterAutospacing="0" w:line="360" w:lineRule="auto"/>
        <w:rPr>
          <w:highlight w:val="none"/>
        </w:rPr>
      </w:pPr>
      <w:r>
        <w:rPr>
          <w:highlight w:val="none"/>
        </w:rPr>
      </w:r>
      <w:r/>
    </w:p>
    <w:p>
      <w:pPr>
        <w:pStyle w:val="752"/>
        <w:spacing w:before="120" w:beforeAutospacing="0" w:after="120" w:afterAutospacing="0" w:line="360" w:lineRule="auto"/>
        <w:rPr>
          <w:highlight w:val="none"/>
        </w:rPr>
      </w:pPr>
      <w:r>
        <w:rPr>
          <w:highlight w:val="none"/>
        </w:rPr>
      </w:r>
      <w:r/>
    </w:p>
    <w:p>
      <w:pPr>
        <w:pStyle w:val="752"/>
        <w:spacing w:before="120" w:beforeAutospacing="0" w:after="120" w:afterAutospacing="0" w:line="360" w:lineRule="auto"/>
        <w:rPr>
          <w:highlight w:val="none"/>
        </w:rPr>
      </w:pPr>
      <w:r>
        <w:rPr>
          <w:highlight w:val="none"/>
        </w:rPr>
      </w:r>
      <w:r/>
    </w:p>
    <w:p>
      <w:pPr>
        <w:pStyle w:val="752"/>
        <w:jc w:val="center"/>
        <w:spacing w:line="360" w:lineRule="auto"/>
        <w:rPr>
          <w:rFonts w:asciiTheme="minorEastAsia" w:hAnsiTheme="minorEastAsia" w:cstheme="minorEastAsia"/>
          <w:highlight w:val="none"/>
        </w:rPr>
      </w:pPr>
      <w:r>
        <w:rPr>
          <w:rFonts w:hint="eastAsia" w:asciiTheme="minorEastAsia" w:hAnsiTheme="minorEastAsia" w:cstheme="minorEastAsia"/>
          <w:b/>
          <w:sz w:val="84"/>
          <w:szCs w:val="84"/>
          <w:highlight w:val="none"/>
        </w:rPr>
        <w:t xml:space="preserve">招 标 文 件</w:t>
      </w:r>
      <w:r/>
    </w:p>
    <w:p>
      <w:pPr>
        <w:pStyle w:val="752"/>
        <w:jc w:val="both"/>
        <w:spacing w:before="120" w:beforeAutospacing="0" w:after="120" w:afterAutospacing="0" w:line="360" w:lineRule="auto"/>
        <w:rPr>
          <w:rFonts w:ascii="Arial" w:hAnsi="Arial" w:cs="Arial"/>
          <w:b/>
          <w:sz w:val="84"/>
          <w:szCs w:val="84"/>
          <w:highlight w:val="none"/>
        </w:rPr>
      </w:pPr>
      <w:r>
        <w:rPr>
          <w:rFonts w:ascii="Arial" w:hAnsi="Arial" w:cs="Arial"/>
          <w:b/>
          <w:sz w:val="84"/>
          <w:szCs w:val="84"/>
          <w:highlight w:val="none"/>
        </w:rPr>
      </w:r>
      <w:r/>
    </w:p>
    <w:p>
      <w:pPr>
        <w:pStyle w:val="752"/>
        <w:jc w:val="center"/>
        <w:spacing w:before="120" w:beforeAutospacing="0" w:after="120" w:afterAutospacing="0" w:line="360" w:lineRule="auto"/>
        <w:rPr>
          <w:rFonts w:ascii="宋体" w:hAnsi="宋体" w:eastAsia="宋体" w:cs="宋体"/>
          <w:b/>
          <w:sz w:val="32"/>
          <w:szCs w:val="32"/>
          <w:highlight w:val="none"/>
        </w:rPr>
      </w:pPr>
      <w:r>
        <w:rPr>
          <w:rFonts w:hint="eastAsia" w:ascii="宋体" w:hAnsi="宋体" w:eastAsia="宋体" w:cs="宋体"/>
          <w:b/>
          <w:sz w:val="32"/>
          <w:szCs w:val="32"/>
          <w:highlight w:val="none"/>
        </w:rPr>
        <w:t xml:space="preserve">项目编号：</w:t>
      </w:r>
      <w:r>
        <w:rPr>
          <w:rFonts w:hint="eastAsia" w:ascii="宋体" w:hAnsi="宋体" w:eastAsia="宋体" w:cs="宋体"/>
          <w:b/>
          <w:sz w:val="32"/>
          <w:szCs w:val="32"/>
          <w:highlight w:val="none"/>
          <w:lang w:bidi="ar"/>
        </w:rPr>
        <w:t xml:space="preserve">JSZC-320900-JZCG-G2025-0052</w:t>
      </w:r>
      <w:r/>
    </w:p>
    <w:p>
      <w:pPr>
        <w:pStyle w:val="752"/>
        <w:jc w:val="center"/>
        <w:spacing w:before="120" w:beforeAutospacing="0" w:after="120" w:afterAutospacing="0" w:line="360" w:lineRule="auto"/>
        <w:rPr>
          <w:rFonts w:ascii="宋体" w:hAnsi="宋体" w:eastAsia="宋体" w:cs="宋体"/>
          <w:b/>
          <w:sz w:val="32"/>
          <w:szCs w:val="32"/>
          <w:highlight w:val="none"/>
        </w:rPr>
      </w:pPr>
      <w:r>
        <w:rPr>
          <w:rFonts w:ascii="宋体" w:hAnsi="宋体" w:eastAsia="宋体" w:cs="宋体"/>
          <w:b/>
          <w:sz w:val="32"/>
          <w:szCs w:val="32"/>
          <w:highlight w:val="none"/>
        </w:rPr>
      </w:r>
      <w:r/>
    </w:p>
    <w:p>
      <w:pPr>
        <w:pStyle w:val="752"/>
        <w:jc w:val="center"/>
        <w:spacing w:before="120" w:beforeAutospacing="0" w:after="120" w:afterAutospacing="0" w:line="360" w:lineRule="auto"/>
        <w:rPr>
          <w:rFonts w:ascii="宋体" w:hAnsi="宋体" w:eastAsia="宋体" w:cs="宋体"/>
          <w:b/>
          <w:sz w:val="32"/>
          <w:szCs w:val="32"/>
          <w:highlight w:val="none"/>
        </w:rPr>
      </w:pPr>
      <w:r>
        <w:rPr>
          <w:rFonts w:hint="eastAsia" w:ascii="宋体" w:hAnsi="宋体" w:eastAsia="宋体" w:cs="宋体"/>
          <w:b/>
          <w:sz w:val="32"/>
          <w:szCs w:val="32"/>
          <w:highlight w:val="none"/>
        </w:rPr>
        <w:t xml:space="preserve">项目名称：</w:t>
      </w:r>
      <w:r>
        <w:rPr>
          <w:rFonts w:hint="eastAsia" w:ascii="Arial" w:hAnsi="Arial" w:cs="Arial"/>
          <w:b/>
          <w:color w:val="000000"/>
          <w:sz w:val="32"/>
          <w:szCs w:val="32"/>
          <w:highlight w:val="none"/>
        </w:rPr>
        <w:t xml:space="preserve">盐城体育运动学校新校区家具采购项目</w:t>
      </w:r>
      <w:r/>
    </w:p>
    <w:p>
      <w:pPr>
        <w:pStyle w:val="752"/>
        <w:spacing w:before="120" w:beforeAutospacing="0" w:after="120" w:afterAutospacing="0" w:line="360" w:lineRule="auto"/>
        <w:rPr>
          <w:highlight w:val="none"/>
        </w:rPr>
      </w:pPr>
      <w:r>
        <w:rPr>
          <w:highlight w:val="none"/>
        </w:rPr>
      </w:r>
      <w:r/>
    </w:p>
    <w:p>
      <w:pPr>
        <w:jc w:val="center"/>
        <w:rPr>
          <w:rFonts w:ascii="Arial" w:hAnsi="Arial" w:cs="Arial"/>
          <w:b/>
          <w:sz w:val="32"/>
          <w:szCs w:val="32"/>
          <w:highlight w:val="none"/>
        </w:rPr>
      </w:pPr>
      <w:r>
        <w:rPr>
          <w:rFonts w:ascii="Arial" w:hAnsi="Arial" w:cs="Arial"/>
          <w:b/>
          <w:sz w:val="32"/>
          <w:szCs w:val="32"/>
          <w:highlight w:val="none"/>
        </w:rPr>
      </w:r>
      <w:r/>
    </w:p>
    <w:p>
      <w:pPr>
        <w:jc w:val="center"/>
        <w:rPr>
          <w:rFonts w:ascii="Arial" w:hAnsi="Arial" w:cs="Arial"/>
          <w:b/>
          <w:sz w:val="32"/>
          <w:szCs w:val="32"/>
          <w:highlight w:val="none"/>
        </w:rPr>
      </w:pPr>
      <w:r>
        <w:rPr>
          <w:rFonts w:ascii="Arial" w:hAnsi="Arial" w:cs="Arial"/>
          <w:b/>
          <w:sz w:val="32"/>
          <w:szCs w:val="32"/>
          <w:highlight w:val="none"/>
        </w:rPr>
      </w:r>
      <w:r/>
    </w:p>
    <w:p>
      <w:pPr>
        <w:jc w:val="center"/>
        <w:rPr>
          <w:rFonts w:ascii="Arial" w:hAnsi="Arial" w:cs="Arial"/>
          <w:b/>
          <w:sz w:val="32"/>
          <w:szCs w:val="32"/>
          <w:highlight w:val="none"/>
        </w:rPr>
      </w:pPr>
      <w:r>
        <w:rPr>
          <w:rFonts w:ascii="Arial" w:hAnsi="Arial" w:cs="Arial"/>
          <w:b/>
          <w:sz w:val="32"/>
          <w:szCs w:val="32"/>
          <w:highlight w:val="none"/>
        </w:rPr>
      </w:r>
      <w:r/>
    </w:p>
    <w:p>
      <w:pPr>
        <w:jc w:val="center"/>
        <w:rPr>
          <w:rFonts w:ascii="Arial" w:hAnsi="Arial" w:cs="Arial"/>
          <w:b/>
          <w:sz w:val="32"/>
          <w:szCs w:val="32"/>
          <w:highlight w:val="none"/>
        </w:rPr>
      </w:pPr>
      <w:r>
        <w:rPr>
          <w:rFonts w:ascii="Arial" w:hAnsi="Arial" w:cs="Arial"/>
          <w:b/>
          <w:sz w:val="32"/>
          <w:szCs w:val="32"/>
          <w:highlight w:val="none"/>
        </w:rPr>
      </w:r>
      <w:r/>
    </w:p>
    <w:p>
      <w:pPr>
        <w:jc w:val="center"/>
        <w:rPr>
          <w:rFonts w:ascii="Arial" w:hAnsi="Arial" w:cs="Arial"/>
          <w:b/>
          <w:sz w:val="32"/>
          <w:szCs w:val="32"/>
          <w:highlight w:val="none"/>
        </w:rPr>
      </w:pPr>
      <w:r>
        <w:rPr>
          <w:rFonts w:ascii="Arial" w:hAnsi="Arial" w:cs="Arial"/>
          <w:b/>
          <w:sz w:val="32"/>
          <w:szCs w:val="32"/>
          <w:highlight w:val="none"/>
        </w:rPr>
      </w:r>
      <w:r/>
    </w:p>
    <w:p>
      <w:pPr>
        <w:pStyle w:val="752"/>
        <w:jc w:val="center"/>
        <w:keepLines w:val="0"/>
        <w:keepNext w:val="0"/>
        <w:pageBreakBefore w:val="0"/>
        <w:spacing w:before="120" w:beforeAutospacing="0" w:after="120" w:afterAutospacing="0" w:line="420" w:lineRule="exact"/>
        <w:widowControl w:val="off"/>
        <w:rPr>
          <w:rFonts w:asciiTheme="majorEastAsia" w:hAnsiTheme="majorEastAsia" w:eastAsiaTheme="majorEastAsia" w:cstheme="majorEastAsia"/>
          <w:bCs/>
          <w:sz w:val="32"/>
          <w:szCs w:val="32"/>
          <w:highlight w:val="none"/>
        </w:rPr>
      </w:pPr>
      <w:r>
        <w:rPr>
          <w:rFonts w:hint="eastAsia" w:asciiTheme="majorEastAsia" w:hAnsiTheme="majorEastAsia" w:eastAsiaTheme="majorEastAsia" w:cstheme="majorEastAsia"/>
          <w:bCs/>
          <w:sz w:val="32"/>
          <w:szCs w:val="32"/>
          <w:highlight w:val="none"/>
        </w:rPr>
        <w:t xml:space="preserve">盐城体育运动学校</w:t>
      </w:r>
      <w:r/>
    </w:p>
    <w:p>
      <w:pPr>
        <w:pStyle w:val="752"/>
        <w:jc w:val="center"/>
        <w:keepLines w:val="0"/>
        <w:keepNext w:val="0"/>
        <w:pageBreakBefore w:val="0"/>
        <w:spacing w:before="120" w:beforeAutospacing="0" w:after="120" w:afterAutospacing="0" w:line="420" w:lineRule="exact"/>
        <w:widowControl w:val="off"/>
        <w:rPr>
          <w:rFonts w:asciiTheme="majorEastAsia" w:hAnsiTheme="majorEastAsia" w:eastAsiaTheme="majorEastAsia" w:cstheme="majorEastAsia"/>
          <w:bCs/>
          <w:sz w:val="32"/>
          <w:szCs w:val="32"/>
          <w:highlight w:val="none"/>
        </w:rPr>
      </w:pPr>
      <w:r>
        <w:rPr>
          <w:rFonts w:hint="eastAsia" w:asciiTheme="majorEastAsia" w:hAnsiTheme="majorEastAsia" w:eastAsiaTheme="majorEastAsia" w:cstheme="majorEastAsia"/>
          <w:bCs/>
          <w:sz w:val="32"/>
          <w:szCs w:val="32"/>
          <w:highlight w:val="none"/>
        </w:rPr>
        <w:t xml:space="preserve"> 2025年11</w:t>
      </w:r>
      <w:r>
        <w:rPr>
          <w:rFonts w:hint="eastAsia" w:asciiTheme="majorEastAsia" w:hAnsiTheme="majorEastAsia" w:eastAsiaTheme="majorEastAsia" w:cstheme="majorEastAsia"/>
          <w:bCs/>
          <w:sz w:val="32"/>
          <w:szCs w:val="32"/>
          <w:highlight w:val="none"/>
        </w:rPr>
        <w:t xml:space="preserve">月</w:t>
      </w:r>
      <w:r/>
    </w:p>
    <w:p>
      <w:pPr>
        <w:jc w:val="center"/>
        <w:spacing w:line="700" w:lineRule="exact"/>
        <w:widowControl/>
        <w:rPr>
          <w:rFonts w:asciiTheme="majorEastAsia" w:hAnsiTheme="majorEastAsia" w:eastAsiaTheme="majorEastAsia" w:cstheme="majorEastAsia"/>
          <w:sz w:val="44"/>
          <w:szCs w:val="20"/>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633" w:bottom="1440" w:left="1633" w:header="851" w:footer="992" w:gutter="0"/>
          <w:cols w:num="1" w:sep="0" w:space="425" w:equalWidth="1"/>
          <w:docGrid w:linePitch="360"/>
        </w:sectPr>
        <w:outlineLvl w:val="0"/>
      </w:pPr>
      <w:r/>
      <w:bookmarkStart w:id="0" w:name="_Toc120614210"/>
      <w:r/>
      <w:bookmarkStart w:id="1" w:name="_Toc513029200"/>
      <w:r/>
      <w:bookmarkStart w:id="2" w:name="_Toc523127445"/>
      <w:r/>
      <w:bookmarkStart w:id="3" w:name="_Toc16938516"/>
      <w:r/>
      <w:bookmarkStart w:id="4" w:name="_Toc479757206"/>
      <w:r/>
      <w:bookmarkStart w:id="5" w:name="_Toc20823272"/>
      <w:r/>
      <w:r/>
    </w:p>
    <w:p>
      <w:pPr>
        <w:jc w:val="center"/>
        <w:spacing w:line="700" w:lineRule="exact"/>
        <w:widowControl/>
        <w:rPr>
          <w:rFonts w:asciiTheme="majorEastAsia" w:hAnsiTheme="majorEastAsia" w:eastAsiaTheme="majorEastAsia" w:cstheme="majorEastAsia"/>
          <w:sz w:val="44"/>
          <w:szCs w:val="20"/>
          <w:highlight w:val="none"/>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sz w:val="44"/>
          <w:szCs w:val="20"/>
          <w:highlight w:val="none"/>
        </w:rPr>
      </w:r>
      <w:r/>
    </w:p>
    <w:p>
      <w:pPr>
        <w:jc w:val="center"/>
        <w:spacing w:line="700" w:lineRule="exact"/>
        <w:widowControl/>
        <w:rPr>
          <w:rFonts w:asciiTheme="majorEastAsia" w:hAnsiTheme="majorEastAsia" w:eastAsiaTheme="majorEastAsia" w:cstheme="majorEastAsia"/>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sz w:val="44"/>
          <w:szCs w:val="20"/>
          <w:highlight w:val="none"/>
        </w:rPr>
        <w:t xml:space="preserve">总  目  录</w:t>
      </w:r>
      <w:r/>
    </w:p>
    <w:p>
      <w:pPr>
        <w:rPr>
          <w:b/>
          <w:sz w:val="28"/>
          <w:highlight w:val="none"/>
        </w:rPr>
      </w:pPr>
      <w:r>
        <w:rPr>
          <w:b/>
          <w:sz w:val="28"/>
          <w:highlight w:val="none"/>
        </w:rPr>
      </w:r>
      <w:bookmarkEnd w:id="0"/>
      <w:r/>
      <w:bookmarkEnd w:id="1"/>
      <w:r/>
      <w:bookmarkEnd w:id="2"/>
      <w:r/>
      <w:bookmarkEnd w:id="3"/>
      <w:r/>
      <w:bookmarkEnd w:id="4"/>
      <w:r/>
      <w:bookmarkEnd w:id="5"/>
      <w:r/>
      <w:r/>
    </w:p>
    <w:p>
      <w:pPr>
        <w:pStyle w:val="752"/>
        <w:ind w:firstLine="360"/>
        <w:spacing w:beforeAutospacing="0" w:afterAutospacing="0" w:line="580" w:lineRule="exact"/>
        <w:tabs>
          <w:tab w:val="left" w:pos="1441" w:leader="none"/>
        </w:tabs>
        <w:rPr>
          <w:highlight w:val="none"/>
        </w:rPr>
      </w:pPr>
      <w:r>
        <w:rPr>
          <w:rFonts w:hint="eastAsia" w:ascii="黑体" w:hAnsi="宋体" w:eastAsia="黑体" w:cs="黑体"/>
          <w:sz w:val="36"/>
          <w:szCs w:val="36"/>
          <w:highlight w:val="none"/>
        </w:rPr>
        <w:t xml:space="preserve">第一章  招标公告…………………………………3</w:t>
      </w:r>
      <w:r/>
    </w:p>
    <w:p>
      <w:pPr>
        <w:pStyle w:val="752"/>
        <w:ind w:firstLine="360"/>
        <w:jc w:val="both"/>
        <w:spacing w:beforeAutospacing="0" w:afterAutospacing="0" w:line="580" w:lineRule="exact"/>
        <w:tabs>
          <w:tab w:val="left" w:pos="1441" w:leader="none"/>
        </w:tabs>
        <w:rPr>
          <w:rFonts w:hint="eastAsia" w:eastAsia="黑体"/>
          <w:highlight w:val="none"/>
          <w:lang w:eastAsia="zh-CN"/>
        </w:rPr>
      </w:pPr>
      <w:r>
        <w:rPr>
          <w:rFonts w:hint="eastAsia" w:ascii="黑体" w:hAnsi="宋体" w:eastAsia="黑体" w:cs="黑体"/>
          <w:sz w:val="36"/>
          <w:szCs w:val="36"/>
          <w:highlight w:val="none"/>
        </w:rPr>
        <w:t xml:space="preserve">第二章  投标人须知………………………………</w:t>
      </w:r>
      <w:r>
        <w:rPr>
          <w:rFonts w:hint="eastAsia" w:ascii="黑体" w:hAnsi="宋体" w:eastAsia="黑体" w:cs="黑体"/>
          <w:sz w:val="36"/>
          <w:szCs w:val="36"/>
          <w:highlight w:val="none"/>
          <w:lang w:val="en-US" w:eastAsia="zh-CN"/>
        </w:rPr>
        <w:t xml:space="preserve">7</w:t>
      </w:r>
      <w:r/>
    </w:p>
    <w:p>
      <w:pPr>
        <w:pStyle w:val="752"/>
        <w:jc w:val="center"/>
        <w:spacing w:beforeAutospacing="0" w:afterAutospacing="0" w:line="580" w:lineRule="exact"/>
        <w:tabs>
          <w:tab w:val="left" w:pos="1441" w:leader="none"/>
        </w:tabs>
        <w:rPr>
          <w:rFonts w:hint="default" w:eastAsia="黑体"/>
          <w:highlight w:val="none"/>
          <w:lang w:val="en-US" w:eastAsia="zh-CN"/>
        </w:rPr>
      </w:pPr>
      <w:r>
        <w:rPr>
          <w:rFonts w:hint="eastAsia" w:ascii="黑体" w:hAnsi="宋体" w:eastAsia="黑体" w:cs="黑体"/>
          <w:sz w:val="36"/>
          <w:szCs w:val="36"/>
          <w:highlight w:val="none"/>
        </w:rPr>
        <w:t xml:space="preserve">第三章  合同条款…………………………………</w:t>
      </w:r>
      <w:r>
        <w:rPr>
          <w:rFonts w:hint="eastAsia" w:ascii="黑体" w:hAnsi="宋体" w:eastAsia="黑体" w:cs="黑体"/>
          <w:sz w:val="36"/>
          <w:szCs w:val="36"/>
          <w:highlight w:val="none"/>
          <w:lang w:val="en-US" w:eastAsia="zh-CN"/>
        </w:rPr>
        <w:t xml:space="preserve">26</w:t>
      </w:r>
      <w:r/>
    </w:p>
    <w:p>
      <w:pPr>
        <w:pStyle w:val="752"/>
        <w:jc w:val="center"/>
        <w:spacing w:beforeAutospacing="0" w:afterAutospacing="0" w:line="580" w:lineRule="exact"/>
        <w:tabs>
          <w:tab w:val="left" w:pos="1441" w:leader="none"/>
        </w:tabs>
        <w:rPr>
          <w:rFonts w:hint="default" w:eastAsia="黑体"/>
          <w:highlight w:val="none"/>
          <w:lang w:val="en-US" w:eastAsia="zh-CN"/>
        </w:rPr>
      </w:pPr>
      <w:r>
        <w:rPr>
          <w:rFonts w:hint="eastAsia" w:ascii="黑体" w:hAnsi="宋体" w:eastAsia="黑体" w:cs="黑体"/>
          <w:sz w:val="36"/>
          <w:szCs w:val="36"/>
          <w:highlight w:val="none"/>
        </w:rPr>
        <w:t xml:space="preserve">第四章  采购需求…………………………………</w:t>
      </w:r>
      <w:r>
        <w:rPr>
          <w:rFonts w:hint="eastAsia" w:ascii="黑体" w:hAnsi="宋体" w:eastAsia="黑体" w:cs="黑体"/>
          <w:sz w:val="36"/>
          <w:szCs w:val="36"/>
          <w:highlight w:val="none"/>
          <w:lang w:val="en-US" w:eastAsia="zh-CN"/>
        </w:rPr>
        <w:t xml:space="preserve">57</w:t>
      </w:r>
      <w:r/>
    </w:p>
    <w:p>
      <w:pPr>
        <w:pStyle w:val="752"/>
        <w:jc w:val="center"/>
        <w:spacing w:beforeAutospacing="0" w:afterAutospacing="0" w:line="580" w:lineRule="exact"/>
        <w:tabs>
          <w:tab w:val="left" w:pos="1441" w:leader="none"/>
        </w:tabs>
        <w:rPr>
          <w:rFonts w:hint="default" w:eastAsia="黑体"/>
          <w:highlight w:val="none"/>
          <w:lang w:val="en-US" w:eastAsia="zh-CN"/>
        </w:rPr>
      </w:pPr>
      <w:r>
        <w:rPr>
          <w:rFonts w:hint="eastAsia" w:ascii="黑体" w:hAnsi="宋体" w:eastAsia="黑体" w:cs="黑体"/>
          <w:sz w:val="36"/>
          <w:szCs w:val="36"/>
          <w:highlight w:val="none"/>
        </w:rPr>
        <w:t xml:space="preserve">第五章  评标方法与评标标准……………………</w:t>
      </w:r>
      <w:r>
        <w:rPr>
          <w:rFonts w:hint="eastAsia" w:ascii="黑体" w:hAnsi="宋体" w:eastAsia="黑体" w:cs="黑体"/>
          <w:sz w:val="36"/>
          <w:szCs w:val="36"/>
          <w:highlight w:val="none"/>
          <w:lang w:val="en-US" w:eastAsia="zh-CN"/>
        </w:rPr>
        <w:t xml:space="preserve">75</w:t>
      </w:r>
      <w:r/>
    </w:p>
    <w:p>
      <w:pPr>
        <w:pStyle w:val="752"/>
        <w:jc w:val="center"/>
        <w:spacing w:beforeAutospacing="0" w:afterAutospacing="0" w:line="580" w:lineRule="exact"/>
        <w:tabs>
          <w:tab w:val="left" w:pos="1441" w:leader="none"/>
        </w:tabs>
        <w:rPr>
          <w:rFonts w:hint="default" w:eastAsia="黑体"/>
          <w:highlight w:val="none"/>
          <w:lang w:val="en-US" w:eastAsia="zh-CN"/>
        </w:rPr>
      </w:pPr>
      <w:r>
        <w:rPr>
          <w:rFonts w:hint="eastAsia" w:ascii="黑体" w:hAnsi="宋体" w:eastAsia="黑体" w:cs="黑体"/>
          <w:sz w:val="36"/>
          <w:szCs w:val="36"/>
          <w:highlight w:val="none"/>
        </w:rPr>
        <w:t xml:space="preserve">第六章  投标文件格式……………………………</w:t>
      </w:r>
      <w:r>
        <w:rPr>
          <w:rFonts w:hint="eastAsia" w:ascii="黑体" w:hAnsi="宋体" w:eastAsia="黑体" w:cs="黑体"/>
          <w:sz w:val="36"/>
          <w:szCs w:val="36"/>
          <w:highlight w:val="none"/>
          <w:lang w:val="en-US" w:eastAsia="zh-CN"/>
        </w:rPr>
        <w:t xml:space="preserve">81</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pStyle w:val="752"/>
        <w:jc w:val="both"/>
        <w:spacing w:beforeAutospacing="0" w:afterAutospacing="0"/>
        <w:rPr>
          <w:highlight w:val="none"/>
        </w:rPr>
      </w:pPr>
      <w:r>
        <w:rPr>
          <w:highlight w:val="none"/>
        </w:rPr>
        <w:t xml:space="preserve">  </w:t>
      </w:r>
      <w:r/>
    </w:p>
    <w:p>
      <w:pPr>
        <w:jc w:val="center"/>
        <w:keepNext/>
        <w:rPr>
          <w:rFonts w:ascii="黑体" w:hAnsi="宋体" w:eastAsia="黑体" w:cs="黑体"/>
          <w:sz w:val="44"/>
          <w:szCs w:val="44"/>
          <w:highlight w:val="none"/>
        </w:rPr>
      </w:pPr>
      <w:r/>
      <w:bookmarkStart w:id="6" w:name="_Toc28359086"/>
      <w:r>
        <w:rPr>
          <w:rFonts w:hint="eastAsia" w:ascii="黑体" w:hAnsi="宋体" w:eastAsia="黑体" w:cs="黑体"/>
          <w:sz w:val="44"/>
          <w:szCs w:val="44"/>
          <w:highlight w:val="none"/>
        </w:rPr>
        <w:br w:type="page" w:clear="all"/>
      </w:r>
      <w:r/>
    </w:p>
    <w:p>
      <w:pPr>
        <w:pStyle w:val="752"/>
        <w:numPr>
          <w:ilvl w:val="0"/>
          <w:numId w:val="1"/>
        </w:numPr>
        <w:ind w:firstLine="220"/>
        <w:jc w:val="center"/>
        <w:keepNext/>
        <w:spacing w:beforeAutospacing="0" w:afterAutospacing="0"/>
        <w:rPr>
          <w:rFonts w:ascii="黑体" w:hAnsi="宋体" w:eastAsia="黑体" w:cs="黑体"/>
          <w:sz w:val="44"/>
          <w:szCs w:val="44"/>
          <w:highlight w:val="none"/>
        </w:rPr>
      </w:pPr>
      <w:r>
        <w:rPr>
          <w:rFonts w:hint="eastAsia" w:ascii="黑体" w:hAnsi="宋体" w:eastAsia="黑体" w:cs="黑体"/>
          <w:sz w:val="44"/>
          <w:szCs w:val="44"/>
          <w:highlight w:val="none"/>
        </w:rPr>
        <w:t xml:space="preserve"> 招标公告</w:t>
      </w:r>
      <w:r/>
    </w:p>
    <w:p>
      <w:pPr>
        <w:pStyle w:val="752"/>
        <w:numPr>
          <w:ilvl w:val="255"/>
          <w:numId w:val="0"/>
        </w:numPr>
        <w:jc w:val="both"/>
        <w:keepNext/>
        <w:spacing w:beforeAutospacing="0" w:afterAutospacing="0" w:line="200" w:lineRule="exact"/>
        <w:rPr>
          <w:rFonts w:ascii="黑体" w:hAnsi="宋体" w:eastAsia="黑体" w:cs="黑体"/>
          <w:sz w:val="44"/>
          <w:szCs w:val="44"/>
          <w:highlight w:val="none"/>
        </w:rPr>
      </w:pPr>
      <w:r>
        <w:rPr>
          <w:rFonts w:ascii="黑体" w:hAnsi="宋体" w:eastAsia="黑体" w:cs="黑体"/>
          <w:sz w:val="44"/>
          <w:szCs w:val="44"/>
          <w:highlight w:val="none"/>
        </w:rPr>
      </w:r>
      <w:r/>
    </w:p>
    <w:p>
      <w:pPr>
        <w:ind w:firstLine="482"/>
        <w:jc w:val="left"/>
        <w:spacing w:line="560" w:lineRule="exact"/>
        <w:widowControl/>
        <w:rPr>
          <w:rFonts w:ascii="宋体" w:hAnsi="宋体" w:eastAsia="宋体" w:cs="宋体"/>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highlight w:val="none"/>
        </w:rPr>
        <w:t xml:space="preserve">项目概况</w:t>
      </w:r>
      <w:r/>
    </w:p>
    <w:p>
      <w:pPr>
        <w:ind w:firstLine="482"/>
        <w:jc w:val="left"/>
        <w:spacing w:line="560" w:lineRule="exact"/>
        <w:widowControl/>
        <w:rPr>
          <w:rFonts w:ascii="宋体" w:hAnsi="宋体" w:eastAsia="宋体" w:cs="宋体"/>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highlight w:val="none"/>
        </w:rPr>
        <w:t xml:space="preserve">盐城体育运动学校新校区家具采购项目的潜在投标人应在“苏采云”系统内免费下载（投标人必须在苏采云系统中获取采购文件，方能参与政府采购项目），并于2025年12月3</w:t>
      </w:r>
      <w:bookmarkStart w:id="172" w:name="_GoBack"/>
      <w:r/>
      <w:bookmarkEnd w:id="172"/>
      <w:r>
        <w:rPr>
          <w:rFonts w:hint="eastAsia" w:ascii="宋体" w:hAnsi="宋体" w:eastAsia="宋体" w:cs="宋体"/>
          <w:sz w:val="24"/>
          <w:szCs w:val="20"/>
          <w:highlight w:val="none"/>
        </w:rPr>
        <w:t xml:space="preserve">日9点30分（北京时间）前递交投标文件。</w:t>
      </w:r>
      <w:bookmarkStart w:id="7" w:name="_Toc28359079"/>
      <w:r/>
      <w:bookmarkStart w:id="8" w:name="_Toc38985263"/>
      <w:r/>
      <w:bookmarkStart w:id="9" w:name="_Toc28359002"/>
      <w:r/>
      <w:bookmarkStart w:id="10" w:name="_Toc35393621"/>
      <w:r/>
      <w:bookmarkStart w:id="11" w:name="_Toc35393790"/>
      <w:r/>
      <w:bookmarkStart w:id="12" w:name="_Hlk24379207"/>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一、项目基本情况</w:t>
      </w:r>
      <w:bookmarkEnd w:id="7"/>
      <w:r/>
      <w:bookmarkEnd w:id="8"/>
      <w:r/>
      <w:bookmarkEnd w:id="9"/>
      <w:r/>
      <w:bookmarkEnd w:id="10"/>
      <w:r/>
      <w:bookmarkEnd w:id="11"/>
      <w:r/>
      <w:bookmarkEnd w:id="12"/>
      <w:r/>
      <w:r/>
    </w:p>
    <w:p>
      <w:pPr>
        <w:ind w:firstLine="482"/>
        <w:jc w:val="left"/>
        <w:spacing w:line="560" w:lineRule="exact"/>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rPr>
        <w:t xml:space="preserve">1.项目编号</w:t>
      </w:r>
      <w:r>
        <w:rPr>
          <w:rFonts w:hint="eastAsia" w:ascii="宋体" w:hAnsi="宋体" w:eastAsia="宋体" w:cs="宋体"/>
          <w:sz w:val="24"/>
          <w:szCs w:val="20"/>
          <w:highlight w:val="none"/>
          <w:shd w:val="clear" w:color="auto" w:fill="ffffff"/>
        </w:rPr>
        <w:t xml:space="preserve">：</w:t>
      </w:r>
      <w:r>
        <w:rPr>
          <w:rFonts w:hint="eastAsia" w:ascii="宋体" w:hAnsi="宋体" w:eastAsia="宋体" w:cs="宋体"/>
          <w:sz w:val="24"/>
          <w:szCs w:val="20"/>
          <w:highlight w:val="none"/>
        </w:rPr>
        <w:t xml:space="preserve">JSZC-320900-JZCG-G2025-0052</w:t>
      </w:r>
      <w:r>
        <w:rPr>
          <w:rFonts w:hint="eastAsia" w:ascii="宋体" w:hAnsi="宋体" w:eastAsia="宋体" w:cs="宋体"/>
          <w:sz w:val="24"/>
          <w:szCs w:val="20"/>
          <w:highlight w:val="none"/>
          <w:shd w:val="clear" w:color="auto" w:fill="ffffff"/>
        </w:rPr>
        <w:t xml:space="preserve"> </w:t>
      </w:r>
      <w:r/>
    </w:p>
    <w:p>
      <w:pPr>
        <w:ind w:firstLine="482"/>
        <w:jc w:val="left"/>
        <w:spacing w:line="560" w:lineRule="exact"/>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2.项目名称：盐城体育运动学校新校区家具采购项目</w:t>
      </w:r>
      <w:r/>
    </w:p>
    <w:p>
      <w:pPr>
        <w:ind w:firstLine="482"/>
        <w:jc w:val="left"/>
        <w:spacing w:line="560" w:lineRule="exact"/>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3.采购方式：公开招标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4.预算金额：180万元</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5.最高限价：180万元</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6.采购需求：盐城体育运动学校新校区家具采购，主要包括400套学生课桌椅、9套讲台、报告厅固定椅、阶梯教室桌椅、宿舍床、食堂桌椅等内容。（详细内容见本招标文件第四章采购需求）。</w:t>
      </w:r>
      <w:r/>
    </w:p>
    <w:p>
      <w:pPr>
        <w:ind w:firstLine="482"/>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7.合同履行期限：</w:t>
      </w:r>
      <w:r>
        <w:rPr>
          <w:rFonts w:hint="eastAsia" w:ascii="宋体" w:hAnsi="宋体"/>
          <w:sz w:val="24"/>
          <w:highlight w:val="none"/>
        </w:rPr>
        <w:t xml:space="preserve">合同签订后30日历天内完成供货及安装</w:t>
      </w:r>
      <w:r>
        <w:rPr>
          <w:rFonts w:hint="eastAsia" w:ascii="宋体" w:hAnsi="宋体" w:eastAsia="宋体" w:cs="宋体"/>
          <w:sz w:val="24"/>
          <w:szCs w:val="20"/>
          <w:highlight w:val="none"/>
        </w:rPr>
        <w:t xml:space="preserve">。</w:t>
      </w:r>
      <w:r/>
    </w:p>
    <w:p>
      <w:pPr>
        <w:ind w:firstLine="482"/>
        <w:jc w:val="left"/>
        <w:spacing w:line="560" w:lineRule="exact"/>
        <w:widowControl/>
        <w:rPr>
          <w:rFonts w:ascii="宋体" w:hAnsi="宋体" w:eastAsia="宋体" w:cs="宋体"/>
          <w:sz w:val="24"/>
          <w:szCs w:val="20"/>
          <w:highlight w:val="none"/>
        </w:rPr>
        <w:outlineLvl w:val="2"/>
      </w:pPr>
      <w:r>
        <w:rPr>
          <w:rFonts w:hint="eastAsia" w:ascii="宋体" w:hAnsi="宋体" w:eastAsia="宋体" w:cs="宋体"/>
          <w:sz w:val="24"/>
          <w:szCs w:val="20"/>
          <w:highlight w:val="none"/>
        </w:rPr>
        <w:t xml:space="preserve">8.本项目（是/否）接受联合体投标：否。</w:t>
      </w:r>
      <w:r/>
    </w:p>
    <w:p>
      <w:pPr>
        <w:ind w:firstLine="482"/>
        <w:jc w:val="left"/>
        <w:spacing w:line="560" w:lineRule="exact"/>
        <w:widowControl/>
        <w:rPr>
          <w:rFonts w:ascii="宋体" w:hAnsi="宋体" w:eastAsia="宋体" w:cs="宋体"/>
          <w:b/>
          <w:bCs/>
          <w:sz w:val="24"/>
          <w:szCs w:val="20"/>
          <w:highlight w:val="none"/>
        </w:rPr>
      </w:pPr>
      <w:r/>
      <w:bookmarkStart w:id="13" w:name="_Toc35393791"/>
      <w:r/>
      <w:bookmarkStart w:id="14" w:name="_Toc35393622"/>
      <w:r/>
      <w:bookmarkStart w:id="15" w:name="_Toc28359003"/>
      <w:r/>
      <w:bookmarkStart w:id="16" w:name="_Toc38985264"/>
      <w:r/>
      <w:bookmarkStart w:id="17" w:name="_Toc28359080"/>
      <w:r>
        <w:rPr>
          <w:rFonts w:hint="eastAsia" w:ascii="宋体" w:hAnsi="宋体" w:eastAsia="宋体" w:cs="宋体"/>
          <w:b/>
          <w:bCs/>
          <w:sz w:val="24"/>
          <w:szCs w:val="20"/>
          <w:highlight w:val="none"/>
        </w:rPr>
        <w:t xml:space="preserve">二、申请人的资格要求：</w:t>
      </w:r>
      <w:bookmarkEnd w:id="13"/>
      <w:r/>
      <w:bookmarkEnd w:id="14"/>
      <w:r/>
      <w:bookmarkEnd w:id="15"/>
      <w:r/>
      <w:bookmarkEnd w:id="16"/>
      <w:r/>
      <w:bookmarkEnd w:id="17"/>
      <w:r/>
      <w:r/>
    </w:p>
    <w:p>
      <w:pPr>
        <w:ind w:firstLine="482"/>
        <w:spacing w:line="560" w:lineRule="exact"/>
        <w:widowControl/>
        <w:rPr>
          <w:rFonts w:ascii="宋体" w:hAnsi="宋体" w:cs="宋体"/>
          <w:sz w:val="24"/>
          <w:szCs w:val="20"/>
          <w:highlight w:val="none"/>
        </w:rPr>
      </w:pPr>
      <w:r>
        <w:rPr>
          <w:rFonts w:hint="eastAsia" w:ascii="宋体" w:hAnsi="宋体" w:cs="宋体"/>
          <w:sz w:val="24"/>
          <w:szCs w:val="20"/>
          <w:highlight w:val="none"/>
        </w:rPr>
        <w:t xml:space="preserve">1.满足《中华人民共和国政府采购法》第二十二条规定，并提供下列材料：</w:t>
      </w:r>
      <w:r/>
    </w:p>
    <w:p>
      <w:pPr>
        <w:ind w:firstLine="482"/>
        <w:spacing w:line="560" w:lineRule="exact"/>
        <w:widowControl/>
        <w:rPr>
          <w:rFonts w:ascii="宋体" w:hAnsi="宋体" w:cs="宋体"/>
          <w:sz w:val="24"/>
          <w:szCs w:val="20"/>
          <w:highlight w:val="none"/>
        </w:rPr>
      </w:pPr>
      <w:r>
        <w:rPr>
          <w:rFonts w:hint="eastAsia" w:ascii="宋体" w:hAnsi="宋体" w:cs="宋体"/>
          <w:sz w:val="24"/>
          <w:szCs w:val="20"/>
          <w:highlight w:val="none"/>
        </w:rPr>
        <w:t xml:space="preserve">1.1法人或者其他组织的营业执照等证明文件，自然人的身份证明；</w:t>
      </w:r>
      <w:r/>
    </w:p>
    <w:p>
      <w:pPr>
        <w:ind w:firstLine="482"/>
        <w:spacing w:line="560" w:lineRule="exact"/>
        <w:widowControl/>
        <w:rPr>
          <w:rFonts w:ascii="宋体" w:hAnsi="宋体" w:cs="宋体"/>
          <w:sz w:val="24"/>
          <w:szCs w:val="20"/>
          <w:highlight w:val="none"/>
        </w:rPr>
      </w:pPr>
      <w:r>
        <w:rPr>
          <w:rFonts w:hint="eastAsia" w:ascii="宋体" w:hAnsi="宋体" w:cs="宋体"/>
          <w:sz w:val="24"/>
          <w:szCs w:val="20"/>
          <w:highlight w:val="none"/>
        </w:rPr>
        <w:t xml:space="preserve">1.2上一年度的财务状况报告（成立不满一年无需提供）；</w:t>
      </w:r>
      <w:r/>
    </w:p>
    <w:p>
      <w:pPr>
        <w:ind w:firstLine="482"/>
        <w:spacing w:line="560" w:lineRule="exact"/>
        <w:widowControl/>
        <w:rPr>
          <w:rFonts w:ascii="宋体" w:hAnsi="宋体" w:cs="宋体"/>
          <w:sz w:val="24"/>
          <w:szCs w:val="20"/>
          <w:highlight w:val="none"/>
        </w:rPr>
      </w:pPr>
      <w:r>
        <w:rPr>
          <w:rFonts w:hint="eastAsia" w:ascii="宋体" w:hAnsi="宋体" w:cs="宋体"/>
          <w:sz w:val="24"/>
          <w:szCs w:val="20"/>
          <w:highlight w:val="none"/>
        </w:rPr>
        <w:t xml:space="preserve">1.3具备履行合同所必需的设备和专业技术能力的书面声明；</w:t>
      </w:r>
      <w:r/>
    </w:p>
    <w:p>
      <w:pPr>
        <w:ind w:firstLine="482"/>
        <w:jc w:val="left"/>
        <w:spacing w:line="560" w:lineRule="exact"/>
        <w:widowControl/>
        <w:rPr>
          <w:rFonts w:ascii="宋体" w:hAnsi="宋体" w:cs="宋体"/>
          <w:sz w:val="24"/>
          <w:szCs w:val="20"/>
          <w:highlight w:val="none"/>
        </w:rPr>
      </w:pPr>
      <w:r>
        <w:rPr>
          <w:rFonts w:hint="eastAsia" w:ascii="宋体" w:hAnsi="宋体" w:cs="宋体"/>
          <w:sz w:val="24"/>
          <w:szCs w:val="20"/>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1.5参加政府采购活动前3年内在经营活动中没有重大违法记录的书面声明。</w:t>
      </w:r>
      <w:r/>
    </w:p>
    <w:p>
      <w:pPr>
        <w:ind w:firstLine="482"/>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1.6法律、行政法规规定的其他条件。</w:t>
      </w:r>
      <w:r/>
    </w:p>
    <w:p>
      <w:pPr>
        <w:ind w:firstLine="482"/>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1.8单位负责人为同一人或者存在直接控股、管理关系的不同供应商，不得参加同一合同项下的政府采购活动。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2.落实政府采购政策需满足的资格要求：</w:t>
      </w:r>
      <w:r>
        <w:rPr>
          <w:rFonts w:hint="eastAsia" w:ascii="宋体" w:hAnsi="宋体" w:eastAsia="宋体" w:cs="宋体"/>
          <w:b/>
          <w:bCs/>
          <w:sz w:val="24"/>
          <w:szCs w:val="20"/>
          <w:highlight w:val="none"/>
        </w:rPr>
        <w:t xml:space="preserve">本项目专门面向中小企业采购。采购标的的所属行业为</w:t>
      </w:r>
      <w:r>
        <w:rPr>
          <w:rFonts w:hint="eastAsia" w:ascii="宋体" w:hAnsi="宋体" w:eastAsia="宋体" w:cs="宋体"/>
          <w:b/>
          <w:bCs/>
          <w:sz w:val="24"/>
          <w:szCs w:val="20"/>
          <w:highlight w:val="none"/>
          <w:u w:val="single"/>
        </w:rPr>
        <w:t xml:space="preserve">工业</w:t>
      </w:r>
      <w:r>
        <w:rPr>
          <w:rFonts w:hint="eastAsia" w:ascii="宋体" w:hAnsi="宋体" w:eastAsia="宋体" w:cs="宋体"/>
          <w:b/>
          <w:bCs/>
          <w:sz w:val="24"/>
          <w:szCs w:val="20"/>
          <w:highlight w:val="none"/>
        </w:rPr>
        <w:t xml:space="preserve">，投标人需按照采购文件的要求提供相应的《中小企业声明函》。企业标准请参照《关于印发中小企业划型标准规定的通知》（工信部联企业[2011]300号）文件规定自行填写。</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3.本项目的特定资格要求：无</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三、获取招标文件</w:t>
      </w:r>
      <w:bookmarkStart w:id="18" w:name="_Toc28359018"/>
      <w:r/>
      <w:r/>
    </w:p>
    <w:p>
      <w:pPr>
        <w:ind w:firstLine="482"/>
        <w:keepLines/>
        <w:keepNex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时间：自招标文件公告发布之日起5个工作日</w:t>
      </w:r>
      <w:r/>
    </w:p>
    <w:p>
      <w:pPr>
        <w:ind w:firstLine="482"/>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地点：“苏采云”系统内免费下载（投标人必须在苏采云系统中获取采购文件，方能参与政府采购项目）</w:t>
      </w:r>
      <w:r/>
    </w:p>
    <w:p>
      <w:pPr>
        <w:ind w:firstLine="482"/>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方式：本项目采用网上注册登记方式</w:t>
      </w:r>
      <w:r/>
    </w:p>
    <w:p>
      <w:pPr>
        <w:ind w:firstLine="482"/>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售价：0.00元</w:t>
      </w:r>
      <w:r/>
    </w:p>
    <w:p>
      <w:pPr>
        <w:ind w:firstLine="482"/>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四、提交投标文件截止时间、开标时间和地点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1.时间：2025年12月3</w:t>
      </w:r>
      <w:r>
        <w:rPr>
          <w:rFonts w:hint="eastAsia" w:ascii="宋体" w:hAnsi="宋体" w:eastAsia="宋体" w:cs="宋体"/>
          <w:sz w:val="24"/>
          <w:szCs w:val="20"/>
          <w:highlight w:val="none"/>
        </w:rPr>
        <w:t xml:space="preserve">日9点30分（北京时间）</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2.地点：苏采云“不见面”开标大厅。</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五、公告期限</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自本公告发布之日起5个工作日。</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六、其他补充事宜</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2.潜在供应商访问电子招标响应交易平台的网络地址和方法： </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2.2 潜在投标人访问“苏采云”系统方法：江苏省政府采购网首页-“苏采云”链接。 </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2.3 采购文件（后缀名为“.kedt”）、供应商操作手册及政府采购客户端 工具可通过“苏采云”系统相应链接进行下载。 </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2.4 采购代理机构将数据电文形式的采购文件加载至“苏采云”系统，供潜在供应商下载或者查阅。 </w:t>
      </w:r>
      <w:r/>
    </w:p>
    <w:p>
      <w:pPr>
        <w:ind w:firstLine="482"/>
        <w:jc w:val="left"/>
        <w:spacing w:line="560" w:lineRule="exact"/>
        <w:shd w:val="clear" w:color="auto" w:fill="ffffff"/>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如潜在投标人未按上述要求操作，将自行承担所产生的风险。</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3.有关本次招标的事项若存在变动或修改，敬请及时关注盐城市政府采购中心在“</w:t>
      </w:r>
      <w:r>
        <w:rPr>
          <w:rFonts w:hint="eastAsia" w:ascii="宋体" w:hAnsi="宋体" w:eastAsia="宋体" w:cs="宋体"/>
          <w:sz w:val="24"/>
          <w:szCs w:val="20"/>
          <w:highlight w:val="none"/>
        </w:rPr>
        <w:t xml:space="preserve">中国政府采购网”</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shd w:val="clear" w:color="auto" w:fill="ffffff"/>
        </w:rPr>
        <w:t xml:space="preserve">江苏政府采购网”</w:t>
      </w:r>
      <w:r>
        <w:rPr>
          <w:rFonts w:hint="eastAsia" w:ascii="宋体" w:hAnsi="宋体" w:eastAsia="宋体" w:cs="宋体"/>
          <w:sz w:val="24"/>
          <w:szCs w:val="20"/>
          <w:highlight w:val="none"/>
          <w:shd w:val="clear" w:color="auto" w:fill="ffffff"/>
          <w:lang w:eastAsia="zh-CN"/>
        </w:rPr>
        <w:t xml:space="preserve">、</w:t>
      </w:r>
      <w:r>
        <w:rPr>
          <w:rFonts w:hint="eastAsia" w:ascii="宋体" w:hAnsi="宋体" w:eastAsia="宋体" w:cs="宋体"/>
          <w:sz w:val="24"/>
          <w:szCs w:val="20"/>
          <w:highlight w:val="none"/>
          <w:shd w:val="clear" w:color="auto" w:fill="ffffff"/>
        </w:rPr>
        <w:t xml:space="preserve">“盐城市政府采购网”发布的更正公告。</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4.本次招标不收取投标保证金，不收取质量保证金。</w:t>
      </w:r>
      <w:r/>
    </w:p>
    <w:p>
      <w:pPr>
        <w:ind w:firstLine="482"/>
        <w:jc w:val="left"/>
        <w:spacing w:line="560" w:lineRule="exact"/>
        <w:shd w:val="clear" w:color="auto" w:fill="ffffff"/>
        <w:widowControl/>
        <w:rPr>
          <w:rFonts w:ascii="宋体" w:hAnsi="宋体" w:eastAsia="宋体" w:cs="宋体"/>
          <w:b/>
          <w:bCs/>
          <w:sz w:val="24"/>
          <w:szCs w:val="20"/>
          <w:highlight w:val="none"/>
        </w:rPr>
      </w:pPr>
      <w:r>
        <w:rPr>
          <w:rFonts w:hint="eastAsia" w:ascii="宋体" w:hAnsi="宋体" w:eastAsia="宋体" w:cs="宋体"/>
          <w:b/>
          <w:bCs/>
          <w:sz w:val="24"/>
          <w:szCs w:val="20"/>
          <w:highlight w:val="none"/>
          <w:shd w:val="clear" w:color="auto" w:fill="ffffff"/>
        </w:rPr>
        <w:t xml:space="preserve">七、对本次招标提出询问，请按以下方式联系。</w:t>
      </w:r>
      <w:bookmarkEnd w:id="18"/>
      <w:r/>
      <w:r/>
    </w:p>
    <w:p>
      <w:pPr>
        <w:ind w:firstLine="482"/>
        <w:jc w:val="left"/>
        <w:spacing w:line="560" w:lineRule="exact"/>
        <w:shd w:val="clear" w:color="auto" w:fill="ffffff"/>
        <w:widowControl/>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 xml:space="preserve">1.采购人信息</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名    称：盐城体育运动学校</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地    址：盐城市大丰区丰华北路12号</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联 系 人：吴先生</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联系电话：18962088586</w:t>
      </w:r>
      <w:r/>
    </w:p>
    <w:p>
      <w:pPr>
        <w:ind w:firstLine="482"/>
        <w:jc w:val="left"/>
        <w:spacing w:line="560" w:lineRule="exact"/>
        <w:shd w:val="clear" w:color="auto" w:fill="ffffff"/>
        <w:widowControl/>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 xml:space="preserve">2.采购代理机构信息</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名 </w:t>
      </w:r>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shd w:val="clear" w:color="auto" w:fill="ffffff"/>
        </w:rPr>
        <w:t xml:space="preserve">称：盐城市政府采购中心</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地 </w:t>
      </w:r>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shd w:val="clear" w:color="auto" w:fill="ffffff"/>
        </w:rPr>
        <w:t xml:space="preserve">址：盐城市府西路1号市公共资源交易中心5楼</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联</w:t>
      </w:r>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shd w:val="clear" w:color="auto" w:fill="ffffff"/>
        </w:rPr>
        <w:t xml:space="preserve">系</w:t>
      </w:r>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shd w:val="clear" w:color="auto" w:fill="ffffff"/>
        </w:rPr>
        <w:t xml:space="preserve">人：</w:t>
      </w:r>
      <w:r>
        <w:rPr>
          <w:rFonts w:hint="eastAsia" w:ascii="宋体" w:hAnsi="宋体" w:eastAsia="宋体" w:cs="宋体"/>
          <w:sz w:val="24"/>
          <w:szCs w:val="20"/>
          <w:highlight w:val="none"/>
        </w:rPr>
        <w:t xml:space="preserve">顾</w:t>
      </w:r>
      <w:r>
        <w:rPr>
          <w:rFonts w:hint="eastAsia" w:ascii="宋体" w:hAnsi="宋体" w:eastAsia="宋体" w:cs="宋体"/>
          <w:sz w:val="24"/>
          <w:szCs w:val="20"/>
          <w:highlight w:val="none"/>
          <w:shd w:val="clear" w:color="auto" w:fill="ffffff"/>
        </w:rPr>
        <w:t xml:space="preserve">女士</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联系方式：0515-</w:t>
      </w:r>
      <w:r>
        <w:rPr>
          <w:rFonts w:hint="eastAsia" w:ascii="宋体" w:hAnsi="宋体" w:eastAsia="宋体" w:cs="宋体"/>
          <w:sz w:val="24"/>
          <w:szCs w:val="20"/>
          <w:highlight w:val="none"/>
        </w:rPr>
        <w:t xml:space="preserve">86665072</w:t>
      </w:r>
      <w:r/>
    </w:p>
    <w:p>
      <w:pPr>
        <w:ind w:firstLine="482"/>
        <w:jc w:val="left"/>
        <w:spacing w:line="560" w:lineRule="exact"/>
        <w:shd w:val="clear" w:color="auto" w:fill="ffffff"/>
        <w:widowControl/>
        <w:rPr>
          <w:rFonts w:ascii="宋体" w:hAnsi="宋体" w:eastAsia="宋体" w:cs="宋体"/>
          <w:b/>
          <w:bCs/>
          <w:sz w:val="24"/>
          <w:szCs w:val="20"/>
          <w:highlight w:val="none"/>
          <w:shd w:val="clear" w:color="auto" w:fill="ffffff"/>
        </w:rPr>
      </w:pPr>
      <w:r/>
      <w:bookmarkStart w:id="19" w:name="_Toc28359021"/>
      <w:r>
        <w:rPr>
          <w:rFonts w:hint="eastAsia" w:ascii="宋体" w:hAnsi="宋体" w:eastAsia="宋体" w:cs="宋体"/>
          <w:b/>
          <w:bCs/>
          <w:sz w:val="24"/>
          <w:szCs w:val="20"/>
          <w:highlight w:val="none"/>
          <w:shd w:val="clear" w:color="auto" w:fill="ffffff"/>
        </w:rPr>
        <w:t xml:space="preserve">3.</w:t>
      </w:r>
      <w:bookmarkEnd w:id="19"/>
      <w:r>
        <w:rPr>
          <w:rFonts w:hint="eastAsia" w:ascii="宋体" w:hAnsi="宋体" w:eastAsia="宋体" w:cs="宋体"/>
          <w:b/>
          <w:bCs/>
          <w:sz w:val="24"/>
          <w:szCs w:val="20"/>
          <w:highlight w:val="none"/>
          <w:shd w:val="clear" w:color="auto" w:fill="ffffff"/>
        </w:rPr>
        <w:t xml:space="preserve">项目联系方式</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项目联系人：</w:t>
      </w:r>
      <w:r>
        <w:rPr>
          <w:rFonts w:hint="eastAsia" w:ascii="宋体" w:hAnsi="宋体" w:eastAsia="宋体" w:cs="宋体"/>
          <w:sz w:val="24"/>
          <w:szCs w:val="20"/>
          <w:highlight w:val="none"/>
        </w:rPr>
        <w:t xml:space="preserve">顾</w:t>
      </w:r>
      <w:r>
        <w:rPr>
          <w:rFonts w:hint="eastAsia" w:ascii="宋体" w:hAnsi="宋体" w:eastAsia="宋体" w:cs="宋体"/>
          <w:sz w:val="24"/>
          <w:szCs w:val="20"/>
          <w:highlight w:val="none"/>
          <w:shd w:val="clear" w:color="auto" w:fill="ffffff"/>
        </w:rPr>
        <w:t xml:space="preserve">女士</w:t>
      </w:r>
      <w:r/>
    </w:p>
    <w:p>
      <w:pPr>
        <w:ind w:firstLine="482"/>
        <w:jc w:val="left"/>
        <w:spacing w:line="560" w:lineRule="exact"/>
        <w:shd w:val="clear" w:color="auto" w:fill="ffffff"/>
        <w:widowControl/>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电      话：</w:t>
      </w:r>
      <w:r>
        <w:rPr>
          <w:rFonts w:hint="eastAsia" w:ascii="宋体" w:hAnsi="宋体" w:eastAsia="宋体" w:cs="宋体"/>
          <w:sz w:val="24"/>
          <w:szCs w:val="20"/>
          <w:highlight w:val="none"/>
        </w:rPr>
        <w:t xml:space="preserve">0515-86665072</w:t>
      </w:r>
      <w:r/>
    </w:p>
    <w:p>
      <w:pPr>
        <w:pStyle w:val="752"/>
        <w:ind w:firstLine="200"/>
        <w:jc w:val="both"/>
        <w:spacing w:beforeAutospacing="0" w:afterAutospacing="0" w:line="500" w:lineRule="exact"/>
        <w:shd w:val="clear" w:color="auto" w:fill="ffffff"/>
        <w:widowControl/>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r>
      <w:r/>
    </w:p>
    <w:p>
      <w:pPr>
        <w:rPr>
          <w:highlight w:val="none"/>
        </w:rPr>
      </w:pPr>
      <w:r>
        <w:rPr>
          <w:highlight w:val="none"/>
        </w:rPr>
        <w:t xml:space="preserve"> </w:t>
      </w:r>
      <w:r/>
    </w:p>
    <w:p>
      <w:pPr>
        <w:rPr>
          <w:rFonts w:ascii="黑体" w:hAnsi="宋体" w:eastAsia="黑体" w:cs="黑体"/>
          <w:b/>
          <w:sz w:val="44"/>
          <w:szCs w:val="44"/>
          <w:highlight w:val="none"/>
        </w:rPr>
      </w:pPr>
      <w:r>
        <w:rPr>
          <w:rFonts w:hint="eastAsia" w:ascii="宋体" w:hAnsi="宋体" w:eastAsia="宋体" w:cs="宋体"/>
          <w:highlight w:val="none"/>
        </w:rPr>
        <w:br w:type="page" w:clear="all"/>
      </w:r>
      <w:bookmarkStart w:id="20" w:name="_Toc120614211"/>
      <w:r/>
      <w:r/>
    </w:p>
    <w:p>
      <w:pPr>
        <w:ind w:firstLine="482"/>
        <w:jc w:val="center"/>
        <w:keepLines/>
        <w:keepNext/>
        <w:spacing w:before="260" w:after="260" w:line="560" w:lineRule="exact"/>
        <w:rPr>
          <w:highlight w:val="none"/>
        </w:rPr>
      </w:pPr>
      <w:r>
        <w:rPr>
          <w:rFonts w:hint="eastAsia" w:ascii="黑体" w:hAnsi="宋体" w:eastAsia="黑体" w:cs="黑体"/>
          <w:bCs/>
          <w:sz w:val="44"/>
          <w:szCs w:val="44"/>
          <w:highlight w:val="none"/>
        </w:rPr>
        <w:t xml:space="preserve">第二章 </w:t>
      </w:r>
      <w:bookmarkEnd w:id="20"/>
      <w:r/>
      <w:bookmarkStart w:id="21" w:name="_Toc20823274"/>
      <w:r/>
      <w:bookmarkStart w:id="22" w:name="_Toc16938518"/>
      <w:r/>
      <w:bookmarkStart w:id="23" w:name="_Toc513029202"/>
      <w:r/>
      <w:bookmarkStart w:id="24" w:name="_Toc120614213"/>
      <w:r>
        <w:rPr>
          <w:rFonts w:hint="eastAsia" w:ascii="黑体" w:hAnsi="宋体" w:eastAsia="黑体" w:cs="黑体"/>
          <w:bCs/>
          <w:sz w:val="44"/>
          <w:szCs w:val="44"/>
          <w:highlight w:val="none"/>
        </w:rPr>
        <w:t xml:space="preserve">投标人须知</w:t>
      </w:r>
      <w:bookmarkEnd w:id="21"/>
      <w:r/>
      <w:bookmarkEnd w:id="22"/>
      <w:r/>
      <w:bookmarkEnd w:id="23"/>
      <w:r/>
      <w:bookmarkEnd w:id="24"/>
      <w:r/>
      <w:r/>
    </w:p>
    <w:p>
      <w:pPr>
        <w:pStyle w:val="752"/>
        <w:ind w:firstLine="482"/>
        <w:jc w:val="both"/>
        <w:keepLines/>
        <w:keepNext/>
        <w:spacing w:beforeAutospacing="0" w:afterAutospacing="0" w:line="480" w:lineRule="exact"/>
        <w:rPr>
          <w:rFonts w:ascii="宋体" w:hAnsi="宋体" w:eastAsia="宋体" w:cs="宋体"/>
          <w:highlight w:val="none"/>
        </w:rPr>
      </w:pPr>
      <w:r/>
      <w:bookmarkStart w:id="25" w:name="_Toc16938519"/>
      <w:r/>
      <w:bookmarkStart w:id="26" w:name="_Toc20823275"/>
      <w:r/>
      <w:bookmarkStart w:id="27" w:name="_Toc513029203"/>
      <w:r/>
      <w:bookmarkStart w:id="28" w:name="_Toc120614214"/>
      <w:r/>
      <w:bookmarkStart w:id="29" w:name="_Hlt26954846"/>
      <w:r/>
      <w:bookmarkStart w:id="30" w:name="_Toc513029226"/>
      <w:r/>
      <w:bookmarkStart w:id="31" w:name="_Hlt26668975"/>
      <w:r/>
      <w:bookmarkStart w:id="32" w:name="_Hlt26954739"/>
      <w:r/>
      <w:bookmarkStart w:id="33" w:name="_Hlt16619475"/>
      <w:r/>
      <w:bookmarkStart w:id="34" w:name="_Hlt26954848"/>
      <w:r/>
      <w:bookmarkStart w:id="35" w:name="_Hlt26954852"/>
      <w:r/>
      <w:bookmarkStart w:id="36" w:name="_Hlt26954838"/>
      <w:r/>
      <w:bookmarkStart w:id="37" w:name="_Hlt26954731"/>
      <w:r/>
      <w:bookmarkStart w:id="38" w:name="_Hlt26670482"/>
      <w:r/>
      <w:bookmarkStart w:id="39" w:name="_Hlt26670486"/>
      <w:r/>
      <w:bookmarkStart w:id="40" w:name="_Hlt26670360"/>
      <w:r>
        <w:rPr>
          <w:rFonts w:hint="eastAsia" w:ascii="宋体" w:hAnsi="宋体" w:eastAsia="宋体" w:cs="宋体"/>
          <w:b/>
          <w:highlight w:val="none"/>
        </w:rPr>
        <w:t xml:space="preserve">一、总则</w:t>
      </w:r>
      <w:bookmarkEnd w:id="25"/>
      <w:r/>
      <w:bookmarkEnd w:id="26"/>
      <w:r/>
      <w:bookmarkEnd w:id="27"/>
      <w:r/>
      <w:bookmarkEnd w:id="28"/>
      <w:r/>
      <w:r/>
    </w:p>
    <w:p>
      <w:pPr>
        <w:ind w:firstLine="482"/>
        <w:jc w:val="left"/>
        <w:keepLines/>
        <w:keepNext/>
        <w:spacing w:line="560" w:lineRule="exact"/>
        <w:widowControl/>
        <w:rPr>
          <w:rFonts w:ascii="宋体" w:hAnsi="宋体" w:eastAsia="宋体" w:cs="宋体"/>
          <w:b/>
          <w:bCs/>
          <w:sz w:val="24"/>
          <w:szCs w:val="20"/>
          <w:highlight w:val="none"/>
        </w:rPr>
        <w:outlineLvl w:val="2"/>
      </w:pPr>
      <w:r/>
      <w:bookmarkStart w:id="41" w:name="_Toc20823276"/>
      <w:r/>
      <w:bookmarkStart w:id="42" w:name="_Toc513029204"/>
      <w:r/>
      <w:bookmarkStart w:id="43" w:name="_Toc16938520"/>
      <w:r/>
      <w:bookmarkStart w:id="44" w:name="_Toc458694821"/>
      <w:r/>
      <w:bookmarkStart w:id="45" w:name="OLE_LINK3"/>
      <w:r>
        <w:rPr>
          <w:rFonts w:hint="eastAsia" w:ascii="宋体" w:hAnsi="宋体" w:eastAsia="宋体" w:cs="宋体"/>
          <w:b/>
          <w:bCs/>
          <w:sz w:val="24"/>
          <w:szCs w:val="20"/>
          <w:highlight w:val="none"/>
        </w:rPr>
        <w:t xml:space="preserve">1</w:t>
      </w:r>
      <w:bookmarkEnd w:id="41"/>
      <w:r>
        <w:rPr>
          <w:rFonts w:hint="eastAsia" w:ascii="宋体" w:hAnsi="宋体" w:eastAsia="宋体" w:cs="宋体"/>
          <w:b/>
          <w:bCs/>
          <w:sz w:val="24"/>
          <w:szCs w:val="20"/>
          <w:highlight w:val="none"/>
        </w:rPr>
        <w:t xml:space="preserve">、招标方式</w:t>
      </w:r>
      <w:bookmarkEnd w:id="42"/>
      <w:r/>
      <w:bookmarkEnd w:id="43"/>
      <w:r/>
      <w:bookmarkEnd w:id="44"/>
      <w:r/>
      <w:r/>
    </w:p>
    <w:p>
      <w:pPr>
        <w:ind w:firstLine="482"/>
        <w:jc w:val="left"/>
        <w:spacing w:line="560" w:lineRule="exact"/>
        <w:rPr>
          <w:rFonts w:ascii="宋体" w:hAnsi="宋体" w:eastAsia="宋体" w:cs="宋体"/>
          <w:sz w:val="24"/>
          <w:szCs w:val="20"/>
          <w:highlight w:val="none"/>
        </w:rPr>
      </w:pPr>
      <w:r>
        <w:rPr>
          <w:rFonts w:hint="eastAsia" w:ascii="宋体" w:hAnsi="宋体" w:eastAsia="宋体" w:cs="宋体"/>
          <w:sz w:val="24"/>
          <w:szCs w:val="20"/>
          <w:highlight w:val="none"/>
        </w:rPr>
        <w:t xml:space="preserve">1.1 本次招标采取公开招标方式，本招标文件仅适用于招标公告中所述项目。</w:t>
      </w:r>
      <w:r/>
    </w:p>
    <w:p>
      <w:pPr>
        <w:ind w:firstLine="482"/>
        <w:jc w:val="left"/>
        <w:keepLines/>
        <w:keepNext/>
        <w:spacing w:line="560" w:lineRule="exact"/>
        <w:widowControl/>
        <w:rPr>
          <w:rFonts w:ascii="宋体" w:hAnsi="宋体" w:eastAsia="宋体" w:cs="宋体"/>
          <w:b/>
          <w:bCs/>
          <w:sz w:val="24"/>
          <w:szCs w:val="20"/>
          <w:highlight w:val="none"/>
        </w:rPr>
        <w:outlineLvl w:val="2"/>
      </w:pPr>
      <w:r/>
      <w:bookmarkStart w:id="46" w:name="_Toc513029205"/>
      <w:r/>
      <w:bookmarkStart w:id="47" w:name="_Toc16938521"/>
      <w:r/>
      <w:bookmarkStart w:id="48" w:name="_Toc20823277"/>
      <w:r>
        <w:rPr>
          <w:rFonts w:hint="eastAsia" w:ascii="宋体" w:hAnsi="宋体" w:eastAsia="宋体" w:cs="宋体"/>
          <w:b/>
          <w:bCs/>
          <w:sz w:val="24"/>
          <w:szCs w:val="20"/>
          <w:highlight w:val="none"/>
        </w:rPr>
        <w:t xml:space="preserve">2、合格的投标人</w:t>
      </w:r>
      <w:bookmarkEnd w:id="46"/>
      <w:r/>
      <w:bookmarkEnd w:id="47"/>
      <w:r/>
      <w:bookmarkEnd w:id="48"/>
      <w:r/>
      <w:r/>
    </w:p>
    <w:p>
      <w:pPr>
        <w:ind w:firstLine="482"/>
        <w:jc w:val="left"/>
        <w:spacing w:line="560" w:lineRule="exact"/>
        <w:rPr>
          <w:rFonts w:ascii="宋体" w:hAnsi="宋体" w:eastAsia="宋体" w:cs="宋体"/>
          <w:sz w:val="24"/>
          <w:szCs w:val="20"/>
          <w:highlight w:val="none"/>
        </w:rPr>
      </w:pPr>
      <w:r>
        <w:rPr>
          <w:rFonts w:hint="eastAsia" w:ascii="宋体" w:hAnsi="宋体" w:eastAsia="宋体" w:cs="宋体"/>
          <w:sz w:val="24"/>
          <w:szCs w:val="20"/>
          <w:highlight w:val="none"/>
        </w:rPr>
        <w:t xml:space="preserve">2.1 满足招标公告中供应商的资格要求的规定。</w:t>
      </w:r>
      <w:r/>
    </w:p>
    <w:p>
      <w:pPr>
        <w:ind w:firstLine="482"/>
        <w:jc w:val="left"/>
        <w:spacing w:line="560" w:lineRule="exact"/>
        <w:rPr>
          <w:rFonts w:ascii="宋体" w:hAnsi="宋体" w:eastAsia="宋体" w:cs="宋体"/>
          <w:sz w:val="24"/>
          <w:szCs w:val="20"/>
          <w:highlight w:val="none"/>
        </w:rPr>
      </w:pPr>
      <w:r>
        <w:rPr>
          <w:rFonts w:hint="eastAsia" w:ascii="宋体" w:hAnsi="宋体" w:eastAsia="宋体" w:cs="宋体"/>
          <w:sz w:val="24"/>
          <w:szCs w:val="20"/>
          <w:highlight w:val="none"/>
        </w:rPr>
        <w:t xml:space="preserve">2.2 满足本文件实质性要求和条件的规定。</w:t>
      </w:r>
      <w:r/>
    </w:p>
    <w:p>
      <w:pPr>
        <w:ind w:firstLine="482"/>
        <w:jc w:val="left"/>
        <w:keepLines/>
        <w:keepNext/>
        <w:spacing w:line="560" w:lineRule="exact"/>
        <w:widowControl/>
        <w:rPr>
          <w:rFonts w:ascii="宋体" w:hAnsi="宋体" w:eastAsia="宋体" w:cs="宋体"/>
          <w:b/>
          <w:bCs/>
          <w:sz w:val="24"/>
          <w:szCs w:val="20"/>
          <w:highlight w:val="none"/>
        </w:rPr>
        <w:outlineLvl w:val="2"/>
      </w:pPr>
      <w:r/>
      <w:bookmarkStart w:id="49" w:name="_Toc16938522"/>
      <w:r/>
      <w:bookmarkStart w:id="50" w:name="_Toc513029206"/>
      <w:r/>
      <w:bookmarkStart w:id="51" w:name="_Toc20823278"/>
      <w:r>
        <w:rPr>
          <w:rFonts w:hint="eastAsia" w:ascii="宋体" w:hAnsi="宋体" w:eastAsia="宋体" w:cs="宋体"/>
          <w:b/>
          <w:bCs/>
          <w:sz w:val="24"/>
          <w:szCs w:val="20"/>
          <w:highlight w:val="none"/>
        </w:rPr>
        <w:t xml:space="preserve">3、适用法律</w:t>
      </w:r>
      <w:bookmarkEnd w:id="49"/>
      <w:r/>
      <w:bookmarkEnd w:id="50"/>
      <w:r/>
      <w:bookmarkEnd w:id="51"/>
      <w:r/>
      <w:r/>
    </w:p>
    <w:p>
      <w:pPr>
        <w:ind w:firstLine="482"/>
        <w:jc w:val="left"/>
        <w:spacing w:line="560" w:lineRule="exact"/>
        <w:rPr>
          <w:rFonts w:ascii="宋体" w:hAnsi="宋体" w:eastAsia="宋体" w:cs="宋体"/>
          <w:sz w:val="24"/>
          <w:szCs w:val="20"/>
          <w:highlight w:val="none"/>
        </w:rPr>
      </w:pPr>
      <w:r>
        <w:rPr>
          <w:rFonts w:hint="eastAsia" w:ascii="宋体" w:hAnsi="宋体" w:eastAsia="宋体" w:cs="宋体"/>
          <w:sz w:val="24"/>
          <w:szCs w:val="20"/>
          <w:highlight w:val="none"/>
        </w:rPr>
        <w:t xml:space="preserve">3.1 本次招标及由此产生的合同受中华人民共和国有关的法律法规制约和保护。</w:t>
      </w:r>
      <w:r/>
    </w:p>
    <w:p>
      <w:pPr>
        <w:ind w:firstLine="482"/>
        <w:jc w:val="left"/>
        <w:keepLines/>
        <w:keepNext/>
        <w:spacing w:line="560" w:lineRule="exact"/>
        <w:widowControl/>
        <w:rPr>
          <w:rFonts w:ascii="宋体" w:hAnsi="宋体" w:eastAsia="宋体" w:cs="宋体"/>
          <w:b/>
          <w:bCs/>
          <w:sz w:val="24"/>
          <w:szCs w:val="20"/>
          <w:highlight w:val="none"/>
        </w:rPr>
        <w:outlineLvl w:val="2"/>
      </w:pPr>
      <w:r/>
      <w:bookmarkStart w:id="52" w:name="_Toc20823279"/>
      <w:r/>
      <w:bookmarkStart w:id="53" w:name="_Toc462564067"/>
      <w:r/>
      <w:bookmarkStart w:id="54" w:name="_Toc513029207"/>
      <w:r/>
      <w:bookmarkStart w:id="55" w:name="_Toc16938523"/>
      <w:r>
        <w:rPr>
          <w:rFonts w:hint="eastAsia" w:ascii="宋体" w:hAnsi="宋体" w:eastAsia="宋体" w:cs="宋体"/>
          <w:b/>
          <w:bCs/>
          <w:sz w:val="24"/>
          <w:szCs w:val="20"/>
          <w:highlight w:val="none"/>
        </w:rPr>
        <w:t xml:space="preserve">4、投标费用</w:t>
      </w:r>
      <w:bookmarkEnd w:id="52"/>
      <w:r/>
      <w:bookmarkEnd w:id="53"/>
      <w:r/>
      <w:bookmarkEnd w:id="54"/>
      <w:r/>
      <w:bookmarkEnd w:id="55"/>
      <w:r/>
      <w:r/>
    </w:p>
    <w:p>
      <w:pPr>
        <w:ind w:firstLine="482"/>
        <w:jc w:val="left"/>
        <w:spacing w:line="560" w:lineRule="exact"/>
        <w:rPr>
          <w:rFonts w:ascii="宋体" w:hAnsi="宋体" w:eastAsia="宋体" w:cs="宋体"/>
          <w:sz w:val="24"/>
          <w:szCs w:val="20"/>
          <w:highlight w:val="none"/>
        </w:rPr>
      </w:pPr>
      <w:r>
        <w:rPr>
          <w:rFonts w:hint="eastAsia" w:ascii="宋体" w:hAnsi="宋体" w:eastAsia="宋体" w:cs="宋体"/>
          <w:sz w:val="24"/>
          <w:szCs w:val="20"/>
          <w:highlight w:val="none"/>
        </w:rPr>
        <w:t xml:space="preserve">4.1 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eastAsia="宋体" w:cs="宋体"/>
          <w:sz w:val="24"/>
          <w:szCs w:val="20"/>
          <w:highlight w:val="none"/>
        </w:rPr>
      </w:pPr>
      <w:r>
        <w:rPr>
          <w:rFonts w:hint="eastAsia" w:ascii="宋体" w:hAnsi="宋体" w:eastAsia="宋体" w:cs="宋体"/>
          <w:sz w:val="24"/>
          <w:szCs w:val="20"/>
          <w:highlight w:val="none"/>
        </w:rPr>
        <w:t xml:space="preserve">4.2本次招标采购中心和采购人不收取标书工本费与中标服务费。</w:t>
      </w:r>
      <w:r/>
    </w:p>
    <w:p>
      <w:pPr>
        <w:ind w:firstLine="482"/>
        <w:jc w:val="left"/>
        <w:keepLines/>
        <w:keepNext/>
        <w:spacing w:line="560" w:lineRule="exact"/>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5、招标文件的约束力</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5.1 投标人一旦参加本项目采购活动，即被认为接受了本招标文件的规定和约束。</w:t>
      </w:r>
      <w:r/>
    </w:p>
    <w:p>
      <w:pPr>
        <w:ind w:firstLine="482"/>
        <w:jc w:val="left"/>
        <w:keepLines/>
        <w:keepNext/>
        <w:spacing w:line="560" w:lineRule="exact"/>
        <w:widowControl/>
        <w:rPr>
          <w:rFonts w:ascii="宋体" w:hAnsi="宋体" w:eastAsia="宋体" w:cs="宋体"/>
          <w:b/>
          <w:bCs/>
          <w:sz w:val="24"/>
          <w:szCs w:val="20"/>
          <w:highlight w:val="none"/>
        </w:rPr>
      </w:pPr>
      <w:r/>
      <w:bookmarkStart w:id="56" w:name="_Toc16938525"/>
      <w:r/>
      <w:bookmarkStart w:id="57" w:name="_Toc120614215"/>
      <w:r/>
      <w:bookmarkStart w:id="58" w:name="_Toc513029209"/>
      <w:r/>
      <w:bookmarkStart w:id="59" w:name="_Toc20823281"/>
      <w:r>
        <w:rPr>
          <w:rFonts w:hint="eastAsia" w:ascii="宋体" w:hAnsi="宋体" w:eastAsia="宋体" w:cs="宋体"/>
          <w:b/>
          <w:bCs/>
          <w:sz w:val="24"/>
          <w:szCs w:val="20"/>
          <w:highlight w:val="none"/>
        </w:rPr>
        <w:t xml:space="preserve">二、招标文件</w:t>
      </w:r>
      <w:bookmarkEnd w:id="56"/>
      <w:r/>
      <w:bookmarkEnd w:id="57"/>
      <w:r/>
      <w:bookmarkEnd w:id="58"/>
      <w:r/>
      <w:bookmarkEnd w:id="59"/>
      <w:r/>
      <w:r/>
    </w:p>
    <w:p>
      <w:pPr>
        <w:ind w:firstLine="482"/>
        <w:jc w:val="left"/>
        <w:keepLines/>
        <w:keepNext/>
        <w:spacing w:line="560" w:lineRule="exact"/>
        <w:widowControl/>
        <w:rPr>
          <w:rFonts w:ascii="宋体" w:hAnsi="宋体" w:eastAsia="宋体" w:cs="宋体"/>
          <w:b/>
          <w:bCs/>
          <w:sz w:val="24"/>
          <w:szCs w:val="20"/>
          <w:highlight w:val="none"/>
        </w:rPr>
      </w:pPr>
      <w:r/>
      <w:bookmarkStart w:id="60" w:name="_Toc513029210"/>
      <w:r/>
      <w:bookmarkStart w:id="61" w:name="_Toc20823282"/>
      <w:r/>
      <w:bookmarkStart w:id="62" w:name="_Toc16938526"/>
      <w:r>
        <w:rPr>
          <w:rFonts w:hint="eastAsia" w:ascii="宋体" w:hAnsi="宋体" w:eastAsia="宋体" w:cs="宋体"/>
          <w:b/>
          <w:bCs/>
          <w:sz w:val="24"/>
          <w:szCs w:val="20"/>
          <w:highlight w:val="none"/>
        </w:rPr>
        <w:t xml:space="preserve">6、招标文件构成</w:t>
      </w:r>
      <w:bookmarkEnd w:id="60"/>
      <w:r/>
      <w:bookmarkEnd w:id="61"/>
      <w:r/>
      <w:bookmarkEnd w:id="62"/>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6.1 招标文件由以下部分组成：</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（1）招标公告</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（2）投标人须知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（3）合同文本</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（4）采购需求</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（5）评标方法与评标标准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（6）投标文件格式</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请仔细检查招标文件是否齐全，如有缺漏请立即与采购中心联系解决。</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keepLines/>
        <w:keepNext/>
        <w:spacing w:line="560" w:lineRule="exact"/>
        <w:widowControl/>
        <w:rPr>
          <w:rFonts w:ascii="宋体" w:hAnsi="宋体" w:eastAsia="宋体" w:cs="宋体"/>
          <w:b/>
          <w:bCs/>
          <w:sz w:val="24"/>
          <w:szCs w:val="20"/>
          <w:highlight w:val="none"/>
        </w:rPr>
      </w:pPr>
      <w:r/>
      <w:bookmarkStart w:id="63" w:name="_Toc462564070"/>
      <w:r/>
      <w:bookmarkStart w:id="64" w:name="_Toc16938527"/>
      <w:r/>
      <w:bookmarkStart w:id="65" w:name="_Toc20823283"/>
      <w:r/>
      <w:bookmarkStart w:id="66" w:name="_Toc513029211"/>
      <w:r>
        <w:rPr>
          <w:rFonts w:hint="eastAsia" w:ascii="宋体" w:hAnsi="宋体" w:eastAsia="宋体" w:cs="宋体"/>
          <w:b/>
          <w:bCs/>
          <w:sz w:val="24"/>
          <w:szCs w:val="20"/>
          <w:highlight w:val="none"/>
        </w:rPr>
        <w:t xml:space="preserve">7、招标文件的澄清</w:t>
      </w:r>
      <w:bookmarkEnd w:id="63"/>
      <w:r/>
      <w:bookmarkEnd w:id="64"/>
      <w:r/>
      <w:bookmarkEnd w:id="65"/>
      <w:r/>
      <w:bookmarkEnd w:id="66"/>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7.1 任何要求对招标文件进行澄清的投标人，应在投标截止期</w:t>
      </w:r>
      <w:r>
        <w:rPr>
          <w:rFonts w:hint="eastAsia" w:ascii="宋体" w:hAnsi="宋体" w:eastAsia="宋体" w:cs="宋体"/>
          <w:b/>
          <w:bCs/>
          <w:sz w:val="24"/>
          <w:szCs w:val="20"/>
          <w:highlight w:val="none"/>
        </w:rPr>
        <w:t xml:space="preserve">十日</w:t>
      </w:r>
      <w:r>
        <w:rPr>
          <w:rFonts w:hint="eastAsia" w:ascii="宋体" w:hAnsi="宋体" w:eastAsia="宋体" w:cs="宋体"/>
          <w:sz w:val="24"/>
          <w:szCs w:val="20"/>
          <w:highlight w:val="none"/>
        </w:rPr>
        <w:t xml:space="preserve">前按招标公告中的通讯地址，以书面形式通知采购中心。</w:t>
      </w:r>
      <w:r/>
    </w:p>
    <w:p>
      <w:pPr>
        <w:ind w:firstLine="482"/>
        <w:jc w:val="left"/>
        <w:keepLines/>
        <w:keepNext/>
        <w:spacing w:line="560" w:lineRule="exact"/>
        <w:widowControl/>
        <w:rPr>
          <w:rFonts w:ascii="宋体" w:hAnsi="宋体" w:eastAsia="宋体" w:cs="宋体"/>
          <w:b/>
          <w:bCs/>
          <w:sz w:val="24"/>
          <w:szCs w:val="20"/>
          <w:highlight w:val="none"/>
        </w:rPr>
      </w:pPr>
      <w:r/>
      <w:bookmarkStart w:id="67" w:name="_Toc513029212"/>
      <w:r/>
      <w:bookmarkStart w:id="68" w:name="_Toc462564071"/>
      <w:r/>
      <w:bookmarkStart w:id="69" w:name="_Toc16938528"/>
      <w:r/>
      <w:bookmarkStart w:id="70" w:name="_Toc20823284"/>
      <w:r>
        <w:rPr>
          <w:rFonts w:hint="eastAsia" w:ascii="宋体" w:hAnsi="宋体" w:eastAsia="宋体" w:cs="宋体"/>
          <w:b/>
          <w:bCs/>
          <w:sz w:val="24"/>
          <w:szCs w:val="20"/>
          <w:highlight w:val="none"/>
        </w:rPr>
        <w:t xml:space="preserve">8、招标文件的修改</w:t>
      </w:r>
      <w:bookmarkEnd w:id="67"/>
      <w:r/>
      <w:bookmarkEnd w:id="68"/>
      <w:r/>
      <w:bookmarkEnd w:id="69"/>
      <w:r/>
      <w:bookmarkEnd w:id="70"/>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8.1 在投标截止时间前，采购中心可以对招标文件进行修改。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8.2 采购中心有权按照法定的要求推迟投标截止日期和开标日期。</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8.3 招标文件的修改将在“中国政府采购网”、“江苏政府采购网”、“盐城市政府采购网”公布，补充文件将作为招标文件的组成部分，并对投标人具有约束力。</w:t>
      </w:r>
      <w:r/>
    </w:p>
    <w:p>
      <w:pPr>
        <w:ind w:firstLine="482"/>
        <w:jc w:val="left"/>
        <w:keepLines/>
        <w:keepNext/>
        <w:spacing w:line="560" w:lineRule="exact"/>
        <w:widowControl/>
        <w:rPr>
          <w:rFonts w:ascii="宋体" w:hAnsi="宋体" w:eastAsia="宋体" w:cs="宋体"/>
          <w:b/>
          <w:bCs/>
          <w:sz w:val="24"/>
          <w:szCs w:val="20"/>
          <w:highlight w:val="none"/>
        </w:rPr>
      </w:pPr>
      <w:r/>
      <w:bookmarkStart w:id="71" w:name="_Toc16938529"/>
      <w:r/>
      <w:bookmarkStart w:id="72" w:name="_Toc462564072"/>
      <w:r/>
      <w:bookmarkStart w:id="73" w:name="_Toc120614216"/>
      <w:r/>
      <w:bookmarkStart w:id="74" w:name="_Toc513029213"/>
      <w:r/>
      <w:bookmarkStart w:id="75" w:name="_Toc20823285"/>
      <w:r>
        <w:rPr>
          <w:rFonts w:hint="eastAsia" w:ascii="宋体" w:hAnsi="宋体" w:eastAsia="宋体" w:cs="宋体"/>
          <w:b/>
          <w:bCs/>
          <w:sz w:val="24"/>
          <w:szCs w:val="20"/>
          <w:highlight w:val="none"/>
        </w:rPr>
        <w:t xml:space="preserve">三、投标文件的编制</w:t>
      </w:r>
      <w:bookmarkEnd w:id="71"/>
      <w:r/>
      <w:bookmarkEnd w:id="72"/>
      <w:r/>
      <w:bookmarkEnd w:id="73"/>
      <w:r/>
      <w:bookmarkEnd w:id="74"/>
      <w:r/>
      <w:bookmarkEnd w:id="75"/>
      <w:r/>
      <w:r/>
    </w:p>
    <w:p>
      <w:pPr>
        <w:ind w:firstLine="482"/>
        <w:jc w:val="left"/>
        <w:keepLines/>
        <w:keepNext/>
        <w:spacing w:line="560" w:lineRule="exact"/>
        <w:widowControl/>
        <w:rPr>
          <w:rFonts w:ascii="宋体" w:hAnsi="宋体" w:eastAsia="宋体" w:cs="宋体"/>
          <w:b/>
          <w:bCs/>
          <w:sz w:val="24"/>
          <w:szCs w:val="20"/>
          <w:highlight w:val="none"/>
        </w:rPr>
      </w:pPr>
      <w:r/>
      <w:bookmarkStart w:id="76" w:name="_Toc462564073"/>
      <w:r/>
      <w:bookmarkStart w:id="77" w:name="_Toc16938530"/>
      <w:r/>
      <w:bookmarkStart w:id="78" w:name="_Toc20823286"/>
      <w:r/>
      <w:bookmarkStart w:id="79" w:name="_Toc513029214"/>
      <w:r>
        <w:rPr>
          <w:rFonts w:hint="eastAsia" w:ascii="宋体" w:hAnsi="宋体" w:eastAsia="宋体" w:cs="宋体"/>
          <w:b/>
          <w:bCs/>
          <w:sz w:val="24"/>
          <w:szCs w:val="20"/>
          <w:highlight w:val="none"/>
        </w:rPr>
        <w:t xml:space="preserve">9、投标文件的语言及度量衡单位</w:t>
      </w:r>
      <w:bookmarkEnd w:id="76"/>
      <w:r/>
      <w:bookmarkEnd w:id="77"/>
      <w:r/>
      <w:bookmarkEnd w:id="78"/>
      <w:r/>
      <w:bookmarkEnd w:id="79"/>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9.1 投标人提交的投标文件以及投标人与采购中心就有关投标的所有来往通知、函件和文件均应使用</w:t>
      </w:r>
      <w:r>
        <w:rPr>
          <w:rFonts w:hint="eastAsia" w:ascii="宋体" w:hAnsi="宋体" w:eastAsia="宋体" w:cs="宋体"/>
          <w:b/>
          <w:bCs/>
          <w:sz w:val="24"/>
          <w:szCs w:val="20"/>
          <w:highlight w:val="none"/>
        </w:rPr>
        <w:t xml:space="preserve">简体中文</w:t>
      </w:r>
      <w:r>
        <w:rPr>
          <w:rFonts w:hint="eastAsia" w:ascii="宋体" w:hAnsi="宋体" w:eastAsia="宋体" w:cs="宋体"/>
          <w:sz w:val="24"/>
          <w:szCs w:val="20"/>
          <w:highlight w:val="none"/>
        </w:rPr>
        <w:t xml:space="preserve">。</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9.2 除技术性能另有规定外，投标文件所使用的度量衡单位，均须采用国家法定计量单位。</w:t>
      </w:r>
      <w:r/>
    </w:p>
    <w:p>
      <w:pPr>
        <w:ind w:firstLine="482"/>
        <w:jc w:val="left"/>
        <w:keepLines/>
        <w:keepNext/>
        <w:spacing w:line="560" w:lineRule="exact"/>
        <w:widowControl/>
        <w:rPr>
          <w:rFonts w:ascii="宋体" w:hAnsi="宋体" w:eastAsia="宋体" w:cs="宋体"/>
          <w:b/>
          <w:bCs/>
          <w:sz w:val="24"/>
          <w:szCs w:val="20"/>
          <w:highlight w:val="none"/>
        </w:rPr>
      </w:pPr>
      <w:r/>
      <w:bookmarkStart w:id="80" w:name="_Toc20823287"/>
      <w:r/>
      <w:bookmarkStart w:id="81" w:name="_Toc16938531"/>
      <w:r/>
      <w:bookmarkStart w:id="82" w:name="_Toc462564074"/>
      <w:r/>
      <w:bookmarkStart w:id="83" w:name="_Toc513029215"/>
      <w:r>
        <w:rPr>
          <w:rFonts w:hint="eastAsia" w:ascii="宋体" w:hAnsi="宋体" w:eastAsia="宋体" w:cs="宋体"/>
          <w:b/>
          <w:bCs/>
          <w:sz w:val="24"/>
          <w:szCs w:val="20"/>
          <w:highlight w:val="none"/>
        </w:rPr>
        <w:t xml:space="preserve">10、投标文件构成</w:t>
      </w:r>
      <w:bookmarkEnd w:id="80"/>
      <w:r/>
      <w:bookmarkEnd w:id="81"/>
      <w:r/>
      <w:bookmarkEnd w:id="82"/>
      <w:r/>
      <w:bookmarkEnd w:id="83"/>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keepLines/>
        <w:keepNext/>
        <w:spacing w:line="560" w:lineRule="exact"/>
        <w:widowControl/>
        <w:rPr>
          <w:rFonts w:ascii="宋体" w:hAnsi="宋体" w:eastAsia="宋体" w:cs="宋体"/>
          <w:b/>
          <w:bCs/>
          <w:sz w:val="24"/>
          <w:szCs w:val="20"/>
          <w:highlight w:val="none"/>
        </w:rPr>
      </w:pPr>
      <w:r/>
      <w:bookmarkStart w:id="84" w:name="_Toc14577355"/>
      <w:r/>
      <w:bookmarkStart w:id="85" w:name="_Toc513029216"/>
      <w:r/>
      <w:bookmarkStart w:id="86" w:name="_Toc513029219"/>
      <w:r/>
      <w:bookmarkStart w:id="87" w:name="_Toc14577357"/>
      <w:r/>
      <w:bookmarkStart w:id="88" w:name="_Toc14577354"/>
      <w:r/>
      <w:bookmarkStart w:id="89" w:name="_Toc49090508"/>
      <w:r/>
      <w:bookmarkStart w:id="90" w:name="_Toc49090509"/>
      <w:r/>
      <w:bookmarkStart w:id="91" w:name="_Toc49090507"/>
      <w:r>
        <w:rPr>
          <w:rFonts w:hint="eastAsia" w:ascii="宋体" w:hAnsi="宋体" w:eastAsia="宋体" w:cs="宋体"/>
          <w:b/>
          <w:bCs/>
          <w:sz w:val="24"/>
          <w:szCs w:val="20"/>
          <w:highlight w:val="none"/>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11.1投标人应按照招标文件要求提交证明文件，证明其及投标标的符合招标文件规定。</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11.2招标文件对证明文件无明确形式要求的，证明文件可以以文字资料、图纸和数据等形式提交。</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12、投标分项报价表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12.1投标人应按照招标文件规定格式填报投标分项报价表。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12.2投标货币。投标文件中的单价和总价无特殊规定的采用人民币报价，以元为单位标注。招标文件中另有规定的按规定执行。</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13、技术要求响应及偏离表、商务要求响应及偏离表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13.1投标人需对招标文件中的技术要求与商务要求逐项作出响应或偏离，并说明原因。</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13.2 投标人可在投标文件中提供认为需要的其他技术文件或说明。</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14、服务承诺、培训计划、人员安排及其他</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14.1 投标人需根据招标文件要求提供有关售后服务的管理制度，售后服务机构的分布情况，售后服务人员的数量、素质、技术水平及售后服务的反应能力等。</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14.2 投标人需根据招标文件要求提供培训计划。</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14.3投标人需根据招标文件要求提供所投标的的主要组成部分、功能设计、实现思路及关键技术等。</w:t>
      </w:r>
      <w:r/>
    </w:p>
    <w:p>
      <w:pPr>
        <w:ind w:firstLine="482"/>
        <w:jc w:val="left"/>
        <w:keepLines/>
        <w:keepNext/>
        <w:spacing w:line="560" w:lineRule="exact"/>
        <w:widowControl/>
        <w:rPr>
          <w:rFonts w:ascii="宋体" w:hAnsi="宋体" w:eastAsia="宋体" w:cs="宋体"/>
          <w:b/>
          <w:bCs/>
          <w:sz w:val="24"/>
          <w:szCs w:val="20"/>
          <w:highlight w:val="none"/>
        </w:rPr>
      </w:pPr>
      <w:r/>
      <w:bookmarkStart w:id="92" w:name="_Toc49090510"/>
      <w:r/>
      <w:bookmarkStart w:id="93" w:name="_Toc14577359"/>
      <w:r>
        <w:rPr>
          <w:rFonts w:hint="eastAsia" w:ascii="宋体" w:hAnsi="宋体" w:eastAsia="宋体" w:cs="宋体"/>
          <w:b/>
          <w:bCs/>
          <w:sz w:val="24"/>
          <w:szCs w:val="20"/>
          <w:highlight w:val="none"/>
        </w:rPr>
        <w:t xml:space="preserve">15、投标函和开标一览表</w:t>
      </w:r>
      <w:bookmarkEnd w:id="92"/>
      <w:r/>
      <w:bookmarkEnd w:id="93"/>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15.1 投标人应按照招标文件中提供的格式完整、正确填写投标函、开标一览表。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2"/>
        <w:jc w:val="left"/>
        <w:keepLines/>
        <w:keepNext/>
        <w:spacing w:line="560" w:lineRule="exact"/>
        <w:widowControl/>
        <w:rPr>
          <w:rFonts w:ascii="宋体" w:hAnsi="宋体" w:eastAsia="宋体" w:cs="宋体"/>
          <w:b/>
          <w:bCs/>
          <w:sz w:val="24"/>
          <w:szCs w:val="20"/>
          <w:highlight w:val="none"/>
        </w:rPr>
      </w:pPr>
      <w:r/>
      <w:bookmarkStart w:id="94" w:name="_Toc49090511"/>
      <w:r/>
      <w:bookmarkStart w:id="95" w:name="_Toc14577360"/>
      <w:r>
        <w:rPr>
          <w:rFonts w:hint="eastAsia" w:ascii="宋体" w:hAnsi="宋体" w:eastAsia="宋体" w:cs="宋体"/>
          <w:b/>
          <w:bCs/>
          <w:sz w:val="24"/>
          <w:szCs w:val="20"/>
          <w:highlight w:val="none"/>
        </w:rPr>
        <w:t xml:space="preserve">16、投标有效期</w:t>
      </w:r>
      <w:bookmarkEnd w:id="94"/>
      <w:r/>
      <w:bookmarkEnd w:id="95"/>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16.1投标有效期为采购中心规定的开标之日后</w:t>
      </w:r>
      <w:r>
        <w:rPr>
          <w:rFonts w:hint="eastAsia" w:ascii="宋体" w:hAnsi="宋体" w:eastAsia="宋体" w:cs="宋体"/>
          <w:b/>
          <w:bCs/>
          <w:sz w:val="24"/>
          <w:szCs w:val="20"/>
          <w:highlight w:val="none"/>
          <w:u w:val="single"/>
        </w:rPr>
        <w:t xml:space="preserve">九十（90）天</w:t>
      </w:r>
      <w:r>
        <w:rPr>
          <w:rFonts w:hint="eastAsia" w:ascii="宋体" w:hAnsi="宋体" w:eastAsia="宋体" w:cs="宋体"/>
          <w:sz w:val="24"/>
          <w:szCs w:val="20"/>
          <w:highlight w:val="none"/>
        </w:rPr>
        <w:t xml:space="preserve">。投标有效期比规定短的将被视为未实质性响应招标文件而予以拒绝。</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17、投标有效期的延长</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2"/>
        <w:jc w:val="left"/>
        <w:spacing w:line="560" w:lineRule="exact"/>
        <w:widowControl/>
        <w:rPr>
          <w:rFonts w:ascii="宋体" w:hAnsi="宋体" w:eastAsia="宋体" w:cs="宋体"/>
          <w:b/>
          <w:bCs/>
          <w:sz w:val="24"/>
          <w:szCs w:val="20"/>
          <w:highlight w:val="none"/>
        </w:rPr>
      </w:pPr>
      <w:r/>
      <w:bookmarkStart w:id="96" w:name="_Toc513029224"/>
      <w:r/>
      <w:bookmarkStart w:id="97" w:name="_Toc16938540"/>
      <w:r/>
      <w:bookmarkStart w:id="98" w:name="_Toc20823296"/>
      <w:r/>
      <w:bookmarkStart w:id="99" w:name="_Toc120614217"/>
      <w:r>
        <w:rPr>
          <w:rFonts w:hint="eastAsia" w:ascii="宋体" w:hAnsi="宋体" w:eastAsia="宋体" w:cs="宋体"/>
          <w:b/>
          <w:bCs/>
          <w:sz w:val="24"/>
          <w:szCs w:val="20"/>
          <w:highlight w:val="none"/>
        </w:rPr>
        <w:t xml:space="preserve">四、投标文件的递交</w:t>
      </w:r>
      <w:bookmarkEnd w:id="96"/>
      <w:r/>
      <w:bookmarkEnd w:id="97"/>
      <w:r/>
      <w:bookmarkEnd w:id="98"/>
      <w:r/>
      <w:bookmarkEnd w:id="99"/>
      <w:r/>
      <w:r/>
    </w:p>
    <w:p>
      <w:pPr>
        <w:ind w:firstLine="482"/>
        <w:jc w:val="left"/>
        <w:spacing w:line="560" w:lineRule="exact"/>
        <w:widowControl/>
        <w:rPr>
          <w:rFonts w:ascii="宋体" w:hAnsi="宋体" w:eastAsia="宋体" w:cs="宋体"/>
          <w:b/>
          <w:bCs/>
          <w:sz w:val="24"/>
          <w:szCs w:val="20"/>
          <w:highlight w:val="none"/>
        </w:rPr>
      </w:pPr>
      <w:r/>
      <w:bookmarkStart w:id="100" w:name="_Toc20823297"/>
      <w:r/>
      <w:bookmarkStart w:id="101" w:name="_Toc513029225"/>
      <w:r/>
      <w:bookmarkStart w:id="102" w:name="_Toc462564084"/>
      <w:r/>
      <w:bookmarkStart w:id="103" w:name="_Toc16938541"/>
      <w:r>
        <w:rPr>
          <w:rFonts w:hint="eastAsia" w:ascii="宋体" w:hAnsi="宋体" w:eastAsia="宋体" w:cs="宋体"/>
          <w:b/>
          <w:bCs/>
          <w:sz w:val="24"/>
          <w:szCs w:val="20"/>
          <w:highlight w:val="none"/>
        </w:rPr>
        <w:t xml:space="preserve">18、电子投标文件</w:t>
      </w:r>
      <w:bookmarkEnd w:id="100"/>
      <w:r/>
      <w:bookmarkEnd w:id="101"/>
      <w:r/>
      <w:bookmarkEnd w:id="102"/>
      <w:r/>
      <w:bookmarkEnd w:id="103"/>
      <w:r>
        <w:rPr>
          <w:rFonts w:hint="eastAsia" w:ascii="宋体" w:hAnsi="宋体" w:eastAsia="宋体" w:cs="宋体"/>
          <w:b/>
          <w:bCs/>
          <w:sz w:val="24"/>
          <w:szCs w:val="20"/>
          <w:highlight w:val="none"/>
        </w:rPr>
        <w:t xml:space="preserve">的递交</w:t>
      </w:r>
      <w:r/>
    </w:p>
    <w:p>
      <w:pPr>
        <w:ind w:firstLine="480"/>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18.1投标人应当按照《操作手册》规定，在投标截止时间前制作并上传电子投标文件。</w:t>
      </w:r>
      <w:bookmarkStart w:id="104" w:name="_Toc20823298"/>
      <w:r/>
      <w:bookmarkEnd w:id="104"/>
      <w:r/>
      <w:bookmarkStart w:id="105" w:name="_Toc16938542"/>
      <w:r/>
      <w:bookmarkEnd w:id="105"/>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19、投标截止日期</w:t>
      </w:r>
      <w:r/>
    </w:p>
    <w:p>
      <w:pPr>
        <w:pStyle w:val="752"/>
        <w:ind w:firstLine="480"/>
        <w:jc w:val="both"/>
        <w:spacing w:beforeAutospacing="0" w:afterAutospacing="0" w:line="480" w:lineRule="exact"/>
        <w:rPr>
          <w:rFonts w:ascii="宋体" w:hAnsi="宋体" w:eastAsia="宋体" w:cs="宋体"/>
          <w:szCs w:val="20"/>
          <w:highlight w:val="none"/>
        </w:rPr>
      </w:pPr>
      <w:r>
        <w:rPr>
          <w:rFonts w:hint="eastAsia" w:ascii="宋体" w:hAnsi="宋体" w:eastAsia="宋体" w:cs="宋体"/>
          <w:i/>
          <w:highlight w:val="none"/>
          <w:u w:val="single"/>
        </w:rPr>
        <w:t xml:space="preserve">19.1 投标人上传电子投标文件的时间不得迟于招标公告中规定的投标截止时间</w:t>
      </w:r>
      <w:r>
        <w:rPr>
          <w:rFonts w:hint="eastAsia" w:ascii="宋体" w:hAnsi="宋体" w:eastAsia="宋体" w:cs="宋体"/>
          <w:i/>
          <w:highlight w:val="none"/>
        </w:rPr>
        <w:t xml:space="preserve">。</w:t>
      </w:r>
      <w:r/>
    </w:p>
    <w:p>
      <w:pPr>
        <w:pStyle w:val="752"/>
        <w:ind w:firstLine="480"/>
        <w:jc w:val="both"/>
        <w:spacing w:beforeAutospacing="0" w:afterAutospacing="0" w:line="480" w:lineRule="exact"/>
        <w:rPr>
          <w:rFonts w:ascii="宋体" w:hAnsi="宋体" w:eastAsia="宋体" w:cs="宋体"/>
          <w:szCs w:val="20"/>
          <w:highlight w:val="none"/>
        </w:rPr>
      </w:pPr>
      <w:r>
        <w:rPr>
          <w:rFonts w:hint="eastAsia" w:ascii="宋体" w:hAnsi="宋体" w:eastAsia="宋体" w:cs="宋体"/>
          <w:szCs w:val="20"/>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19.2 采购中心可以按照规定，通过修改招标文件酌情延长投标截止日期，在此情况下，投标人的所有权利和义务以及投标人受制的截止日期均应以延长后新的截止日期为准。</w:t>
      </w:r>
      <w:r/>
    </w:p>
    <w:p>
      <w:pPr>
        <w:ind w:firstLine="482"/>
        <w:jc w:val="left"/>
        <w:keepLines/>
        <w:keepNext/>
        <w:spacing w:line="560" w:lineRule="exact"/>
        <w:widowControl/>
        <w:rPr>
          <w:rFonts w:ascii="宋体" w:hAnsi="宋体" w:eastAsia="宋体" w:cs="宋体"/>
          <w:b/>
          <w:bCs/>
          <w:sz w:val="24"/>
          <w:szCs w:val="20"/>
          <w:highlight w:val="none"/>
        </w:rPr>
      </w:pPr>
      <w:r/>
      <w:bookmarkStart w:id="106" w:name="_Toc16938543"/>
      <w:r/>
      <w:bookmarkStart w:id="107" w:name="_Toc20823299"/>
      <w:r/>
      <w:bookmarkStart w:id="108" w:name="_Toc513029227"/>
      <w:r>
        <w:rPr>
          <w:rFonts w:hint="eastAsia" w:ascii="宋体" w:hAnsi="宋体" w:eastAsia="宋体" w:cs="宋体"/>
          <w:b/>
          <w:bCs/>
          <w:sz w:val="24"/>
          <w:szCs w:val="20"/>
          <w:highlight w:val="none"/>
        </w:rPr>
        <w:t xml:space="preserve">20、投标文件</w:t>
      </w:r>
      <w:bookmarkEnd w:id="106"/>
      <w:r/>
      <w:bookmarkEnd w:id="107"/>
      <w:r/>
      <w:bookmarkEnd w:id="108"/>
      <w:r>
        <w:rPr>
          <w:rFonts w:hint="eastAsia" w:ascii="宋体" w:hAnsi="宋体" w:eastAsia="宋体" w:cs="宋体"/>
          <w:b/>
          <w:bCs/>
          <w:sz w:val="24"/>
          <w:szCs w:val="20"/>
          <w:highlight w:val="none"/>
        </w:rPr>
        <w:t xml:space="preserve">的拒收</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20.1 采购中心拒绝接收在其规定的投标截止时间后上传的任何投标文件。</w:t>
      </w:r>
      <w:r/>
    </w:p>
    <w:p>
      <w:pPr>
        <w:ind w:firstLine="482"/>
        <w:jc w:val="left"/>
        <w:keepLines/>
        <w:keepNext/>
        <w:spacing w:line="560" w:lineRule="exact"/>
        <w:widowControl/>
        <w:rPr>
          <w:rFonts w:ascii="宋体" w:hAnsi="宋体" w:eastAsia="宋体" w:cs="宋体"/>
          <w:b/>
          <w:bCs/>
          <w:sz w:val="24"/>
          <w:szCs w:val="20"/>
          <w:highlight w:val="none"/>
        </w:rPr>
      </w:pPr>
      <w:r/>
      <w:bookmarkStart w:id="109" w:name="_Toc513029228"/>
      <w:r/>
      <w:bookmarkStart w:id="110" w:name="_Toc16938544"/>
      <w:r/>
      <w:bookmarkStart w:id="111" w:name="_Toc20823300"/>
      <w:r>
        <w:rPr>
          <w:rFonts w:hint="eastAsia" w:ascii="宋体" w:hAnsi="宋体" w:eastAsia="宋体" w:cs="宋体"/>
          <w:b/>
          <w:bCs/>
          <w:sz w:val="24"/>
          <w:szCs w:val="20"/>
          <w:highlight w:val="none"/>
        </w:rPr>
        <w:t xml:space="preserve">21、投标文件的撤回和修改</w:t>
      </w:r>
      <w:bookmarkEnd w:id="109"/>
      <w:r/>
      <w:bookmarkEnd w:id="110"/>
      <w:r/>
      <w:bookmarkEnd w:id="111"/>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21.1 投标文件的撤回</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21.1.1 电子投标文件的撤回</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投标人可在投标截止时间前，撤回其电子投标文件，具体操作方法见《操作手册》。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21.1.2 投标人撤回电子投标文件，则认为其不再参与本项目投标活动。</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21.2 投标文件的修改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21.2.1投标人可在投标截止时间前，对其电子投标文件进行修改，具体操作方法见《操作手册》。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21.2.2 在投标截止时间之后，投标人不得对其电子投标文件作任何修改。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21.3 在投标截止时间至招标文件中规定的投标有效期满之间的这段时间内，投标人不得撤回其投标。</w:t>
      </w:r>
      <w:r/>
    </w:p>
    <w:p>
      <w:pPr>
        <w:ind w:firstLine="482"/>
        <w:jc w:val="left"/>
        <w:spacing w:line="560" w:lineRule="exact"/>
        <w:widowControl/>
        <w:rPr>
          <w:rFonts w:ascii="宋体" w:hAnsi="宋体" w:eastAsia="宋体" w:cs="宋体"/>
          <w:b/>
          <w:bCs/>
          <w:sz w:val="24"/>
          <w:szCs w:val="20"/>
          <w:highlight w:val="none"/>
        </w:rPr>
      </w:pPr>
      <w:r/>
      <w:bookmarkStart w:id="112" w:name="_Toc513029229"/>
      <w:r/>
      <w:bookmarkStart w:id="113" w:name="_Toc20823301"/>
      <w:r/>
      <w:bookmarkStart w:id="114" w:name="_Toc16938545"/>
      <w:r/>
      <w:bookmarkStart w:id="115" w:name="_Toc120614218"/>
      <w:r>
        <w:rPr>
          <w:rFonts w:hint="eastAsia" w:ascii="宋体" w:hAnsi="宋体" w:eastAsia="宋体" w:cs="宋体"/>
          <w:b/>
          <w:bCs/>
          <w:sz w:val="24"/>
          <w:szCs w:val="20"/>
          <w:highlight w:val="none"/>
        </w:rPr>
        <w:t xml:space="preserve">五、开标与评标</w:t>
      </w:r>
      <w:bookmarkEnd w:id="112"/>
      <w:r/>
      <w:bookmarkEnd w:id="113"/>
      <w:r/>
      <w:bookmarkEnd w:id="114"/>
      <w:r/>
      <w:bookmarkEnd w:id="115"/>
      <w:r/>
      <w:r/>
    </w:p>
    <w:p>
      <w:pPr>
        <w:ind w:firstLine="482"/>
        <w:jc w:val="left"/>
        <w:spacing w:line="560" w:lineRule="exact"/>
        <w:widowControl/>
        <w:rPr>
          <w:rFonts w:ascii="宋体" w:hAnsi="宋体" w:eastAsia="宋体" w:cs="宋体"/>
          <w:b/>
          <w:bCs/>
          <w:sz w:val="24"/>
          <w:szCs w:val="20"/>
          <w:highlight w:val="none"/>
        </w:rPr>
      </w:pPr>
      <w:r/>
      <w:bookmarkStart w:id="116" w:name="_Toc20823302"/>
      <w:r/>
      <w:bookmarkStart w:id="117" w:name="_Toc513029230"/>
      <w:r/>
      <w:bookmarkStart w:id="118" w:name="_Toc16938546"/>
      <w:r>
        <w:rPr>
          <w:rFonts w:hint="eastAsia" w:ascii="宋体" w:hAnsi="宋体" w:eastAsia="宋体" w:cs="宋体"/>
          <w:b/>
          <w:bCs/>
          <w:sz w:val="24"/>
          <w:szCs w:val="20"/>
          <w:highlight w:val="none"/>
        </w:rPr>
        <w:t xml:space="preserve">22、开标</w:t>
      </w:r>
      <w:bookmarkEnd w:id="116"/>
      <w:r/>
      <w:bookmarkEnd w:id="117"/>
      <w:r/>
      <w:bookmarkEnd w:id="118"/>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22.1 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22.2 开标仪式由采购中心组织。苏采云系统将自动对项目进行开标，并宣布各投标人名称和投标价格。</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22.3投标人在开标过程中涉及到的投标文件解密、开标结果确认等工作，应按照《操作手册》规定执行。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22.4投标人如果对开标过程和开标记录有疑义，应当根据《操作手册》规定提出，如 苏采云系统中《开标记录表》宣布后5分钟内未提出的，视同认可开标结果。</w:t>
      </w:r>
      <w:r/>
    </w:p>
    <w:p>
      <w:pPr>
        <w:ind w:firstLine="482"/>
        <w:jc w:val="left"/>
        <w:keepLines/>
        <w:keepNext/>
        <w:spacing w:line="560" w:lineRule="exact"/>
        <w:widowControl/>
        <w:rPr>
          <w:rFonts w:ascii="宋体" w:hAnsi="宋体" w:eastAsia="宋体" w:cs="宋体"/>
          <w:b/>
          <w:bCs/>
          <w:sz w:val="24"/>
          <w:szCs w:val="20"/>
          <w:highlight w:val="none"/>
        </w:rPr>
      </w:pPr>
      <w:r/>
      <w:bookmarkStart w:id="119" w:name="_Toc513029231"/>
      <w:r/>
      <w:bookmarkStart w:id="120" w:name="_Toc16938547"/>
      <w:r/>
      <w:bookmarkStart w:id="121" w:name="_Toc20823303"/>
      <w:r>
        <w:rPr>
          <w:rFonts w:hint="eastAsia" w:ascii="宋体" w:hAnsi="宋体" w:eastAsia="宋体" w:cs="宋体"/>
          <w:b/>
          <w:bCs/>
          <w:sz w:val="24"/>
          <w:szCs w:val="20"/>
          <w:highlight w:val="none"/>
        </w:rPr>
        <w:t xml:space="preserve">23、评标委员会</w:t>
      </w:r>
      <w:bookmarkEnd w:id="119"/>
      <w:r/>
      <w:bookmarkEnd w:id="120"/>
      <w:r/>
      <w:bookmarkEnd w:id="121"/>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23.1开标后，采购中心将立即组织评标委员会（以下简称评委会）进行评标。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23.2 评委会由采购人代表和有关技术、经济等方面的专家组成，且人员构成符合政府采购有关规定。</w:t>
      </w:r>
      <w:r/>
    </w:p>
    <w:p>
      <w:pPr>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23.3评委会独立工作，负责评审所有投标文件并确定中标候选人。</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24、评标过程的保密与公正</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24.1凡是与审查、澄清、评价和比较投标的有关资料以及授标建议等，采购人、评委、采购中心均不得向投标人或与评标无关的其他人员透露。</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24.2在评标过程中，投标人不得以任何行为影响评标过程，否则其投标文件将被作为无效投标文件。</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24.3 采购中心和评标委员会不向未中标的投标人解释未中标原因，也不公布评标过程中的相关细节。</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24.4 采用综合评分法的项目，未中标的投标人可于中标结果公告期限届满之日起通过苏采云系统查看自己的评审得分及排序情况。</w:t>
      </w:r>
      <w:r/>
    </w:p>
    <w:p>
      <w:pPr>
        <w:ind w:firstLine="482"/>
        <w:jc w:val="left"/>
        <w:keepLines/>
        <w:keepNext/>
        <w:spacing w:line="560" w:lineRule="exact"/>
        <w:widowControl/>
        <w:rPr>
          <w:rFonts w:ascii="宋体" w:hAnsi="宋体" w:eastAsia="宋体" w:cs="宋体"/>
          <w:b/>
          <w:bCs/>
          <w:sz w:val="24"/>
          <w:szCs w:val="20"/>
          <w:highlight w:val="none"/>
        </w:rPr>
      </w:pPr>
      <w:r/>
      <w:bookmarkStart w:id="122" w:name="_Toc16938548"/>
      <w:r/>
      <w:bookmarkStart w:id="123" w:name="_Toc20823304"/>
      <w:r/>
      <w:bookmarkStart w:id="124" w:name="_Toc513029232"/>
      <w:r>
        <w:rPr>
          <w:rFonts w:hint="eastAsia" w:ascii="宋体" w:hAnsi="宋体" w:eastAsia="宋体" w:cs="宋体"/>
          <w:b/>
          <w:bCs/>
          <w:sz w:val="24"/>
          <w:szCs w:val="20"/>
          <w:highlight w:val="none"/>
        </w:rPr>
        <w:t xml:space="preserve">25、投标文件的澄清</w:t>
      </w:r>
      <w:bookmarkEnd w:id="122"/>
      <w:r/>
      <w:bookmarkEnd w:id="123"/>
      <w:r/>
      <w:bookmarkEnd w:id="124"/>
      <w:r/>
      <w:r/>
    </w:p>
    <w:p>
      <w:pPr>
        <w:ind w:firstLine="482"/>
        <w:jc w:val="left"/>
        <w:spacing w:line="560" w:lineRule="exact"/>
        <w:widowControl/>
        <w:rPr>
          <w:rFonts w:ascii="宋体" w:hAnsi="宋体" w:eastAsia="宋体" w:cs="宋体"/>
          <w:sz w:val="24"/>
          <w:szCs w:val="20"/>
          <w:highlight w:val="none"/>
        </w:rPr>
      </w:pPr>
      <w:r/>
      <w:bookmarkStart w:id="125" w:name="_Toc20823305"/>
      <w:r/>
      <w:bookmarkStart w:id="126" w:name="_Toc513029233"/>
      <w:r/>
      <w:bookmarkStart w:id="127" w:name="_Toc16938549"/>
      <w:r>
        <w:rPr>
          <w:rFonts w:hint="eastAsia" w:ascii="宋体" w:hAnsi="宋体" w:eastAsia="宋体" w:cs="宋体"/>
          <w:sz w:val="24"/>
          <w:szCs w:val="20"/>
          <w:highlight w:val="none"/>
        </w:rPr>
        <w:t xml:space="preserve">25.1评标期间，评委会对投标文件中含义不明确、同类问题表述不一致或者有明显文字和计算错误的内容，有权要求投标人作出必要的澄清、说明或者补正。</w:t>
      </w:r>
      <w:bookmarkEnd w:id="125"/>
      <w:r/>
      <w:bookmarkEnd w:id="126"/>
      <w:r/>
      <w:bookmarkEnd w:id="127"/>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评标委员会并非对每个投标人都做澄清要求。</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25.3 接到评委会澄清、说明和补正要求的投标人如未按规定作出澄清、说明和补正，其风险由投标人自行承担。</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26、对投标文件的初审</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26.1投标文件初审分为资格审查和符合性审查。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26.1.1 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26.3如果投标文件实质上没有响应招标文件的要求，评委会将予以拒绝，投标人不得通过修改或撤销不符合要求的偏离或保留而使其投标成为实质性响应的投标。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26.4评委会将对确定为实质性响应的投标进行进一步审核，看其是否有计算上或累加上的算术错误，修正错误的原则如下：</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（1）投标文件中开标一览表内容与投标文件中相应内容不一致的，以开标一览表为准。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（2）大写金额和小写金额不一致的，以大写金额为准。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（3）单价金额小数点或者百分比有明显错位的，以开标一览表的总价为准，并修改单价。</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（4）总价金额与按单价汇总金额不一致的，以单价金额计算结果为准。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同时出现两种以上错误的，按照前款规定的顺序修正。</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宋体" w:cs="宋体"/>
          <w:sz w:val="24"/>
          <w:szCs w:val="20"/>
          <w:highlight w:val="none"/>
        </w:rPr>
      </w:pPr>
      <w:r/>
      <w:bookmarkStart w:id="128" w:name="_Toc513029234"/>
      <w:r/>
      <w:bookmarkStart w:id="129" w:name="_Toc20823306"/>
      <w:r/>
      <w:bookmarkStart w:id="130" w:name="_Toc16938550"/>
      <w:r>
        <w:rPr>
          <w:rFonts w:hint="eastAsia" w:ascii="宋体" w:hAnsi="宋体" w:eastAsia="宋体" w:cs="宋体"/>
          <w:sz w:val="24"/>
          <w:szCs w:val="20"/>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8"/>
      <w:r/>
      <w:bookmarkEnd w:id="129"/>
      <w:r/>
      <w:bookmarkEnd w:id="130"/>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非单一产品采购项目，招标文件中将载明其中的核心产品。多家投标人提供的核心产品品牌相同的，按前两款规定处理。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26.7投标人在开、评标全过程中应保持通信畅通，及时登录苏采云系统查阅、答复相关信息，并安排专人与采购中心及评标委员会联系。</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27、无效投标条款和废标条款</w:t>
      </w:r>
      <w:r/>
    </w:p>
    <w:p>
      <w:pPr>
        <w:ind w:firstLine="482"/>
        <w:jc w:val="left"/>
        <w:spacing w:line="560" w:lineRule="exact"/>
        <w:widowControl/>
        <w:rPr>
          <w:rFonts w:ascii="宋体" w:hAnsi="宋体" w:eastAsia="宋体" w:cs="宋体"/>
          <w:sz w:val="24"/>
          <w:szCs w:val="20"/>
          <w:highlight w:val="none"/>
        </w:rPr>
      </w:pPr>
      <w:r/>
      <w:bookmarkStart w:id="131" w:name="_Toc513029235"/>
      <w:r/>
      <w:bookmarkStart w:id="132" w:name="_Toc16938551"/>
      <w:r/>
      <w:bookmarkStart w:id="133" w:name="_Toc20823307"/>
      <w:r>
        <w:rPr>
          <w:rFonts w:hint="eastAsia" w:ascii="宋体" w:hAnsi="宋体" w:eastAsia="宋体" w:cs="宋体"/>
          <w:sz w:val="24"/>
          <w:szCs w:val="20"/>
          <w:highlight w:val="none"/>
        </w:rPr>
        <w:t xml:space="preserve">27.1无效投标条款</w:t>
      </w:r>
      <w:bookmarkEnd w:id="131"/>
      <w:r/>
      <w:bookmarkEnd w:id="132"/>
      <w:r/>
      <w:bookmarkEnd w:id="133"/>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27.1.1 投标人在苏采云系统规定的时间内未成功解密电子投标文件的。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27.1.2 投标人未按照招标文件要求上传电子投标文件的。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27.1.3同一投标人提交两个（含两个）以上不同的投标报价的。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27.1.4投标人不具备招标文件中规定资格要求的。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27.1.5投标人的报价超过了采购预算或最高限价的。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27.1.6未通过符合性审查的。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27.1.7不符合招标文件中规定的实质性要求和条件的（</w:t>
      </w:r>
      <w:r>
        <w:rPr>
          <w:rFonts w:hint="eastAsia" w:ascii="宋体" w:hAnsi="宋体" w:eastAsia="宋体" w:cs="宋体"/>
          <w:i/>
          <w:iCs/>
          <w:sz w:val="24"/>
          <w:szCs w:val="20"/>
          <w:highlight w:val="none"/>
          <w:u w:val="single"/>
        </w:rPr>
        <w:t xml:space="preserve">本招标文件中斜体且有下划线部分为实质性要求和条件</w:t>
      </w:r>
      <w:r>
        <w:rPr>
          <w:rFonts w:hint="eastAsia" w:ascii="宋体" w:hAnsi="宋体" w:eastAsia="宋体" w:cs="宋体"/>
          <w:sz w:val="24"/>
          <w:szCs w:val="20"/>
          <w:highlight w:val="none"/>
        </w:rPr>
        <w:t xml:space="preserve">）。</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27.1.9投标文件含有采购人不能接受的附加条件的。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27.1.10投标人不能证明其报价合理性的，评标委员会应当将其作为无效投标处理。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（一）评审过程中出现下列情形之一的，评标委员会应当启动异常低价投标审查程序：</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1.投标报价低于采购项目预算50%的，即投标报价&lt;采购项目预算×50%；</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2.投标报价低于采购项目最高限价45%的，即投标报价&lt;采购项目最高限价×45%；</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3.评标委员会认定的供应商报价过低、有可能影响产品质量或者不能诚信履约的其他情形。</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27.1.12 投标文件未按照招标文件要求加盖CA电子公章的。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27.1.13其他法律、法规及本招标文件规定的属无效投标的情形。</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27.2废标条款</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27.2.1符合专业条件的供应商或者对招标文件作实质响应的供应商不足三家的。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27.2.2出现影响采购公正的违法、违规行为的。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27.2.3因重大变故，采购任务取消的。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27.2.4评标委员会认定招标文件存在歧义、重大缺陷导致评审工作无法进行。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27.2.5 因苏采云系统故障原因造成开标不成功的。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27.3 投标截止时间结束后参加投标的供应商不足三家的处理：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27.3.1如出现投标截止时间结束后参加投标的供应商或者在评标期间对招标文件做出实质响应的供应商不足三家情况，按政府采购相关规定执行。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宋体" w:cs="宋体"/>
          <w:b/>
          <w:bCs/>
          <w:sz w:val="24"/>
          <w:szCs w:val="20"/>
          <w:highlight w:val="none"/>
        </w:rPr>
      </w:pPr>
      <w:r/>
      <w:bookmarkStart w:id="134" w:name="_Toc120614219"/>
      <w:r>
        <w:rPr>
          <w:rFonts w:hint="eastAsia" w:ascii="宋体" w:hAnsi="宋体" w:eastAsia="宋体" w:cs="宋体"/>
          <w:b/>
          <w:bCs/>
          <w:sz w:val="24"/>
          <w:szCs w:val="20"/>
          <w:highlight w:val="none"/>
        </w:rPr>
        <w:t xml:space="preserve">六、定标</w:t>
      </w:r>
      <w:bookmarkEnd w:id="134"/>
      <w:r/>
      <w:r/>
    </w:p>
    <w:p>
      <w:pPr>
        <w:ind w:firstLine="482"/>
        <w:jc w:val="left"/>
        <w:keepLines/>
        <w:keepNext/>
        <w:spacing w:line="560" w:lineRule="exact"/>
        <w:widowControl/>
        <w:rPr>
          <w:rFonts w:ascii="宋体" w:hAnsi="宋体" w:eastAsia="宋体" w:cs="宋体"/>
          <w:b/>
          <w:bCs/>
          <w:sz w:val="24"/>
          <w:szCs w:val="20"/>
          <w:highlight w:val="none"/>
        </w:rPr>
      </w:pPr>
      <w:r/>
      <w:bookmarkStart w:id="135" w:name="_Toc20823310"/>
      <w:r/>
      <w:bookmarkStart w:id="136" w:name="_Toc16938554"/>
      <w:r/>
      <w:bookmarkStart w:id="137" w:name="_Toc513029238"/>
      <w:r>
        <w:rPr>
          <w:rFonts w:hint="eastAsia" w:ascii="宋体" w:hAnsi="宋体" w:eastAsia="宋体" w:cs="宋体"/>
          <w:b/>
          <w:bCs/>
          <w:sz w:val="24"/>
          <w:szCs w:val="20"/>
          <w:highlight w:val="none"/>
        </w:rPr>
        <w:t xml:space="preserve">28、</w:t>
      </w:r>
      <w:bookmarkEnd w:id="135"/>
      <w:r>
        <w:rPr>
          <w:rFonts w:hint="eastAsia" w:ascii="宋体" w:hAnsi="宋体" w:eastAsia="宋体" w:cs="宋体"/>
          <w:b/>
          <w:bCs/>
          <w:sz w:val="24"/>
          <w:szCs w:val="20"/>
          <w:highlight w:val="none"/>
        </w:rPr>
        <w:t xml:space="preserve">确定</w:t>
      </w:r>
      <w:bookmarkEnd w:id="136"/>
      <w:r/>
      <w:bookmarkEnd w:id="137"/>
      <w:r>
        <w:rPr>
          <w:rFonts w:hint="eastAsia" w:ascii="宋体" w:hAnsi="宋体" w:eastAsia="宋体" w:cs="宋体"/>
          <w:b/>
          <w:bCs/>
          <w:sz w:val="24"/>
          <w:szCs w:val="20"/>
          <w:highlight w:val="none"/>
        </w:rPr>
        <w:t xml:space="preserve">中标单位</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28.1中标候选人的选取原则和数量见招标文件第五章规定。 </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28.2 采购人应根据评委会推荐的中标候选人确定中标人。</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28.3 采购中心将在“中国政府采购网”、“江苏政府采购网”、“盐城市政府采购网”发布中标公告，公告期限为1个工作日。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 若有充分证据证明，中标人出现下列情况之一的，一经查实，将被取消中标资格：</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28.4.1提供虚假材料谋取中标的。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28.4.2向采购人、采购中心行贿或者提供其他不正当利益的。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28.4.3属于本文件规定的无效条件，但在评标过程中又未被评委会发现的。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28.4.4与采购人或者其他供应商恶意串通的。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28.4.5采取不正当手段诋毁、排挤其他供应商的。</w:t>
      </w:r>
      <w:r/>
    </w:p>
    <w:p>
      <w:pPr>
        <w:ind w:firstLine="482"/>
        <w:jc w:val="left"/>
        <w:spacing w:line="560" w:lineRule="exact"/>
        <w:widowControl/>
        <w:rPr>
          <w:rFonts w:ascii="宋体" w:hAnsi="宋体" w:eastAsia="宋体" w:cs="宋体"/>
          <w:sz w:val="24"/>
          <w:szCs w:val="20"/>
          <w:highlight w:val="none"/>
        </w:rPr>
      </w:pPr>
      <w:r/>
      <w:bookmarkStart w:id="138" w:name="_Toc200451960"/>
      <w:r>
        <w:rPr>
          <w:rFonts w:hint="eastAsia" w:ascii="宋体" w:hAnsi="宋体" w:eastAsia="宋体" w:cs="宋体"/>
          <w:sz w:val="24"/>
          <w:szCs w:val="20"/>
          <w:highlight w:val="none"/>
        </w:rPr>
        <w:t xml:space="preserve">28.5有下列情形之一的，视为投标人串通投标，投标无效：</w:t>
      </w:r>
      <w:bookmarkEnd w:id="138"/>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28.5.1不同投标人的投标文件由同一单位或者个人编制；</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28.5.2不同投标人委托同一单位或者个人办理投标事宜；</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28.5.3 不同投标人的投标文件载明的项目管理成员或者联系人员为同一人；</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28.5.4不同投标人的投标文件异常一致或者投标报价呈规律性差异；</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29、质疑处理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29.1提出质疑的供应商应当是参与所质疑项目采购活动的供应商。潜在供应商依法获取其可质疑的采购文件的，可以对采购文件提出质疑。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29.2.1对可以质疑的采购文件提出质疑的，为收到采购文件之日或者采购文件公告期限届满之日；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29.2.2对采购过程提出质疑的，为各采购程序环节结束之日；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29.2.3对中标或者成交结果提出质疑的，为中标或者成交结果公告期限届满之日。</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采购人及采购中心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 以下情形的质疑不予受理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29.5.1 内容不符合《政府采购质疑和投诉办法》第十二条规定的质疑。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29.5.2 超出政府采购法定期限的质疑。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29.5.3 以传真、电子邮件等方式递交的非原件形式的质疑。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29.5.4 未参加投标活动的供应商或在投标活动中自身权益未受到损害的供应商所提出的质疑。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29.5.5供应商组成联合体参加投标，联合体中任何一方或多方未按要求签字、盖章、加盖公章的质疑。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30、中标通知书</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jc w:val="left"/>
        <w:spacing w:line="560" w:lineRule="exact"/>
        <w:widowControl/>
        <w:rPr>
          <w:rFonts w:ascii="宋体" w:hAnsi="宋体" w:eastAsia="宋体" w:cs="宋体"/>
          <w:b/>
          <w:bCs/>
          <w:sz w:val="24"/>
          <w:szCs w:val="20"/>
          <w:highlight w:val="none"/>
        </w:rPr>
      </w:pPr>
      <w:r/>
      <w:bookmarkStart w:id="139" w:name="_Toc120614220"/>
      <w:r/>
      <w:bookmarkStart w:id="140" w:name="_Toc513029236"/>
      <w:r/>
      <w:bookmarkStart w:id="141" w:name="_Toc16938552"/>
      <w:r/>
      <w:bookmarkStart w:id="142" w:name="_Toc20823308"/>
      <w:r>
        <w:rPr>
          <w:rFonts w:hint="eastAsia" w:ascii="宋体" w:hAnsi="宋体" w:eastAsia="宋体" w:cs="宋体"/>
          <w:b/>
          <w:bCs/>
          <w:sz w:val="24"/>
          <w:szCs w:val="20"/>
          <w:highlight w:val="none"/>
        </w:rPr>
        <w:t xml:space="preserve">七、授予合同</w:t>
      </w:r>
      <w:bookmarkEnd w:id="139"/>
      <w:r/>
      <w:bookmarkEnd w:id="140"/>
      <w:r/>
      <w:bookmarkEnd w:id="141"/>
      <w:r/>
      <w:bookmarkEnd w:id="142"/>
      <w:r/>
      <w:r/>
    </w:p>
    <w:p>
      <w:pPr>
        <w:ind w:firstLine="482"/>
        <w:jc w:val="left"/>
        <w:spacing w:line="560" w:lineRule="exact"/>
        <w:widowControl/>
        <w:rPr>
          <w:rFonts w:ascii="宋体" w:hAnsi="宋体" w:eastAsia="宋体" w:cs="宋体"/>
          <w:b/>
          <w:bCs/>
          <w:sz w:val="24"/>
          <w:szCs w:val="20"/>
          <w:highlight w:val="none"/>
        </w:rPr>
      </w:pPr>
      <w:r/>
      <w:bookmarkStart w:id="143" w:name="_Toc20823309"/>
      <w:r/>
      <w:bookmarkStart w:id="144" w:name="_Toc513029237"/>
      <w:r/>
      <w:bookmarkStart w:id="145" w:name="_Toc16938553"/>
      <w:r>
        <w:rPr>
          <w:rFonts w:hint="eastAsia" w:ascii="宋体" w:hAnsi="宋体" w:eastAsia="宋体" w:cs="宋体"/>
          <w:b/>
          <w:bCs/>
          <w:sz w:val="24"/>
          <w:szCs w:val="20"/>
          <w:highlight w:val="none"/>
        </w:rPr>
        <w:t xml:space="preserve">31、签订合同</w:t>
      </w:r>
      <w:bookmarkEnd w:id="143"/>
      <w:r/>
      <w:bookmarkEnd w:id="144"/>
      <w:r/>
      <w:bookmarkEnd w:id="145"/>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31.l中标人应当在中标通知书发出之日起三十日内，按照招标文件确定的事项与采购人签订政府采购合同。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31.2招标文件、中标人的投标文件及招标过程中有关澄清、承诺文件均应作为合同附件。</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31.3 签订合同后，</w:t>
      </w:r>
      <w:r>
        <w:rPr>
          <w:rFonts w:hint="eastAsia" w:ascii="宋体" w:hAnsi="宋体" w:eastAsia="宋体" w:cs="宋体"/>
          <w:i/>
          <w:iCs/>
          <w:sz w:val="24"/>
          <w:szCs w:val="20"/>
          <w:highlight w:val="none"/>
          <w:u w:val="single"/>
        </w:rPr>
        <w:t xml:space="preserve">中标人不得将合同标的进行转包</w:t>
      </w:r>
      <w:r>
        <w:rPr>
          <w:rFonts w:hint="eastAsia" w:ascii="宋体" w:hAnsi="宋体" w:eastAsia="宋体" w:cs="宋体"/>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32、货物（包含与货物相关的服务）的追加</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33、政府采购政策功能落实</w:t>
      </w:r>
      <w:r/>
    </w:p>
    <w:p>
      <w:pPr>
        <w:ind w:firstLine="482"/>
        <w:jc w:val="left"/>
        <w:keepLines/>
        <w:keepNex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33.1政府采购线上合同信用融资政策</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33.2进口产品</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33.3中小企业、监狱企业及残疾人福利性单位</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33.3.1中小企业定义：</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中小企业</w:t>
      </w:r>
      <w:r>
        <w:rPr>
          <w:rFonts w:hint="eastAsia" w:ascii="宋体" w:hAnsi="宋体" w:eastAsia="宋体" w:cs="宋体"/>
          <w:sz w:val="24"/>
          <w:szCs w:val="20"/>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33.3.2供应商提供的货物、工程或者服务符合下列情形的，享受中小企业扶持政策：</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33.3.2.1在货物采购项目中，货物由中小企业制造，即货物由中小企业生产且使用该中小企业商号或者注册商标；</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33.3.2.2在工程采购项目中，工程由中小企业承建，即工程施工单位为中小企业；</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33.3.3在货物采购项目中，供应商提供的货物既有中小企业制造货物，也有大型企业制造货物的，不享受中小企业扶持政策。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33.3.6残疾人福利单位定义：享受政府采购支持政策的残疾人福利性单位应当同时满足以下条件：</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33.3.6.1安置的残疾人占本单位在职职工人数的比例不低于25%（含25%），并且安置的残疾人人数不少于10 人（含10 人）；</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33.3.6.2依法与安置的每位残疾人签订了一年以上（含一年）的劳动合同或服务协议；</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33.3.6.3为安置的每位残疾人按月足额缴纳了基本养老保险、基本医疗保险、失业保险、工伤保险和生育保险等社会保险费；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33.3.7本项目是否专门面向中小企业预留采购份额见第一章《招标公告》。</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33.3.8采购标的对应的中小企业划分标准所属行业见第四章《采购需求》。</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33.3.9小微企业价格评审优惠的政策：见第五章《评标方法和评标标准》。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33.4政府采购节能产品、环境标志产品</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33.5绿色包装</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33.6政府采购创新产品</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33.7绿色数据中心政策 </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本文件中若涉及到数据中心采购，采购人应依据《绿色数据中心政府采购需求标准（试行）》（财办库〔2023〕7号）文件精神</w:t>
      </w:r>
      <w:r>
        <w:rPr>
          <w:rFonts w:hint="eastAsia" w:ascii="宋体" w:hAnsi="宋体" w:eastAsia="宋体" w:cs="宋体"/>
          <w:sz w:val="24"/>
          <w:szCs w:val="20"/>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33.8履约保证金政策</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确需收取履约保证金的，履约保证金的缴纳形式：</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sz w:val="24"/>
          <w:szCs w:val="20"/>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sz w:val="24"/>
          <w:szCs w:val="20"/>
          <w:highlight w:val="none"/>
        </w:rPr>
        <w:t xml:space="preserve">降低履约保证金缴纳比例为5%。</w:t>
      </w:r>
      <w:bookmarkEnd w:id="45"/>
      <w:r/>
      <w:r/>
    </w:p>
    <w:p>
      <w:pPr>
        <w:ind w:firstLine="482"/>
        <w:jc w:val="left"/>
        <w:spacing w:line="560" w:lineRule="exact"/>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34. 预付款制度</w:t>
      </w:r>
      <w:r/>
    </w:p>
    <w:p>
      <w:pPr>
        <w:ind w:firstLine="482"/>
        <w:jc w:val="left"/>
        <w:spacing w:line="560" w:lineRule="exact"/>
        <w:widowControl/>
        <w:rPr>
          <w:rFonts w:ascii="宋体" w:hAnsi="宋体" w:eastAsia="宋体" w:cs="宋体"/>
          <w:sz w:val="24"/>
          <w:highlight w:val="none"/>
        </w:rPr>
      </w:pPr>
      <w:r>
        <w:rPr>
          <w:rFonts w:hint="eastAsia" w:ascii="宋体" w:hAnsi="宋体" w:eastAsia="宋体" w:cs="宋体"/>
          <w:sz w:val="24"/>
          <w:szCs w:val="20"/>
          <w:highlight w:val="none"/>
        </w:rPr>
        <w:t xml:space="preserve">本项目落实预付款制度，预付款比例为</w:t>
      </w:r>
      <w:r>
        <w:rPr>
          <w:rFonts w:hint="eastAsia" w:ascii="宋体" w:hAnsi="宋体" w:eastAsia="宋体" w:cs="宋体"/>
          <w:sz w:val="24"/>
          <w:szCs w:val="20"/>
          <w:highlight w:val="none"/>
          <w:u w:val="single"/>
        </w:rPr>
        <w:t xml:space="preserve">30%</w:t>
      </w:r>
      <w:r>
        <w:rPr>
          <w:rFonts w:hint="eastAsia" w:ascii="宋体" w:hAnsi="宋体" w:eastAsia="宋体" w:cs="宋体"/>
          <w:sz w:val="24"/>
          <w:szCs w:val="20"/>
          <w:highlight w:val="none"/>
        </w:rPr>
        <w:t xml:space="preserve">。在签订合同时，中标、成交供应商明确书面表示无需预付款或者主动要求降低预付款比例的，采购人可就预付款比例作相应调整。</w:t>
      </w:r>
      <w:r>
        <w:rPr>
          <w:rFonts w:hint="eastAsia" w:ascii="宋体" w:hAnsi="宋体" w:eastAsia="宋体" w:cs="宋体"/>
          <w:sz w:val="44"/>
          <w:szCs w:val="44"/>
          <w:highlight w:val="none"/>
        </w:rPr>
        <w:br w:type="page" w:clear="all"/>
      </w:r>
      <w:r/>
    </w:p>
    <w:p>
      <w:pPr>
        <w:pStyle w:val="752"/>
        <w:ind w:firstLine="2640"/>
        <w:jc w:val="both"/>
        <w:keepNext/>
        <w:spacing w:beforeAutospacing="0" w:afterAutospacing="0"/>
        <w:rPr>
          <w:rFonts w:ascii="黑体" w:hAnsi="宋体" w:eastAsia="黑体" w:cs="黑体"/>
          <w:sz w:val="44"/>
          <w:szCs w:val="44"/>
          <w:highlight w:val="none"/>
        </w:rPr>
      </w:pPr>
      <w:r>
        <w:rPr>
          <w:rFonts w:ascii="黑体" w:hAnsi="宋体" w:eastAsia="黑体" w:cs="黑体"/>
          <w:sz w:val="44"/>
          <w:szCs w:val="44"/>
          <w:highlight w:val="none"/>
        </w:rPr>
      </w:r>
      <w:r/>
    </w:p>
    <w:p>
      <w:pPr>
        <w:pStyle w:val="752"/>
        <w:ind w:firstLine="2640"/>
        <w:jc w:val="both"/>
        <w:keepNext/>
        <w:spacing w:beforeAutospacing="0" w:afterAutospacing="0"/>
        <w:rPr>
          <w:rFonts w:ascii="黑体" w:eastAsia="黑体" w:cs="黑体"/>
          <w:sz w:val="44"/>
          <w:szCs w:val="44"/>
          <w:highlight w:val="none"/>
        </w:rPr>
      </w:pPr>
      <w:r>
        <w:rPr>
          <w:rFonts w:hint="eastAsia" w:ascii="黑体" w:hAnsi="宋体" w:eastAsia="黑体" w:cs="黑体"/>
          <w:sz w:val="44"/>
          <w:szCs w:val="44"/>
          <w:highlight w:val="none"/>
        </w:rPr>
        <w:t xml:space="preserve">第三章 </w:t>
      </w:r>
      <w:r>
        <w:rPr>
          <w:rFonts w:hint="eastAsia" w:ascii="黑体" w:eastAsia="黑体" w:cs="黑体"/>
          <w:sz w:val="44"/>
          <w:szCs w:val="44"/>
          <w:highlight w:val="none"/>
        </w:rPr>
        <w:t xml:space="preserve">合同条款</w:t>
      </w:r>
      <w:r/>
    </w:p>
    <w:p>
      <w:pPr>
        <w:pStyle w:val="752"/>
        <w:ind w:firstLine="220"/>
        <w:jc w:val="center"/>
        <w:keepNext/>
        <w:spacing w:beforeAutospacing="0" w:afterAutospacing="0"/>
        <w:rPr>
          <w:highlight w:val="none"/>
        </w:rPr>
      </w:pPr>
      <w:r>
        <w:rPr>
          <w:highlight w:val="none"/>
        </w:rPr>
      </w:r>
      <w:r/>
    </w:p>
    <w:p>
      <w:pPr>
        <w:pStyle w:val="752"/>
        <w:ind w:firstLine="120"/>
        <w:jc w:val="center"/>
        <w:spacing w:beforeAutospacing="0" w:afterAutospacing="0" w:line="0" w:lineRule="atLeast"/>
        <w:rPr>
          <w:highlight w:val="none"/>
        </w:rPr>
      </w:pPr>
      <w:r/>
      <w:bookmarkStart w:id="146" w:name="_Toc20823315"/>
      <w:r/>
      <w:bookmarkStart w:id="147" w:name="_Toc16938559"/>
      <w:r/>
      <w:bookmarkStart w:id="148" w:name="_Toc513029243"/>
      <w:r>
        <w:rPr>
          <w:rFonts w:hint="eastAsia" w:ascii="宋体" w:hAnsi="宋体" w:eastAsia="宋体" w:cs="宋体"/>
          <w:highlight w:val="none"/>
        </w:rPr>
        <w:t xml:space="preserve">以下为中标后签定本项目合同的通用条款，中标人不得提出实质性的修改。</w:t>
      </w:r>
      <w:bookmarkEnd w:id="146"/>
      <w:r/>
      <w:bookmarkEnd w:id="147"/>
      <w:r/>
      <w:bookmarkEnd w:id="148"/>
      <w:r/>
      <w:r/>
    </w:p>
    <w:p>
      <w:pPr>
        <w:pStyle w:val="752"/>
        <w:ind w:firstLine="2640"/>
        <w:jc w:val="both"/>
        <w:keepNext/>
        <w:spacing w:beforeAutospacing="0" w:afterAutospacing="0"/>
        <w:rPr>
          <w:rFonts w:ascii="黑体" w:eastAsia="黑体" w:cs="黑体"/>
          <w:sz w:val="44"/>
          <w:szCs w:val="44"/>
          <w:highlight w:val="none"/>
        </w:rPr>
      </w:pPr>
      <w:r/>
      <w:bookmarkStart w:id="149" w:name="_Hlt16619350"/>
      <w:r/>
      <w:bookmarkStart w:id="150" w:name="_Toc479757211"/>
      <w:r/>
      <w:bookmarkStart w:id="151" w:name="_Toc20823346"/>
      <w:r/>
      <w:bookmarkStart w:id="152" w:name="_Toc120614244"/>
      <w:r/>
      <w:bookmarkStart w:id="153" w:name="_Toc16938590"/>
      <w:r/>
      <w:bookmarkStart w:id="154" w:name="_Toc462564139"/>
      <w:r/>
      <w:bookmarkStart w:id="155" w:name="_Hlt16619369"/>
      <w:r/>
      <w:r/>
    </w:p>
    <w:p>
      <w:pPr>
        <w:rPr>
          <w:rFonts w:ascii="宋体" w:hAnsi="宋体" w:cs="宋体"/>
          <w:highlight w:val="none"/>
        </w:rPr>
      </w:pPr>
      <w:r/>
      <w:bookmarkStart w:id="156" w:name="EB6d2006462e294de090c16e672cecc3bd"/>
      <w:r/>
      <w:bookmarkEnd w:id="156"/>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z w:val="36"/>
          <w:szCs w:val="32"/>
          <w:highlight w:val="none"/>
        </w:rPr>
      </w:pPr>
      <w:r>
        <w:rPr>
          <w:rFonts w:hint="eastAsia" w:ascii="宋体" w:hAnsi="宋体" w:cs="宋体"/>
          <w:b/>
          <w:bCs/>
          <w:sz w:val="36"/>
          <w:szCs w:val="32"/>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firstLine="280"/>
        <w:spacing w:before="120" w:after="120" w:line="540" w:lineRule="exact"/>
        <w:rPr>
          <w:rFonts w:ascii="宋体" w:hAnsi="宋体" w:eastAsia="宋体" w:cs="宋体"/>
          <w:sz w:val="28"/>
          <w:szCs w:val="28"/>
          <w:highlight w:val="none"/>
          <w:u w:val="single"/>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u w:val="single"/>
        </w:rPr>
        <w:t xml:space="preserve">盐城体育运动学校新校区家具采购项目</w:t>
      </w:r>
      <w:r/>
    </w:p>
    <w:p>
      <w:pPr>
        <w:ind w:firstLine="280"/>
        <w:spacing w:before="120" w:after="120" w:line="540" w:lineRule="exact"/>
        <w:rPr>
          <w:rFonts w:ascii="宋体" w:hAnsi="宋体" w:eastAsia="宋体" w:cs="宋体"/>
          <w:sz w:val="28"/>
          <w:szCs w:val="28"/>
          <w:highlight w:val="none"/>
          <w:u w:val="single"/>
        </w:rPr>
      </w:pPr>
      <w:r>
        <w:rPr>
          <w:rFonts w:hint="eastAsia" w:ascii="宋体" w:hAnsi="宋体" w:eastAsia="宋体" w:cs="宋体"/>
          <w:sz w:val="28"/>
          <w:szCs w:val="28"/>
          <w:highlight w:val="none"/>
        </w:rPr>
        <w:t xml:space="preserve">合同编号：</w:t>
      </w:r>
      <w:r>
        <w:rPr>
          <w:rFonts w:hint="eastAsia" w:ascii="宋体" w:hAnsi="宋体" w:eastAsia="宋体" w:cs="宋体"/>
          <w:sz w:val="28"/>
          <w:szCs w:val="28"/>
          <w:highlight w:val="none"/>
          <w:u w:val="single"/>
        </w:rPr>
        <w:t xml:space="preserve">JSZC-320900-JZCG-G2025-0052</w:t>
      </w:r>
      <w:r/>
    </w:p>
    <w:p>
      <w:pPr>
        <w:ind w:firstLine="280"/>
        <w:spacing w:before="120" w:after="120" w:line="540" w:lineRule="exact"/>
        <w:rPr>
          <w:rFonts w:ascii="宋体" w:hAnsi="宋体" w:eastAsia="宋体" w:cs="宋体"/>
          <w:sz w:val="28"/>
          <w:szCs w:val="28"/>
          <w:highlight w:val="none"/>
          <w:u w:val="single"/>
        </w:rPr>
      </w:pPr>
      <w:r>
        <w:rPr>
          <w:rFonts w:hint="eastAsia" w:ascii="宋体" w:hAnsi="宋体" w:eastAsia="宋体" w:cs="宋体"/>
          <w:sz w:val="28"/>
          <w:szCs w:val="28"/>
          <w:highlight w:val="none"/>
        </w:rPr>
        <w:t xml:space="preserve">甲    方：</w:t>
      </w:r>
      <w:r>
        <w:rPr>
          <w:rFonts w:hint="eastAsia" w:ascii="宋体" w:hAnsi="宋体" w:eastAsia="宋体" w:cs="宋体"/>
          <w:sz w:val="28"/>
          <w:szCs w:val="28"/>
          <w:highlight w:val="none"/>
          <w:u w:val="single"/>
        </w:rPr>
        <w:t xml:space="preserve">  盐城体育运动学校 </w:t>
      </w:r>
      <w:r/>
    </w:p>
    <w:p>
      <w:pPr>
        <w:ind w:firstLine="280"/>
        <w:spacing w:before="120" w:after="120" w:line="540" w:lineRule="exact"/>
        <w:rPr>
          <w:rFonts w:ascii="宋体" w:hAnsi="宋体" w:eastAsia="宋体" w:cs="宋体"/>
          <w:sz w:val="28"/>
          <w:szCs w:val="28"/>
          <w:highlight w:val="none"/>
          <w:u w:val="single"/>
        </w:rPr>
      </w:pPr>
      <w:r>
        <w:rPr>
          <w:rFonts w:hint="eastAsia" w:ascii="宋体" w:hAnsi="宋体" w:eastAsia="宋体" w:cs="宋体"/>
          <w:sz w:val="28"/>
          <w:szCs w:val="28"/>
          <w:highlight w:val="none"/>
        </w:rPr>
        <w:t xml:space="preserve">乙    方：</w:t>
      </w:r>
      <w:r>
        <w:rPr>
          <w:rFonts w:hint="eastAsia" w:ascii="宋体" w:hAnsi="宋体" w:eastAsia="宋体" w:cs="宋体"/>
          <w:sz w:val="28"/>
          <w:szCs w:val="28"/>
          <w:highlight w:val="none"/>
          <w:u w:val="single"/>
        </w:rPr>
        <w:t xml:space="preserve">                   </w:t>
      </w:r>
      <w:r/>
    </w:p>
    <w:p>
      <w:pPr>
        <w:ind w:firstLine="280"/>
        <w:spacing w:before="120" w:after="120" w:line="54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签订时间：</w:t>
      </w:r>
      <w:r>
        <w:rPr>
          <w:rFonts w:hint="eastAsia" w:ascii="宋体" w:hAnsi="宋体" w:eastAsia="宋体" w:cs="宋体"/>
          <w:sz w:val="28"/>
          <w:szCs w:val="28"/>
          <w:highlight w:val="none"/>
          <w:u w:val="single"/>
        </w:rPr>
        <w:t xml:space="preserve">                   </w:t>
      </w:r>
      <w:r/>
    </w:p>
    <w:p>
      <w:pPr>
        <w:ind w:firstLine="480"/>
        <w:spacing w:line="520" w:lineRule="exact"/>
        <w:rPr>
          <w:rFonts w:ascii="宋体" w:hAnsi="宋体"/>
          <w:sz w:val="24"/>
          <w:highlight w:val="none"/>
        </w:rPr>
      </w:pPr>
      <w:r>
        <w:rPr>
          <w:rFonts w:ascii="宋体" w:hAnsi="宋体"/>
          <w:sz w:val="24"/>
          <w:highlight w:val="none"/>
        </w:rPr>
      </w:r>
      <w:r/>
    </w:p>
    <w:p>
      <w:pPr>
        <w:jc w:val="center"/>
        <w:spacing w:line="360" w:lineRule="auto"/>
        <w:rPr>
          <w:rFonts w:eastAsia="黑体"/>
          <w:sz w:val="44"/>
          <w:szCs w:val="44"/>
          <w:highlight w:val="none"/>
        </w:rPr>
      </w:pPr>
      <w:r>
        <w:rPr>
          <w:rFonts w:hint="eastAsia" w:ascii="仿宋_GB2312" w:hAnsi="仿宋_GB2312" w:eastAsia="仿宋_GB2312" w:cs="仿宋_GB2312"/>
          <w:sz w:val="32"/>
          <w:szCs w:val="32"/>
          <w:highlight w:val="none"/>
        </w:rPr>
        <w:br w:type="page" w:clear="all"/>
      </w:r>
      <w:r>
        <w:rPr>
          <w:rFonts w:hint="eastAsia" w:ascii="宋体" w:hAnsi="宋体" w:cs="宋体"/>
          <w:b/>
          <w:bCs/>
          <w:sz w:val="32"/>
          <w:szCs w:val="32"/>
          <w:highlight w:val="none"/>
        </w:rPr>
        <w:t xml:space="preserve">使用说明</w:t>
      </w:r>
      <w:r/>
    </w:p>
    <w:p>
      <w:pPr>
        <w:ind w:firstLine="480"/>
        <w:spacing w:line="500" w:lineRule="exact"/>
        <w:widowControl/>
        <w:rPr>
          <w:rFonts w:asciiTheme="minorEastAsia" w:hAnsiTheme="minorEastAsia" w:cstheme="minorEastAsia"/>
          <w:sz w:val="24"/>
          <w:highlight w:val="none"/>
          <w:lang w:val="zh-CN"/>
        </w:rPr>
      </w:pPr>
      <w:r>
        <w:rPr>
          <w:rFonts w:hint="eastAsia" w:asciiTheme="minorEastAsia" w:hAnsiTheme="minorEastAsia" w:cstheme="minorEastAsia"/>
          <w:sz w:val="24"/>
          <w:highlight w:val="none"/>
          <w:lang w:val="zh-CN"/>
        </w:rPr>
        <w:t xml:space="preserve">1.本合同标准文本适用于购买现成货物的采购项目，不包括需要供应商定制开发、创新研发的货物采购项目。</w:t>
      </w:r>
      <w:r/>
    </w:p>
    <w:p>
      <w:pPr>
        <w:ind w:firstLine="480"/>
        <w:spacing w:line="500" w:lineRule="exact"/>
        <w:widowControl/>
        <w:rPr>
          <w:rFonts w:asciiTheme="minorEastAsia" w:hAnsiTheme="minorEastAsia" w:cstheme="minorEastAsia"/>
          <w:sz w:val="24"/>
          <w:highlight w:val="none"/>
          <w:lang w:val="zh-CN"/>
        </w:rPr>
      </w:pPr>
      <w:r>
        <w:rPr>
          <w:rFonts w:hint="eastAsia" w:asciiTheme="minorEastAsia" w:hAnsiTheme="minorEastAsia" w:cstheme="minorEastAsia"/>
          <w:sz w:val="24"/>
          <w:highlight w:val="none"/>
          <w:lang w:val="zh-CN"/>
        </w:rPr>
        <w:t xml:space="preserve">2.本合同标准文本为政府采购货物买卖合同编制提供参考，可以结合采购项目具体情况，对文本作必要的调整修订后使用。</w:t>
      </w:r>
      <w:r/>
    </w:p>
    <w:p>
      <w:pPr>
        <w:ind w:firstLine="480"/>
        <w:spacing w:line="500" w:lineRule="exact"/>
        <w:widowControl/>
        <w:rPr>
          <w:rFonts w:asciiTheme="minorEastAsia" w:hAnsiTheme="minorEastAsia" w:cstheme="minorEastAsia"/>
          <w:sz w:val="24"/>
          <w:highlight w:val="none"/>
          <w:lang w:val="zh-CN"/>
        </w:rPr>
      </w:pPr>
      <w:r>
        <w:rPr>
          <w:rFonts w:hint="eastAsia" w:asciiTheme="minorEastAsia" w:hAnsiTheme="minorEastAsia" w:cstheme="minorEastAsia"/>
          <w:sz w:val="24"/>
          <w:highlight w:val="none"/>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jc w:val="center"/>
        <w:keepLines/>
        <w:keepNext/>
        <w:spacing w:line="400" w:lineRule="exact"/>
        <w:rPr>
          <w:rFonts w:ascii="黑体" w:hAnsi="华文中宋" w:eastAsia="黑体"/>
          <w:sz w:val="28"/>
          <w:szCs w:val="28"/>
          <w:highlight w:val="none"/>
        </w:rPr>
        <w:outlineLvl w:val="1"/>
      </w:pPr>
      <w:r>
        <w:rPr>
          <w:rFonts w:hint="eastAsia" w:ascii="宋体" w:hAnsi="宋体"/>
          <w:sz w:val="24"/>
          <w:highlight w:val="none"/>
        </w:rPr>
        <w:br w:type="page" w:clear="all"/>
      </w:r>
      <w:bookmarkStart w:id="157" w:name="_Toc27624"/>
      <w:r>
        <w:rPr>
          <w:rFonts w:hint="eastAsia" w:ascii="宋体" w:hAnsi="宋体" w:eastAsia="宋体" w:cs="宋体"/>
          <w:b/>
          <w:bCs/>
          <w:sz w:val="28"/>
          <w:szCs w:val="28"/>
          <w:highlight w:val="none"/>
          <w:lang w:val="en-US" w:eastAsia="zh-CN" w:bidi="ar-SA"/>
        </w:rPr>
        <w:t xml:space="preserve">第一节 政府采购合同协议书</w:t>
      </w:r>
      <w:r/>
    </w:p>
    <w:p>
      <w:pPr>
        <w:ind w:firstLine="480"/>
        <w:jc w:val="left"/>
        <w:spacing w:line="560" w:lineRule="exact"/>
        <w:widowControl/>
        <w:rPr>
          <w:rFonts w:ascii="宋体" w:hAnsi="宋体" w:eastAsia="Arial" w:cs="宋体"/>
          <w:sz w:val="24"/>
          <w:szCs w:val="20"/>
          <w:highlight w:val="none"/>
        </w:rPr>
      </w:pPr>
      <w:r>
        <w:rPr>
          <w:rFonts w:ascii="宋体" w:hAnsi="宋体" w:eastAsia="Arial" w:cs="宋体"/>
          <w:sz w:val="24"/>
          <w:szCs w:val="20"/>
          <w:highlight w:val="none"/>
          <w:lang w:val="zh-CN"/>
        </w:rPr>
        <w:t xml:space="preserve">甲方（全称）：</w:t>
      </w:r>
      <w:r>
        <w:rPr>
          <w:rFonts w:ascii="宋体" w:hAnsi="宋体" w:eastAsia="Arial" w:cs="宋体"/>
          <w:sz w:val="24"/>
          <w:szCs w:val="20"/>
          <w:highlight w:val="none"/>
          <w:u w:val="single"/>
          <w:lang w:val="zh-CN"/>
        </w:rPr>
        <w:t xml:space="preserve">盐城体育运动学校</w:t>
      </w:r>
      <w:r/>
    </w:p>
    <w:p>
      <w:pPr>
        <w:ind w:firstLine="482"/>
        <w:jc w:val="left"/>
        <w:spacing w:line="560" w:lineRule="exact"/>
        <w:widowControl/>
        <w:rPr>
          <w:rFonts w:ascii="宋体" w:hAnsi="宋体" w:eastAsia="Arial" w:cs="宋体"/>
          <w:sz w:val="24"/>
          <w:szCs w:val="20"/>
          <w:highlight w:val="none"/>
          <w:lang w:val="zh-CN"/>
        </w:rPr>
      </w:pPr>
      <w:r>
        <w:rPr>
          <w:rFonts w:ascii="宋体" w:hAnsi="宋体" w:eastAsia="Arial" w:cs="宋体"/>
          <w:sz w:val="24"/>
          <w:szCs w:val="20"/>
          <w:highlight w:val="none"/>
          <w:lang w:val="zh-CN"/>
        </w:rPr>
        <w:t xml:space="preserve">乙方（全称）：</w:t>
      </w:r>
      <w:r>
        <w:rPr>
          <w:rFonts w:hint="eastAsia" w:ascii="宋体" w:hAnsi="宋体" w:eastAsia="宋体" w:cs="宋体"/>
          <w:sz w:val="24"/>
          <w:szCs w:val="20"/>
          <w:highlight w:val="none"/>
          <w:u w:val="single"/>
        </w:rPr>
        <w:t xml:space="preserve">                </w:t>
      </w:r>
      <w:r>
        <w:rPr>
          <w:rFonts w:ascii="宋体" w:hAnsi="宋体" w:eastAsia="Arial" w:cs="宋体"/>
          <w:sz w:val="24"/>
          <w:szCs w:val="20"/>
          <w:highlight w:val="none"/>
        </w:rPr>
        <w:t xml:space="preserve">                  </w:t>
      </w:r>
      <w:r/>
    </w:p>
    <w:p>
      <w:pPr>
        <w:ind w:firstLine="482"/>
        <w:jc w:val="left"/>
        <w:spacing w:line="560" w:lineRule="exact"/>
        <w:widowControl/>
        <w:rPr>
          <w:rFonts w:ascii="宋体" w:hAnsi="宋体" w:cs="宋体"/>
          <w:sz w:val="24"/>
          <w:szCs w:val="20"/>
          <w:highlight w:val="none"/>
          <w:lang w:val="zh-CN"/>
        </w:rPr>
      </w:pPr>
      <w:r>
        <w:rPr>
          <w:rFonts w:ascii="宋体" w:hAnsi="宋体" w:eastAsia="Arial" w:cs="宋体"/>
          <w:sz w:val="24"/>
          <w:szCs w:val="20"/>
          <w:highlight w:val="none"/>
          <w:lang w:val="zh-CN"/>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cs="宋体"/>
          <w:sz w:val="24"/>
          <w:szCs w:val="20"/>
          <w:highlight w:val="none"/>
          <w:lang w:val="zh-CN"/>
        </w:rPr>
        <w:t xml:space="preserve">     </w:t>
      </w:r>
      <w:r/>
    </w:p>
    <w:p>
      <w:pPr>
        <w:ind w:firstLine="482"/>
        <w:jc w:val="left"/>
        <w:spacing w:line="560" w:lineRule="exact"/>
        <w:widowControl/>
        <w:rPr>
          <w:rFonts w:ascii="宋体" w:hAnsi="宋体" w:eastAsia="Arial" w:cs="宋体"/>
          <w:sz w:val="24"/>
          <w:szCs w:val="20"/>
          <w:highlight w:val="none"/>
          <w:lang w:val="zh-CN"/>
        </w:rPr>
      </w:pPr>
      <w:r>
        <w:rPr>
          <w:rFonts w:ascii="宋体" w:hAnsi="宋体" w:eastAsia="Arial" w:cs="宋体"/>
          <w:sz w:val="24"/>
          <w:szCs w:val="20"/>
          <w:highlight w:val="none"/>
          <w:lang w:val="zh-CN"/>
        </w:rPr>
        <w:t xml:space="preserve">1.项目信息</w:t>
      </w:r>
      <w:r/>
    </w:p>
    <w:p>
      <w:pPr>
        <w:ind w:firstLine="482"/>
        <w:jc w:val="left"/>
        <w:spacing w:line="560" w:lineRule="exact"/>
        <w:widowControl/>
        <w:rPr>
          <w:rFonts w:ascii="宋体" w:hAnsi="宋体" w:eastAsia="Arial" w:cs="宋体"/>
          <w:sz w:val="24"/>
          <w:szCs w:val="20"/>
          <w:highlight w:val="none"/>
          <w:lang w:val="zh-CN"/>
        </w:rPr>
      </w:pPr>
      <w:r>
        <w:rPr>
          <w:rFonts w:ascii="宋体" w:hAnsi="宋体" w:eastAsia="Arial" w:cs="宋体"/>
          <w:sz w:val="24"/>
          <w:szCs w:val="20"/>
          <w:highlight w:val="none"/>
          <w:lang w:val="zh-CN"/>
        </w:rPr>
        <w:t xml:space="preserve">（1）采购项目名称：</w:t>
      </w:r>
      <w:r>
        <w:rPr>
          <w:rFonts w:ascii="宋体" w:hAnsi="宋体" w:eastAsia="Arial" w:cs="宋体"/>
          <w:sz w:val="24"/>
          <w:szCs w:val="20"/>
          <w:highlight w:val="none"/>
          <w:u w:val="single"/>
          <w:lang w:val="zh-CN"/>
        </w:rPr>
        <w:t xml:space="preserve">盐城体育运动学校新校区家具采购项目</w:t>
      </w:r>
      <w:r/>
    </w:p>
    <w:p>
      <w:pPr>
        <w:ind w:firstLine="482"/>
        <w:jc w:val="left"/>
        <w:spacing w:line="560" w:lineRule="exact"/>
        <w:widowControl/>
        <w:rPr>
          <w:rFonts w:ascii="宋体" w:hAnsi="宋体" w:eastAsia="Arial" w:cs="宋体"/>
          <w:sz w:val="24"/>
          <w:szCs w:val="20"/>
          <w:highlight w:val="none"/>
          <w:lang w:val="zh-CN"/>
        </w:rPr>
      </w:pPr>
      <w:r>
        <w:rPr>
          <w:rFonts w:ascii="宋体" w:hAnsi="宋体" w:eastAsia="Arial" w:cs="宋体"/>
          <w:sz w:val="24"/>
          <w:szCs w:val="20"/>
          <w:highlight w:val="none"/>
          <w:lang w:val="zh-CN"/>
        </w:rPr>
        <w:t xml:space="preserve"> </w:t>
      </w:r>
      <w:r>
        <w:rPr>
          <w:rFonts w:hint="eastAsia" w:ascii="宋体" w:hAnsi="宋体" w:eastAsia="宋体" w:cs="宋体"/>
          <w:sz w:val="24"/>
          <w:szCs w:val="20"/>
          <w:highlight w:val="none"/>
        </w:rPr>
        <w:t xml:space="preserve">    </w:t>
      </w:r>
      <w:r>
        <w:rPr>
          <w:rFonts w:ascii="宋体" w:hAnsi="宋体" w:eastAsia="Arial" w:cs="宋体"/>
          <w:sz w:val="24"/>
          <w:szCs w:val="20"/>
          <w:highlight w:val="none"/>
          <w:lang w:val="zh-CN"/>
        </w:rPr>
        <w:t xml:space="preserve">采购项目编号：</w:t>
      </w:r>
      <w:r>
        <w:rPr>
          <w:rFonts w:hint="eastAsia" w:ascii="宋体" w:hAnsi="宋体" w:eastAsia="Arial" w:cs="宋体"/>
          <w:sz w:val="24"/>
          <w:szCs w:val="20"/>
          <w:highlight w:val="none"/>
          <w:u w:val="single"/>
          <w:lang w:val="zh-CN"/>
        </w:rPr>
        <w:t xml:space="preserve">JSZC-320900-JZCG-G2025-0052</w:t>
      </w:r>
      <w:r>
        <w:rPr>
          <w:rFonts w:ascii="宋体" w:hAnsi="宋体" w:eastAsia="Arial" w:cs="宋体"/>
          <w:sz w:val="24"/>
          <w:szCs w:val="20"/>
          <w:highlight w:val="none"/>
          <w:lang w:val="zh-CN"/>
        </w:rPr>
        <w:t xml:space="preserve">       </w:t>
      </w:r>
      <w:r/>
    </w:p>
    <w:p>
      <w:pPr>
        <w:ind w:firstLine="482"/>
        <w:jc w:val="left"/>
        <w:spacing w:line="560" w:lineRule="exact"/>
        <w:widowControl/>
        <w:rPr>
          <w:rFonts w:ascii="宋体" w:hAnsi="宋体" w:eastAsia="Arial" w:cs="宋体"/>
          <w:sz w:val="24"/>
          <w:szCs w:val="20"/>
          <w:highlight w:val="none"/>
          <w:lang w:val="zh-CN"/>
        </w:rPr>
      </w:pPr>
      <w:r>
        <w:rPr>
          <w:rFonts w:ascii="宋体" w:hAnsi="宋体" w:eastAsia="Arial" w:cs="宋体"/>
          <w:sz w:val="24"/>
          <w:szCs w:val="20"/>
          <w:highlight w:val="none"/>
          <w:lang w:val="zh-CN"/>
        </w:rPr>
        <w:t xml:space="preserve">（2）采购计划编号：</w:t>
      </w:r>
      <w:r>
        <w:rPr>
          <w:rFonts w:hint="eastAsia" w:ascii="宋体" w:hAnsi="宋体" w:eastAsia="宋体" w:cs="宋体"/>
          <w:sz w:val="24"/>
          <w:szCs w:val="20"/>
          <w:highlight w:val="none"/>
          <w:u w:val="single"/>
        </w:rPr>
        <w:t xml:space="preserve">                           </w:t>
      </w:r>
      <w:r>
        <w:rPr>
          <w:rFonts w:ascii="宋体" w:hAnsi="宋体" w:eastAsia="Arial" w:cs="宋体"/>
          <w:sz w:val="24"/>
          <w:szCs w:val="20"/>
          <w:highlight w:val="none"/>
          <w:lang w:val="zh-CN"/>
        </w:rPr>
        <w:t xml:space="preserve">           </w:t>
      </w:r>
      <w:r/>
    </w:p>
    <w:p>
      <w:pPr>
        <w:ind w:firstLine="482"/>
        <w:jc w:val="left"/>
        <w:spacing w:line="560" w:lineRule="exact"/>
        <w:widowControl/>
        <w:rPr>
          <w:rFonts w:ascii="宋体" w:hAnsi="宋体" w:eastAsia="Arial" w:cs="宋体"/>
          <w:sz w:val="24"/>
          <w:szCs w:val="20"/>
          <w:highlight w:val="none"/>
          <w:lang w:val="zh-CN"/>
        </w:rPr>
      </w:pPr>
      <w:r>
        <w:rPr>
          <w:rFonts w:ascii="宋体" w:hAnsi="宋体" w:eastAsia="Arial" w:cs="宋体"/>
          <w:sz w:val="24"/>
          <w:szCs w:val="20"/>
          <w:highlight w:val="none"/>
          <w:lang w:val="zh-CN"/>
        </w:rPr>
        <w:t xml:space="preserve">（3）项目内容：</w:t>
      </w:r>
      <w:r>
        <w:rPr>
          <w:rFonts w:ascii="宋体" w:hAnsi="宋体" w:eastAsia="Arial" w:cs="宋体"/>
          <w:sz w:val="24"/>
          <w:szCs w:val="20"/>
          <w:highlight w:val="none"/>
          <w:u w:val="single"/>
          <w:lang w:val="zh-CN"/>
        </w:rPr>
        <w:t xml:space="preserve">盐城体育运动学校新校区家具采购项目</w:t>
      </w:r>
      <w:r>
        <w:rPr>
          <w:rFonts w:ascii="宋体" w:hAnsi="宋体" w:eastAsia="Arial" w:cs="宋体"/>
          <w:sz w:val="24"/>
          <w:szCs w:val="20"/>
          <w:highlight w:val="none"/>
          <w:lang w:val="zh-CN"/>
        </w:rPr>
        <w:t xml:space="preserve">           </w:t>
      </w:r>
      <w:r/>
    </w:p>
    <w:p>
      <w:pPr>
        <w:ind w:firstLine="1024"/>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采购标的及数量（台/套/个/架/组等）：</w:t>
      </w:r>
      <w:r>
        <w:rPr>
          <w:rFonts w:hint="eastAsia" w:ascii="宋体" w:hAnsi="宋体" w:cs="宋体"/>
          <w:sz w:val="24"/>
          <w:szCs w:val="20"/>
          <w:highlight w:val="none"/>
          <w:u w:val="single"/>
        </w:rPr>
        <w:t xml:space="preserve">                 </w:t>
      </w:r>
      <w:r/>
    </w:p>
    <w:p>
      <w:pPr>
        <w:ind w:firstLine="1024"/>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品牌：</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en-US" w:eastAsia="zh-CN"/>
        </w:rPr>
        <w:t xml:space="preserve">   </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en-US" w:eastAsia="zh-CN"/>
        </w:rPr>
        <w:t xml:space="preserve">    </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rPr>
          <w:rFonts w:hint="eastAsia" w:ascii="宋体" w:hAnsi="宋体" w:cs="宋体"/>
          <w:sz w:val="24"/>
          <w:szCs w:val="20"/>
          <w:highlight w:val="none"/>
          <w:lang w:val="zh-CN"/>
        </w:rPr>
        <w:t xml:space="preserve">规格型号：</w:t>
      </w:r>
      <w:r>
        <w:rPr>
          <w:rFonts w:hint="eastAsia" w:ascii="宋体" w:hAnsi="宋体" w:cs="宋体"/>
          <w:sz w:val="24"/>
          <w:szCs w:val="20"/>
          <w:highlight w:val="none"/>
          <w:u w:val="single"/>
        </w:rPr>
        <w:t xml:space="preserve">                  </w:t>
      </w:r>
      <w:r/>
    </w:p>
    <w:p>
      <w:pPr>
        <w:ind w:firstLine="1024"/>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采购标的的技术要求、商务要求具体见附件。</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（4）政府采购组织形式：</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政府集中采购</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部门集中采购</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分散采购</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（5）政府采购方式：</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公开招标</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邀请招标</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竞争性谈判</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竞争性磋商</w:t>
      </w:r>
      <w:r/>
    </w:p>
    <w:p>
      <w:pPr>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询价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单一来源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框架协议 其他：</w:t>
      </w:r>
      <w:r>
        <w:rPr>
          <w:rFonts w:hint="eastAsia" w:ascii="宋体" w:hAnsi="宋体" w:cs="宋体"/>
          <w:sz w:val="24"/>
          <w:szCs w:val="20"/>
          <w:highlight w:val="none"/>
          <w:u w:val="single"/>
        </w:rPr>
        <w:t xml:space="preserve">          </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（6）中标（成交）采购标的制造商是否为中小企业：</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本合同是否为专门面向中小企业的采购合同（中小企业预留合同）：</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若本项目不专门面向中小企业采购，是否给予小微企业评审优惠：</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中标（成交）采购标的制造商是否为残疾人福利性单位：</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中标（成交）采购标的制造商是否为监狱企业：</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p>
    <w:p>
      <w:pPr>
        <w:numPr>
          <w:ilvl w:val="0"/>
          <w:numId w:val="2"/>
        </w:numPr>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合同是否分包：</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p>
    <w:p>
      <w:pPr>
        <w:numPr>
          <w:ilvl w:val="0"/>
          <w:numId w:val="0"/>
        </w:numPr>
        <w:ind w:firstLine="120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分包主要内容：</w:t>
      </w:r>
      <w:r>
        <w:rPr>
          <w:rFonts w:hint="eastAsia" w:ascii="宋体" w:hAnsi="宋体" w:cs="宋体"/>
          <w:sz w:val="24"/>
          <w:szCs w:val="20"/>
          <w:highlight w:val="none"/>
          <w:u w:val="single"/>
        </w:rPr>
        <w:t xml:space="preserve">             </w:t>
      </w:r>
      <w:r/>
    </w:p>
    <w:p>
      <w:pPr>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分包供应商/制造商名称（如供应商和制造商不同，请分别填写）：</w:t>
      </w:r>
      <w:r>
        <w:rPr>
          <w:rFonts w:hint="eastAsia" w:ascii="宋体" w:hAnsi="宋体" w:cs="宋体"/>
          <w:sz w:val="24"/>
          <w:szCs w:val="20"/>
          <w:highlight w:val="none"/>
          <w:u w:val="single"/>
        </w:rPr>
        <w:t xml:space="preserve">       </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分包供应商/制造商类型（如果供应商和制造商不同，只填写制造商类型）：</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大型企业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中型企业  </w:t>
      </w:r>
      <w:r>
        <w:rPr>
          <w:rFonts w:hint="eastAsia" w:ascii="宋体" w:hAnsi="宋体" w:cs="宋体"/>
          <w:sz w:val="24"/>
          <w:szCs w:val="20"/>
          <w:highlight w:val="none"/>
        </w:rPr>
        <w:t xml:space="preserve"> </w:t>
      </w:r>
      <w:r>
        <w:rPr>
          <w:rFonts w:hint="eastAsia" w:ascii="宋体" w:hAnsi="宋体" w:cs="宋体"/>
          <w:sz w:val="24"/>
          <w:szCs w:val="20"/>
          <w:highlight w:val="none"/>
          <w:lang w:val="zh-CN"/>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小微型企业</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残疾人福利性单位</w:t>
      </w:r>
      <w:r>
        <w:rPr>
          <w:rFonts w:hint="eastAsia" w:ascii="宋体" w:hAnsi="宋体" w:cs="宋体"/>
          <w:sz w:val="24"/>
          <w:szCs w:val="20"/>
          <w:highlight w:val="none"/>
        </w:rPr>
        <w:t xml:space="preserve"> </w:t>
      </w:r>
      <w:r>
        <w:rPr>
          <w:rFonts w:hint="eastAsia" w:ascii="宋体" w:hAnsi="宋体" w:cs="宋体"/>
          <w:sz w:val="24"/>
          <w:szCs w:val="20"/>
          <w:highlight w:val="none"/>
          <w:lang w:val="zh-CN"/>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监狱企业</w:t>
      </w:r>
      <w:r>
        <w:rPr>
          <w:rFonts w:hint="eastAsia" w:ascii="宋体" w:hAnsi="宋体" w:cs="宋体"/>
          <w:sz w:val="24"/>
          <w:szCs w:val="20"/>
          <w:highlight w:val="none"/>
        </w:rPr>
        <w:t xml:space="preserve"> </w:t>
      </w:r>
      <w:r>
        <w:rPr>
          <w:rFonts w:hint="eastAsia" w:ascii="宋体" w:hAnsi="宋体" w:cs="宋体"/>
          <w:sz w:val="24"/>
          <w:szCs w:val="20"/>
          <w:highlight w:val="none"/>
          <w:lang w:val="zh-CN"/>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其他</w:t>
      </w:r>
      <w:r/>
    </w:p>
    <w:p>
      <w:pPr>
        <w:ind w:firstLine="24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（8）中标（成交）供应商是否为外商投资企业：</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外商投资企业类型：</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全部由外国投资者投资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部分由外国投资者投资</w:t>
      </w:r>
      <w:r/>
    </w:p>
    <w:p>
      <w:pPr>
        <w:ind w:firstLine="24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（9）是否涉及进口产品：</w:t>
      </w:r>
      <w:r/>
    </w:p>
    <w:p>
      <w:pPr>
        <w:ind w:firstLine="480"/>
        <w:spacing w:line="520" w:lineRule="exact"/>
        <w:widowControl/>
        <w:rPr>
          <w:rFonts w:ascii="宋体" w:hAnsi="宋体" w:cs="宋体"/>
          <w:sz w:val="24"/>
          <w:szCs w:val="20"/>
          <w:highlight w:val="none"/>
          <w:u w:val="single"/>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是，《政府采购品目分类目录》底级品目名称：</w:t>
      </w:r>
      <w:r>
        <w:rPr>
          <w:rFonts w:hint="eastAsia" w:ascii="宋体" w:hAnsi="宋体" w:cs="宋体"/>
          <w:sz w:val="24"/>
          <w:szCs w:val="20"/>
          <w:highlight w:val="none"/>
          <w:u w:val="single"/>
        </w:rPr>
        <w:t xml:space="preserve">         </w:t>
      </w:r>
      <w:r>
        <w:rPr>
          <w:rFonts w:hint="eastAsia" w:ascii="宋体" w:hAnsi="宋体" w:cs="宋体"/>
          <w:sz w:val="24"/>
          <w:szCs w:val="20"/>
          <w:highlight w:val="none"/>
          <w:lang w:val="zh-CN"/>
        </w:rPr>
        <w:t xml:space="preserve">金额：</w:t>
      </w:r>
      <w:r>
        <w:rPr>
          <w:rFonts w:hint="eastAsia" w:ascii="宋体" w:hAnsi="宋体" w:cs="宋体"/>
          <w:sz w:val="24"/>
          <w:szCs w:val="20"/>
          <w:highlight w:val="none"/>
          <w:u w:val="single"/>
        </w:rPr>
        <w:t xml:space="preserve">        </w:t>
      </w:r>
      <w:r/>
    </w:p>
    <w:p>
      <w:pPr>
        <w:ind w:firstLine="480"/>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        国别：</w:t>
      </w:r>
      <w:r>
        <w:rPr>
          <w:rFonts w:hint="eastAsia" w:ascii="宋体" w:hAnsi="宋体" w:cs="宋体"/>
          <w:sz w:val="24"/>
          <w:szCs w:val="20"/>
          <w:highlight w:val="none"/>
          <w:u w:val="single"/>
        </w:rPr>
        <w:t xml:space="preserve">        </w:t>
      </w:r>
      <w:r>
        <w:rPr>
          <w:rFonts w:hint="eastAsia" w:ascii="宋体" w:hAnsi="宋体" w:cs="宋体"/>
          <w:sz w:val="24"/>
          <w:szCs w:val="20"/>
          <w:highlight w:val="none"/>
          <w:lang w:val="zh-CN"/>
        </w:rPr>
        <w:t xml:space="preserve">品牌：</w:t>
      </w:r>
      <w:r>
        <w:rPr>
          <w:rFonts w:hint="eastAsia" w:ascii="宋体" w:hAnsi="宋体" w:cs="宋体"/>
          <w:sz w:val="24"/>
          <w:szCs w:val="20"/>
          <w:highlight w:val="none"/>
          <w:u w:val="single"/>
        </w:rPr>
        <w:t xml:space="preserve">        </w:t>
      </w:r>
      <w:r>
        <w:rPr>
          <w:rFonts w:hint="eastAsia" w:ascii="宋体" w:hAnsi="宋体" w:cs="宋体"/>
          <w:sz w:val="24"/>
          <w:szCs w:val="20"/>
          <w:highlight w:val="none"/>
          <w:lang w:val="zh-CN"/>
        </w:rPr>
        <w:t xml:space="preserve"> 规格型号：</w:t>
      </w:r>
      <w:r>
        <w:rPr>
          <w:rFonts w:hint="eastAsia" w:ascii="宋体" w:hAnsi="宋体" w:cs="宋体"/>
          <w:sz w:val="24"/>
          <w:szCs w:val="20"/>
          <w:highlight w:val="none"/>
          <w:u w:val="single"/>
        </w:rPr>
        <w:t xml:space="preserve">          </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（10）是否涉及节能产品：</w:t>
      </w:r>
      <w:r/>
    </w:p>
    <w:p>
      <w:pPr>
        <w:ind w:firstLine="480"/>
        <w:spacing w:line="520" w:lineRule="exact"/>
        <w:widowControl/>
        <w:rPr>
          <w:rFonts w:ascii="宋体" w:hAnsi="宋体" w:cs="宋体"/>
          <w:sz w:val="24"/>
          <w:szCs w:val="20"/>
          <w:highlight w:val="none"/>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是，《节能产品政府采购品目清单》的底级品目名称：</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强制采购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优先采购</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þ</w:t>
      </w:r>
      <w:r>
        <w:rPr>
          <w:rFonts w:hint="eastAsia" w:ascii="宋体" w:hAnsi="宋体" w:cs="宋体"/>
          <w:sz w:val="24"/>
          <w:szCs w:val="20"/>
          <w:highlight w:val="none"/>
          <w:lang w:val="zh-CN"/>
        </w:rPr>
        <w:t xml:space="preserve">否</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是否涉及环境标志产品：</w:t>
      </w:r>
      <w:r/>
    </w:p>
    <w:p>
      <w:pPr>
        <w:ind w:firstLine="480"/>
        <w:spacing w:line="520" w:lineRule="exact"/>
        <w:widowControl/>
        <w:rPr>
          <w:rFonts w:ascii="宋体" w:hAnsi="宋体" w:cs="宋体"/>
          <w:sz w:val="24"/>
          <w:szCs w:val="20"/>
          <w:highlight w:val="none"/>
          <w:u w:val="singl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是，《环境标志产品政府采购品目清单》的底级品目名称：</w:t>
      </w:r>
      <w:r>
        <w:rPr>
          <w:rFonts w:hint="eastAsia" w:ascii="宋体" w:hAnsi="宋体" w:cs="宋体"/>
          <w:sz w:val="24"/>
          <w:szCs w:val="20"/>
          <w:highlight w:val="none"/>
          <w:u w:val="single"/>
          <w:lang w:val="zh-CN"/>
        </w:rPr>
        <w:t xml:space="preserve">A0602台、桌类，A0603 椅凳类、A060101钢木床类</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强制采购   </w:t>
      </w:r>
      <w:r>
        <w:rPr>
          <w:rFonts w:ascii="Wingdings" w:hAnsi="Wingdings" w:eastAsia="Wingdings" w:cs="Wingdings"/>
          <w:sz w:val="24"/>
          <w:szCs w:val="20"/>
          <w:highlight w:val="none"/>
          <w:lang w:val="zh-CN"/>
        </w:rPr>
        <w:t xml:space="preserve">þ</w:t>
      </w:r>
      <w:r>
        <w:rPr>
          <w:rFonts w:hint="eastAsia" w:ascii="宋体" w:hAnsi="宋体" w:cs="宋体"/>
          <w:sz w:val="24"/>
          <w:szCs w:val="20"/>
          <w:highlight w:val="none"/>
          <w:lang w:val="zh-CN"/>
        </w:rPr>
        <w:t xml:space="preserve">优先采购</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是否涉及绿色产品：</w:t>
      </w:r>
      <w:r/>
    </w:p>
    <w:p>
      <w:pPr>
        <w:ind w:firstLine="480"/>
        <w:spacing w:line="520" w:lineRule="exact"/>
        <w:widowControl/>
        <w:rPr>
          <w:rFonts w:hint="eastAsia" w:ascii="宋体" w:hAnsi="宋体" w:cs="宋体"/>
          <w:sz w:val="24"/>
          <w:szCs w:val="20"/>
          <w:highlight w:val="none"/>
          <w:u w:val="single"/>
          <w:lang w:val="en-US" w:eastAsia="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是，绿色产品政府采购相关政策确定的底级品目名称：</w:t>
      </w:r>
      <w:r>
        <w:rPr>
          <w:rFonts w:hint="eastAsia" w:ascii="宋体" w:hAnsi="宋体" w:cs="宋体"/>
          <w:sz w:val="24"/>
          <w:szCs w:val="20"/>
          <w:highlight w:val="none"/>
          <w:u w:val="single"/>
          <w:lang w:val="en-US" w:eastAsia="zh-CN"/>
        </w:rPr>
        <w:t xml:space="preserve">          </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强制采购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优先采购</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p>
    <w:p>
      <w:pPr>
        <w:numPr>
          <w:ilvl w:val="0"/>
          <w:numId w:val="3"/>
        </w:num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不涉及</w:t>
      </w:r>
      <w:r/>
    </w:p>
    <w:p>
      <w:pPr>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rPr>
        <w:t xml:space="preserve">2.</w:t>
      </w:r>
      <w:r>
        <w:rPr>
          <w:rFonts w:hint="eastAsia" w:ascii="宋体" w:hAnsi="宋体" w:cs="宋体"/>
          <w:b/>
          <w:bCs/>
          <w:sz w:val="24"/>
          <w:szCs w:val="20"/>
          <w:highlight w:val="none"/>
          <w:lang w:val="zh-CN"/>
        </w:rPr>
        <w:t xml:space="preserve">合同金额</w:t>
      </w:r>
      <w:r/>
    </w:p>
    <w:p>
      <w:pPr>
        <w:ind w:firstLine="480"/>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（1）合同金额小写：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p>
    <w:p>
      <w:pPr>
        <w:ind w:firstLine="1982"/>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大写：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p>
    <w:p>
      <w:pPr>
        <w:ind w:firstLine="480"/>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分包金额（如有）小写：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p>
    <w:p>
      <w:pPr>
        <w:ind w:firstLine="2400"/>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大写：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（2）付款方式</w:t>
      </w:r>
      <w:r>
        <w:rPr>
          <w:rFonts w:hint="eastAsia" w:ascii="宋体" w:hAnsi="宋体" w:cs="宋体"/>
          <w:sz w:val="24"/>
          <w:szCs w:val="20"/>
          <w:highlight w:val="none"/>
          <w:u w:val="single"/>
          <w:lang w:val="zh-CN"/>
        </w:rPr>
        <w:t xml:space="preserve">（按项目实际勾选填写，具体详见专用条款第二节第12.2款）</w:t>
      </w:r>
      <w:r>
        <w:rPr>
          <w:rFonts w:hint="eastAsia" w:ascii="宋体" w:hAnsi="宋体" w:cs="宋体"/>
          <w:sz w:val="24"/>
          <w:szCs w:val="20"/>
          <w:highlight w:val="none"/>
          <w:lang w:val="zh-CN"/>
        </w:rPr>
        <w:t xml:space="preserve">：</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全额付款：</w:t>
      </w:r>
      <w:r>
        <w:rPr>
          <w:rFonts w:hint="eastAsia" w:ascii="宋体" w:hAnsi="宋体" w:cs="宋体"/>
          <w:sz w:val="24"/>
          <w:szCs w:val="20"/>
          <w:highlight w:val="none"/>
          <w:u w:val="single"/>
          <w:lang w:val="zh-CN"/>
        </w:rPr>
        <w:t xml:space="preserve">  （应明确一次性支付合同款项的条件）</w:t>
      </w:r>
      <w:r>
        <w:rPr>
          <w:rFonts w:hint="eastAsia" w:ascii="宋体" w:hAnsi="宋体" w:cs="宋体"/>
          <w:sz w:val="24"/>
          <w:szCs w:val="20"/>
          <w:highlight w:val="none"/>
          <w:lang w:val="zh-CN"/>
        </w:rPr>
        <w:t xml:space="preserve">                    </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分期付款： </w:t>
      </w:r>
      <w:r>
        <w:rPr>
          <w:rFonts w:hint="eastAsia" w:ascii="宋体" w:hAnsi="宋体" w:cs="宋体"/>
          <w:sz w:val="24"/>
          <w:szCs w:val="20"/>
          <w:highlight w:val="none"/>
          <w:u w:val="single"/>
          <w:lang w:val="zh-CN"/>
        </w:rPr>
        <w:t xml:space="preserve"> （</w:t>
      </w:r>
      <w:r>
        <w:rPr>
          <w:rFonts w:hint="eastAsia" w:ascii="宋体" w:hAnsi="宋体" w:cs="宋体"/>
          <w:sz w:val="24"/>
          <w:highlight w:val="none"/>
          <w:u w:val="single"/>
        </w:rPr>
        <w:t xml:space="preserve">具体详见专用条款第二节第12.2款</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，其中涉及预付款的：</w:t>
      </w:r>
      <w:r>
        <w:rPr>
          <w:rFonts w:hint="eastAsia" w:ascii="宋体" w:hAnsi="宋体" w:cs="宋体"/>
          <w:sz w:val="24"/>
          <w:szCs w:val="20"/>
          <w:highlight w:val="none"/>
          <w:u w:val="single"/>
          <w:lang w:val="zh-CN"/>
        </w:rPr>
        <w:t xml:space="preserve"> （</w:t>
      </w:r>
      <w:r>
        <w:rPr>
          <w:rFonts w:hint="eastAsia" w:ascii="宋体" w:hAnsi="宋体" w:cs="宋体"/>
          <w:sz w:val="24"/>
          <w:highlight w:val="none"/>
          <w:u w:val="single"/>
        </w:rPr>
        <w:t xml:space="preserve">具体详见专用条款第二节第12.2款</w:t>
      </w:r>
      <w:r>
        <w:rPr>
          <w:rFonts w:hint="eastAsia" w:ascii="宋体" w:hAnsi="宋体" w:cs="宋体"/>
          <w:sz w:val="24"/>
          <w:szCs w:val="20"/>
          <w:highlight w:val="none"/>
          <w:u w:val="single"/>
          <w:lang w:val="zh-CN"/>
        </w:rPr>
        <w:t xml:space="preserve">） </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成本补偿：</w:t>
      </w:r>
      <w:r>
        <w:rPr>
          <w:rFonts w:hint="eastAsia" w:ascii="宋体" w:hAnsi="宋体" w:cs="宋体"/>
          <w:sz w:val="24"/>
          <w:szCs w:val="20"/>
          <w:highlight w:val="none"/>
          <w:u w:val="single"/>
          <w:lang w:val="zh-CN"/>
        </w:rPr>
        <w:t xml:space="preserve">  （应明确按照成本补偿方式的支付方式和支付条件）  </w:t>
      </w:r>
      <w:r>
        <w:rPr>
          <w:rFonts w:hint="eastAsia" w:ascii="宋体" w:hAnsi="宋体" w:cs="宋体"/>
          <w:sz w:val="24"/>
          <w:szCs w:val="20"/>
          <w:highlight w:val="none"/>
          <w:lang w:val="zh-CN"/>
        </w:rPr>
        <w:t xml:space="preserve"> </w:t>
      </w:r>
      <w:r/>
    </w:p>
    <w:p>
      <w:pPr>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绩效激励：</w:t>
      </w:r>
      <w:r>
        <w:rPr>
          <w:rFonts w:hint="eastAsia" w:ascii="宋体" w:hAnsi="宋体" w:cs="宋体"/>
          <w:sz w:val="24"/>
          <w:szCs w:val="20"/>
          <w:highlight w:val="none"/>
          <w:u w:val="single"/>
          <w:lang w:val="zh-CN"/>
        </w:rPr>
        <w:t xml:space="preserve"> （应明确按照绩效激励方式的支付方式和支付条件）</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  </w:t>
      </w:r>
      <w:r/>
    </w:p>
    <w:p>
      <w:pPr>
        <w:ind w:firstLine="482"/>
        <w:spacing w:line="520" w:lineRule="exact"/>
        <w:widowControl/>
        <w:rPr>
          <w:rFonts w:ascii="宋体" w:hAnsi="宋体" w:cs="宋体"/>
          <w:b/>
          <w:bCs/>
          <w:sz w:val="24"/>
          <w:highlight w:val="none"/>
          <w:lang w:val="zh-CN"/>
        </w:rPr>
      </w:pPr>
      <w:r>
        <w:rPr>
          <w:rFonts w:hint="eastAsia" w:ascii="宋体" w:hAnsi="宋体" w:cs="宋体"/>
          <w:b/>
          <w:bCs/>
          <w:sz w:val="24"/>
          <w:szCs w:val="20"/>
          <w:highlight w:val="none"/>
        </w:rPr>
        <w:t xml:space="preserve">3.</w:t>
      </w:r>
      <w:r>
        <w:rPr>
          <w:rFonts w:hint="eastAsia" w:ascii="宋体" w:hAnsi="宋体" w:cs="宋体"/>
          <w:b/>
          <w:bCs/>
          <w:sz w:val="24"/>
          <w:szCs w:val="20"/>
          <w:highlight w:val="none"/>
          <w:lang w:val="zh-CN"/>
        </w:rPr>
        <w:t xml:space="preserve">合同履行</w:t>
      </w:r>
      <w:r/>
    </w:p>
    <w:p>
      <w:pPr>
        <w:ind w:firstLine="480"/>
        <w:spacing w:line="520" w:lineRule="exact"/>
        <w:widowControl/>
        <w:rPr>
          <w:rFonts w:ascii="宋体" w:hAnsi="宋体" w:cs="宋体"/>
          <w:sz w:val="24"/>
          <w:highlight w:val="none"/>
        </w:rPr>
      </w:pPr>
      <w:r>
        <w:rPr>
          <w:rFonts w:hint="eastAsia" w:ascii="宋体" w:hAnsi="宋体" w:cs="宋体"/>
          <w:sz w:val="24"/>
          <w:szCs w:val="20"/>
          <w:highlight w:val="none"/>
          <w:lang w:val="zh-CN"/>
        </w:rPr>
        <w:t xml:space="preserve">（1）起始日期：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（2）履约地点：</w:t>
      </w:r>
      <w:r>
        <w:rPr>
          <w:rFonts w:hint="eastAsia" w:ascii="宋体" w:hAnsi="宋体" w:cs="宋体"/>
          <w:bCs/>
          <w:sz w:val="24"/>
          <w:highlight w:val="none"/>
          <w:u w:val="single"/>
        </w:rPr>
        <w:t xml:space="preserve">盐城体育运动学校新校区</w:t>
      </w:r>
      <w:r/>
    </w:p>
    <w:p>
      <w:pPr>
        <w:ind w:firstLine="480"/>
        <w:spacing w:line="520" w:lineRule="exact"/>
        <w:widowControl/>
        <w:rPr>
          <w:rFonts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firstLine="482"/>
        <w:jc w:val="left"/>
        <w:spacing w:line="560" w:lineRule="exact"/>
        <w:widowControl/>
        <w:rPr>
          <w:rFonts w:ascii="宋体" w:hAnsi="宋体" w:eastAsia="Arial" w:cs="宋体"/>
          <w:sz w:val="24"/>
          <w:szCs w:val="20"/>
          <w:highlight w:val="none"/>
        </w:rPr>
      </w:pPr>
      <w:r>
        <w:rPr>
          <w:rFonts w:hint="eastAsia" w:ascii="宋体" w:hAnsi="宋体" w:cs="宋体"/>
          <w:sz w:val="24"/>
          <w:highlight w:val="none"/>
        </w:rPr>
        <w:t xml:space="preserve">    </w:t>
      </w:r>
      <w:r>
        <w:rPr>
          <w:rFonts w:hint="eastAsia" w:ascii="宋体" w:hAnsi="宋体" w:cs="宋体"/>
          <w:sz w:val="24"/>
          <w:szCs w:val="20"/>
          <w:highlight w:val="none"/>
        </w:rPr>
        <w:t xml:space="preserve"> </w:t>
      </w:r>
      <w:r>
        <w:rPr>
          <w:rFonts w:hint="eastAsia" w:ascii="宋体" w:hAnsi="宋体" w:eastAsia="Arial" w:cs="宋体"/>
          <w:sz w:val="24"/>
          <w:szCs w:val="20"/>
          <w:highlight w:val="none"/>
        </w:rPr>
        <w:t xml:space="preserve">收取履约保证金形式：</w:t>
      </w:r>
      <w:r>
        <w:rPr>
          <w:rFonts w:hint="eastAsia" w:ascii="宋体" w:hAnsi="宋体" w:eastAsia="Arial" w:cs="宋体"/>
          <w:sz w:val="24"/>
          <w:szCs w:val="20"/>
          <w:highlight w:val="none"/>
          <w:u w:val="single"/>
        </w:rPr>
        <w:t xml:space="preserve">       见3.（4）      </w:t>
      </w:r>
      <w:r>
        <w:rPr>
          <w:rFonts w:hint="eastAsia" w:ascii="宋体" w:hAnsi="宋体" w:eastAsia="Arial" w:cs="宋体"/>
          <w:sz w:val="24"/>
          <w:szCs w:val="20"/>
          <w:highlight w:val="none"/>
        </w:rPr>
        <w:t xml:space="preserve">                                                           </w:t>
      </w:r>
      <w:r/>
    </w:p>
    <w:p>
      <w:pPr>
        <w:ind w:firstLine="1027"/>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收取履约保证金金额：</w:t>
      </w:r>
      <w:r>
        <w:rPr>
          <w:rFonts w:hint="eastAsia" w:ascii="宋体" w:hAnsi="宋体" w:eastAsia="Arial" w:cs="宋体"/>
          <w:sz w:val="24"/>
          <w:szCs w:val="20"/>
          <w:highlight w:val="none"/>
          <w:u w:val="single"/>
        </w:rPr>
        <w:t xml:space="preserve">       </w:t>
      </w:r>
      <w:bookmarkStart w:id="158" w:name="OLE_LINK80"/>
      <w:r/>
      <w:bookmarkStart w:id="159" w:name="OLE_LINK79"/>
      <w:r>
        <w:rPr>
          <w:rFonts w:hint="eastAsia" w:ascii="宋体" w:hAnsi="宋体" w:eastAsia="Arial" w:cs="宋体"/>
          <w:sz w:val="24"/>
          <w:szCs w:val="20"/>
          <w:highlight w:val="none"/>
          <w:u w:val="single"/>
        </w:rPr>
        <w:t xml:space="preserve">合同价的10%</w:t>
      </w:r>
      <w:bookmarkEnd w:id="158"/>
      <w:r/>
      <w:bookmarkEnd w:id="159"/>
      <w:r>
        <w:rPr>
          <w:rFonts w:hint="eastAsia" w:ascii="宋体" w:hAnsi="宋体" w:eastAsia="Arial" w:cs="宋体"/>
          <w:sz w:val="24"/>
          <w:szCs w:val="20"/>
          <w:highlight w:val="none"/>
          <w:u w:val="single"/>
        </w:rPr>
        <w:t xml:space="preserve">     </w:t>
      </w:r>
      <w:r>
        <w:rPr>
          <w:rFonts w:hint="eastAsia" w:ascii="宋体" w:hAnsi="宋体" w:eastAsia="Arial" w:cs="宋体"/>
          <w:sz w:val="24"/>
          <w:szCs w:val="20"/>
          <w:highlight w:val="none"/>
        </w:rPr>
        <w:t xml:space="preserve">                                                          </w:t>
      </w:r>
      <w:r/>
    </w:p>
    <w:p>
      <w:pPr>
        <w:ind w:firstLine="1027"/>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履约担保期限：</w:t>
      </w:r>
      <w:r>
        <w:rPr>
          <w:rFonts w:hint="eastAsia" w:ascii="宋体" w:hAnsi="宋体" w:eastAsia="宋体" w:cs="宋体"/>
          <w:sz w:val="24"/>
          <w:szCs w:val="20"/>
          <w:highlight w:val="none"/>
          <w:u w:val="single"/>
        </w:rPr>
        <w:t xml:space="preserve">                              </w:t>
      </w:r>
      <w:r>
        <w:rPr>
          <w:rFonts w:hint="eastAsia" w:ascii="宋体" w:hAnsi="宋体" w:eastAsia="Arial" w:cs="宋体"/>
          <w:sz w:val="24"/>
          <w:szCs w:val="20"/>
          <w:highlight w:val="none"/>
        </w:rPr>
        <w:t xml:space="preserve">                               </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w:t>
      </w:r>
      <w:r>
        <w:rPr>
          <w:rFonts w:hint="eastAsia" w:ascii="宋体" w:hAnsi="宋体" w:eastAsia="Arial" w:cs="宋体"/>
          <w:sz w:val="24"/>
          <w:szCs w:val="20"/>
          <w:highlight w:val="none"/>
        </w:rPr>
        <w:t xml:space="preserve">4</w:t>
      </w:r>
      <w:r>
        <w:rPr>
          <w:rFonts w:hint="eastAsia" w:ascii="宋体" w:hAnsi="宋体" w:eastAsia="Arial" w:cs="宋体"/>
          <w:sz w:val="24"/>
          <w:szCs w:val="20"/>
          <w:highlight w:val="none"/>
          <w:lang w:val="zh-CN"/>
        </w:rPr>
        <w:t xml:space="preserve">）确需收取履约保证金的，履约保证金的缴纳形式：</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cs="宋体"/>
          <w:b/>
          <w:bCs/>
          <w:sz w:val="24"/>
          <w:szCs w:val="20"/>
          <w:highlight w:val="none"/>
          <w:lang w:val="zh-CN"/>
        </w:rPr>
      </w:pPr>
      <w:r>
        <w:rPr>
          <w:rFonts w:hint="eastAsia" w:ascii="宋体" w:hAnsi="宋体" w:eastAsia="Arial" w:cs="宋体"/>
          <w:b/>
          <w:bCs/>
          <w:sz w:val="24"/>
          <w:szCs w:val="20"/>
          <w:highlight w:val="none"/>
        </w:rPr>
        <w:t xml:space="preserve">履约保证金金额为合同金额的10%，采购人对第三方信用服务机构依据标准规范评定为 AA 级政府采购供应商</w:t>
      </w:r>
      <w:r>
        <w:rPr>
          <w:rFonts w:hint="eastAsia" w:ascii="宋体" w:hAnsi="宋体" w:eastAsia="Arial" w:cs="宋体"/>
          <w:b/>
          <w:bCs/>
          <w:sz w:val="24"/>
          <w:szCs w:val="20"/>
          <w:highlight w:val="none"/>
          <w:lang w:val="zh-CN"/>
        </w:rPr>
        <w:t xml:space="preserve">（需在签订采购合同前提供信用管理 部门备案的第三方信用报告，且信用报告通过“信用盐城网”可查实），降低履约保证金缴纳比例为5%。  </w:t>
      </w:r>
      <w:r>
        <w:rPr>
          <w:rFonts w:hint="eastAsia" w:ascii="宋体" w:hAnsi="宋体" w:cs="宋体"/>
          <w:b/>
          <w:bCs/>
          <w:sz w:val="24"/>
          <w:szCs w:val="20"/>
          <w:highlight w:val="none"/>
          <w:lang w:val="zh-CN"/>
        </w:rPr>
        <w:t xml:space="preserve">                                  </w:t>
      </w:r>
      <w:r/>
    </w:p>
    <w:p>
      <w:pPr>
        <w:numPr>
          <w:ilvl w:val="0"/>
          <w:numId w:val="4"/>
        </w:numPr>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分期履行要求：</w:t>
      </w:r>
      <w:r>
        <w:rPr>
          <w:rFonts w:hint="eastAsia" w:ascii="宋体" w:hAnsi="宋体" w:cs="宋体"/>
          <w:sz w:val="24"/>
          <w:szCs w:val="20"/>
          <w:highlight w:val="none"/>
          <w:u w:val="single"/>
        </w:rPr>
        <w:t xml:space="preserve">                           </w:t>
      </w:r>
      <w:r/>
    </w:p>
    <w:p>
      <w:pPr>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（6）风险处置措施和替代方案：</w:t>
      </w:r>
      <w:r>
        <w:rPr>
          <w:rFonts w:hint="eastAsia" w:ascii="宋体" w:hAnsi="宋体" w:cs="宋体"/>
          <w:sz w:val="24"/>
          <w:szCs w:val="20"/>
          <w:highlight w:val="none"/>
          <w:u w:val="single"/>
        </w:rPr>
        <w:t xml:space="preserve">                 </w:t>
      </w:r>
      <w:r/>
    </w:p>
    <w:p>
      <w:pPr>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rPr>
        <w:t xml:space="preserve">4.</w:t>
      </w:r>
      <w:r>
        <w:rPr>
          <w:rFonts w:hint="eastAsia" w:ascii="宋体" w:hAnsi="宋体" w:cs="宋体"/>
          <w:b/>
          <w:bCs/>
          <w:sz w:val="24"/>
          <w:szCs w:val="20"/>
          <w:highlight w:val="none"/>
          <w:lang w:val="zh-CN"/>
        </w:rPr>
        <w:t xml:space="preserve">合同验收</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w:t>
      </w:r>
      <w:r>
        <w:rPr>
          <w:rFonts w:hint="eastAsia" w:ascii="宋体" w:hAnsi="宋体" w:cs="宋体"/>
          <w:sz w:val="24"/>
          <w:szCs w:val="20"/>
          <w:highlight w:val="none"/>
        </w:rPr>
        <w:t xml:space="preserve">1</w:t>
      </w:r>
      <w:r>
        <w:rPr>
          <w:rFonts w:hint="eastAsia" w:ascii="宋体" w:hAnsi="宋体" w:cs="宋体"/>
          <w:sz w:val="24"/>
          <w:szCs w:val="20"/>
          <w:highlight w:val="none"/>
          <w:lang w:val="zh-CN"/>
        </w:rPr>
        <w:t xml:space="preserve">）验收组织方式：</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自行组织</w:t>
      </w:r>
      <w:r>
        <w:rPr>
          <w:rFonts w:hint="eastAsia" w:ascii="宋体" w:hAnsi="宋体" w:cs="宋体"/>
          <w:sz w:val="24"/>
          <w:szCs w:val="20"/>
          <w:highlight w:val="none"/>
        </w:rPr>
        <w:t xml:space="preserve">  </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委托第三方组织</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验收主体：</w:t>
      </w:r>
      <w:r>
        <w:rPr>
          <w:rFonts w:hint="eastAsia" w:ascii="宋体" w:hAnsi="宋体" w:eastAsia="Arial" w:cs="宋体"/>
          <w:sz w:val="24"/>
          <w:szCs w:val="20"/>
          <w:highlight w:val="none"/>
        </w:rPr>
        <w:t xml:space="preserve">                 </w:t>
      </w:r>
      <w:r>
        <w:rPr>
          <w:rFonts w:hint="eastAsia" w:ascii="宋体" w:hAnsi="宋体" w:eastAsia="Arial" w:cs="宋体"/>
          <w:sz w:val="24"/>
          <w:szCs w:val="20"/>
          <w:highlight w:val="none"/>
          <w:lang w:val="zh-CN"/>
        </w:rPr>
        <w:t xml:space="preserve">                           </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eastAsia="Arial" w:cs="宋体"/>
          <w:sz w:val="24"/>
          <w:szCs w:val="20"/>
          <w:highlight w:val="none"/>
          <w:lang w:val="zh-CN"/>
        </w:rPr>
        <w:t xml:space="preserve">是  </w:t>
      </w:r>
      <w:r>
        <w:rPr>
          <w:rFonts w:ascii="Wingdings" w:hAnsi="Wingdings" w:eastAsia="Wingdings" w:cs="Wingdings"/>
          <w:sz w:val="24"/>
          <w:highlight w:val="none"/>
        </w:rPr>
        <w:t xml:space="preserve"></w:t>
      </w:r>
      <w:r>
        <w:rPr>
          <w:rFonts w:hint="eastAsia" w:ascii="宋体" w:hAnsi="宋体" w:eastAsia="Arial" w:cs="宋体"/>
          <w:sz w:val="24"/>
          <w:szCs w:val="20"/>
          <w:highlight w:val="none"/>
          <w:lang w:val="zh-CN"/>
        </w:rPr>
        <w:t xml:space="preserve">否</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是否邀请专家参加验收：</w:t>
      </w:r>
      <w:r>
        <w:rPr>
          <w:rFonts w:ascii="Wingdings" w:hAnsi="Wingdings" w:eastAsia="Wingdings" w:cs="Wingdings"/>
          <w:sz w:val="24"/>
          <w:highlight w:val="none"/>
        </w:rPr>
        <w:t xml:space="preserve"></w:t>
      </w:r>
      <w:r>
        <w:rPr>
          <w:rFonts w:hint="eastAsia" w:ascii="宋体" w:hAnsi="宋体" w:eastAsia="Arial" w:cs="宋体"/>
          <w:sz w:val="24"/>
          <w:szCs w:val="20"/>
          <w:highlight w:val="none"/>
          <w:lang w:val="zh-CN"/>
        </w:rPr>
        <w:t xml:space="preserve">是  </w:t>
      </w:r>
      <w:r>
        <w:rPr>
          <w:rFonts w:ascii="Wingdings" w:hAnsi="Wingdings" w:eastAsia="Wingdings" w:cs="Wingdings"/>
          <w:sz w:val="24"/>
          <w:highlight w:val="none"/>
        </w:rPr>
        <w:t xml:space="preserve"></w:t>
      </w:r>
      <w:r>
        <w:rPr>
          <w:rFonts w:hint="eastAsia" w:ascii="宋体" w:hAnsi="宋体" w:eastAsia="Arial" w:cs="宋体"/>
          <w:sz w:val="24"/>
          <w:szCs w:val="20"/>
          <w:highlight w:val="none"/>
          <w:lang w:val="zh-CN"/>
        </w:rPr>
        <w:t xml:space="preserve">否</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是否邀请服务对象参加验收：</w:t>
      </w:r>
      <w:r>
        <w:rPr>
          <w:rFonts w:ascii="Wingdings" w:hAnsi="Wingdings" w:eastAsia="Wingdings" w:cs="Wingdings"/>
          <w:sz w:val="24"/>
          <w:highlight w:val="none"/>
        </w:rPr>
        <w:t xml:space="preserve"></w:t>
      </w:r>
      <w:r>
        <w:rPr>
          <w:rFonts w:hint="eastAsia" w:ascii="宋体" w:hAnsi="宋体" w:eastAsia="Arial" w:cs="宋体"/>
          <w:sz w:val="24"/>
          <w:szCs w:val="20"/>
          <w:highlight w:val="none"/>
          <w:lang w:val="zh-CN"/>
        </w:rPr>
        <w:t xml:space="preserve">是  </w:t>
      </w:r>
      <w:r>
        <w:rPr>
          <w:rFonts w:ascii="Wingdings" w:hAnsi="Wingdings" w:eastAsia="Wingdings" w:cs="Wingdings"/>
          <w:sz w:val="24"/>
          <w:highlight w:val="none"/>
        </w:rPr>
        <w:t xml:space="preserve"></w:t>
      </w:r>
      <w:r>
        <w:rPr>
          <w:rFonts w:hint="eastAsia" w:ascii="宋体" w:hAnsi="宋体" w:eastAsia="Arial" w:cs="宋体"/>
          <w:sz w:val="24"/>
          <w:szCs w:val="20"/>
          <w:highlight w:val="none"/>
          <w:lang w:val="zh-CN"/>
        </w:rPr>
        <w:t xml:space="preserve">否</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是否邀请第三方检测机构参加验收：</w:t>
      </w:r>
      <w:r>
        <w:rPr>
          <w:rFonts w:ascii="Wingdings" w:hAnsi="Wingdings" w:eastAsia="Wingdings" w:cs="Wingdings"/>
          <w:sz w:val="24"/>
          <w:highlight w:val="none"/>
        </w:rPr>
        <w:t xml:space="preserve"></w:t>
      </w:r>
      <w:r>
        <w:rPr>
          <w:rFonts w:hint="eastAsia" w:ascii="宋体" w:hAnsi="宋体" w:eastAsia="Arial" w:cs="宋体"/>
          <w:sz w:val="24"/>
          <w:szCs w:val="20"/>
          <w:highlight w:val="none"/>
          <w:lang w:val="zh-CN"/>
        </w:rPr>
        <w:t xml:space="preserve">是  </w:t>
      </w:r>
      <w:r>
        <w:rPr>
          <w:rFonts w:ascii="Wingdings" w:hAnsi="Wingdings" w:eastAsia="Wingdings" w:cs="Wingdings"/>
          <w:sz w:val="24"/>
          <w:highlight w:val="none"/>
        </w:rPr>
        <w:t xml:space="preserve"></w:t>
      </w:r>
      <w:r>
        <w:rPr>
          <w:rFonts w:hint="eastAsia" w:ascii="宋体" w:hAnsi="宋体" w:eastAsia="Arial" w:cs="宋体"/>
          <w:sz w:val="24"/>
          <w:szCs w:val="20"/>
          <w:highlight w:val="none"/>
          <w:lang w:val="zh-CN"/>
        </w:rPr>
        <w:t xml:space="preserve">否</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是否进行抽查检测：是，抽查比例：</w:t>
      </w:r>
      <w:r>
        <w:rPr>
          <w:rFonts w:hint="eastAsia" w:ascii="宋体" w:hAnsi="宋体" w:eastAsia="Arial" w:cs="宋体"/>
          <w:sz w:val="24"/>
          <w:szCs w:val="20"/>
          <w:highlight w:val="none"/>
          <w:u w:val="single"/>
          <w:lang w:val="zh-CN"/>
        </w:rPr>
        <w:t xml:space="preserve">         </w:t>
      </w:r>
      <w:r>
        <w:rPr>
          <w:rFonts w:hint="eastAsia" w:ascii="宋体" w:hAnsi="宋体" w:eastAsia="Arial" w:cs="宋体"/>
          <w:sz w:val="24"/>
          <w:szCs w:val="20"/>
          <w:highlight w:val="none"/>
          <w:u w:val="none"/>
          <w:lang w:val="zh-CN"/>
        </w:rPr>
        <w:t xml:space="preserve"></w:t>
      </w:r>
      <w:r>
        <w:rPr>
          <w:rFonts w:hint="eastAsia" w:ascii="宋体" w:hAnsi="宋体" w:eastAsia="宋体" w:cs="宋体"/>
          <w:sz w:val="24"/>
          <w:szCs w:val="20"/>
          <w:highlight w:val="none"/>
          <w:u w:val="none"/>
        </w:rPr>
        <w:t xml:space="preserve"> </w:t>
      </w:r>
      <w:r>
        <w:rPr>
          <w:rFonts w:hint="eastAsia" w:ascii="宋体" w:hAnsi="宋体" w:eastAsia="Arial" w:cs="宋体"/>
          <w:sz w:val="24"/>
          <w:szCs w:val="20"/>
          <w:highlight w:val="none"/>
          <w:lang w:val="zh-CN"/>
        </w:rPr>
        <w:t xml:space="preserve">否</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是否存在破坏性检测：</w:t>
      </w:r>
      <w:r>
        <w:rPr>
          <w:rFonts w:ascii="Wingdings" w:hAnsi="Wingdings" w:eastAsia="Wingdings" w:cs="Wingdings"/>
          <w:sz w:val="24"/>
          <w:highlight w:val="none"/>
        </w:rPr>
        <w:t xml:space="preserve"></w:t>
      </w:r>
      <w:r>
        <w:rPr>
          <w:rFonts w:hint="eastAsia" w:ascii="宋体" w:hAnsi="宋体" w:eastAsia="Arial" w:cs="宋体"/>
          <w:sz w:val="24"/>
          <w:szCs w:val="20"/>
          <w:highlight w:val="none"/>
          <w:lang w:val="zh-CN"/>
        </w:rPr>
        <w:t xml:space="preserve">是，（应明确对被破坏的检测产品的处理方式         否</w:t>
      </w:r>
      <w:r/>
    </w:p>
    <w:p>
      <w:pPr>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验收组织的其他事项：</w:t>
      </w:r>
      <w:r>
        <w:rPr>
          <w:rFonts w:hint="eastAsia" w:ascii="宋体" w:hAnsi="宋体" w:cs="宋体"/>
          <w:sz w:val="24"/>
          <w:szCs w:val="20"/>
          <w:highlight w:val="none"/>
          <w:u w:val="single"/>
        </w:rPr>
        <w:t xml:space="preserve">             </w:t>
      </w:r>
      <w:r/>
    </w:p>
    <w:p>
      <w:pPr>
        <w:ind w:firstLine="480"/>
        <w:spacing w:line="520" w:lineRule="exact"/>
        <w:widowControl/>
        <w:rPr>
          <w:rFonts w:ascii="宋体" w:hAnsi="宋体" w:cs="宋体"/>
          <w:sz w:val="24"/>
          <w:szCs w:val="20"/>
          <w:highlight w:val="none"/>
          <w:u w:val="single"/>
          <w:lang w:val="zh-CN"/>
        </w:rPr>
      </w:pPr>
      <w:r>
        <w:rPr>
          <w:rFonts w:hint="eastAsia" w:ascii="宋体" w:hAnsi="宋体" w:cs="宋体"/>
          <w:sz w:val="24"/>
          <w:szCs w:val="20"/>
          <w:highlight w:val="none"/>
          <w:lang w:val="zh-CN"/>
        </w:rPr>
        <w:t xml:space="preserve">（2）履约验收时间：</w:t>
      </w:r>
      <w:r>
        <w:rPr>
          <w:rFonts w:hint="eastAsia" w:ascii="宋体" w:hAnsi="宋体" w:cs="宋体"/>
          <w:sz w:val="24"/>
          <w:szCs w:val="20"/>
          <w:highlight w:val="none"/>
          <w:u w:val="single"/>
          <w:lang w:val="zh-CN"/>
        </w:rPr>
        <w:t xml:space="preserve">（计划于何时验收/供应商提出验收申请之日起   日内组织验收）</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（3）履约验收方式：</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一次性验收         </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w:t>
      </w:r>
      <w:r>
        <w:rPr>
          <w:rFonts w:hint="eastAsia" w:ascii="宋体" w:hAnsi="宋体" w:cs="宋体"/>
          <w:sz w:val="24"/>
          <w:szCs w:val="20"/>
          <w:highlight w:val="none"/>
        </w:rPr>
        <w:t xml:space="preserve">                 </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分期/分项验收：</w:t>
      </w:r>
      <w:r>
        <w:rPr>
          <w:rFonts w:hint="eastAsia" w:ascii="宋体" w:hAnsi="宋体" w:cs="宋体"/>
          <w:sz w:val="24"/>
          <w:szCs w:val="20"/>
          <w:highlight w:val="none"/>
          <w:u w:val="single"/>
          <w:lang w:val="zh-CN"/>
        </w:rPr>
        <w:t xml:space="preserve">（应明确分期/分项验收的工作安排）</w:t>
      </w:r>
      <w:r/>
    </w:p>
    <w:p>
      <w:pPr>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（4）履约验收程序：</w:t>
      </w:r>
      <w:r>
        <w:rPr>
          <w:rFonts w:hint="eastAsia" w:ascii="宋体" w:hAnsi="宋体" w:cs="宋体"/>
          <w:sz w:val="24"/>
          <w:szCs w:val="20"/>
          <w:highlight w:val="none"/>
          <w:u w:val="single"/>
        </w:rPr>
        <w:t xml:space="preserve">                                                 </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（5）履约验收的内容：</w:t>
      </w:r>
      <w:r>
        <w:rPr>
          <w:rFonts w:hint="eastAsia" w:ascii="宋体" w:hAnsi="宋体" w:cs="宋体"/>
          <w:sz w:val="24"/>
          <w:szCs w:val="20"/>
          <w:highlight w:val="none"/>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（6）履约验收标准：</w:t>
      </w:r>
      <w:r>
        <w:rPr>
          <w:rFonts w:hint="eastAsia" w:ascii="宋体" w:hAnsi="宋体" w:cs="宋体"/>
          <w:sz w:val="24"/>
          <w:szCs w:val="20"/>
          <w:highlight w:val="none"/>
          <w:u w:val="single"/>
        </w:rPr>
        <w:t xml:space="preserve">                                               </w:t>
      </w:r>
      <w:r/>
    </w:p>
    <w:p>
      <w:p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（7）是否以采购活动中供应商提供的样品作为参考：</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否</w:t>
      </w:r>
      <w:r/>
    </w:p>
    <w:p>
      <w:pPr>
        <w:ind w:firstLine="480"/>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（8）履约验收其他事项：</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zh-CN"/>
        </w:rPr>
        <w:t xml:space="preserve">（产权过户登记等）</w:t>
      </w:r>
      <w:r>
        <w:rPr>
          <w:rFonts w:hint="eastAsia" w:ascii="宋体" w:hAnsi="宋体" w:cs="宋体"/>
          <w:sz w:val="24"/>
          <w:szCs w:val="20"/>
          <w:highlight w:val="none"/>
          <w:u w:val="single"/>
        </w:rPr>
        <w:t xml:space="preserve">        </w:t>
      </w:r>
      <w:r/>
    </w:p>
    <w:p>
      <w:pPr>
        <w:ind w:firstLine="482"/>
        <w:jc w:val="left"/>
        <w:spacing w:line="560" w:lineRule="exact"/>
        <w:widowControl/>
        <w:rPr>
          <w:rFonts w:ascii="宋体" w:hAnsi="宋体" w:eastAsia="Arial" w:cs="宋体"/>
          <w:b/>
          <w:bCs/>
          <w:sz w:val="24"/>
          <w:szCs w:val="20"/>
          <w:highlight w:val="none"/>
          <w:lang w:val="zh-CN"/>
        </w:rPr>
      </w:pPr>
      <w:r>
        <w:rPr>
          <w:rFonts w:hint="eastAsia" w:ascii="宋体" w:hAnsi="宋体" w:eastAsia="Arial" w:cs="宋体"/>
          <w:b/>
          <w:bCs/>
          <w:sz w:val="24"/>
          <w:szCs w:val="20"/>
          <w:highlight w:val="none"/>
          <w:lang w:val="zh-CN"/>
        </w:rPr>
        <w:t xml:space="preserve">5.组成合同的文件</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本协议书与下列文件一起构成合同文件，如下述文件之间有任何抵触、矛盾或歧义，应按以下顺序解释：</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（1）政府采购合同协议书及其变更、补充协议</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（2）政府采购合同专用条款</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（3）政府采购合同通用条款</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（4）中标（成交）通知书</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（5）投标（响应）文件</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（6）采购文件</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（7）有关技术文件，图纸</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（8）国家法律、行政法规和规章制度规定或合同约定的作为合同组成部分的其他文件</w:t>
      </w:r>
      <w:r/>
    </w:p>
    <w:p>
      <w:pPr>
        <w:ind w:firstLine="482"/>
        <w:jc w:val="left"/>
        <w:spacing w:line="560" w:lineRule="exact"/>
        <w:widowControl/>
        <w:rPr>
          <w:rFonts w:ascii="宋体" w:hAnsi="宋体" w:eastAsia="Arial" w:cs="宋体"/>
          <w:b/>
          <w:bCs/>
          <w:sz w:val="24"/>
          <w:szCs w:val="20"/>
          <w:highlight w:val="none"/>
          <w:lang w:val="zh-CN"/>
        </w:rPr>
      </w:pPr>
      <w:r>
        <w:rPr>
          <w:rFonts w:hint="eastAsia" w:ascii="宋体" w:hAnsi="宋体" w:eastAsia="Arial" w:cs="宋体"/>
          <w:b/>
          <w:bCs/>
          <w:sz w:val="24"/>
          <w:szCs w:val="20"/>
          <w:highlight w:val="none"/>
          <w:lang w:val="zh-CN"/>
        </w:rPr>
        <w:t xml:space="preserve">6.合同生效</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本合同自</w:t>
      </w:r>
      <w:r>
        <w:rPr>
          <w:rFonts w:hint="eastAsia" w:ascii="宋体" w:hAnsi="宋体" w:eastAsia="Arial" w:cs="宋体"/>
          <w:sz w:val="24"/>
          <w:szCs w:val="20"/>
          <w:highlight w:val="none"/>
          <w:u w:val="single"/>
          <w:lang w:val="zh-CN"/>
        </w:rPr>
        <w:t xml:space="preserve">    </w:t>
      </w:r>
      <w:r>
        <w:rPr>
          <w:rFonts w:hint="eastAsia" w:ascii="宋体" w:hAnsi="宋体" w:eastAsia="Arial" w:cs="宋体"/>
          <w:sz w:val="24"/>
          <w:szCs w:val="20"/>
          <w:highlight w:val="none"/>
          <w:lang w:val="zh-CN"/>
        </w:rPr>
        <w:t xml:space="preserve">年</w:t>
      </w:r>
      <w:r>
        <w:rPr>
          <w:rFonts w:hint="eastAsia" w:ascii="宋体" w:hAnsi="宋体" w:eastAsia="Arial" w:cs="宋体"/>
          <w:sz w:val="24"/>
          <w:szCs w:val="20"/>
          <w:highlight w:val="none"/>
          <w:u w:val="single"/>
          <w:lang w:val="zh-CN"/>
        </w:rPr>
        <w:t xml:space="preserve">    </w:t>
      </w:r>
      <w:r>
        <w:rPr>
          <w:rFonts w:hint="eastAsia" w:ascii="宋体" w:hAnsi="宋体" w:eastAsia="Arial" w:cs="宋体"/>
          <w:sz w:val="24"/>
          <w:szCs w:val="20"/>
          <w:highlight w:val="none"/>
          <w:lang w:val="zh-CN"/>
        </w:rPr>
        <w:t xml:space="preserve">月</w:t>
      </w:r>
      <w:r>
        <w:rPr>
          <w:rFonts w:hint="eastAsia" w:ascii="宋体" w:hAnsi="宋体" w:eastAsia="Arial" w:cs="宋体"/>
          <w:sz w:val="24"/>
          <w:szCs w:val="20"/>
          <w:highlight w:val="none"/>
          <w:u w:val="single"/>
          <w:lang w:val="zh-CN"/>
        </w:rPr>
        <w:t xml:space="preserve">    </w:t>
      </w:r>
      <w:r>
        <w:rPr>
          <w:rFonts w:hint="eastAsia" w:ascii="宋体" w:hAnsi="宋体" w:eastAsia="Arial" w:cs="宋体"/>
          <w:sz w:val="24"/>
          <w:szCs w:val="20"/>
          <w:highlight w:val="none"/>
          <w:lang w:val="zh-CN"/>
        </w:rPr>
        <w:t xml:space="preserve">日生效。</w:t>
      </w:r>
      <w:r/>
    </w:p>
    <w:p>
      <w:pPr>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7.合同份数</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本合同一式</w:t>
      </w:r>
      <w:r>
        <w:rPr>
          <w:rFonts w:hint="eastAsia" w:ascii="宋体" w:hAnsi="宋体" w:eastAsia="宋体" w:cs="宋体"/>
          <w:sz w:val="24"/>
          <w:szCs w:val="20"/>
          <w:highlight w:val="none"/>
          <w:u w:val="single"/>
        </w:rPr>
        <w:t xml:space="preserve">肆</w:t>
      </w:r>
      <w:r>
        <w:rPr>
          <w:rFonts w:hint="eastAsia" w:ascii="宋体" w:hAnsi="宋体" w:eastAsia="Arial" w:cs="宋体"/>
          <w:sz w:val="24"/>
          <w:szCs w:val="20"/>
          <w:highlight w:val="none"/>
          <w:lang w:val="zh-CN"/>
        </w:rPr>
        <w:t xml:space="preserve">份，甲方执</w:t>
      </w:r>
      <w:r>
        <w:rPr>
          <w:rFonts w:hint="eastAsia" w:ascii="宋体" w:hAnsi="宋体" w:eastAsia="宋体" w:cs="宋体"/>
          <w:sz w:val="24"/>
          <w:szCs w:val="20"/>
          <w:highlight w:val="none"/>
          <w:u w:val="single"/>
        </w:rPr>
        <w:t xml:space="preserve">贰</w:t>
      </w:r>
      <w:r>
        <w:rPr>
          <w:rFonts w:hint="eastAsia" w:ascii="宋体" w:hAnsi="宋体" w:eastAsia="Arial" w:cs="宋体"/>
          <w:sz w:val="24"/>
          <w:szCs w:val="20"/>
          <w:highlight w:val="none"/>
          <w:lang w:val="zh-CN"/>
        </w:rPr>
        <w:t xml:space="preserve">份，乙方执</w:t>
      </w:r>
      <w:r>
        <w:rPr>
          <w:rFonts w:hint="eastAsia" w:ascii="宋体" w:hAnsi="宋体" w:eastAsia="宋体" w:cs="宋体"/>
          <w:sz w:val="24"/>
          <w:szCs w:val="20"/>
          <w:highlight w:val="none"/>
          <w:u w:val="single"/>
        </w:rPr>
        <w:t xml:space="preserve">贰</w:t>
      </w:r>
      <w:r>
        <w:rPr>
          <w:rFonts w:hint="eastAsia" w:ascii="宋体" w:hAnsi="宋体" w:eastAsia="Arial" w:cs="宋体"/>
          <w:sz w:val="24"/>
          <w:szCs w:val="20"/>
          <w:highlight w:val="none"/>
          <w:lang w:val="zh-CN"/>
        </w:rPr>
        <w:t xml:space="preserve">份，均具有同等法律效力。</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合同订立时间：</w:t>
      </w:r>
      <w:r>
        <w:rPr>
          <w:rFonts w:hint="eastAsia" w:ascii="宋体" w:hAnsi="宋体" w:eastAsia="Arial" w:cs="宋体"/>
          <w:sz w:val="24"/>
          <w:szCs w:val="20"/>
          <w:highlight w:val="none"/>
          <w:u w:val="single"/>
          <w:lang w:val="zh-CN"/>
        </w:rPr>
        <w:t xml:space="preserve">    </w:t>
      </w:r>
      <w:r>
        <w:rPr>
          <w:rFonts w:hint="eastAsia" w:ascii="宋体" w:hAnsi="宋体" w:eastAsia="Arial" w:cs="宋体"/>
          <w:sz w:val="24"/>
          <w:szCs w:val="20"/>
          <w:highlight w:val="none"/>
          <w:lang w:val="zh-CN"/>
        </w:rPr>
        <w:t xml:space="preserve">年 </w:t>
      </w:r>
      <w:r>
        <w:rPr>
          <w:rFonts w:hint="eastAsia" w:ascii="宋体" w:hAnsi="宋体" w:eastAsia="Arial" w:cs="宋体"/>
          <w:sz w:val="24"/>
          <w:szCs w:val="20"/>
          <w:highlight w:val="none"/>
          <w:u w:val="single"/>
          <w:lang w:val="zh-CN"/>
        </w:rPr>
        <w:t xml:space="preserve">    </w:t>
      </w:r>
      <w:r>
        <w:rPr>
          <w:rFonts w:hint="eastAsia" w:ascii="宋体" w:hAnsi="宋体" w:eastAsia="Arial" w:cs="宋体"/>
          <w:sz w:val="24"/>
          <w:szCs w:val="20"/>
          <w:highlight w:val="none"/>
          <w:lang w:val="zh-CN"/>
        </w:rPr>
        <w:t xml:space="preserve">月 </w:t>
      </w:r>
      <w:r>
        <w:rPr>
          <w:rFonts w:hint="eastAsia" w:ascii="宋体" w:hAnsi="宋体" w:eastAsia="Arial" w:cs="宋体"/>
          <w:sz w:val="24"/>
          <w:szCs w:val="20"/>
          <w:highlight w:val="none"/>
          <w:u w:val="single"/>
          <w:lang w:val="zh-CN"/>
        </w:rPr>
        <w:t xml:space="preserve">    </w:t>
      </w:r>
      <w:r>
        <w:rPr>
          <w:rFonts w:hint="eastAsia" w:ascii="宋体" w:hAnsi="宋体" w:eastAsia="Arial" w:cs="宋体"/>
          <w:sz w:val="24"/>
          <w:szCs w:val="20"/>
          <w:highlight w:val="none"/>
          <w:lang w:val="zh-CN"/>
        </w:rPr>
        <w:t xml:space="preserve">日</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lang w:val="zh-CN"/>
        </w:rPr>
        <w:t xml:space="preserve">合同订立地点：</w:t>
      </w:r>
      <w:r>
        <w:rPr>
          <w:rFonts w:hint="eastAsia" w:ascii="宋体" w:hAnsi="宋体" w:eastAsia="Arial" w:cs="宋体"/>
          <w:sz w:val="24"/>
          <w:szCs w:val="20"/>
          <w:highlight w:val="none"/>
          <w:u w:val="single"/>
        </w:rPr>
        <w:t xml:space="preserve">盐城体育运动学校</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附件：具体标的及其技术要求和商务要求、联合协议、分包意向协议等。</w:t>
      </w:r>
      <w:r/>
    </w:p>
    <w:p>
      <w:pPr>
        <w:pStyle w:val="933"/>
        <w:spacing w:before="156"/>
        <w:rPr>
          <w:rFonts w:hint="default" w:cs="宋体"/>
          <w:b w:val="0"/>
          <w:bCs w:val="0"/>
          <w:sz w:val="24"/>
          <w:szCs w:val="24"/>
          <w:highlight w:val="none"/>
        </w:rPr>
      </w:pPr>
      <w:r>
        <w:rPr>
          <w:rFonts w:cs="宋体"/>
          <w:b w:val="0"/>
          <w:bCs w:val="0"/>
          <w:sz w:val="24"/>
          <w:szCs w:val="24"/>
          <w:highlight w:val="none"/>
        </w:rPr>
        <w:br w:type="page" w:clear="all"/>
      </w:r>
      <w:r/>
    </w:p>
    <w:tbl>
      <w:tblPr>
        <w:tblStyle w:val="72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7"/>
        <w:gridCol w:w="2449"/>
        <w:gridCol w:w="2105"/>
        <w:gridCol w:w="2156"/>
      </w:tblGrid>
      <w:tr>
        <w:trPr>
          <w:jc w:val="center"/>
          <w:trHeight w:val="490"/>
        </w:trPr>
        <w:tc>
          <w:tcPr>
            <w:gridSpan w:val="2"/>
            <w:tcBorders>
              <w:bottom w:val="single" w:color="000000" w:sz="2" w:space="0"/>
              <w:right w:val="single" w:color="000000" w:sz="2" w:space="0"/>
            </w:tcBorders>
            <w:tcW w:w="4466"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261" w:type="dxa"/>
            <w:vAlign w:val="center"/>
            <w:textDirection w:val="lrTb"/>
            <w:noWrap w:val="false"/>
          </w:tcPr>
          <w:p>
            <w:pPr>
              <w:ind w:firstLine="482"/>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盐城体育运动学校</w:t>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单位名称（公章或合同章）</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cantSplit/>
          <w:jc w:val="center"/>
          <w:trHeight w:val="1171"/>
        </w:trPr>
        <w:tc>
          <w:tcPr>
            <w:tcBorders>
              <w:top w:val="single" w:color="000000" w:sz="2" w:space="0"/>
              <w:right w:val="single" w:color="000000" w:sz="2" w:space="0"/>
            </w:tcBorders>
            <w:tcW w:w="2017" w:type="dxa"/>
            <w:vAlign w:val="center"/>
            <w:vMerge w:val="restart"/>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法定代表人或其委托代理人（签章）</w:t>
            </w:r>
            <w:r/>
          </w:p>
        </w:tc>
        <w:tc>
          <w:tcPr>
            <w:tcBorders>
              <w:top w:val="single" w:color="000000" w:sz="2" w:space="0"/>
              <w:left w:val="single" w:color="000000" w:sz="2" w:space="0"/>
              <w:right w:val="single" w:color="000000" w:sz="2" w:space="0"/>
            </w:tcBorders>
            <w:tcW w:w="2449" w:type="dxa"/>
            <w:vAlign w:val="center"/>
            <w:vMerge w:val="restart"/>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法定代表人或其委托代理人（签章）</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cantSplit/>
          <w:jc w:val="center"/>
          <w:trHeight w:val="483"/>
        </w:trPr>
        <w:tc>
          <w:tcPr>
            <w:tcBorders>
              <w:bottom w:val="single" w:color="000000" w:sz="2" w:space="0"/>
              <w:right w:val="single" w:color="000000" w:sz="2" w:space="0"/>
            </w:tcBorders>
            <w:tcW w:w="2017" w:type="dxa"/>
            <w:vAlign w:val="center"/>
            <w:vMerge w:val="continue"/>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left w:val="single" w:color="000000" w:sz="2" w:space="0"/>
              <w:bottom w:val="single" w:color="000000" w:sz="2" w:space="0"/>
              <w:right w:val="single" w:color="000000" w:sz="2" w:space="0"/>
            </w:tcBorders>
            <w:tcW w:w="2449" w:type="dxa"/>
            <w:vAlign w:val="center"/>
            <w:vMerge w:val="continue"/>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拥有者性别</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住所</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联 系 人</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联系电话</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盐城市大丰区丰华北路12号</w:t>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通信地址</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224100</w:t>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邮政编码</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电子邮箱</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统一社会信用  代码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12320900468214266W</w:t>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统一社会信用  代码</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开户名称</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开户银行</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银行账号</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ascii="宋体" w:hAnsi="宋体" w:eastAsia="宋体" w:cs="宋体"/>
                <w:sz w:val="24"/>
                <w:szCs w:val="20"/>
                <w:highlight w:val="none"/>
              </w:rPr>
            </w:r>
            <w:r/>
          </w:p>
        </w:tc>
      </w:tr>
      <w:tr>
        <w:trPr>
          <w:jc w:val="center"/>
          <w:trHeight w:val="586"/>
        </w:trPr>
        <w:tc>
          <w:tcPr>
            <w:gridSpan w:val="4"/>
            <w:tcBorders>
              <w:top w:val="single" w:color="000000" w:sz="2" w:space="0"/>
            </w:tcBorders>
            <w:tcW w:w="8727" w:type="dxa"/>
            <w:vAlign w:val="center"/>
            <w:textDirection w:val="lrTb"/>
            <w:noWrap w:val="false"/>
          </w:tcPr>
          <w:p>
            <w:pPr>
              <w:jc w:val="center"/>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注：涉及联合体或其他合同主体的信息应按上表格式加列。</w:t>
            </w:r>
            <w:r/>
          </w:p>
        </w:tc>
      </w:tr>
    </w:tbl>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pStyle w:val="933"/>
        <w:jc w:val="center"/>
        <w:spacing w:before="156" w:afterAutospacing="0" w:line="400" w:lineRule="exact"/>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第二节 政府采购合同通用条款</w:t>
      </w:r>
      <w:bookmarkEnd w:id="157"/>
      <w:r/>
      <w:r/>
    </w:p>
    <w:p>
      <w:pPr>
        <w:ind w:firstLine="482"/>
        <w:jc w:val="left"/>
        <w:spacing w:line="40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1.</w:t>
      </w:r>
      <w:r>
        <w:rPr>
          <w:rFonts w:hint="eastAsia" w:ascii="宋体" w:hAnsi="宋体" w:cs="宋体"/>
          <w:b/>
          <w:bCs/>
          <w:sz w:val="24"/>
          <w:szCs w:val="20"/>
          <w:highlight w:val="none"/>
          <w:lang w:val="zh-CN"/>
        </w:rPr>
        <w:t xml:space="preserve"> </w:t>
      </w:r>
      <w:r>
        <w:rPr>
          <w:rFonts w:hint="eastAsia" w:ascii="宋体" w:hAnsi="宋体" w:eastAsia="宋体" w:cs="宋体"/>
          <w:b/>
          <w:bCs/>
          <w:sz w:val="24"/>
          <w:szCs w:val="20"/>
          <w:highlight w:val="none"/>
          <w:lang w:val="zh-CN"/>
        </w:rPr>
        <w:t xml:space="preserve">定义</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1.1合同当事人</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（1）采购人（以下称甲方）是指使用财政性资金，通过政府采购方式向供应商购买货物及其相关服务的国家机关、事业单位、团体组织。</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（2）供应商（以下称乙方）是指参加政府采购活动并且中标（成交），向采购人提供合同约定的货物及其相关服务的法人、非法人组织或者自然人。</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（3）其他合同主体是指除采购人和供应商以外，依法参与合同缔结或履行，享有权利、承担义务的合同当事人。</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1.2本合同下列术语应解释为：</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（2）“合同价款”系指根据本合同规定乙方在全面履行合同义务后甲方应支付给乙方的价款。</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技术资料和材料等。</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（4）“相关服务”系指根据合同规定，乙方应提供的与货物有关的技术、管理和</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义务。</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（7）其他术语解释，见</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w:t>
      </w:r>
      <w:r>
        <w:rPr>
          <w:rFonts w:hint="eastAsia" w:ascii="宋体" w:hAnsi="宋体" w:cs="宋体"/>
          <w:b/>
          <w:bCs/>
          <w:sz w:val="24"/>
          <w:szCs w:val="20"/>
          <w:highlight w:val="none"/>
          <w:lang w:val="zh-CN"/>
        </w:rPr>
        <w:t xml:space="preserve"> </w:t>
      </w:r>
      <w:r>
        <w:rPr>
          <w:rFonts w:hint="eastAsia" w:ascii="宋体" w:hAnsi="宋体" w:eastAsia="宋体" w:cs="宋体"/>
          <w:b/>
          <w:bCs/>
          <w:sz w:val="24"/>
          <w:szCs w:val="20"/>
          <w:highlight w:val="none"/>
          <w:lang w:val="zh-CN"/>
        </w:rPr>
        <w:t xml:space="preserve">合同标的及金额</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 合同标的及金额应与中标（成交）结果一致。乙方为履行本合同而发生的所有费用均应包含在合同价款中，甲方不再另行支付其他任何费用。</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3.</w:t>
      </w:r>
      <w:r>
        <w:rPr>
          <w:rFonts w:hint="eastAsia" w:ascii="宋体" w:hAnsi="宋体" w:cs="宋体"/>
          <w:b/>
          <w:bCs/>
          <w:sz w:val="24"/>
          <w:szCs w:val="20"/>
          <w:highlight w:val="none"/>
          <w:lang w:val="zh-CN"/>
        </w:rPr>
        <w:t xml:space="preserve"> </w:t>
      </w:r>
      <w:r>
        <w:rPr>
          <w:rFonts w:hint="eastAsia" w:ascii="宋体" w:hAnsi="宋体" w:eastAsia="宋体" w:cs="宋体"/>
          <w:b/>
          <w:bCs/>
          <w:sz w:val="24"/>
          <w:szCs w:val="20"/>
          <w:highlight w:val="none"/>
          <w:lang w:val="zh-CN"/>
        </w:rPr>
        <w:t xml:space="preserve">履行合同的时间、地点和方式</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3.1 乙方应当在约定的时间、地点，按照约定方式履行合同。</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4.</w:t>
      </w:r>
      <w:r>
        <w:rPr>
          <w:rFonts w:hint="eastAsia" w:ascii="宋体" w:hAnsi="宋体" w:cs="宋体"/>
          <w:b/>
          <w:bCs/>
          <w:sz w:val="24"/>
          <w:szCs w:val="20"/>
          <w:highlight w:val="none"/>
          <w:lang w:val="zh-CN"/>
        </w:rPr>
        <w:t xml:space="preserve"> </w:t>
      </w:r>
      <w:r>
        <w:rPr>
          <w:rFonts w:hint="eastAsia" w:ascii="宋体" w:hAnsi="宋体" w:eastAsia="宋体" w:cs="宋体"/>
          <w:b/>
          <w:bCs/>
          <w:sz w:val="24"/>
          <w:szCs w:val="20"/>
          <w:highlight w:val="none"/>
          <w:lang w:val="zh-CN"/>
        </w:rPr>
        <w:t xml:space="preserve">甲方的权利和义务</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4.3 甲方有权要求乙方对缺陷部分予以修复，并按合同约定享有货物保修及其他合同约定的权利。</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4.4 甲方应当按照合同约定及时对交付的货物进行验收，未在【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】约定的期限内对乙方履约提出任何异议或者向乙方作出任何说明的，视为验收通过。</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4.5 甲方应当根据合同约定及时向乙方支付合同价款，不得以内部人员变更、履行内部付款流程等为由，拒绝或迟延支付。</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4.6 国家法律法规规定及【</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】约定应由甲方承担的其他义务和责任。</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5.</w:t>
      </w:r>
      <w:r>
        <w:rPr>
          <w:rFonts w:hint="eastAsia" w:ascii="宋体" w:hAnsi="宋体" w:cs="宋体"/>
          <w:b/>
          <w:bCs/>
          <w:sz w:val="24"/>
          <w:szCs w:val="20"/>
          <w:highlight w:val="none"/>
          <w:lang w:val="zh-CN"/>
        </w:rPr>
        <w:t xml:space="preserve"> </w:t>
      </w:r>
      <w:r>
        <w:rPr>
          <w:rFonts w:hint="eastAsia" w:ascii="宋体" w:hAnsi="宋体" w:eastAsia="宋体" w:cs="宋体"/>
          <w:b/>
          <w:bCs/>
          <w:sz w:val="24"/>
          <w:szCs w:val="20"/>
          <w:highlight w:val="none"/>
          <w:lang w:val="zh-CN"/>
        </w:rPr>
        <w:t xml:space="preserve">乙方的权利和义务</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5.1 签署合同后，乙方应确定项目负责人（或项目联系人），负责与本合同有关的事务。</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5.3乙方有权根据合同约定向甲方收取合同价款。</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5.4国家法律法规规定及【</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】约定应由乙方承担的其他义务和责任。</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6.</w:t>
      </w:r>
      <w:r>
        <w:rPr>
          <w:rFonts w:hint="eastAsia" w:ascii="宋体" w:hAnsi="宋体" w:cs="宋体"/>
          <w:b/>
          <w:bCs/>
          <w:sz w:val="24"/>
          <w:szCs w:val="20"/>
          <w:highlight w:val="none"/>
          <w:lang w:val="zh-CN"/>
        </w:rPr>
        <w:t xml:space="preserve"> </w:t>
      </w:r>
      <w:r>
        <w:rPr>
          <w:rFonts w:hint="eastAsia" w:ascii="宋体" w:hAnsi="宋体" w:eastAsia="宋体" w:cs="宋体"/>
          <w:b/>
          <w:bCs/>
          <w:sz w:val="24"/>
          <w:szCs w:val="20"/>
          <w:highlight w:val="none"/>
          <w:lang w:val="zh-CN"/>
        </w:rPr>
        <w:t xml:space="preserve">合同履行</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6.1 甲乙双方应当按照【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】约定顺序履行合同义务；如果没有先后顺序的，应当同时履行。</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7.</w:t>
      </w:r>
      <w:r>
        <w:rPr>
          <w:rFonts w:hint="eastAsia" w:ascii="宋体" w:hAnsi="宋体" w:cs="宋体"/>
          <w:b/>
          <w:bCs/>
          <w:sz w:val="24"/>
          <w:szCs w:val="20"/>
          <w:highlight w:val="none"/>
          <w:lang w:val="zh-CN"/>
        </w:rPr>
        <w:t xml:space="preserve"> </w:t>
      </w:r>
      <w:r>
        <w:rPr>
          <w:rFonts w:hint="eastAsia" w:ascii="宋体" w:hAnsi="宋体" w:eastAsia="宋体" w:cs="宋体"/>
          <w:b/>
          <w:bCs/>
          <w:sz w:val="24"/>
          <w:szCs w:val="20"/>
          <w:highlight w:val="none"/>
          <w:lang w:val="zh-CN"/>
        </w:rPr>
        <w:t xml:space="preserve">货物包装、运输、保险和交付要求</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7.1 本合同涉及商品包装、快递包装的，除【</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】另有约定外，包装应适应远距离运输、防潮、防震、防锈和防野蛮装卸等要求，确保货物安全无损地运抵【</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约定的指定现场。</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7.2 除【</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】另有约定外，乙方负责办理将货物运抵本合同规定的交货地点，并装卸、交付至甲方的一切运输事项，相关费用应包含在合同价款中。</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7.3 货物保险要求按【</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】规定执行。</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7.5 乙方在运输到达之前应提前通知甲方，并提示货物运输装卸的注意事项，甲方配合乙方做好货物的接收工作。</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7.6 如因包装、运输问题导致货物损毁、丢失或者品质下降，甲方有权要求降价、换货、拒收部分或整批货物，由此产生的费用和损失，均由乙方承担。</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8.</w:t>
      </w:r>
      <w:r>
        <w:rPr>
          <w:rFonts w:hint="eastAsia" w:ascii="宋体" w:hAnsi="宋体" w:cs="宋体"/>
          <w:b/>
          <w:bCs/>
          <w:sz w:val="24"/>
          <w:szCs w:val="20"/>
          <w:highlight w:val="none"/>
          <w:lang w:val="zh-CN"/>
        </w:rPr>
        <w:t xml:space="preserve"> </w:t>
      </w:r>
      <w:r>
        <w:rPr>
          <w:rFonts w:hint="eastAsia" w:ascii="宋体" w:hAnsi="宋体" w:eastAsia="宋体" w:cs="宋体"/>
          <w:b/>
          <w:bCs/>
          <w:sz w:val="24"/>
          <w:szCs w:val="20"/>
          <w:highlight w:val="none"/>
          <w:lang w:val="zh-CN"/>
        </w:rPr>
        <w:t xml:space="preserve">质量标准和保证</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8.1 质量标准</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（2）采用中华人民共和国法定计量单位。</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（3）乙方所提供的货物应符合国家有关安全、环保、卫生的规定。</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8.2 保证</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】规定或乙方书面承诺（两者以较长的为准）的质量保证期内，本保证保持有效。</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（2）在质量保证期内所发现的缺陷，甲方应尽快以书面形式通知乙方。</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（3）乙方收到通知后，应在【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】规定的响应时间内以合理的速度免费维修或更换有缺陷的货物或部件。</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9. 权利瑕疵担保</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9.1 乙方保证对其出售的货物享有合法的权利。</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9.2 乙方保证在交付的货物上不存在抵押权等担保物权。</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9.3 如甲方使用上述货物构成对第三人侵权的，则由乙方承担全部责任。</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10. 知识产权保护</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10.1 乙方对其所销售的货物应当享有知识产权或经权利人合法授权，保证没有侵犯任何第三人的知识产权等权利。</w:t>
      </w:r>
      <w:bookmarkStart w:id="160" w:name="_Hlk163047038"/>
      <w:r>
        <w:rPr>
          <w:rFonts w:hint="eastAsia" w:ascii="宋体" w:hAnsi="宋体" w:eastAsia="宋体" w:cs="宋体"/>
          <w:sz w:val="24"/>
          <w:szCs w:val="20"/>
          <w:highlight w:val="none"/>
          <w:lang w:val="zh-CN"/>
        </w:rPr>
        <w:t xml:space="preserve">因违反前述约定对第三人构成侵权的，应当由乙方向第三人承担法律责任；甲方依法向第三人赔偿后，有权向乙方追偿。甲方有其他损失的，乙方应当赔偿</w:t>
      </w:r>
      <w:bookmarkEnd w:id="160"/>
      <w:r>
        <w:rPr>
          <w:rFonts w:hint="eastAsia" w:ascii="宋体" w:hAnsi="宋体" w:eastAsia="宋体" w:cs="宋体"/>
          <w:sz w:val="24"/>
          <w:szCs w:val="20"/>
          <w:highlight w:val="none"/>
          <w:lang w:val="zh-CN"/>
        </w:rPr>
        <w:t xml:space="preserve">。</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11. 保密义务</w:t>
      </w:r>
      <w:r/>
    </w:p>
    <w:p>
      <w:pPr>
        <w:ind w:firstLine="482"/>
        <w:jc w:val="left"/>
        <w:spacing w:line="560" w:lineRule="exact"/>
        <w:widowControl/>
        <w:rPr>
          <w:rFonts w:ascii="宋体" w:hAnsi="宋体" w:cs="宋体"/>
          <w:sz w:val="24"/>
          <w:szCs w:val="20"/>
          <w:highlight w:val="none"/>
          <w:lang w:val="zh-CN"/>
        </w:rPr>
      </w:pPr>
      <w:r>
        <w:rPr>
          <w:rFonts w:hint="eastAsia" w:ascii="宋体" w:hAnsi="宋体" w:eastAsia="宋体" w:cs="宋体"/>
          <w:sz w:val="24"/>
          <w:szCs w:val="20"/>
          <w:highlight w:val="none"/>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sz w:val="24"/>
          <w:szCs w:val="20"/>
          <w:highlight w:val="none"/>
          <w:lang w:val="zh-CN"/>
        </w:rPr>
        <w:t xml:space="preserve">【</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】中约定。</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12. 合同价款支付</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12.1 合同价款支付按照国库集中支付制度及财政管理相关规定执行。</w:t>
      </w:r>
      <w:r/>
    </w:p>
    <w:p>
      <w:pPr>
        <w:ind w:firstLine="482"/>
        <w:jc w:val="left"/>
        <w:spacing w:line="560" w:lineRule="exact"/>
        <w:widowControl/>
        <w:rPr>
          <w:rFonts w:ascii="宋体" w:hAnsi="宋体" w:eastAsia="Arial" w:cs="宋体"/>
          <w:sz w:val="24"/>
          <w:szCs w:val="20"/>
          <w:highlight w:val="none"/>
          <w:lang w:val="zh-CN"/>
        </w:rPr>
      </w:pPr>
      <w:r>
        <w:rPr>
          <w:rFonts w:hint="eastAsia" w:ascii="宋体" w:hAnsi="宋体" w:eastAsia="宋体" w:cs="宋体"/>
          <w:sz w:val="24"/>
          <w:szCs w:val="20"/>
          <w:highlight w:val="none"/>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sz w:val="24"/>
          <w:szCs w:val="20"/>
          <w:highlight w:val="none"/>
          <w:lang w:val="zh-CN"/>
        </w:rPr>
        <w:t xml:space="preserve">【</w:t>
      </w:r>
      <w:r>
        <w:rPr>
          <w:rFonts w:hint="eastAsia" w:ascii="宋体" w:hAnsi="宋体" w:eastAsia="Arial" w:cs="宋体"/>
          <w:b/>
          <w:bCs/>
          <w:sz w:val="24"/>
          <w:szCs w:val="20"/>
          <w:highlight w:val="none"/>
          <w:lang w:val="zh-CN"/>
        </w:rPr>
        <w:t xml:space="preserve">政府采购合同专用条款</w:t>
      </w:r>
      <w:r>
        <w:rPr>
          <w:rFonts w:hint="eastAsia" w:ascii="宋体" w:hAnsi="宋体" w:eastAsia="Arial" w:cs="宋体"/>
          <w:sz w:val="24"/>
          <w:szCs w:val="20"/>
          <w:highlight w:val="none"/>
          <w:lang w:val="zh-CN"/>
        </w:rPr>
        <w:t xml:space="preserve">】中约定。</w:t>
      </w:r>
      <w:r/>
    </w:p>
    <w:p>
      <w:pPr>
        <w:ind w:firstLine="480"/>
        <w:spacing w:line="520" w:lineRule="exact"/>
        <w:widowControl/>
        <w:rPr>
          <w:rFonts w:ascii="宋体" w:hAnsi="宋体" w:eastAsia="Arial" w:cs="宋体"/>
          <w:b/>
          <w:bCs/>
          <w:sz w:val="24"/>
          <w:szCs w:val="20"/>
          <w:highlight w:val="none"/>
          <w:lang w:val="zh-CN"/>
        </w:rPr>
      </w:pPr>
      <w:r>
        <w:rPr>
          <w:rFonts w:hint="eastAsia" w:ascii="宋体" w:hAnsi="宋体" w:eastAsia="Arial" w:cs="宋体"/>
          <w:b/>
          <w:bCs/>
          <w:sz w:val="24"/>
          <w:szCs w:val="20"/>
          <w:highlight w:val="none"/>
          <w:lang w:val="zh-CN"/>
        </w:rPr>
        <w:t xml:space="preserve">13. 履约保证金</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13.1 乙方应当以支票、汇票、本票或者金融机构、担保机构出具的保函等非现金形式提交。</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13.2 如果乙方出现【</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13.3 甲方在项目通过验收后按照【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】规定的时间内将履约保证金退还乙方；逾期退还的，乙方可要求甲方支付违约金，违约金按照【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】规定支付。</w:t>
      </w:r>
      <w:r/>
    </w:p>
    <w:p>
      <w:pPr>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14. 售后服务</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14.1 除项目不涉及或采购活动中明确约定无须承担外，乙方还应提供下列服务：</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（1）货物的现场移动、安装、调试、启动监督及技术支持；</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（2）提供货物组装和维修所需的专用工具和辅助材料；</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】约定的期限内对所有的货物实施运行监督、维修，但前提条件是该服务并不能免除乙方在质量保证期内所承担的义务；</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（4）在制造商所在地或指定现场就货物的安装、启动、运营、维护、废弃处置等对甲方操作人员进行培训；</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（5）依照法律、行政法规的规定或者按照【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】约定，货物在有效使用年限届满后应予回收的，乙方负有自行或者委托第三人对货物予以回收的义务；</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】规定由乙方提供的其他服务。</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14.2 乙方提供的售后服务的费用已包含在合同价款中，甲方不再另行支付。</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 违约责任</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15.1质量瑕疵的违约责任</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乙方提供的产品不符合合同约定的质量标准或存在产品质量缺陷，甲方有权要求乙方根据【</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】要求及时修理、重作、更换，并承担由此给甲方造成的损失。</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15.2 迟延交货的违约责任</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15.3 迟延支付的违约责任</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甲方存在迟延支付乙方合同款项的，应当承担【</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】规定的逾期付款利息。</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15.4其他违约责任根据项目实际需要按【</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】规定执行。</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16.合同变更、中止与终止</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16.1合同的变更</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16.2合同的中止</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（1）合同履行过程中因供应商就采购文件、采购过程或结果提起投诉的，甲方认为有必要的，可以中止合同的履行。</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（4）甲方不得以行政区划调整、政府换届、机构或者职能调整以及相关责任人更替为由中止合同。</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16.3合同的终止</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（1）合同因有效期限届满而终止；</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（2）乙方未按合同约定履行，构成根本性违约的，甲方有权终止合同，并追究乙方的违约责任。</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16.4 涉及国家利益、社会公共利益的情形</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17. 合同分包</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17.1 乙方不得将合同转包给其他供应商。涉及合同分包的，乙方应根据采购文件和投标（响应）文件规定进行合同分包。</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17.2 乙方执行政府采购政策向中小企业依法分包的，乙方应当按采购文件和投标（响应）文件签订分包意向协议，分包意向协议属于本合同组成部分。</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18. 不可抗力</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18.1 不可抗力是指合同双方不能预见、不能避免且不能克服的客观情况。</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18.2 任何一方对由于不可抗力造成的部分或全部不能履行合同不承担违约责任。但迟延履行后发生不可抗力的，不能免除责任。</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19. 解决争议的方法</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19.3 如甲乙双方有争议的事项不影响合同其他部分的履行，在争议解决期间，合同其他部分应当继续履行。</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20. 政府采购政策</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20.1 本合同应当按照规定执行政府采购政策。</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21. 法律适用</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21.1 本合同的订立、生效、解释、履行及与本合同有关的争议解决，均适用法律、行政法规。</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21.2 本合同条款与法律、行政法规的强制性规定不一致的，双方当事人应按照法律、行政法规的强制性规定修改本合同的相关条款。</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22. 通知</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22.1 本合同任何一方向对方发出的通知、信件、数据电文等，应当发送至本合同第一部分《政府采购合同协议书》所约定的通讯地址、联系人、联系电话或电子邮箱。</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22.2 一方当事人变更名称、住所、联系人、联系电话或电子邮箱等信息的，应当在变更后3日内及时书面通知对方，对方实际收到变更通知前的送达仍为有效送达。</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22.3本合同一方给另一方的通知均应采用书面形式，传真或快递送到本合同中规定的对方的地址和办理签收手续。</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22.4通知以送达之日或通知书中规定的生效之日起生效，两者中以较迟之日为准。</w:t>
      </w:r>
      <w:r/>
    </w:p>
    <w:p>
      <w:pPr>
        <w:numPr>
          <w:ilvl w:val="0"/>
          <w:numId w:val="5"/>
        </w:num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合同未尽事项</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23.1合同未尽事项见</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23.2 合同附件与合同正文具有同等的法律效力。</w:t>
      </w:r>
      <w:r/>
    </w:p>
    <w:p>
      <w:pPr>
        <w:jc w:val="center"/>
        <w:keepLines/>
        <w:keepNext/>
        <w:spacing w:line="360" w:lineRule="auto"/>
        <w:rPr>
          <w:rFonts w:hint="eastAsia" w:ascii="宋体" w:hAnsi="宋体" w:eastAsia="宋体" w:cs="宋体"/>
          <w:b/>
          <w:bCs/>
          <w:sz w:val="28"/>
          <w:szCs w:val="28"/>
          <w:highlight w:val="none"/>
        </w:rPr>
        <w:outlineLvl w:val="1"/>
      </w:pPr>
      <w:r>
        <w:rPr>
          <w:rFonts w:hint="eastAsia" w:ascii="黑体" w:hAnsi="华文中宋" w:eastAsia="黑体"/>
          <w:sz w:val="24"/>
          <w:highlight w:val="none"/>
        </w:rPr>
        <w:br w:type="page" w:clear="all"/>
      </w:r>
      <w:r>
        <w:rPr>
          <w:rFonts w:hint="eastAsia" w:ascii="宋体" w:hAnsi="宋体" w:eastAsia="宋体" w:cs="宋体"/>
          <w:b/>
          <w:bCs/>
          <w:sz w:val="28"/>
          <w:szCs w:val="28"/>
          <w:highlight w:val="none"/>
        </w:rPr>
        <w:t xml:space="preserve">第三节 政府采购合同专用条款</w:t>
      </w:r>
      <w:r/>
    </w:p>
    <w:tbl>
      <w:tblPr>
        <w:tblStyle w:val="727"/>
        <w:tblW w:w="86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5"/>
        <w:gridCol w:w="1413"/>
        <w:gridCol w:w="5991"/>
      </w:tblGrid>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第1.2（6）项</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联合体具体要求</w:t>
            </w:r>
            <w:r/>
          </w:p>
        </w:tc>
        <w:tc>
          <w:tcPr>
            <w:tcW w:w="5991" w:type="dxa"/>
            <w:vAlign w:val="center"/>
            <w:textDirection w:val="lrTb"/>
            <w:noWrap w:val="false"/>
          </w:tcPr>
          <w:p>
            <w:pPr>
              <w:jc w:val="left"/>
              <w:rPr>
                <w:rFonts w:ascii="宋体" w:hAnsi="宋体"/>
                <w:sz w:val="24"/>
                <w:highlight w:val="none"/>
              </w:rPr>
            </w:pPr>
            <w:r>
              <w:rPr>
                <w:rFonts w:hint="eastAsia" w:ascii="宋体" w:hAnsi="宋体"/>
                <w:sz w:val="24"/>
                <w:highlight w:val="none"/>
              </w:rPr>
              <w:t xml:space="preserve">/</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第1.2（7）项</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其他术语解释</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同合同通用条款</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第4.4款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履约验收中甲方提出异议或作出说明的期限</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十五个工作日内</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第4.6款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约定甲方承担的其他义务和责任</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同合同通用条款</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第5.4款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约定乙方承担的其他义务和责任</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同合同通用条款</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第6.1款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履行合同义务的顺序</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同协议书</w:t>
            </w:r>
            <w:r/>
          </w:p>
        </w:tc>
      </w:tr>
      <w:tr>
        <w:trPr>
          <w:jc w:val="center"/>
        </w:trPr>
        <w:tc>
          <w:tcPr>
            <w:tcW w:w="1245" w:type="dxa"/>
            <w:vAlign w:val="center"/>
            <w:vMerge w:val="restart"/>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第7.1款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包装特殊要求</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1.商品包装层数不得超过3 层，空隙率不大于40%；</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2.商品包装尽可能使用单一材质的包装材料，如因功能需求必需使用不同材质，不同材质间应便于分离；</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3.商品包装中铅、汞、镉、六价铬的总含量应不大于100mg/kg；</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4.商品包装印刷使用的油墨中挥发性有机化合物(VOCs)含量应不大于5%（以重量计）；</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5.塑料材质商品包装上呈现的印刷颜色不得超过6色；</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6.纸质商品包装应使用75%以上的可再生纤维原料生产；</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7.木质商品包装的原料应来源于可持续性森林。</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9</w:t>
            </w:r>
            <w:r>
              <w:rPr>
                <w:rFonts w:hint="eastAsia" w:ascii="宋体" w:hAnsi="宋体" w:eastAsia="宋体" w:cs="宋体"/>
                <w:sz w:val="24"/>
                <w:szCs w:val="20"/>
                <w:highlight w:val="none"/>
                <w:lang w:val="en-US" w:eastAsia="zh-CN"/>
              </w:rPr>
              <w:t xml:space="preserve">.</w:t>
            </w:r>
            <w:r>
              <w:rPr>
                <w:rFonts w:hint="eastAsia" w:ascii="宋体" w:hAnsi="宋体" w:eastAsia="宋体" w:cs="宋体"/>
                <w:sz w:val="24"/>
                <w:szCs w:val="20"/>
                <w:highlight w:val="none"/>
              </w:rPr>
              <w:t xml:space="preserve">每件包装箱内应附一份详细装箱单和质量合格凭证。</w:t>
            </w:r>
            <w:r/>
          </w:p>
        </w:tc>
      </w:tr>
      <w:tr>
        <w:trPr>
          <w:jc w:val="center"/>
        </w:trPr>
        <w:tc>
          <w:tcPr>
            <w:tcW w:w="1245" w:type="dxa"/>
            <w:vAlign w:val="center"/>
            <w:vMerge w:val="continue"/>
            <w:textDirection w:val="lrTb"/>
            <w:noWrap w:val="false"/>
          </w:tcPr>
          <w:p>
            <w:pPr>
              <w:jc w:val="center"/>
              <w:rPr>
                <w:rFonts w:ascii="宋体" w:hAnsi="宋体"/>
                <w:sz w:val="24"/>
                <w:highlight w:val="none"/>
              </w:rPr>
            </w:pPr>
            <w:r>
              <w:rPr>
                <w:rFonts w:ascii="宋体" w:hAnsi="宋体"/>
                <w:sz w:val="24"/>
                <w:highlight w:val="none"/>
              </w:rPr>
            </w:r>
            <w:r/>
          </w:p>
        </w:tc>
        <w:tc>
          <w:tcPr>
            <w:tcW w:w="1413" w:type="dxa"/>
            <w:vAlign w:val="center"/>
            <w:textDirection w:val="lrTb"/>
            <w:noWrap w:val="false"/>
          </w:tcPr>
          <w:p>
            <w:pPr>
              <w:jc w:val="left"/>
              <w:rPr>
                <w:rFonts w:ascii="宋体" w:hAnsi="宋体"/>
                <w:sz w:val="24"/>
                <w:highlight w:val="none"/>
              </w:rPr>
            </w:pPr>
            <w:r>
              <w:rPr>
                <w:rFonts w:hint="eastAsia" w:ascii="宋体" w:hAnsi="宋体"/>
                <w:sz w:val="24"/>
                <w:highlight w:val="none"/>
              </w:rPr>
              <w:t xml:space="preserve">指定现场</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同协议书</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第7.2款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运输特殊要求</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1.货物验收合格、交付使用并提供所需单据的日期视为交货日期。</w:t>
            </w:r>
            <w:r/>
          </w:p>
          <w:p>
            <w:pPr>
              <w:ind w:firstLine="482"/>
              <w:spacing w:line="560" w:lineRule="exact"/>
              <w:rPr>
                <w:rFonts w:ascii="宋体" w:hAnsi="宋体" w:eastAsia="宋体" w:cs="宋体"/>
                <w:sz w:val="24"/>
                <w:szCs w:val="20"/>
                <w:highlight w:val="none"/>
              </w:rPr>
            </w:pPr>
            <w:r>
              <w:rPr>
                <w:rFonts w:hint="eastAsia" w:ascii="宋体" w:hAnsi="宋体" w:eastAsia="宋体" w:cs="宋体"/>
                <w:sz w:val="24"/>
                <w:szCs w:val="20"/>
                <w:highlight w:val="none"/>
              </w:rPr>
              <w:t xml:space="preserve">2.乙方在货物发运手续办理完毕后24小时内或货到48小时前通知甲方，以准备接货。</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3.乙方装运的货物不应超过合同规定的数量或重量。乙方应对超交数量或超重而产生的一切后果负责。</w:t>
            </w:r>
            <w:r/>
          </w:p>
          <w:p>
            <w:pPr>
              <w:ind w:firstLine="482"/>
              <w:spacing w:line="560" w:lineRule="exact"/>
              <w:rPr>
                <w:rFonts w:ascii="宋体" w:hAnsi="宋体" w:eastAsia="宋体" w:cs="宋体"/>
                <w:sz w:val="24"/>
                <w:szCs w:val="20"/>
                <w:highlight w:val="none"/>
              </w:rPr>
            </w:pPr>
            <w:r>
              <w:rPr>
                <w:rFonts w:hint="eastAsia" w:ascii="宋体" w:hAnsi="宋体" w:eastAsia="宋体" w:cs="宋体"/>
                <w:sz w:val="24"/>
                <w:szCs w:val="20"/>
                <w:highlight w:val="none"/>
              </w:rPr>
              <w:t xml:space="preserve">4.货物在交付甲方前发生的风险均由乙方负责。</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第7.3款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保险要求</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货物交货前由乙方承担保险义务</w:t>
            </w:r>
            <w:r/>
          </w:p>
        </w:tc>
      </w:tr>
      <w:tr>
        <w:trPr>
          <w:jc w:val="center"/>
          <w:trHeight w:val="1605"/>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第8.2（1）项</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质量保证期</w:t>
            </w:r>
            <w:r/>
          </w:p>
        </w:tc>
        <w:tc>
          <w:tcPr>
            <w:tcW w:w="5991" w:type="dxa"/>
            <w:vAlign w:val="center"/>
            <w:textDirection w:val="lrTb"/>
            <w:noWrap w:val="false"/>
          </w:tcPr>
          <w:p>
            <w:pPr>
              <w:ind w:firstLine="482"/>
              <w:jc w:val="left"/>
              <w:spacing w:before="120" w:after="120"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1.货物免费质保期</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rPr>
              <w:t xml:space="preserve">两</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年。（自交货验收合格之日起计），因人为因素出现的故障不在免费保修范围内。超过保修期的机器设备，终生维修，维修时只收部件成本费。</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第8.2（3）项</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货物质量缺陷</w:t>
            </w:r>
            <w:r/>
          </w:p>
          <w:p>
            <w:pPr>
              <w:jc w:val="center"/>
              <w:rPr>
                <w:rFonts w:ascii="宋体" w:hAnsi="宋体"/>
                <w:sz w:val="24"/>
                <w:highlight w:val="none"/>
              </w:rPr>
            </w:pPr>
            <w:r>
              <w:rPr>
                <w:rFonts w:hint="eastAsia" w:ascii="宋体" w:hAnsi="宋体"/>
                <w:sz w:val="24"/>
                <w:highlight w:val="none"/>
              </w:rPr>
              <w:t xml:space="preserve">响应时间</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如在使用过程中发生质量问题，乙方在接到甲方通知后在</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小时内到达甲方现场。</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第8款补充</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质量保证要求</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 在质保期内，乙方应对货物出现的质量及安全问题负责处理解决并承担一切费用（因甲方不当使用的除外）。</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2.乙方应按照国家有关法律法规规章和“三包”规定以及招标文件售后服务要求及投标文件售后服务承诺提供售后服务。</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3.所有货物保修服务方式均为乙方上门保修，由乙方派员到货物使用现场维修，所产生的一切费用由乙方承担。</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widowControl/>
              <w:rPr>
                <w:rFonts w:ascii="宋体" w:hAnsi="宋体"/>
                <w:sz w:val="24"/>
                <w:highlight w:val="none"/>
              </w:rPr>
            </w:pPr>
            <w:r>
              <w:rPr>
                <w:rFonts w:hint="eastAsia" w:ascii="宋体" w:hAnsi="宋体"/>
                <w:sz w:val="24"/>
                <w:highlight w:val="none"/>
              </w:rPr>
              <w:t xml:space="preserve">第11.1款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其他应当保密的信息</w:t>
            </w:r>
            <w:r/>
          </w:p>
        </w:tc>
        <w:tc>
          <w:tcPr>
            <w:tcW w:w="5991" w:type="dxa"/>
            <w:vAlign w:val="center"/>
            <w:textDirection w:val="lrTb"/>
            <w:noWrap w:val="false"/>
          </w:tcPr>
          <w:p>
            <w:pPr>
              <w:jc w:val="left"/>
              <w:rPr>
                <w:rFonts w:ascii="宋体" w:hAnsi="宋体"/>
                <w:sz w:val="24"/>
                <w:highlight w:val="none"/>
              </w:rPr>
            </w:pPr>
            <w:r>
              <w:rPr>
                <w:rFonts w:hint="eastAsia" w:ascii="宋体" w:hAnsi="宋体"/>
                <w:sz w:val="24"/>
                <w:highlight w:val="none"/>
              </w:rPr>
              <w:t xml:space="preserve">/</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第12.2款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合同价款支付时间及要求</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1.合同款项的支付方式及进度安排：</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u w:val="single"/>
              </w:rPr>
              <w:t xml:space="preserve">①自合同签订生效之日起，收到乙方发票10个工作日内，甲方向乙方支付合同总价的30%款项作为预付款</w:t>
            </w:r>
            <w:r>
              <w:rPr>
                <w:rFonts w:hint="eastAsia" w:ascii="宋体" w:hAnsi="宋体" w:eastAsia="宋体" w:cs="宋体"/>
                <w:sz w:val="24"/>
                <w:szCs w:val="20"/>
                <w:highlight w:val="none"/>
              </w:rPr>
              <w:t xml:space="preserve">；</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u w:val="single"/>
              </w:rPr>
              <w:t xml:space="preserve">②所有货物安装完毕，甲方组织初步验收，初步验收合格后收到乙方发票10个工作日内甲方向乙方支付合同总价的20%款项</w:t>
            </w:r>
            <w:r>
              <w:rPr>
                <w:rFonts w:hint="eastAsia" w:ascii="宋体" w:hAnsi="宋体" w:eastAsia="宋体" w:cs="宋体"/>
                <w:sz w:val="24"/>
                <w:szCs w:val="20"/>
                <w:highlight w:val="none"/>
              </w:rPr>
              <w:t xml:space="preserve">；</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u w:val="single"/>
              </w:rPr>
              <w:t xml:space="preserve">③初步验收合格且项目运行满1个月后，甲方组织最终验收，最终验收合格后收到乙方发票10个工作日内甲方付清货款</w:t>
            </w:r>
            <w:r>
              <w:rPr>
                <w:rFonts w:hint="eastAsia" w:ascii="宋体" w:hAnsi="宋体" w:eastAsia="宋体" w:cs="宋体"/>
                <w:sz w:val="24"/>
                <w:szCs w:val="20"/>
                <w:highlight w:val="none"/>
              </w:rPr>
              <w:t xml:space="preserve">。</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 发票；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 制造厂家出具的质量检验证书等；</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 装箱单；</w:t>
            </w:r>
            <w:r/>
          </w:p>
          <w:p>
            <w:pPr>
              <w:ind w:firstLine="482"/>
              <w:jc w:val="left"/>
              <w:spacing w:line="560" w:lineRule="exact"/>
              <w:widowControl/>
              <w:rPr>
                <w:sz w:val="24"/>
                <w:highlight w:val="none"/>
              </w:rPr>
            </w:pPr>
            <w:r>
              <w:rPr>
                <w:rFonts w:hint="eastAsia" w:ascii="宋体" w:hAnsi="宋体" w:eastAsia="宋体" w:cs="宋体"/>
                <w:sz w:val="24"/>
                <w:szCs w:val="20"/>
                <w:highlight w:val="none"/>
              </w:rPr>
              <w:t xml:space="preserve">(4) 甲方加盖公章证明交付使用合格的验收单。</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第13.2款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履约保证金不予退还的情形</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（2）中标人不履行与采购人订立的合同的；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（3）中标人所供货物或服务不符合招标文件规定要求的；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（4）中标人采取欺骗、弄虚作假方式投标的或与其它投标人串通投标的；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（5）中标人将合同内容转包、违法分包的；</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（6）中标人故意捏造事实或伪造证明材料，进行虚假恶意投诉或反映的。</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第13.3款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履约保证金退还时间及逾期退还的违约金</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1、合同履行结束后，甲方应及时退还交纳的履约保证金。</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2、退还方式：无息退还至投标人缴纳履约保证金的账户。如为保函，在到期时自行失效。</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3、退还时间：验收合格且甲方收到发票后30日内。</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4、退还条件：按合同要求全部履约完成并经采购人验收合格，且采购人收到中标人出具的发票。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第14.1（3）项</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运行监督、维修期限</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上述的货物免费保修期为</w:t>
            </w:r>
            <w:r>
              <w:rPr>
                <w:rFonts w:hint="eastAsia" w:ascii="宋体" w:hAnsi="宋体" w:eastAsia="宋体" w:cs="宋体"/>
                <w:sz w:val="24"/>
                <w:szCs w:val="20"/>
                <w:highlight w:val="white"/>
              </w:rPr>
              <w:t xml:space="preserve">两</w:t>
            </w:r>
            <w:r>
              <w:rPr>
                <w:rFonts w:hint="eastAsia" w:ascii="宋体" w:hAnsi="宋体" w:eastAsia="宋体" w:cs="宋体"/>
                <w:sz w:val="24"/>
                <w:szCs w:val="20"/>
                <w:highlight w:val="white"/>
              </w:rPr>
              <w:t xml:space="preserve">年，在质保期内，乙方应对货物出现的质量及安全问题负责处理解决并承担一切费用。</w:t>
            </w:r>
            <w:r>
              <w:rPr>
                <w:highlight w:val="white"/>
              </w:rPr>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第14.1（5）项</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货物回收的约定</w:t>
            </w:r>
            <w:r/>
          </w:p>
        </w:tc>
        <w:tc>
          <w:tcPr>
            <w:tcW w:w="5991" w:type="dxa"/>
            <w:vAlign w:val="center"/>
            <w:textDirection w:val="lrTb"/>
            <w:noWrap w:val="false"/>
          </w:tcPr>
          <w:p>
            <w:pPr>
              <w:jc w:val="left"/>
              <w:rPr>
                <w:rFonts w:ascii="宋体" w:hAnsi="宋体"/>
                <w:sz w:val="24"/>
                <w:highlight w:val="none"/>
              </w:rPr>
            </w:pPr>
            <w:r>
              <w:rPr>
                <w:rFonts w:hint="eastAsia" w:ascii="宋体" w:hAnsi="宋体"/>
                <w:sz w:val="24"/>
                <w:highlight w:val="none"/>
              </w:rPr>
              <w:t xml:space="preserve">/</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第14.1（6）项</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乙方提供的其他服务</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超过保修期的货物，终生维修，维修时只收部件成本费。</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第15.1款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修理、重作、更换相关具体规定</w:t>
            </w:r>
            <w:r/>
          </w:p>
        </w:tc>
        <w:tc>
          <w:tcPr>
            <w:tcW w:w="5991" w:type="dxa"/>
            <w:vAlign w:val="center"/>
            <w:textDirection w:val="lrTb"/>
            <w:noWrap w:val="false"/>
          </w:tcPr>
          <w:p>
            <w:pPr>
              <w:numPr>
                <w:ilvl w:val="255"/>
                <w:numId w:val="0"/>
              </w:num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详见合同通用条款8.2条款、合同专用条款第二节第8款补充条款及合同专用条款中索赔条款。</w:t>
            </w:r>
            <w:r/>
          </w:p>
          <w:p>
            <w:pPr>
              <w:numPr>
                <w:ilvl w:val="255"/>
                <w:numId w:val="0"/>
              </w:num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第15.2（2）项</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迟延交货赔偿费</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1.乙方应按照“开标（报价）一览表”中规定的交货期或承诺交货和提供服务，并交付甲方验收使用。</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2.如果乙方无正当理由拖延交货，将受到以下制裁：加收误期赔偿或终止合同。</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 乙方逾期交付货物的，乙方应按逾期交货总额每日</w:t>
            </w:r>
            <w:r>
              <w:rPr>
                <w:rFonts w:hint="eastAsia" w:ascii="宋体" w:hAnsi="宋体" w:eastAsia="宋体" w:cs="宋体"/>
                <w:sz w:val="24"/>
                <w:szCs w:val="20"/>
                <w:highlight w:val="none"/>
                <w:u w:val="single"/>
              </w:rPr>
              <w:t xml:space="preserve">6‰ </w:t>
            </w:r>
            <w:r>
              <w:rPr>
                <w:rFonts w:hint="eastAsia" w:ascii="宋体" w:hAnsi="宋体" w:eastAsia="宋体" w:cs="宋体"/>
                <w:sz w:val="24"/>
                <w:szCs w:val="20"/>
                <w:highlight w:val="none"/>
              </w:rPr>
              <w:t xml:space="preserve">向甲方支付违约金，由甲方从待付货款中扣除。逾期超过约定日期</w:t>
            </w:r>
            <w:r>
              <w:rPr>
                <w:rFonts w:hint="eastAsia" w:ascii="宋体" w:hAnsi="宋体" w:eastAsia="宋体" w:cs="宋体"/>
                <w:sz w:val="24"/>
                <w:szCs w:val="20"/>
                <w:highlight w:val="none"/>
                <w:u w:val="single"/>
              </w:rPr>
              <w:t xml:space="preserve"> 10 </w:t>
            </w:r>
            <w:r>
              <w:rPr>
                <w:rFonts w:hint="eastAsia" w:ascii="宋体" w:hAnsi="宋体" w:eastAsia="宋体" w:cs="宋体"/>
                <w:sz w:val="24"/>
                <w:szCs w:val="20"/>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sz w:val="24"/>
                <w:szCs w:val="20"/>
                <w:highlight w:val="none"/>
                <w:u w:val="single"/>
              </w:rPr>
              <w:t xml:space="preserve">5% </w:t>
            </w:r>
            <w:r>
              <w:rPr>
                <w:rFonts w:hint="eastAsia" w:ascii="宋体" w:hAnsi="宋体" w:eastAsia="宋体" w:cs="宋体"/>
                <w:sz w:val="24"/>
                <w:szCs w:val="20"/>
                <w:highlight w:val="none"/>
              </w:rPr>
              <w:t xml:space="preserve">的违约金，如造成甲方损失超过违约金的，超出部分由乙方继续承担赔偿责任。 </w:t>
            </w:r>
            <w:r/>
          </w:p>
          <w:p>
            <w:pPr>
              <w:ind w:firstLine="482"/>
              <w:jc w:val="left"/>
              <w:spacing w:line="560" w:lineRule="exact"/>
              <w:widowControl/>
              <w:rPr>
                <w:rFonts w:ascii="宋体" w:hAnsi="宋体"/>
                <w:sz w:val="24"/>
                <w:highlight w:val="none"/>
                <w:u w:val="single"/>
              </w:rPr>
            </w:pPr>
            <w:r>
              <w:rPr>
                <w:rFonts w:hint="eastAsia" w:ascii="宋体" w:hAnsi="宋体" w:eastAsia="宋体" w:cs="宋体"/>
                <w:sz w:val="24"/>
                <w:szCs w:val="20"/>
                <w:highlight w:val="none"/>
              </w:rPr>
              <w:t xml:space="preserve">4.如乙方不能交付货物，或者有违法转包他人情形，乙方应向甲方支付合同总价</w:t>
            </w:r>
            <w:r>
              <w:rPr>
                <w:rFonts w:hint="eastAsia" w:ascii="宋体" w:hAnsi="宋体" w:eastAsia="宋体" w:cs="宋体"/>
                <w:sz w:val="24"/>
                <w:szCs w:val="20"/>
                <w:highlight w:val="none"/>
                <w:u w:val="single"/>
              </w:rPr>
              <w:t xml:space="preserve"> 5% </w:t>
            </w:r>
            <w:r>
              <w:rPr>
                <w:rFonts w:hint="eastAsia" w:ascii="宋体" w:hAnsi="宋体" w:eastAsia="宋体" w:cs="宋体"/>
                <w:sz w:val="24"/>
                <w:szCs w:val="20"/>
                <w:highlight w:val="none"/>
              </w:rPr>
              <w:t xml:space="preserve">的滞纳金。</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第15.3款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逾期付款利息</w:t>
            </w:r>
            <w:r/>
          </w:p>
        </w:tc>
        <w:tc>
          <w:tcPr>
            <w:tcW w:w="5991" w:type="dxa"/>
            <w:vAlign w:val="center"/>
            <w:textDirection w:val="lrTb"/>
            <w:noWrap w:val="false"/>
          </w:tcPr>
          <w:p>
            <w:pPr>
              <w:ind w:firstLine="482"/>
              <w:jc w:val="left"/>
              <w:spacing w:before="120" w:after="120"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1.甲方无正当理由拒收货物的，甲方向乙方偿付拒收货款总值</w:t>
            </w:r>
            <w:r>
              <w:rPr>
                <w:rFonts w:hint="eastAsia" w:ascii="宋体" w:hAnsi="宋体" w:eastAsia="宋体" w:cs="宋体"/>
                <w:sz w:val="24"/>
                <w:szCs w:val="20"/>
                <w:highlight w:val="none"/>
                <w:u w:val="single"/>
              </w:rPr>
              <w:t xml:space="preserve">5%</w:t>
            </w:r>
            <w:r>
              <w:rPr>
                <w:rFonts w:hint="eastAsia" w:ascii="宋体" w:hAnsi="宋体" w:eastAsia="宋体" w:cs="宋体"/>
                <w:sz w:val="24"/>
                <w:szCs w:val="20"/>
                <w:highlight w:val="none"/>
              </w:rPr>
              <w:t xml:space="preserve">的违约金。</w:t>
            </w:r>
            <w:r/>
          </w:p>
          <w:p>
            <w:pPr>
              <w:ind w:firstLine="482"/>
              <w:jc w:val="left"/>
              <w:spacing w:before="120" w:after="120"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2.甲方无故逾期验收和办理货款支付手续的,甲方应按逾期付款总额每日</w:t>
            </w:r>
            <w:r>
              <w:rPr>
                <w:rFonts w:hint="eastAsia" w:ascii="宋体" w:hAnsi="宋体" w:eastAsia="宋体" w:cs="宋体"/>
                <w:sz w:val="24"/>
                <w:szCs w:val="20"/>
                <w:highlight w:val="none"/>
                <w:u w:val="single"/>
              </w:rPr>
              <w:t xml:space="preserve">5‰</w:t>
            </w:r>
            <w:r>
              <w:rPr>
                <w:rFonts w:hint="eastAsia" w:ascii="宋体" w:hAnsi="宋体" w:eastAsia="宋体" w:cs="宋体"/>
                <w:sz w:val="24"/>
                <w:szCs w:val="20"/>
                <w:highlight w:val="none"/>
              </w:rPr>
              <w:t xml:space="preserve">向乙方支付违约金。</w:t>
            </w:r>
            <w:r/>
          </w:p>
        </w:tc>
      </w:tr>
      <w:tr>
        <w:trPr>
          <w:jc w:val="center"/>
        </w:trPr>
        <w:tc>
          <w:tcPr>
            <w:tcBorders>
              <w:bottom w:val="single" w:color="000000" w:sz="2" w:space="0"/>
              <w:right w:val="single" w:color="000000" w:sz="2" w:space="0"/>
            </w:tcBorders>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第15.4款</w:t>
            </w:r>
            <w:r/>
          </w:p>
        </w:tc>
        <w:tc>
          <w:tcPr>
            <w:tcBorders>
              <w:left w:val="single" w:color="000000" w:sz="2" w:space="0"/>
              <w:bottom w:val="single" w:color="000000" w:sz="2" w:space="0"/>
              <w:right w:val="single" w:color="000000" w:sz="2" w:space="0"/>
            </w:tcBorders>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其他违约责任</w:t>
            </w:r>
            <w:r/>
          </w:p>
        </w:tc>
        <w:tc>
          <w:tcPr>
            <w:tcBorders>
              <w:left w:val="single" w:color="000000" w:sz="2" w:space="0"/>
              <w:bottom w:val="single" w:color="000000" w:sz="2" w:space="0"/>
            </w:tcBorders>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乙方交付合同标的的标准不符合合同规定及招标文件规定标准的，甲方有权拒绝接受合同标的，并可单方面解除合同。</w:t>
            </w:r>
            <w:r/>
          </w:p>
        </w:tc>
      </w:tr>
      <w:tr>
        <w:trPr>
          <w:jc w:val="center"/>
        </w:trPr>
        <w:tc>
          <w:tcPr>
            <w:tcBorders>
              <w:top w:val="single" w:color="000000" w:sz="2" w:space="0"/>
              <w:right w:val="single" w:color="000000" w:sz="2" w:space="0"/>
            </w:tcBorders>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第19.2款</w:t>
            </w:r>
            <w:r/>
          </w:p>
        </w:tc>
        <w:tc>
          <w:tcPr>
            <w:tcBorders>
              <w:top w:val="single" w:color="000000" w:sz="2" w:space="0"/>
              <w:left w:val="single" w:color="000000" w:sz="2" w:space="0"/>
              <w:right w:val="single" w:color="000000" w:sz="2" w:space="0"/>
            </w:tcBorders>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解决争议的方法</w:t>
            </w:r>
            <w:r/>
          </w:p>
        </w:tc>
        <w:tc>
          <w:tcPr>
            <w:tcBorders>
              <w:top w:val="single" w:color="000000" w:sz="2" w:space="0"/>
              <w:left w:val="single" w:color="000000" w:sz="2" w:space="0"/>
            </w:tcBorders>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1.因本合同及合同有关事项发生的争议，由双方协商解决，协商不成时，按下列第</w:t>
            </w:r>
            <w:r>
              <w:rPr>
                <w:rFonts w:hint="eastAsia" w:ascii="宋体" w:hAnsi="宋体" w:eastAsia="宋体" w:cs="宋体"/>
                <w:sz w:val="24"/>
                <w:szCs w:val="20"/>
                <w:highlight w:val="none"/>
                <w:u w:val="single"/>
              </w:rPr>
              <w:t xml:space="preserve"> 2 </w:t>
            </w:r>
            <w:r>
              <w:rPr>
                <w:rFonts w:hint="eastAsia" w:ascii="宋体" w:hAnsi="宋体" w:eastAsia="宋体" w:cs="宋体"/>
                <w:sz w:val="24"/>
                <w:szCs w:val="20"/>
                <w:highlight w:val="none"/>
              </w:rPr>
              <w:t xml:space="preserve">种方式解决：</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（1）向仲裁委员会申请仲裁，仲裁地点为</w:t>
            </w:r>
            <w:r>
              <w:rPr>
                <w:rFonts w:hint="eastAsia" w:ascii="宋体" w:hAnsi="宋体" w:eastAsia="宋体" w:cs="宋体"/>
                <w:sz w:val="24"/>
                <w:szCs w:val="20"/>
                <w:highlight w:val="none"/>
                <w:u w:val="single"/>
              </w:rPr>
              <w:t xml:space="preserve">盐城市</w:t>
            </w:r>
            <w:r>
              <w:rPr>
                <w:rFonts w:hint="eastAsia" w:ascii="宋体" w:hAnsi="宋体" w:eastAsia="宋体" w:cs="宋体"/>
                <w:sz w:val="24"/>
                <w:szCs w:val="20"/>
                <w:highlight w:val="none"/>
              </w:rPr>
              <w:t xml:space="preserve">；</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（2）向甲方所在地人民法院起诉。</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 纠纷解决办法</w:t>
            </w:r>
            <w:r/>
          </w:p>
          <w:p>
            <w:pPr>
              <w:ind w:firstLine="482"/>
              <w:jc w:val="left"/>
              <w:spacing w:line="560" w:lineRule="exact"/>
              <w:widowControl/>
              <w:rPr>
                <w:rFonts w:ascii="宋体" w:hAnsi="宋体"/>
                <w:sz w:val="24"/>
                <w:highlight w:val="none"/>
              </w:rPr>
            </w:pPr>
            <w:r>
              <w:rPr>
                <w:rFonts w:hint="eastAsia" w:ascii="宋体" w:hAnsi="宋体" w:eastAsia="宋体" w:cs="宋体"/>
                <w:sz w:val="24"/>
                <w:szCs w:val="20"/>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Pr>
        <w:tc>
          <w:tcPr>
            <w:tcW w:w="12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第二节</w:t>
            </w:r>
            <w:r/>
          </w:p>
          <w:p>
            <w:pPr>
              <w:jc w:val="center"/>
              <w:rPr>
                <w:rFonts w:ascii="宋体" w:hAnsi="宋体"/>
                <w:sz w:val="24"/>
                <w:highlight w:val="none"/>
              </w:rPr>
            </w:pPr>
            <w:r>
              <w:rPr>
                <w:rFonts w:hint="eastAsia" w:ascii="宋体" w:hAnsi="宋体"/>
                <w:sz w:val="24"/>
                <w:highlight w:val="none"/>
              </w:rPr>
              <w:t xml:space="preserve">第23.1款</w:t>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其他专用条款</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sz w:val="24"/>
                <w:highlight w:val="none"/>
              </w:rPr>
              <w:t xml:space="preserve">1</w:t>
            </w:r>
            <w:r>
              <w:rPr>
                <w:rFonts w:hint="eastAsia" w:ascii="宋体" w:hAnsi="宋体" w:eastAsia="宋体" w:cs="宋体"/>
                <w:sz w:val="24"/>
                <w:szCs w:val="20"/>
                <w:highlight w:val="none"/>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3.验收不合格的货物，乙方应在</w:t>
            </w:r>
            <w:r>
              <w:rPr>
                <w:rFonts w:hint="eastAsia" w:ascii="宋体" w:hAnsi="宋体" w:eastAsia="宋体" w:cs="宋体"/>
                <w:sz w:val="24"/>
                <w:szCs w:val="20"/>
                <w:highlight w:val="none"/>
                <w:u w:val="single"/>
              </w:rPr>
              <w:t xml:space="preserve">三个工作日</w:t>
            </w:r>
            <w:r>
              <w:rPr>
                <w:rFonts w:hint="eastAsia" w:ascii="宋体" w:hAnsi="宋体" w:eastAsia="宋体" w:cs="宋体"/>
                <w:sz w:val="24"/>
                <w:szCs w:val="20"/>
                <w:highlight w:val="none"/>
              </w:rPr>
              <w:t xml:space="preserve">内予以更换，逾期按交货延误予以处罚。乙方所交付的货物品种、型号、规格不符合合同规定的，甲方有权拒收。甲方拒收的，乙方向甲方支付货款总额</w:t>
            </w:r>
            <w:r>
              <w:rPr>
                <w:rFonts w:hint="eastAsia" w:ascii="宋体" w:hAnsi="宋体" w:eastAsia="宋体" w:cs="宋体"/>
                <w:sz w:val="24"/>
                <w:szCs w:val="20"/>
                <w:highlight w:val="none"/>
                <w:u w:val="single"/>
              </w:rPr>
              <w:t xml:space="preserve"> 5 %</w:t>
            </w:r>
            <w:r>
              <w:rPr>
                <w:rFonts w:hint="eastAsia" w:ascii="宋体" w:hAnsi="宋体" w:eastAsia="宋体" w:cs="宋体"/>
                <w:sz w:val="24"/>
                <w:szCs w:val="20"/>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4.货物验收要求</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（1）依照招标文件要求对全部货物、型号、规格、数量、外型、外观、包装及资料、文件（如装箱单、保修单、随箱介质等）进行验收。</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（2）甲方与乙方对货物到货后共同进行开箱检查，出现损坏、数量不全或产品不对等问题时，由乙方负责解决。</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（3）甲方有权从乙方所送货物中任意抽出不同型号的产品送采购人所在地的质检部门检验，如果检验合格，检验费由甲方负担；如果检验不合格，则检验费由乙方负担。</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（4）乙方应按照本合同规定的时间、地点和方式向乙方交付货物。</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交货时间：</w:t>
            </w:r>
            <w:r>
              <w:rPr>
                <w:rFonts w:hint="eastAsia" w:ascii="宋体" w:hAnsi="宋体"/>
                <w:sz w:val="24"/>
                <w:highlight w:val="none"/>
                <w:u w:val="single"/>
              </w:rPr>
              <w:t xml:space="preserve">合同签订后30日历天内完成供货及安装</w:t>
            </w:r>
            <w:r>
              <w:rPr>
                <w:rFonts w:hint="eastAsia" w:ascii="宋体" w:hAnsi="宋体" w:eastAsia="宋体" w:cs="宋体"/>
                <w:sz w:val="24"/>
                <w:szCs w:val="20"/>
                <w:highlight w:val="none"/>
              </w:rPr>
              <w:t xml:space="preserve">。</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交货地点：</w:t>
            </w:r>
            <w:r>
              <w:rPr>
                <w:rFonts w:hint="eastAsia" w:ascii="宋体" w:hAnsi="宋体"/>
                <w:sz w:val="24"/>
                <w:highlight w:val="none"/>
                <w:u w:val="single"/>
              </w:rPr>
              <w:t xml:space="preserve">盐城体育运动学校</w:t>
            </w:r>
            <w:r>
              <w:rPr>
                <w:rFonts w:hint="eastAsia"/>
                <w:sz w:val="24"/>
                <w:highlight w:val="none"/>
                <w:u w:val="single"/>
              </w:rPr>
              <w:t xml:space="preserve">指定地点</w:t>
            </w:r>
            <w:r>
              <w:rPr>
                <w:rFonts w:hint="eastAsia" w:ascii="宋体" w:hAnsi="宋体" w:eastAsia="宋体" w:cs="宋体"/>
                <w:sz w:val="24"/>
                <w:szCs w:val="20"/>
                <w:highlight w:val="none"/>
              </w:rPr>
              <w:t xml:space="preserve">。</w:t>
            </w:r>
            <w:r/>
          </w:p>
          <w:p>
            <w:pPr>
              <w:ind w:firstLine="482"/>
              <w:jc w:val="left"/>
              <w:spacing w:line="560" w:lineRule="exact"/>
              <w:widowControl/>
              <w:rPr>
                <w:rFonts w:ascii="宋体" w:hAnsi="宋体" w:eastAsia="宋体" w:cs="宋体"/>
                <w:sz w:val="24"/>
                <w:szCs w:val="20"/>
                <w:highlight w:val="none"/>
              </w:rPr>
            </w:pPr>
            <w:r>
              <w:rPr>
                <w:rFonts w:hint="eastAsia" w:ascii="宋体" w:hAnsi="宋体"/>
                <w:sz w:val="24"/>
                <w:highlight w:val="none"/>
              </w:rPr>
              <w:t xml:space="preserve">（</w:t>
            </w:r>
            <w:r>
              <w:rPr>
                <w:rFonts w:hint="eastAsia" w:ascii="宋体" w:hAnsi="宋体" w:eastAsia="宋体" w:cs="宋体"/>
                <w:sz w:val="24"/>
                <w:szCs w:val="20"/>
                <w:highlight w:val="none"/>
              </w:rPr>
              <w:t xml:space="preserve">5）甲方应在全部货物到货安装完毕后的</w:t>
            </w:r>
            <w:r>
              <w:rPr>
                <w:rFonts w:hint="eastAsia" w:ascii="宋体" w:hAnsi="宋体" w:eastAsia="宋体" w:cs="宋体"/>
                <w:sz w:val="24"/>
                <w:szCs w:val="20"/>
                <w:highlight w:val="none"/>
                <w:u w:val="single"/>
              </w:rPr>
              <w:t xml:space="preserve">五个工作日</w:t>
            </w:r>
            <w:r>
              <w:rPr>
                <w:rFonts w:hint="eastAsia" w:ascii="宋体" w:hAnsi="宋体" w:eastAsia="宋体" w:cs="宋体"/>
                <w:sz w:val="24"/>
                <w:szCs w:val="20"/>
                <w:highlight w:val="none"/>
              </w:rPr>
              <w:t xml:space="preserve">内进行验收，验收包括：型号、规格、数量、外观是否完好，安装调试是否合格等。验收合格后甲方应在验收报告上签字盖章，初步验收合格且项目运行满一 个月后，甲方组织对货物的质量及使用状况等进行最终验收。</w:t>
            </w:r>
            <w:r/>
          </w:p>
          <w:p>
            <w:pPr>
              <w:ind w:firstLine="482"/>
              <w:jc w:val="left"/>
              <w:spacing w:line="560" w:lineRule="exact"/>
              <w:widowControl/>
              <w:rPr>
                <w:rFonts w:ascii="宋体" w:hAnsi="宋体"/>
                <w:sz w:val="24"/>
                <w:highlight w:val="none"/>
              </w:rPr>
            </w:pPr>
            <w:r>
              <w:rPr>
                <w:rFonts w:hint="eastAsia" w:ascii="宋体" w:hAnsi="宋体" w:eastAsia="宋体" w:cs="宋体"/>
                <w:sz w:val="24"/>
                <w:szCs w:val="20"/>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Pr>
        <w:tc>
          <w:tcPr>
            <w:tcW w:w="124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3"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税费</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1.中国政府根据现行税法规定对甲方征收的与本合同有关的一切税费均由甲方负担（免税部分除外），招标文件另有规定的除外。</w:t>
            </w:r>
            <w:r/>
          </w:p>
          <w:p>
            <w:pPr>
              <w:ind w:firstLine="482"/>
              <w:jc w:val="left"/>
              <w:spacing w:line="560" w:lineRule="exact"/>
              <w:widowControl/>
              <w:rPr>
                <w:rFonts w:ascii="宋体" w:hAnsi="宋体"/>
                <w:sz w:val="24"/>
                <w:highlight w:val="none"/>
              </w:rPr>
            </w:pPr>
            <w:r>
              <w:rPr>
                <w:rFonts w:hint="eastAsia" w:ascii="宋体" w:hAnsi="宋体" w:eastAsia="宋体" w:cs="宋体"/>
                <w:sz w:val="24"/>
                <w:szCs w:val="20"/>
                <w:highlight w:val="none"/>
              </w:rPr>
              <w:t xml:space="preserve">2.中国政府根据现行税法规定对乙方征收的与本合同有关的一切税费均由乙方负担（免税部分除外）。</w:t>
            </w:r>
            <w:r/>
          </w:p>
        </w:tc>
      </w:tr>
      <w:tr>
        <w:trPr>
          <w:jc w:val="center"/>
        </w:trPr>
        <w:tc>
          <w:tcPr>
            <w:tcW w:w="124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3"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伴随服务</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1.乙方应按照国家“</w:t>
            </w:r>
            <w:r>
              <w:rPr>
                <w:rFonts w:hint="eastAsia" w:ascii="宋体" w:hAnsi="宋体" w:eastAsia="宋体" w:cs="宋体"/>
                <w:b/>
                <w:bCs/>
                <w:sz w:val="24"/>
                <w:szCs w:val="20"/>
                <w:highlight w:val="none"/>
              </w:rPr>
              <w:t xml:space="preserve">新三包</w:t>
            </w:r>
            <w:r>
              <w:rPr>
                <w:rFonts w:hint="eastAsia" w:ascii="宋体" w:hAnsi="宋体" w:eastAsia="宋体" w:cs="宋体"/>
                <w:sz w:val="24"/>
                <w:szCs w:val="20"/>
                <w:highlight w:val="none"/>
              </w:rPr>
              <w:t xml:space="preserve">”规定和合同中所附的服务承诺提供服务。</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2.除第1条规定外，乙方还应提供下列服务：</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w:t>
            </w:r>
            <w:r>
              <w:rPr>
                <w:rFonts w:hint="eastAsia" w:ascii="宋体" w:hAnsi="宋体" w:eastAsia="宋体" w:cs="宋体"/>
                <w:b/>
                <w:bCs/>
                <w:sz w:val="24"/>
                <w:szCs w:val="20"/>
                <w:highlight w:val="none"/>
              </w:rPr>
              <w:t xml:space="preserve">(1) 招标文件中的“服务要求”所规定的服务内容以及投标文件承诺提供的其他服务内容；</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(2) 负责货物的开孔，货物的现场安装；</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(3) 提供货物组装和维修所需的工具；</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(4) 在合同中乙方承诺的质保期限内对所提供货物正常使用实施监督、维修，但前提条件是该服务并不能免除乙方在质量保证期内应承担的义务；</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(5) 在货物交货现场就货物的安装、启用、维护等对甲方人员进行培训。</w:t>
            </w:r>
            <w:r/>
          </w:p>
          <w:p>
            <w:pPr>
              <w:ind w:firstLine="482"/>
              <w:jc w:val="left"/>
              <w:spacing w:line="560" w:lineRule="exact"/>
              <w:widowControl/>
              <w:rPr>
                <w:rFonts w:ascii="宋体" w:hAnsi="宋体" w:eastAsia="宋体" w:cs="宋体"/>
                <w:sz w:val="24"/>
                <w:highlight w:val="none"/>
              </w:rPr>
            </w:pPr>
            <w:r>
              <w:rPr>
                <w:rFonts w:hint="eastAsia" w:ascii="宋体" w:hAnsi="宋体" w:eastAsia="宋体" w:cs="宋体"/>
                <w:sz w:val="24"/>
                <w:szCs w:val="20"/>
                <w:highlight w:val="none"/>
              </w:rPr>
              <w:t xml:space="preserve">3.伴随服务的费用应含在合同价中，不单独进行支付。</w:t>
            </w:r>
            <w:r/>
          </w:p>
        </w:tc>
      </w:tr>
      <w:tr>
        <w:trPr>
          <w:jc w:val="center"/>
        </w:trPr>
        <w:tc>
          <w:tcPr>
            <w:tcW w:w="124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索赔</w:t>
            </w:r>
            <w:r/>
          </w:p>
        </w:tc>
        <w:tc>
          <w:tcPr>
            <w:tcW w:w="5991" w:type="dxa"/>
            <w:vAlign w:val="center"/>
            <w:textDirection w:val="lrTb"/>
            <w:noWrap w:val="false"/>
          </w:tcPr>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1.甲方有权根据当地质检部门出具的检验报告，向乙方提出索赔。</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2.根据合同规定的检验期和质量保证期内，如果乙方对甲方提出的索赔和差异负有责任，乙方应按照甲方同意的下列一种或多种方式解决索赔事宜：</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480"/>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 根据货物的低劣程度、损坏程度以及甲方所遭受损失的数额，乙方必须降低货物的价格。</w:t>
            </w:r>
            <w:r/>
          </w:p>
          <w:p>
            <w:pPr>
              <w:ind w:firstLine="482"/>
              <w:jc w:val="left"/>
              <w:spacing w:line="56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2"/>
              <w:jc w:val="left"/>
              <w:spacing w:line="560" w:lineRule="exact"/>
              <w:widowControl/>
              <w:rPr>
                <w:rFonts w:ascii="宋体" w:hAnsi="宋体" w:eastAsia="宋体" w:cs="宋体"/>
                <w:sz w:val="24"/>
                <w:highlight w:val="none"/>
              </w:rPr>
            </w:pPr>
            <w:r>
              <w:rPr>
                <w:rFonts w:hint="eastAsia" w:ascii="宋体" w:hAnsi="宋体" w:eastAsia="宋体" w:cs="宋体"/>
                <w:sz w:val="24"/>
                <w:szCs w:val="20"/>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Pr>
        <w:tc>
          <w:tcPr>
            <w:tcW w:w="124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3" w:type="dxa"/>
            <w:vAlign w:val="center"/>
            <w:textDirection w:val="lrTb"/>
            <w:noWrap w:val="false"/>
          </w:tcPr>
          <w:p>
            <w:pPr>
              <w:jc w:val="center"/>
              <w:rPr>
                <w:rFonts w:ascii="宋体" w:hAnsi="宋体"/>
                <w:bCs/>
                <w:sz w:val="24"/>
                <w:highlight w:val="none"/>
              </w:rPr>
            </w:pPr>
            <w:r>
              <w:rPr>
                <w:rFonts w:hint="eastAsia" w:ascii="宋体" w:hAnsi="宋体" w:eastAsia="Arial" w:cs="宋体"/>
                <w:sz w:val="24"/>
                <w:szCs w:val="20"/>
                <w:highlight w:val="none"/>
              </w:rPr>
              <w:t xml:space="preserve">合同生效及其它</w:t>
            </w:r>
            <w:r/>
          </w:p>
        </w:tc>
        <w:tc>
          <w:tcPr>
            <w:tcW w:w="5991" w:type="dxa"/>
            <w:vAlign w:val="center"/>
            <w:textDirection w:val="lrTb"/>
            <w:noWrap w:val="false"/>
          </w:tcPr>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1.合同经甲方、乙方盖章后生效。</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2.货物交付使用后所发生的合同纠纷，由甲方与乙方协商处理。</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2"/>
              <w:jc w:val="left"/>
              <w:spacing w:line="560" w:lineRule="exact"/>
              <w:widowControl/>
              <w:rPr>
                <w:rFonts w:ascii="宋体" w:hAnsi="宋体"/>
                <w:sz w:val="24"/>
                <w:highlight w:val="none"/>
              </w:rPr>
            </w:pPr>
            <w:r>
              <w:rPr>
                <w:rFonts w:hint="eastAsia" w:ascii="宋体" w:hAnsi="宋体" w:eastAsia="Arial" w:cs="宋体"/>
                <w:sz w:val="24"/>
                <w:szCs w:val="20"/>
                <w:highlight w:val="none"/>
              </w:rPr>
              <w:t xml:space="preserve">4.本合同应按照中华人民共和国的现行法律进行解释。本合同未尽事宜，遵照《中华人民共和国民法典》、《中华人民共和国政府采购法》等有关条文执行。</w:t>
            </w:r>
            <w:r/>
          </w:p>
        </w:tc>
      </w:tr>
    </w:tbl>
    <w:p>
      <w:pPr>
        <w:pStyle w:val="752"/>
        <w:ind w:firstLine="220"/>
        <w:jc w:val="center"/>
        <w:spacing w:before="120" w:beforeAutospacing="0" w:after="120" w:afterAutospacing="0" w:line="0" w:lineRule="atLeast"/>
        <w:rPr>
          <w:rFonts w:ascii="黑体" w:hAnsi="宋体" w:eastAsia="黑体" w:cs="黑体"/>
          <w:sz w:val="44"/>
          <w:szCs w:val="44"/>
          <w:highlight w:val="none"/>
        </w:rPr>
      </w:pPr>
      <w:r>
        <w:rPr>
          <w:rFonts w:hint="eastAsia" w:ascii="黑体" w:hAnsi="宋体" w:eastAsia="黑体" w:cs="黑体"/>
          <w:sz w:val="44"/>
          <w:szCs w:val="44"/>
          <w:highlight w:val="none"/>
        </w:rPr>
        <w:br w:type="page" w:clear="all"/>
      </w:r>
      <w:bookmarkEnd w:id="149"/>
      <w:r/>
      <w:bookmarkEnd w:id="150"/>
      <w:r/>
      <w:bookmarkEnd w:id="151"/>
      <w:r/>
      <w:bookmarkEnd w:id="152"/>
      <w:r/>
      <w:bookmarkEnd w:id="153"/>
      <w:r/>
      <w:bookmarkEnd w:id="154"/>
      <w:r/>
      <w:bookmarkStart w:id="161" w:name="_Toc120614281"/>
      <w:r>
        <w:rPr>
          <w:rFonts w:hint="eastAsia" w:ascii="黑体" w:hAnsi="宋体" w:eastAsia="黑体" w:cs="黑体"/>
          <w:sz w:val="44"/>
          <w:szCs w:val="44"/>
          <w:highlight w:val="none"/>
        </w:rPr>
        <w:t xml:space="preserve">第四章 采购需求</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项目属性：货物类项目。</w:t>
      </w:r>
      <w:r/>
    </w:p>
    <w:p>
      <w:pPr>
        <w:ind w:firstLine="482"/>
        <w:jc w:val="left"/>
        <w:keepLines/>
        <w:keepNex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一、</w:t>
      </w:r>
      <w:r>
        <w:rPr>
          <w:rFonts w:hint="eastAsia" w:ascii="宋体" w:hAnsi="宋体" w:cs="宋体"/>
          <w:b/>
          <w:sz w:val="24"/>
          <w:highlight w:val="none"/>
        </w:rPr>
        <w:t xml:space="preserve">项目概况及要求</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1.项目名称：盐城体育运动学校新校区家具采购项目</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rPr>
        <w:t xml:space="preserve">2</w:t>
      </w:r>
      <w:r>
        <w:rPr>
          <w:rFonts w:hint="eastAsia" w:ascii="宋体" w:hAnsi="宋体" w:eastAsia="宋体" w:cs="宋体"/>
          <w:sz w:val="24"/>
          <w:szCs w:val="20"/>
          <w:highlight w:val="none"/>
          <w:lang w:val="zh-CN"/>
        </w:rPr>
        <w:t xml:space="preserve">.预算金额</w:t>
      </w:r>
      <w:r>
        <w:rPr>
          <w:rFonts w:hint="eastAsia" w:ascii="宋体" w:hAnsi="宋体" w:eastAsia="宋体" w:cs="宋体"/>
          <w:sz w:val="24"/>
          <w:szCs w:val="20"/>
          <w:highlight w:val="none"/>
        </w:rPr>
        <w:t xml:space="preserve">及</w:t>
      </w:r>
      <w:r>
        <w:rPr>
          <w:rFonts w:hint="eastAsia" w:ascii="宋体" w:hAnsi="宋体" w:eastAsia="宋体" w:cs="宋体"/>
          <w:sz w:val="24"/>
          <w:szCs w:val="20"/>
          <w:highlight w:val="none"/>
          <w:lang w:val="zh-CN"/>
        </w:rPr>
        <w:t xml:space="preserve">最高限价：</w:t>
      </w:r>
      <w:r>
        <w:rPr>
          <w:rFonts w:hint="eastAsia" w:ascii="宋体" w:hAnsi="宋体" w:eastAsia="宋体" w:cs="宋体"/>
          <w:sz w:val="24"/>
          <w:szCs w:val="20"/>
          <w:highlight w:val="none"/>
        </w:rPr>
        <w:t xml:space="preserve">180</w:t>
      </w:r>
      <w:r>
        <w:rPr>
          <w:rFonts w:hint="eastAsia" w:ascii="宋体" w:hAnsi="宋体" w:eastAsia="宋体" w:cs="宋体"/>
          <w:sz w:val="24"/>
          <w:szCs w:val="20"/>
          <w:highlight w:val="none"/>
          <w:lang w:val="zh-CN"/>
        </w:rPr>
        <w:t xml:space="preserve">万元</w:t>
      </w:r>
      <w:r/>
    </w:p>
    <w:p>
      <w:pPr>
        <w:ind w:firstLine="482"/>
        <w:jc w:val="left"/>
        <w:spacing w:line="560" w:lineRule="exact"/>
        <w:widowControl/>
        <w:rPr>
          <w:rFonts w:ascii="宋体" w:hAnsi="宋体" w:eastAsia="宋体" w:cs="宋体"/>
          <w:sz w:val="24"/>
          <w:szCs w:val="20"/>
          <w:highlight w:val="none"/>
          <w:lang w:val="zh-CN"/>
        </w:rPr>
      </w:pPr>
      <w:r>
        <w:rPr>
          <w:rFonts w:hint="eastAsia" w:ascii="宋体" w:hAnsi="宋体" w:eastAsia="宋体" w:cs="宋体"/>
          <w:sz w:val="24"/>
          <w:szCs w:val="20"/>
          <w:highlight w:val="none"/>
        </w:rPr>
        <w:t xml:space="preserve">3</w:t>
      </w:r>
      <w:r>
        <w:rPr>
          <w:rFonts w:hint="eastAsia" w:ascii="宋体" w:hAnsi="宋体" w:eastAsia="宋体" w:cs="宋体"/>
          <w:sz w:val="24"/>
          <w:szCs w:val="20"/>
          <w:highlight w:val="none"/>
          <w:lang w:val="zh-CN"/>
        </w:rPr>
        <w:t xml:space="preserve">.合同履行期限：</w:t>
      </w:r>
      <w:r>
        <w:rPr>
          <w:rFonts w:hint="eastAsia" w:ascii="宋体" w:hAnsi="宋体"/>
          <w:sz w:val="24"/>
          <w:highlight w:val="none"/>
        </w:rPr>
        <w:t xml:space="preserve">合同签订后30日历天内完成供货及安装</w:t>
      </w:r>
      <w:r>
        <w:rPr>
          <w:rFonts w:hint="eastAsia" w:ascii="宋体" w:hAnsi="宋体" w:eastAsia="宋体" w:cs="宋体"/>
          <w:sz w:val="24"/>
          <w:szCs w:val="20"/>
          <w:highlight w:val="none"/>
        </w:rPr>
        <w:t xml:space="preserve">。</w:t>
      </w:r>
      <w:r/>
    </w:p>
    <w:p>
      <w:pPr>
        <w:ind w:firstLine="480"/>
        <w:spacing w:line="500" w:lineRule="exact"/>
        <w:rPr>
          <w:rFonts w:ascii="宋体" w:hAnsi="宋体" w:cs="宋体"/>
          <w:bCs/>
          <w:sz w:val="24"/>
          <w:highlight w:val="none"/>
        </w:rPr>
      </w:pPr>
      <w:r>
        <w:rPr>
          <w:rFonts w:ascii="宋体" w:hAnsi="宋体" w:cs="宋体"/>
          <w:sz w:val="24"/>
          <w:highlight w:val="none"/>
        </w:rPr>
        <w:t xml:space="preserve">4</w:t>
      </w:r>
      <w:r>
        <w:rPr>
          <w:rFonts w:hint="eastAsia" w:ascii="宋体" w:hAnsi="宋体" w:cs="宋体"/>
          <w:sz w:val="24"/>
          <w:highlight w:val="none"/>
        </w:rPr>
        <w:t xml:space="preserve">、</w:t>
      </w:r>
      <w:r>
        <w:rPr>
          <w:rFonts w:hint="eastAsia" w:ascii="宋体" w:hAnsi="宋体" w:cs="宋体"/>
          <w:bCs/>
          <w:sz w:val="24"/>
          <w:highlight w:val="none"/>
        </w:rPr>
        <w:t xml:space="preserve">质保期：2年</w:t>
      </w:r>
      <w:r/>
    </w:p>
    <w:p>
      <w:pPr>
        <w:ind w:firstLine="482"/>
        <w:jc w:val="left"/>
        <w:spacing w:line="560" w:lineRule="exact"/>
        <w:widowControl/>
        <w:rPr>
          <w:rFonts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二、</w:t>
      </w:r>
      <w:r>
        <w:rPr>
          <w:rFonts w:hint="eastAsia" w:ascii="宋体" w:hAnsi="宋体" w:cs="宋体"/>
          <w:b/>
          <w:sz w:val="24"/>
          <w:highlight w:val="none"/>
        </w:rPr>
        <w:t xml:space="preserve">招标清单及技术参数要求</w:t>
      </w:r>
      <w:r/>
    </w:p>
    <w:tbl>
      <w:tblPr>
        <w:tblStyle w:val="727"/>
        <w:tblW w:w="8929"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222"/>
        <w:gridCol w:w="5489"/>
        <w:gridCol w:w="709"/>
        <w:gridCol w:w="709"/>
      </w:tblGrid>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序号</w:t>
            </w:r>
            <w:r/>
          </w:p>
        </w:tc>
        <w:tc>
          <w:tcPr>
            <w:shd w:val="clear" w:color="auto" w:fill="auto"/>
            <w:tcW w:w="1222" w:type="dxa"/>
            <w:vAlign w:val="center"/>
            <w:textDirection w:val="lrTb"/>
            <w:noWrap/>
          </w:tcPr>
          <w:p>
            <w:pPr>
              <w:jc w:val="center"/>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项目名称</w:t>
            </w:r>
            <w:r/>
          </w:p>
        </w:tc>
        <w:tc>
          <w:tcPr>
            <w:shd w:val="clear" w:color="auto" w:fill="auto"/>
            <w:tcW w:w="5489" w:type="dxa"/>
            <w:vAlign w:val="center"/>
            <w:textDirection w:val="lrTb"/>
            <w:noWrap/>
          </w:tcPr>
          <w:p>
            <w:pPr>
              <w:jc w:val="center"/>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规格、材质和参数</w:t>
            </w:r>
            <w:r/>
          </w:p>
        </w:tc>
        <w:tc>
          <w:tcPr>
            <w:shd w:val="clear" w:color="auto" w:fill="auto"/>
            <w:tcW w:w="709" w:type="dxa"/>
            <w:vAlign w:val="center"/>
            <w:textDirection w:val="lrTb"/>
            <w:noWrap/>
          </w:tcPr>
          <w:p>
            <w:pPr>
              <w:jc w:val="center"/>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数量</w:t>
            </w:r>
            <w:r/>
          </w:p>
        </w:tc>
        <w:tc>
          <w:tcPr>
            <w:shd w:val="clear" w:color="auto" w:fill="auto"/>
            <w:tcW w:w="709" w:type="dxa"/>
            <w:vAlign w:val="center"/>
            <w:textDirection w:val="lrTb"/>
            <w:noWrap/>
          </w:tcPr>
          <w:p>
            <w:pPr>
              <w:jc w:val="center"/>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单位</w:t>
            </w:r>
            <w:r/>
          </w:p>
        </w:tc>
      </w:tr>
      <w:tr>
        <w:trPr>
          <w:trHeight w:val="20"/>
        </w:trPr>
        <w:tc>
          <w:tcPr>
            <w:gridSpan w:val="5"/>
            <w:shd w:val="clear" w:color="auto" w:fill="auto"/>
            <w:tcW w:w="8929" w:type="dxa"/>
            <w:vAlign w:val="center"/>
            <w:textDirection w:val="lrTb"/>
            <w:noWrap/>
          </w:tcPr>
          <w:p>
            <w:pPr>
              <w:jc w:val="left"/>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一、教学区</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学生课桌、椅</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1、课桌尺寸：≥600mm*400mm*高670mm-790mm </w:t>
            </w:r>
            <w:r/>
          </w:p>
          <w:p>
            <w:pPr>
              <w:ind w:left="0" w:right="0" w:firstLine="480"/>
              <w:jc w:val="lef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（1）桌面：长≥600 ㎜*两头宽≥400㎜，桌面靠座位身边中间凹进≥25㎜弧形，采用高密度中纤板，面板厚≥18㎜，PP塑料，注塑封边，颜色根据采购人需求，PP塑料无接缝，桌面左右横向离前边沿翻进70㎜（±2㎜）配带不小于长220㎜（±2㎜）和宽20㎜（±2㎜）笔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（2）桌底脚≥30mm*60mm*1.2mm椭圆管，下套管立管≥30mm*60mm*1.2mm椭圆管，上管采用≥20mm*50mm*1.2mm椭圆管、桌子下拉管≥20mm*50mm*1.0mm椭圆管、斗托料管≥30mm*30mm*1.0mm 方管，可升降套管固定式。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（3）斗规格；宽450mm（±2㎜）*深300mm（±2㎜）*高150mm（±2㎜），其厚度≥0.6mm，桌子两边耳朵厚≥1.0mm。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2、椅子：高度为380-460㎜；</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（1）椅面：椅面长≥400㎜*宽355㎜*椅高380-460㎜。靠背长≥405㎜*宽≥180㎜，椅面及靠背板采用高密度中纤板，面板厚≥18㎜，PP塑料，注塑封边，颜色根据采购人需求，PP塑料无接缝。</w:t>
            </w:r>
            <w:r/>
          </w:p>
          <w:p>
            <w:pPr>
              <w:ind w:left="0" w:right="0" w:firstLine="480"/>
              <w:spacing w:before="0" w:after="0" w:line="499" w:lineRule="atLeast"/>
              <w:rPr>
                <w:rFonts w:ascii="SimSun" w:hAnsi="SimSun" w:eastAsia="SimSun" w:cs="SimSun"/>
                <w:bCs/>
                <w:i/>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（2）钢支架：椅底脚管：采用≥30mm*60mm*1.2mm椭圆管，下脚立柱采用≥30*60*1.2mm椭圆管；下脚内立柱采用≥20*50*1.2mm椭圆管；横档采用≥20*50*1.0mm椭圆管，靠背弯管采用≥20*20*1.0mm厚方管。</w:t>
            </w:r>
            <w:r>
              <w:rPr>
                <w:sz w:val="21"/>
              </w:rPr>
            </w:r>
            <w:r/>
          </w:p>
          <w:p>
            <w:pPr>
              <w:ind w:left="0" w:right="0" w:firstLine="480"/>
              <w:spacing w:before="0" w:after="0" w:line="499" w:lineRule="atLeast"/>
              <w:rPr>
                <w:rFonts w:ascii="SimSun" w:hAnsi="SimSun" w:eastAsia="SimSun" w:cs="SimSun"/>
                <w:bCs/>
                <w:i/>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rPr>
                <w:rFonts w:ascii="SimSun" w:hAnsi="SimSun" w:eastAsia="SimSun" w:cs="SimSun"/>
                <w:i/>
                <w:color w:val="000000"/>
                <w:sz w:val="24"/>
                <w:u w:val="single"/>
              </w:rPr>
              <w:t xml:space="preserve">（3）连接：课桌高度可自行调节。</w:t>
            </w:r>
            <w:r>
              <w:rPr>
                <w:sz w:val="21"/>
                <w:szCs w:val="21"/>
              </w:rPr>
            </w:r>
            <w:r/>
          </w:p>
          <w:p>
            <w:pPr>
              <w:ind w:left="0" w:right="0" w:firstLine="480"/>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rPr>
                <w:rFonts w:ascii="SimSun" w:hAnsi="SimSun" w:eastAsia="SimSun" w:cs="SimSun"/>
                <w:i/>
                <w:color w:val="000000"/>
                <w:sz w:val="24"/>
                <w:u w:val="single"/>
              </w:rPr>
              <w:t xml:space="preserve">（4）脚封套： PP塑料。所有钢件为喷涂。</w:t>
            </w:r>
            <w:r>
              <w:rPr>
                <w:sz w:val="21"/>
                <w:szCs w:val="21"/>
              </w:rPr>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400</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套</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讲台</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1．外形尺寸：总体尺寸≥1000*700*1000mm；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2.上体部分：长度≥1000mm，宽度≥700mm，高度≥300mm；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3.下体部分：长度≥740mm,宽度≥600mm，高度≥700mm；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4.讲台桌面采用平面设计，可以放置不同型号笔记本电脑，桌面三面半包围结构；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5.讲台前面设置并排两个隐藏式带锁抽拉储物盒，可放置笔记本电脑、键盘鼠标、板擦、粉笔等教学用具；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6.讲台扶手，背板采用橡木，表面喷防滑漆，桌面颜色为木纹色；</w:t>
            </w:r>
            <w:r/>
          </w:p>
          <w:p>
            <w:pPr>
              <w:ind w:left="0" w:right="0" w:firstLine="480"/>
              <w:spacing w:before="0" w:after="0" w:line="499" w:lineRule="atLeast"/>
              <w:rPr>
                <w:rFonts w:ascii="SimSun" w:hAnsi="SimSun" w:eastAsia="SimSun" w:cs="SimSun"/>
                <w:bCs/>
                <w:i/>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7.讲台下柜前后门均可打开，前门为对开门，后门为抽拉门；</w:t>
            </w:r>
            <w:r>
              <w:rPr>
                <w:sz w:val="21"/>
              </w:rPr>
            </w:r>
            <w:r/>
          </w:p>
          <w:p>
            <w:pPr>
              <w:ind w:left="0" w:right="0" w:firstLine="480"/>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rPr>
                <w:rFonts w:ascii="SimSun" w:hAnsi="SimSun" w:eastAsia="SimSun" w:cs="SimSun"/>
                <w:i/>
                <w:color w:val="000000"/>
                <w:sz w:val="24"/>
                <w:u w:val="single"/>
              </w:rPr>
              <w:t xml:space="preserve">8.整个讲台采用上下分体，拼装组成。</w:t>
            </w:r>
            <w:r>
              <w:rPr>
                <w:sz w:val="21"/>
                <w:szCs w:val="21"/>
              </w:rPr>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张</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报告厅固定座椅</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规 格：≥580W*740D*1020H</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一、技术参数：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规格：中心距580mm（±10mm），背高1010mm（±10mm），座高450mm（±10mm）；为保证走道顺畅，座椅深度不大于550mm（±10mm），总深度不大于740mm（±10mm）；2、背外壳：麻面PP工程塑料塑壳，设有内部加强筋结构.具有良好的吸音隔音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2、背包：内置多层板加海绵结构，海绵采用冷发泡高密度聚氨脂定型海棉，表观密度为50±5Kg/m³，外覆专业座椅麻绒面料，并内置高强度钢制支撑结构，厚度≥3mm；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3、扶手面：扶手面选用榉木或橡胶木，表面油环保聚氨酯漆，五底三面工艺，厚≥25mm,宽度≥80mm（具体根据现场实际要求）.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4、座包：冷发泡高密度聚氨脂定型海棉，表观密度为60±5Kg /m³，外覆专业座椅麻绒布料，椅座采用弹簧自动回位装置；（可做阻尼回弹）。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5、座外壳：麻面PP工程塑料塑壳，设有内部加强筋结构，具有良好的吸音隔音功能，吸音系数≥0.3（频段250Hz-2000Hz）。</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站脚：扶手架为A级钢板冲压件采取二氧化碳保护焊接，上扶手框架尺寸为≥405*80*358mm；两侧采用塑料侧板覆薄海棉包布装饰。其中立柱站脚部分采用铝合金，高度≥230mm，于上扶手框架衔接尺寸≥L139*W60*H10(mm），站脚与上部框架连接牢固可靠，确保整体结构稳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7、写字板：采用折叠隐藏式机构面板采用注塑封边三胺板，带笔槽设计，美观便利，承重不小于5kg；</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8、面料：采用座椅麻绒布料，可加工阻燃功能。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9、固定方式：固定方式采用不小于M8膨胀螺丝+不小于M12膨胀胶固定到地面，外封地脚帽。</w:t>
            </w:r>
            <w:r/>
          </w:p>
          <w:p>
            <w:pPr>
              <w:ind w:left="0" w:right="0" w:firstLine="480"/>
              <w:spacing w:before="0" w:after="0" w:line="499" w:lineRule="atLeast"/>
              <w:rPr>
                <w:rFonts w:ascii="SimSun" w:hAnsi="SimSun" w:eastAsia="SimSun" w:cs="SimSun"/>
                <w:bCs/>
                <w:i/>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10、所有五金件均经打磨、抛光、除锈、酸洗、磷化、静电喷粉、高温锔炉等工序处理。</w:t>
            </w:r>
            <w:r>
              <w:rPr>
                <w:sz w:val="21"/>
              </w:rPr>
            </w:r>
            <w:r/>
          </w:p>
          <w:p>
            <w:pPr>
              <w:ind w:left="0" w:right="0" w:firstLine="480"/>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rPr>
                <w:rFonts w:ascii="SimSun" w:hAnsi="SimSun" w:eastAsia="SimSun" w:cs="SimSun"/>
                <w:i/>
                <w:color w:val="000000"/>
                <w:sz w:val="24"/>
                <w:u w:val="single"/>
              </w:rPr>
              <w:t xml:space="preserve">11、颜色为蓝色，具体色系由中标人提供，采购人确认后实施。</w:t>
            </w:r>
            <w:r>
              <w:rPr>
                <w:sz w:val="21"/>
                <w:szCs w:val="21"/>
              </w:rPr>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478</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张</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报告厅移动座椅</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中心距宽为500-520mm，椅高590mm（±10mm），椅深620mm（±10mm）</w:t>
            </w:r>
            <w:r>
              <w:rPr>
                <w:rFonts w:ascii="SimSun" w:hAnsi="SimSun" w:eastAsia="SimSun" w:cs="SimSun"/>
                <w:color w:val="000000"/>
                <w:sz w:val="24"/>
              </w:rPr>
              <w:t xml:space="preserve">；</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座包厚度100mm（±5mm），折叠厚度不小于220mm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1.座背板:采用多层板。</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2.海绵:外形根据，采用高密度聚氨脂定型海棉，外覆麻绒面料。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3.扶手:采用塑料材质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4.座背支撑件组件:热轧板，产品表面经防锈、防污、淋化、静电喷涂处理。</w:t>
            </w:r>
            <w:r/>
          </w:p>
          <w:p>
            <w:pPr>
              <w:ind w:left="0" w:right="0" w:firstLine="480"/>
              <w:spacing w:before="0" w:after="0" w:line="49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5.颜色为蓝色，具体色系由中标人提供，采购人确认后实施</w:t>
            </w:r>
            <w:r>
              <w:rPr>
                <w:rFonts w:ascii="SimSun" w:hAnsi="SimSun" w:eastAsia="SimSun" w:cs="SimSun"/>
                <w:color w:val="000000"/>
                <w:sz w:val="24"/>
              </w:rPr>
              <w:t xml:space="preserve">。</w:t>
            </w:r>
            <w:r>
              <w:rPr>
                <w:sz w:val="21"/>
              </w:rPr>
            </w:r>
            <w:r/>
          </w:p>
          <w:p>
            <w:pPr>
              <w:ind w:left="0" w:right="0" w:firstLine="480"/>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i/>
                <w:color w:val="000000"/>
                <w:sz w:val="24"/>
                <w:u w:val="single"/>
              </w:rPr>
              <w:t xml:space="preserve">6.移动座椅收缩后保证可以登上固定座椅位置。</w:t>
            </w:r>
            <w:r>
              <w:rPr>
                <w:sz w:val="21"/>
                <w:szCs w:val="21"/>
              </w:rPr>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81</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张</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移动踏步</w:t>
            </w:r>
            <w:r/>
          </w:p>
        </w:tc>
        <w:tc>
          <w:tcPr>
            <w:shd w:val="clear" w:color="auto" w:fill="auto"/>
            <w:tcW w:w="5489" w:type="dxa"/>
            <w:vAlign w:val="center"/>
            <w:textDirection w:val="lrTb"/>
            <w:noWrap w:val="false"/>
          </w:tcPr>
          <w:p>
            <w:pPr>
              <w:jc w:val="left"/>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节</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伸缩舞台</w:t>
            </w:r>
            <w:r/>
          </w:p>
        </w:tc>
        <w:tc>
          <w:tcPr>
            <w:shd w:val="clear" w:color="auto" w:fill="auto"/>
            <w:tcW w:w="5489" w:type="dxa"/>
            <w:vAlign w:val="center"/>
            <w:textDirection w:val="lrTb"/>
            <w:noWrap w:val="false"/>
          </w:tcPr>
          <w:p>
            <w:pPr>
              <w:ind w:firstLine="480"/>
              <w:jc w:val="left"/>
              <w:spacing w:line="500" w:lineRule="exact"/>
              <w:widowControl/>
              <w:rPr>
                <w:rFonts w:ascii="宋体" w:hAnsi="宋体" w:eastAsia="宋体" w:cs="宋体"/>
                <w:color w:val="000000"/>
                <w:sz w:val="24"/>
                <w:highlight w:val="none"/>
              </w:rPr>
            </w:pPr>
            <w:r>
              <w:rPr>
                <w:rFonts w:hint="eastAsia" w:ascii="宋体" w:hAnsi="宋体" w:eastAsia="宋体" w:cs="宋体"/>
                <w:i/>
                <w:iCs/>
                <w:color w:val="000000"/>
                <w:sz w:val="24"/>
                <w:highlight w:val="none"/>
                <w:u w:val="single"/>
              </w:rPr>
            </w:r>
            <w:r>
              <w:rPr>
                <w:rFonts w:hint="eastAsia" w:ascii="宋体" w:hAnsi="宋体" w:eastAsia="宋体" w:cs="宋体"/>
                <w:i/>
                <w:iCs/>
                <w:color w:val="000000"/>
                <w:sz w:val="24"/>
                <w:highlight w:val="none"/>
                <w:u w:val="single"/>
              </w:rPr>
              <w:t xml:space="preserve">钢结构，木龙骨架，装饰板装饰，可移动伸缩，前面13*0.63=8.19m²木模板加装饰板，木方高度12公分，平面13.2*1.9=25.08m²，加1.8cm厚木模板，地毯。（投标人需自行现场察看，须满足采购要求）</w:t>
            </w:r>
            <w:r>
              <w:rPr>
                <w:rFonts w:hint="eastAsia" w:ascii="宋体" w:hAnsi="宋体" w:eastAsia="宋体" w:cs="宋体"/>
                <w:i/>
                <w:iCs/>
                <w:color w:val="000000"/>
                <w:sz w:val="24"/>
                <w:highlight w:val="none"/>
                <w:u w:val="single"/>
              </w:rPr>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阶梯教室桌椅</w:t>
            </w:r>
            <w:r/>
          </w:p>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-前排</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1.脚架材料为铝合金，脚架表面经过打磨喷涂处理。脚架尺寸≥180*780*50mm，脚架壁厚为≥5mm带≥3mm加强筋。前排脚板固定且牢固。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2.背框架为冷轧板焊接成型的厚度≥1.5mm。前挡板材质为实木多层压板面贴防火板，前挡板尺寸≥500*370*10mm。</w:t>
            </w:r>
            <w:r/>
          </w:p>
          <w:p>
            <w:pPr>
              <w:ind w:left="0" w:right="0" w:firstLine="480"/>
              <w:spacing w:before="0" w:after="0" w:line="499" w:lineRule="atLeast"/>
              <w:rPr>
                <w:rFonts w:ascii="SimSun" w:hAnsi="SimSun" w:eastAsia="SimSun" w:cs="SimSun"/>
                <w:bCs/>
                <w:i/>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3.写字板为固定式写字板，写字板尺寸≥300*25mm,材质为高密度板面贴防火板。写字板下面带有书网，书网的尺寸≥430*220*105mm。</w:t>
            </w:r>
            <w:r>
              <w:rPr>
                <w:sz w:val="21"/>
              </w:rPr>
            </w:r>
            <w:r/>
          </w:p>
          <w:p>
            <w:pPr>
              <w:ind w:left="0" w:right="0" w:firstLine="480"/>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rPr>
                <w:rFonts w:ascii="SimSun" w:hAnsi="SimSun" w:eastAsia="SimSun" w:cs="SimSun"/>
                <w:i/>
                <w:color w:val="000000"/>
                <w:sz w:val="24"/>
                <w:u w:val="single"/>
              </w:rPr>
              <w:t xml:space="preserve">4.椅高780（±2）mm，写字板高度750（±2）mm，座椅扶手中对中距离520（±2）mm，椅深430（±2）mm</w:t>
            </w:r>
            <w:r>
              <w:rPr>
                <w:rFonts w:ascii="SimSun" w:hAnsi="SimSun" w:eastAsia="SimSun" w:cs="SimSun"/>
                <w:color w:val="000000"/>
                <w:sz w:val="24"/>
              </w:rPr>
              <w:t xml:space="preserve">。</w:t>
            </w:r>
            <w:r>
              <w:rPr>
                <w:sz w:val="21"/>
                <w:szCs w:val="21"/>
              </w:rPr>
            </w:r>
            <w:r/>
          </w:p>
        </w:tc>
        <w:tc>
          <w:tcPr>
            <w:shd w:val="clear" w:color="auto" w:fill="auto"/>
            <w:tcW w:w="709" w:type="dxa"/>
            <w:vAlign w:val="center"/>
            <w:textDirection w:val="lrTb"/>
            <w:noWrap/>
          </w:tcPr>
          <w:p>
            <w:pPr>
              <w:jc w:val="right"/>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张</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阶梯教室桌椅</w:t>
            </w:r>
            <w:r/>
          </w:p>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-中排</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1.脚架材料为铝合金，脚架表面经过打磨喷涂处理。脚架尺寸≥907*485*50mm，脚架壁厚≥5mm带≥3mm加强筋，脚架带扶手架，扶手高度≥633mm。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2.背框架为冷轧板焊接成型的厚度≥1.5mm。前挡板材质为实木多层压板面贴防火板，前挡板尺寸≥500*370*10mm。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3.写字板为固定式写字板，写字板尺寸为≥300*25mm,材质为高密度板面贴防火板。写字板下面带有书网，书网的尺寸为≥430*220*105mm。</w:t>
            </w:r>
            <w:r/>
          </w:p>
          <w:p>
            <w:pPr>
              <w:ind w:left="0" w:right="0" w:firstLine="480"/>
              <w:spacing w:before="0" w:after="0" w:line="499" w:lineRule="atLeast"/>
              <w:rPr>
                <w:rFonts w:ascii="SimSun" w:hAnsi="SimSun" w:eastAsia="SimSun" w:cs="SimSun"/>
                <w:bCs/>
                <w:i/>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4.座板材料为实木多层压板面贴防火板，尺寸为≥430*445*16mm。</w:t>
            </w:r>
            <w:r>
              <w:rPr>
                <w:sz w:val="21"/>
              </w:rPr>
            </w:r>
            <w:r/>
          </w:p>
          <w:p>
            <w:pPr>
              <w:ind w:left="0" w:right="0" w:firstLine="480"/>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rPr>
                <w:rFonts w:ascii="SimSun" w:hAnsi="SimSun" w:eastAsia="SimSun" w:cs="SimSun"/>
                <w:i/>
                <w:color w:val="000000"/>
                <w:sz w:val="24"/>
                <w:u w:val="single"/>
              </w:rPr>
              <w:t xml:space="preserve">5.椅高≥905mm，写字板高度≥750mm，座椅扶手中对中距离≥520mm，椅深≥815mm，扶手高度≥635mm。</w:t>
            </w:r>
            <w:r>
              <w:rPr>
                <w:sz w:val="21"/>
                <w:szCs w:val="21"/>
              </w:rPr>
            </w:r>
            <w:r/>
          </w:p>
        </w:tc>
        <w:tc>
          <w:tcPr>
            <w:shd w:val="clear" w:color="auto" w:fill="auto"/>
            <w:tcW w:w="709" w:type="dxa"/>
            <w:vAlign w:val="center"/>
            <w:textDirection w:val="lrTb"/>
            <w:noWrap/>
          </w:tcPr>
          <w:p>
            <w:pPr>
              <w:jc w:val="right"/>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178</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张</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阶梯教室桌椅</w:t>
            </w:r>
            <w:r/>
          </w:p>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-后排</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1.脚架材料为铝合金，脚架表面经过打磨喷涂处理。脚架尺寸≥907*485*50mm，脚架壁厚≥5mm带≥3mm加强筋，脚架带扶手架，扶手高度≥633mm。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2.背框架为冷轧板焊接成型的厚度≥1.5mm。前挡板材质为实木多层压板面贴防火板，前挡板尺寸≥500*370*10mm。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3.写字板为固定式写字板，写字板尺寸≥300*25mm,材质为高密度板面贴防火板。写字板下面带有书网，书网的尺寸为430*220*105mm。</w:t>
            </w:r>
            <w:r/>
          </w:p>
          <w:p>
            <w:pPr>
              <w:ind w:left="0" w:right="0" w:firstLine="480"/>
              <w:spacing w:before="0" w:after="0" w:line="499" w:lineRule="atLeast"/>
              <w:rPr>
                <w:rFonts w:ascii="SimSun" w:hAnsi="SimSun" w:eastAsia="SimSun" w:cs="SimSun"/>
                <w:bCs/>
                <w:i/>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 座板材料为实木多层压板面贴防火板，尺寸为≥430*445*16mm。</w:t>
            </w:r>
            <w:r>
              <w:rPr>
                <w:sz w:val="21"/>
              </w:rPr>
            </w:r>
            <w:r/>
          </w:p>
          <w:p>
            <w:pPr>
              <w:ind w:left="0" w:right="0" w:firstLine="480"/>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rPr>
                <w:rFonts w:ascii="SimSun" w:hAnsi="SimSun" w:eastAsia="SimSun" w:cs="SimSun"/>
                <w:i/>
                <w:color w:val="000000"/>
                <w:sz w:val="24"/>
                <w:u w:val="single"/>
              </w:rPr>
              <w:t xml:space="preserve">5.椅高≥905mm，写字板高度≥750mm，座椅扶手中对中距离≥520mm，椅深≥815mm，扶手高度≥635mm</w:t>
            </w:r>
            <w:r>
              <w:rPr>
                <w:rFonts w:ascii="SimSun" w:hAnsi="SimSun" w:eastAsia="SimSun" w:cs="SimSun"/>
                <w:i/>
                <w:color w:val="000000"/>
                <w:sz w:val="24"/>
              </w:rPr>
              <w:t xml:space="preserve">。</w:t>
            </w:r>
            <w:r>
              <w:rPr>
                <w:sz w:val="21"/>
                <w:szCs w:val="21"/>
              </w:rPr>
            </w:r>
            <w:r/>
          </w:p>
        </w:tc>
        <w:tc>
          <w:tcPr>
            <w:shd w:val="clear" w:color="auto" w:fill="auto"/>
            <w:tcW w:w="709" w:type="dxa"/>
            <w:vAlign w:val="center"/>
            <w:textDirection w:val="lrTb"/>
            <w:noWrap/>
          </w:tcPr>
          <w:p>
            <w:pPr>
              <w:jc w:val="right"/>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张</w:t>
            </w:r>
            <w:r/>
          </w:p>
        </w:tc>
      </w:tr>
      <w:tr>
        <w:trPr>
          <w:trHeight w:val="20"/>
        </w:trPr>
        <w:tc>
          <w:tcPr>
            <w:gridSpan w:val="5"/>
            <w:shd w:val="clear" w:color="auto" w:fill="auto"/>
            <w:tcW w:w="8929" w:type="dxa"/>
            <w:vAlign w:val="center"/>
            <w:textDirection w:val="lrTb"/>
            <w:noWrap/>
          </w:tcPr>
          <w:p>
            <w:pPr>
              <w:jc w:val="left"/>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二、宿舍楼</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实木单人床(含10CM椰棕垫子）</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1、尺寸：≥1200mm*2150mm*820mm。背板为95°</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2、采用橡木,木材干燥至低于9%的含水率。基材:采用国家橡胶木板,经防虫、防腐化学处理。油漆：采用环保聚酯哑光漆。五金：采用五金配件</w:t>
            </w:r>
            <w:r>
              <w:rPr>
                <w:rFonts w:ascii="SimSun" w:hAnsi="SimSun" w:eastAsia="SimSun" w:cs="SimSun"/>
                <w:color w:val="000000"/>
                <w:sz w:val="24"/>
              </w:rPr>
              <w:t xml:space="preserve">。</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150</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张</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实木双人床(含10CM椰棕垫子)</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1、尺寸：≥1800mm*2150mm*820mm。背板为95°</w:t>
            </w:r>
            <w:r>
              <w:rPr>
                <w:rFonts w:ascii="SimSun" w:hAnsi="SimSun" w:eastAsia="SimSun" w:cs="SimSun"/>
                <w:i/>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2、采用橡木，木材干燥至低于9%的含水率。基材:采用橡胶木板,经防虫、防腐化学处理。油漆：采用环保聚酯哑光漆。五金：采用五金配件</w:t>
            </w:r>
            <w:r>
              <w:rPr>
                <w:rFonts w:ascii="SimSun" w:hAnsi="SimSun" w:eastAsia="SimSun" w:cs="SimSun"/>
                <w:i/>
                <w:color w:val="000000"/>
                <w:sz w:val="24"/>
              </w:rPr>
              <w:t xml:space="preserve">。</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张</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学生宿舍床女生两连体公寓床(含椅子)</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一、家具的整体外观尺寸：采用两联步梯，整体长度≥4560*920*2100mm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（一）整体单张床架规格≥2000mm*920mm*2100mm，采用两位步梯的结构。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二、组合柜的参数及要求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（一）组合木柜的基本尺寸：组合柜整体长1880mm×宽600mm×高1680mm,其中：大柜子长 600mm；宽 600mm（含门的厚度）；书架长1200mm；桌面长1200mm；宽600mm（含后边沿的挡板）；高度 760mm。（生产前根据实际测量确定制作），基材全部采用≥18mmE1级环保中纤板，背板及抽屉底板采用≥4.5mm单面多层板。</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三、钢床的参数及要求：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（一）钢床的基本尺寸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1、床架：床长度≥2000mm；高度≥2100mm； 宽度≥920mm。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2、钢材选用、基本要求及相关工艺要求：采用冷轧薄形钢管符合国家标准,各钢件采用保护焊接，经除油，除锈，磷化，酸洗等处理，表面采用环氧脂粉末喷塑。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（二）立柱要求：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1、床立柱：选用冷轧钢管≥50*50*1.5（mm）方管（四角做圆弧处理）。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 床横梁主管要求：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冷轧钢板，规格不小于85mm×36mm/26mm，厚度≥1.5mm闭口型材管，内侧宽度≥65mm，床横梁底部两面凸出部位宽度≥6.5mm长度为≥mm，管材正面压两条≥13.5mm花纹及不少于3根内凹宽度≥9mm的加强筋，增加床横梁承受力，放置铺板凸出宽度≥7mm高度≥11.2mm，反面设有≥25mm*25mm宽，有倒挂勾设计（有效的预防床横担脱落）。 预留安装床帘位置。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 其他副管及胶套要求：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1、前护栏：高度≥ 300mm，采用≥25*25*1.2（mm）方管，长度≥ 1750mm。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2、床下后拉档选用冷轧钢管≥20*40*1.2（mm）方管。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3、床头短横梁选用冷轧钢管≥25*50*1.2（mm）方管。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4、副管：≥20*20*1.2（mm）方管，用于其它部位的连接和支撑；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5、床板支撑件：≥20*40*1.2（mm）方管五根。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6、蚊帐架及胶套要求：采用≥φ19*1.0（mm）圆管，随立柱胶套插入式帐架，胶套不得采用3D打印。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7、所有副管钢制管件的开口处应做封闭处理，焊接封口或塑胶盖封口。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（五）、床铺板要求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1、基本尺寸：长度及宽度以控制铁架两端间隙不大于 10mm 为准；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2、床板采用全干双面刨光杉木拼板整条钉成一块整板，板厚度≥15mm杉木板。</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3、横档采用 40*30mm 实木木方，木方数量2根；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四、公寓椅要求</w:t>
            </w:r>
            <w:r/>
          </w:p>
          <w:p>
            <w:pPr>
              <w:ind w:left="0" w:right="0" w:firstLine="480"/>
              <w:spacing w:before="0" w:after="0" w:line="499" w:lineRule="atLeast"/>
              <w:rPr>
                <w:rFonts w:ascii="SimSun" w:hAnsi="SimSun" w:eastAsia="SimSun" w:cs="SimSun"/>
                <w:bCs/>
                <w:i/>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（一）靠背板及坐板采用≥1.0厚多层板。</w:t>
            </w:r>
            <w:r>
              <w:rPr>
                <w:sz w:val="21"/>
              </w:rPr>
            </w:r>
            <w:r/>
          </w:p>
          <w:p>
            <w:pPr>
              <w:ind w:left="0" w:right="0" w:firstLine="480"/>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（二）钢制脚架采用≥φ19*1.5（mm）圆管。</w:t>
            </w:r>
            <w:r>
              <w:rPr>
                <w:sz w:val="21"/>
                <w:szCs w:val="21"/>
              </w:rPr>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132</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套</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学生宿舍床男生上下铺床</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1、采用两联步梯，整体长度4500mm*1000mm*1800mm(±10mm)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2、床立柱≥50mm*50mm*壁厚≥1.5mm方管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床横梁：冷轧钢板，规格不小于85mm×36mm×26mm×壁厚≥1.5mm闭口型材管，内侧宽度≥65mm，床横梁底部两面凸出部位宽度≥6.5mm长度≥15mm，管材正面压两条≥13.5mm花纹及不少于3根内凹宽度≥9mm的加强筋，增加床横梁承受力，放置铺板凸出宽度≥7mm高度≥11.2mm，反面设有宽≥25mm*25mm，有倒挂勾设计（有效预防床横档脱落），预留安装床帘位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4、侧护栏：上短横梁采用不小于25mm*25mm*壁厚1.2mm方管、下短横梁采用不小于50mm*25mm*壁厚1.2mm方管焊接而成，竖料采用不小于φ22mm*壁厚1.2mm圆管。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5、前护栏：采用不小于φ22mm*壁厚1.2mm圆管弯制成型，前护栏中间竖管采用三根。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6、床托档：采用不小于20mm*40mm*壁厚1.2mm方管制作，床每层共有五根托档。</w:t>
            </w:r>
            <w:r/>
          </w:p>
          <w:p>
            <w:pPr>
              <w:ind w:left="0" w:right="0" w:firstLine="480"/>
              <w:spacing w:before="0" w:after="0" w:line="499" w:lineRule="atLeast"/>
              <w:rPr>
                <w:rFonts w:ascii="SimSun" w:hAnsi="SimSun" w:eastAsia="SimSun" w:cs="SimSun"/>
                <w:bCs/>
                <w:i/>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7、蚊帐架：采用不小于φ19mm*壁厚1.0mm圆管，随立柱胶套插入式帐架。</w:t>
            </w:r>
            <w:r>
              <w:rPr>
                <w:sz w:val="21"/>
              </w:rPr>
            </w:r>
            <w:r/>
          </w:p>
          <w:p>
            <w:pPr>
              <w:ind w:left="0" w:right="0" w:firstLine="480"/>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rPr>
                <w:rFonts w:ascii="SimSun" w:hAnsi="SimSun" w:eastAsia="SimSun" w:cs="SimSun"/>
                <w:i/>
                <w:color w:val="000000"/>
                <w:sz w:val="24"/>
                <w:u w:val="single"/>
              </w:rPr>
              <w:t xml:space="preserve">8、床板：采用厚度≥15mm杉木板，板底加固不少于两根≥40mm×30mm木档为支撑点，所用木材需进行防虫、除脂、除油、干燥处理，材质符合国家标准要求。每张床配2块床板,床板与床撑必须有效连接。</w:t>
            </w:r>
            <w:r>
              <w:rPr>
                <w:sz w:val="21"/>
                <w:szCs w:val="21"/>
              </w:rPr>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171</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套</w:t>
            </w:r>
            <w:r/>
          </w:p>
        </w:tc>
      </w:tr>
      <w:tr>
        <w:trPr>
          <w:trHeight w:val="20"/>
        </w:trPr>
        <w:tc>
          <w:tcPr>
            <w:gridSpan w:val="2"/>
            <w:shd w:val="clear" w:color="auto" w:fill="auto"/>
            <w:tcW w:w="2023" w:type="dxa"/>
            <w:vAlign w:val="center"/>
            <w:textDirection w:val="lrTb"/>
            <w:noWrap/>
          </w:tcPr>
          <w:p>
            <w:pPr>
              <w:jc w:val="left"/>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三、训练馆</w:t>
            </w:r>
            <w:r/>
          </w:p>
        </w:tc>
        <w:tc>
          <w:tcPr>
            <w:shd w:val="clear" w:color="auto" w:fill="auto"/>
            <w:tcW w:w="5489" w:type="dxa"/>
            <w:vAlign w:val="center"/>
            <w:textDirection w:val="lrTb"/>
            <w:noWrap/>
          </w:tcPr>
          <w:p>
            <w:pPr>
              <w:jc w:val="left"/>
              <w:spacing w:line="500" w:lineRule="exact"/>
              <w:widowControl/>
              <w:rPr>
                <w:rFonts w:ascii="宋体" w:hAnsi="宋体" w:eastAsia="宋体" w:cs="宋体"/>
                <w:b/>
                <w:bCs/>
                <w:i/>
                <w:iCs/>
                <w:color w:val="000000"/>
                <w:sz w:val="24"/>
                <w:highlight w:val="none"/>
                <w:u w:val="single"/>
              </w:rPr>
            </w:pPr>
            <w:r>
              <w:rPr>
                <w:rFonts w:hint="eastAsia" w:ascii="宋体" w:hAnsi="宋体" w:eastAsia="宋体" w:cs="宋体"/>
                <w:b/>
                <w:bCs/>
                <w:i/>
                <w:iCs/>
                <w:color w:val="000000"/>
                <w:sz w:val="24"/>
                <w:highlight w:val="none"/>
                <w:u w:val="none"/>
              </w:rPr>
              <w:t xml:space="preserve">　</w:t>
            </w:r>
            <w:r/>
          </w:p>
        </w:tc>
        <w:tc>
          <w:tcPr>
            <w:shd w:val="clear" w:color="auto" w:fill="auto"/>
            <w:tcW w:w="709" w:type="dxa"/>
            <w:vAlign w:val="center"/>
            <w:textDirection w:val="lrTb"/>
            <w:noWrap/>
          </w:tcPr>
          <w:p>
            <w:pPr>
              <w:jc w:val="left"/>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　</w:t>
            </w:r>
            <w:r/>
          </w:p>
        </w:tc>
        <w:tc>
          <w:tcPr>
            <w:shd w:val="clear" w:color="auto" w:fill="auto"/>
            <w:tcW w:w="709" w:type="dxa"/>
            <w:vAlign w:val="center"/>
            <w:textDirection w:val="lrTb"/>
            <w:noWrap/>
          </w:tcPr>
          <w:p>
            <w:pPr>
              <w:jc w:val="left"/>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　</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shd w:val="clear" w:color="auto" w:fill="auto"/>
            <w:tcW w:w="1222"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运动员休息椅</w:t>
            </w:r>
            <w:r/>
          </w:p>
        </w:tc>
        <w:tc>
          <w:tcPr>
            <w:shd w:val="clear" w:color="auto" w:fill="auto"/>
            <w:tcW w:w="5489" w:type="dxa"/>
            <w:vAlign w:val="center"/>
            <w:textDirection w:val="lrTb"/>
            <w:noWrap/>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三人座，铁艺皮质</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70</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张</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shd w:val="clear" w:color="auto" w:fill="auto"/>
            <w:tcW w:w="1222"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长条凳</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1、尺寸：1500mm*400mm*450mm.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2、整体采用ABS注塑工艺，采用可拆卸设计。</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张</w:t>
            </w:r>
            <w:r/>
          </w:p>
        </w:tc>
      </w:tr>
      <w:tr>
        <w:trPr>
          <w:trHeight w:val="20"/>
        </w:trPr>
        <w:tc>
          <w:tcPr>
            <w:gridSpan w:val="2"/>
            <w:shd w:val="clear" w:color="auto" w:fill="auto"/>
            <w:tcW w:w="2023" w:type="dxa"/>
            <w:vAlign w:val="center"/>
            <w:textDirection w:val="lrTb"/>
            <w:noWrap/>
          </w:tcPr>
          <w:p>
            <w:pPr>
              <w:jc w:val="left"/>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四、食堂</w:t>
            </w:r>
            <w:r/>
          </w:p>
        </w:tc>
        <w:tc>
          <w:tcPr>
            <w:shd w:val="clear" w:color="auto" w:fill="auto"/>
            <w:tcW w:w="5489" w:type="dxa"/>
            <w:vAlign w:val="center"/>
            <w:textDirection w:val="lrTb"/>
            <w:noWrap/>
          </w:tcPr>
          <w:p>
            <w:pPr>
              <w:jc w:val="left"/>
              <w:spacing w:line="500" w:lineRule="exact"/>
              <w:widowControl/>
              <w:rPr>
                <w:rFonts w:ascii="宋体" w:hAnsi="宋体" w:eastAsia="宋体" w:cs="宋体"/>
                <w:b/>
                <w:bCs/>
                <w:i/>
                <w:iCs/>
                <w:color w:val="000000"/>
                <w:sz w:val="24"/>
                <w:highlight w:val="none"/>
                <w:u w:val="single"/>
              </w:rPr>
            </w:pPr>
            <w:r>
              <w:rPr>
                <w:rFonts w:ascii="宋体" w:hAnsi="宋体" w:eastAsia="宋体" w:cs="宋体"/>
                <w:b/>
                <w:bCs/>
                <w:i/>
                <w:iCs/>
                <w:color w:val="000000"/>
                <w:sz w:val="24"/>
                <w:highlight w:val="none"/>
                <w:u w:val="single"/>
              </w:rPr>
            </w:r>
            <w:r/>
          </w:p>
        </w:tc>
        <w:tc>
          <w:tcPr>
            <w:shd w:val="clear" w:color="auto" w:fill="auto"/>
            <w:tcW w:w="709" w:type="dxa"/>
            <w:vAlign w:val="center"/>
            <w:textDirection w:val="lrTb"/>
            <w:noWrap/>
          </w:tcPr>
          <w:p>
            <w:pPr>
              <w:jc w:val="left"/>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　</w:t>
            </w:r>
            <w:r/>
          </w:p>
        </w:tc>
        <w:tc>
          <w:tcPr>
            <w:shd w:val="clear" w:color="auto" w:fill="auto"/>
            <w:tcW w:w="709" w:type="dxa"/>
            <w:vAlign w:val="center"/>
            <w:textDirection w:val="lrTb"/>
            <w:noWrap/>
          </w:tcPr>
          <w:p>
            <w:pPr>
              <w:jc w:val="left"/>
              <w:spacing w:line="50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　</w:t>
            </w:r>
            <w:r/>
          </w:p>
        </w:tc>
      </w:tr>
      <w:tr>
        <w:trPr>
          <w:trHeight w:val="20"/>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食堂学生桌椅</w:t>
            </w:r>
            <w:r/>
          </w:p>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（一1桌4椅）</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1、规格参数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1.1、占地面积：≥长1200mm×宽1400mm×高750mm（含桌面厚度）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1.2、桌面规格：≥1200×600×30mm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1.3、桌面材料及要求：不锈钢板厚度≥0.6mm里衬≥2.5cm的防火板，左右直边，前后圆弧边。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1.4、凳面规格，不锈钢圆凳面，里衬≥25mm纤维板，直径≥300mm，下面方盘固定。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1.5、餐桌支架采用≥50mm×50mm×1.2mm厚不锈钢方管，支架采用不少于4根不锈钢方管顶住桌面。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1.6、焊接工艺：采用氩弧焊接，表面平整光滑，焊点均匀，所有焊点采用焊道清洗机清洗。不平整处进行手工打磨、喷漆，保持表面拉丝纹路一致。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1.7、脚套，PP内套，颜色蓝色。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钢材均为304材质</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165</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套</w:t>
            </w:r>
            <w:r/>
          </w:p>
        </w:tc>
      </w:tr>
      <w:tr>
        <w:trPr>
          <w:trHeight w:val="1578"/>
        </w:trPr>
        <w:tc>
          <w:tcPr>
            <w:shd w:val="clear" w:color="auto" w:fill="auto"/>
            <w:tcW w:w="801"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shd w:val="clear" w:color="auto" w:fill="auto"/>
            <w:tcW w:w="1222" w:type="dxa"/>
            <w:vAlign w:val="center"/>
            <w:textDirection w:val="lrTb"/>
            <w:noWrap w:val="false"/>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食堂教工桌椅</w:t>
            </w:r>
            <w:r/>
          </w:p>
        </w:tc>
        <w:tc>
          <w:tcPr>
            <w:shd w:val="clear" w:color="auto" w:fill="auto"/>
            <w:tcW w:w="5489"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岩板桌面≥1200*600，满背吸塑板，铁架≥50*50方管≥1.5厚，灰色静电喷涂，注塑喇叭口。整体尺寸≥1200*1700*750</w:t>
            </w:r>
            <w:r>
              <w:rPr>
                <w:rFonts w:ascii="SimSun" w:hAnsi="SimSun" w:eastAsia="SimSun" w:cs="SimSun"/>
                <w:i/>
                <w:color w:val="000000"/>
                <w:sz w:val="24"/>
              </w:rPr>
              <w:t xml:space="preserve">。</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35</w:t>
            </w:r>
            <w:r/>
          </w:p>
        </w:tc>
        <w:tc>
          <w:tcPr>
            <w:shd w:val="clear" w:color="auto" w:fill="auto"/>
            <w:tcW w:w="709" w:type="dxa"/>
            <w:vAlign w:val="center"/>
            <w:textDirection w:val="lrTb"/>
            <w:noWrap/>
          </w:tcPr>
          <w:p>
            <w:pPr>
              <w:jc w:val="center"/>
              <w:spacing w:line="5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套</w:t>
            </w:r>
            <w:r/>
          </w:p>
        </w:tc>
      </w:tr>
    </w:tbl>
    <w:p>
      <w:pPr>
        <w:pStyle w:val="732"/>
        <w:ind w:firstLine="482"/>
        <w:spacing w:line="480" w:lineRule="exact"/>
        <w:rPr>
          <w:rFonts w:asciiTheme="minorEastAsia" w:hAnsiTheme="minorEastAsia" w:eastAsiaTheme="minorEastAsia" w:cstheme="minorEastAsia"/>
          <w:b/>
          <w:bCs/>
          <w:i/>
          <w:iCs/>
          <w:sz w:val="24"/>
          <w:szCs w:val="24"/>
          <w:highlight w:val="none"/>
          <w:u w:val="single"/>
        </w:rPr>
      </w:pPr>
      <w:r>
        <w:rPr>
          <w:rFonts w:hint="eastAsia" w:asciiTheme="minorEastAsia" w:hAnsiTheme="minorEastAsia" w:eastAsiaTheme="minorEastAsia" w:cstheme="minorEastAsia"/>
          <w:b/>
          <w:bCs/>
          <w:i/>
          <w:iCs/>
          <w:sz w:val="24"/>
          <w:szCs w:val="24"/>
          <w:highlight w:val="none"/>
          <w:u w:val="single"/>
        </w:rPr>
        <w:t xml:space="preserve">备注：本项目课桌椅的细节及尺寸主要依照采购人具体使用需求，材质、功能及工艺等要求需完全响应招标文件要求（尺寸允许细微偏差，但必须经采购人认可且不影响使用功能及符合采购人使用需求，中标后须经采购人确认后方可供货）</w:t>
      </w:r>
      <w:r>
        <w:rPr>
          <w:rFonts w:hint="eastAsia" w:asciiTheme="minorEastAsia" w:hAnsiTheme="minorEastAsia" w:eastAsiaTheme="minorEastAsia" w:cstheme="minorEastAsia"/>
          <w:b/>
          <w:bCs/>
          <w:i/>
          <w:iCs/>
          <w:color w:val="auto"/>
          <w:sz w:val="24"/>
          <w:szCs w:val="24"/>
          <w:highlight w:val="white"/>
          <w:u w:val="single"/>
          <w:lang w:val="en-US" w:eastAsia="zh-CN"/>
        </w:rPr>
        <w:t xml:space="preserve">，投标文件中提供《承诺函》，格式自拟</w:t>
      </w:r>
      <w:r>
        <w:rPr>
          <w:rFonts w:hint="eastAsia" w:asciiTheme="minorEastAsia" w:hAnsiTheme="minorEastAsia" w:eastAsiaTheme="minorEastAsia" w:cstheme="minorEastAsia"/>
          <w:b/>
          <w:bCs/>
          <w:i/>
          <w:iCs/>
          <w:color w:val="auto"/>
          <w:sz w:val="24"/>
          <w:szCs w:val="24"/>
          <w:highlight w:val="none"/>
          <w:u w:val="single"/>
          <w:lang w:val="en-US" w:eastAsia="zh-CN"/>
        </w:rPr>
        <w:t xml:space="preserve">，未提供作无效投标处理</w:t>
      </w:r>
      <w:r>
        <w:rPr>
          <w:rFonts w:hint="eastAsia" w:asciiTheme="minorEastAsia" w:hAnsiTheme="minorEastAsia" w:eastAsiaTheme="minorEastAsia" w:cstheme="minorEastAsia"/>
          <w:b/>
          <w:bCs/>
          <w:i w:val="0"/>
          <w:iCs w:val="0"/>
          <w:color w:val="auto"/>
          <w:sz w:val="24"/>
          <w:szCs w:val="24"/>
          <w:highlight w:val="none"/>
          <w:u w:val="none"/>
          <w:lang w:val="en-US" w:eastAsia="zh-CN"/>
        </w:rPr>
        <w:t xml:space="preserve">。</w:t>
      </w:r>
      <w:r/>
    </w:p>
    <w:p>
      <w:pPr>
        <w:ind w:firstLine="482"/>
        <w:spacing w:line="500" w:lineRule="exact"/>
        <w:widowControl/>
        <w:rPr>
          <w:rFonts w:asciiTheme="minorEastAsia" w:hAnsiTheme="minorEastAsia" w:cstheme="minorEastAsia"/>
          <w:b/>
          <w:bCs/>
          <w:i/>
          <w:sz w:val="24"/>
          <w:highlight w:val="none"/>
          <w:u w:val="single"/>
        </w:rPr>
      </w:pPr>
      <w:r>
        <w:rPr>
          <w:rFonts w:hint="eastAsia" w:asciiTheme="minorEastAsia" w:hAnsiTheme="minorEastAsia" w:cstheme="minorEastAsia"/>
          <w:b/>
          <w:bCs/>
          <w:i/>
          <w:sz w:val="24"/>
          <w:highlight w:val="none"/>
          <w:u w:val="single"/>
        </w:rPr>
        <w:t xml:space="preserve">本项目核心产品为：学生宿舍床男生上下铺床</w:t>
      </w:r>
      <w:r/>
    </w:p>
    <w:p>
      <w:pPr>
        <w:ind w:firstLine="482"/>
        <w:spacing w:line="5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三、本项目</w:t>
      </w:r>
      <w:r>
        <w:rPr>
          <w:rFonts w:hint="eastAsia" w:asciiTheme="minorEastAsia" w:hAnsiTheme="minorEastAsia" w:cstheme="minorEastAsia"/>
          <w:b/>
          <w:bCs/>
          <w:sz w:val="24"/>
          <w:highlight w:val="none"/>
          <w:u w:val="single"/>
        </w:rPr>
        <w:t xml:space="preserve">不接受</w:t>
      </w:r>
      <w:r>
        <w:rPr>
          <w:rFonts w:hint="eastAsia" w:asciiTheme="minorEastAsia" w:hAnsiTheme="minorEastAsia" w:cstheme="minorEastAsia"/>
          <w:b/>
          <w:bCs/>
          <w:sz w:val="24"/>
          <w:highlight w:val="none"/>
        </w:rPr>
        <w:t xml:space="preserve">进口产品投标。</w:t>
      </w:r>
      <w:r/>
    </w:p>
    <w:p>
      <w:pPr>
        <w:ind w:firstLine="482"/>
        <w:spacing w:line="500" w:lineRule="exact"/>
        <w:widowControl/>
        <w:rPr>
          <w:rFonts w:asciiTheme="minorEastAsia" w:hAnsiTheme="minorEastAsia" w:cstheme="minorEastAsia"/>
          <w:sz w:val="24"/>
          <w:highlight w:val="none"/>
        </w:rPr>
      </w:pPr>
      <w:r/>
      <w:bookmarkStart w:id="162" w:name="OLE_LINK2"/>
      <w:r/>
      <w:bookmarkStart w:id="163" w:name="OLE_LINK1"/>
      <w:r>
        <w:rPr>
          <w:rFonts w:hint="eastAsia" w:asciiTheme="minorEastAsia" w:hAnsiTheme="minorEastAsia" w:cstheme="minorEastAsia"/>
          <w:b/>
          <w:bCs/>
          <w:sz w:val="24"/>
          <w:highlight w:val="none"/>
        </w:rPr>
        <w:t xml:space="preserve">四、本项目</w:t>
      </w:r>
      <w:bookmarkEnd w:id="162"/>
      <w:r/>
      <w:bookmarkEnd w:id="163"/>
      <w:r>
        <w:rPr>
          <w:rFonts w:hint="eastAsia" w:asciiTheme="minorEastAsia" w:hAnsiTheme="minorEastAsia" w:cstheme="minorEastAsia"/>
          <w:b/>
          <w:bCs/>
          <w:sz w:val="24"/>
          <w:highlight w:val="none"/>
        </w:rPr>
        <w:t xml:space="preserve">采购需求中必须满足的实质性要求：</w:t>
      </w:r>
      <w:r/>
    </w:p>
    <w:p>
      <w:pPr>
        <w:ind w:firstLine="482"/>
        <w:spacing w:line="500" w:lineRule="exact"/>
        <w:widowControl/>
        <w:rPr>
          <w:rFonts w:hint="eastAsia" w:asciiTheme="minorEastAsia" w:hAnsiTheme="minorEastAsia" w:eastAsiaTheme="minorEastAsia" w:cstheme="minorEastAsia"/>
          <w:b/>
          <w:bCs/>
          <w:i/>
          <w:iCs/>
          <w:color w:val="auto"/>
          <w:sz w:val="24"/>
          <w:szCs w:val="24"/>
          <w:highlight w:val="white"/>
          <w:u w:val="none"/>
          <w:lang w:val="en-US" w:eastAsia="zh-CN"/>
        </w:rPr>
      </w:pPr>
      <w:r>
        <w:rPr>
          <w:rFonts w:hint="eastAsia" w:asciiTheme="minorEastAsia" w:hAnsiTheme="minorEastAsia" w:eastAsiaTheme="minorEastAsia" w:cstheme="minorEastAsia"/>
          <w:b/>
          <w:bCs/>
          <w:i/>
          <w:iCs/>
          <w:color w:val="auto"/>
          <w:sz w:val="24"/>
          <w:szCs w:val="24"/>
          <w:highlight w:val="white"/>
          <w:u w:val="single"/>
          <w:lang w:val="en-US" w:eastAsia="zh-CN"/>
        </w:rPr>
        <w:t xml:space="preserve">采购需求中所有以斜体且带下划线标示的内容均为实质性要求，投标人须在投标文件中对此作出完全响应，否则其投标无效。对于非评分项的技术参数，投标阶段仅需在《技术要求响应及偏离表》中承诺满足或优于</w:t>
      </w:r>
      <w:r>
        <w:rPr>
          <w:rFonts w:hint="eastAsia" w:asciiTheme="minorEastAsia" w:hAnsiTheme="minorEastAsia" w:cstheme="minorEastAsia"/>
          <w:b/>
          <w:bCs/>
          <w:i/>
          <w:iCs/>
          <w:color w:val="auto"/>
          <w:sz w:val="24"/>
          <w:szCs w:val="24"/>
          <w:highlight w:val="white"/>
          <w:u w:val="single"/>
          <w:lang w:val="en-US" w:eastAsia="zh-CN"/>
        </w:rPr>
        <w:t xml:space="preserve">招标文件要</w:t>
      </w:r>
      <w:r>
        <w:rPr>
          <w:rFonts w:hint="eastAsia" w:asciiTheme="minorEastAsia" w:hAnsiTheme="minorEastAsia" w:eastAsiaTheme="minorEastAsia" w:cstheme="minorEastAsia"/>
          <w:b/>
          <w:bCs/>
          <w:i/>
          <w:iCs/>
          <w:color w:val="auto"/>
          <w:sz w:val="24"/>
          <w:szCs w:val="24"/>
          <w:highlight w:val="white"/>
          <w:u w:val="single"/>
          <w:lang w:val="en-US" w:eastAsia="zh-CN"/>
        </w:rPr>
        <w:t xml:space="preserve">求即可</w:t>
      </w:r>
      <w:r>
        <w:rPr>
          <w:highlight w:val="none"/>
          <w:u w:val="single"/>
        </w:rPr>
        <w:t xml:space="preserve">，</w:t>
      </w:r>
      <w:r>
        <w:rPr>
          <w:rFonts w:hint="eastAsia" w:asciiTheme="minorEastAsia" w:hAnsiTheme="minorEastAsia" w:eastAsiaTheme="minorEastAsia" w:cstheme="minorEastAsia"/>
          <w:b/>
          <w:bCs/>
          <w:i/>
          <w:iCs/>
          <w:color w:val="auto"/>
          <w:sz w:val="24"/>
          <w:szCs w:val="24"/>
          <w:highlight w:val="white"/>
          <w:u w:val="single"/>
          <w:lang w:val="en-US" w:eastAsia="zh-CN"/>
        </w:rPr>
        <w:t xml:space="preserve">否则其投标无效</w:t>
      </w:r>
      <w:r>
        <w:rPr>
          <w:rFonts w:hint="eastAsia" w:asciiTheme="minorEastAsia" w:hAnsiTheme="minorEastAsia" w:eastAsiaTheme="minorEastAsia" w:cstheme="minorEastAsia"/>
          <w:b/>
          <w:bCs/>
          <w:i/>
          <w:iCs/>
          <w:color w:val="auto"/>
          <w:sz w:val="24"/>
          <w:szCs w:val="24"/>
          <w:highlight w:val="white"/>
          <w:u w:val="none"/>
          <w:lang w:val="en-US" w:eastAsia="zh-CN"/>
        </w:rPr>
        <w:t xml:space="preserve">。</w:t>
      </w:r>
      <w:r/>
    </w:p>
    <w:p>
      <w:pPr>
        <w:ind w:firstLine="482"/>
        <w:spacing w:line="5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五、其他</w:t>
      </w:r>
      <w:r/>
    </w:p>
    <w:p>
      <w:pPr>
        <w:ind w:firstLine="482"/>
        <w:spacing w:line="5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（一）技术方案</w:t>
      </w:r>
      <w:r/>
    </w:p>
    <w:p>
      <w:pPr>
        <w:numPr>
          <w:ilvl w:val="255"/>
          <w:numId w:val="0"/>
        </w:numPr>
        <w:ind w:firstLine="480"/>
        <w:spacing w:line="48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投标人应根据采购需求和本项目实际，制订相应的服务方案</w:t>
      </w:r>
      <w:r>
        <w:rPr>
          <w:rFonts w:hint="eastAsia" w:asciiTheme="minorEastAsia" w:hAnsiTheme="minorEastAsia" w:cstheme="minorEastAsia"/>
          <w:sz w:val="24"/>
          <w:highlight w:val="none"/>
          <w:lang w:val="en-US" w:eastAsia="zh-CN"/>
        </w:rPr>
        <w:t xml:space="preserve">至少包含</w:t>
      </w:r>
      <w:r>
        <w:rPr>
          <w:rFonts w:hint="eastAsia" w:asciiTheme="minorEastAsia" w:hAnsiTheme="minorEastAsia" w:cstheme="minorEastAsia"/>
          <w:sz w:val="24"/>
          <w:highlight w:val="none"/>
        </w:rPr>
        <w:t xml:space="preserve">内容：</w:t>
      </w:r>
      <w:r/>
    </w:p>
    <w:p>
      <w:pPr>
        <w:numPr>
          <w:ilvl w:val="255"/>
          <w:numId w:val="0"/>
        </w:numPr>
        <w:ind w:firstLine="482"/>
        <w:spacing w:line="48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1.项目实施计划</w:t>
      </w:r>
      <w:r/>
    </w:p>
    <w:p>
      <w:pPr>
        <w:numPr>
          <w:ilvl w:val="255"/>
          <w:numId w:val="0"/>
        </w:numPr>
        <w:ind w:firstLine="480"/>
        <w:spacing w:line="48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1.1 项目进度安排</w:t>
      </w:r>
      <w:r/>
    </w:p>
    <w:p>
      <w:pPr>
        <w:numPr>
          <w:ilvl w:val="255"/>
          <w:numId w:val="0"/>
        </w:numPr>
        <w:ind w:firstLine="480"/>
        <w:spacing w:line="48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投标单位需制定详细的项目实施时间表，明确各阶段工作内容及时间节点。项目整体周期不超过30日，从合同签订之日起计算。</w:t>
      </w:r>
      <w:r/>
    </w:p>
    <w:p>
      <w:pPr>
        <w:numPr>
          <w:ilvl w:val="255"/>
          <w:numId w:val="0"/>
        </w:numPr>
        <w:ind w:firstLine="480"/>
        <w:spacing w:line="48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1.2 生产制造计划</w:t>
      </w:r>
      <w:r/>
    </w:p>
    <w:p>
      <w:pPr>
        <w:numPr>
          <w:ilvl w:val="255"/>
          <w:numId w:val="0"/>
        </w:numPr>
        <w:ind w:firstLine="480"/>
        <w:spacing w:line="48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供应商应提供详细的生产计划，包括原材料采购、生产排期、质量检测等环节。所有产品必须严格按照GB/T 3976-2014《学校课桌椅功能尺寸及技术要求》及招标文件要求进行生产。</w:t>
      </w:r>
      <w:r/>
    </w:p>
    <w:p>
      <w:pPr>
        <w:numPr>
          <w:ilvl w:val="255"/>
          <w:numId w:val="0"/>
        </w:numPr>
        <w:ind w:firstLine="480"/>
        <w:spacing w:line="48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1.3 运输配送方案</w:t>
      </w:r>
      <w:r/>
    </w:p>
    <w:p>
      <w:pPr>
        <w:numPr>
          <w:ilvl w:val="255"/>
          <w:numId w:val="0"/>
        </w:numPr>
        <w:ind w:firstLine="480"/>
        <w:spacing w:line="48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制定完善的运输配送计划，确保产品安全、准时送达指定地点。需明确运输车辆类型、装载方案、运输路线及应急预案。产品在运输过程中应采取防潮、防碰撞等保护措施。</w:t>
      </w:r>
      <w:r/>
    </w:p>
    <w:p>
      <w:pPr>
        <w:numPr>
          <w:ilvl w:val="255"/>
          <w:numId w:val="0"/>
        </w:numPr>
        <w:ind w:firstLine="480"/>
        <w:spacing w:line="48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1.4 现场安装计划</w:t>
      </w:r>
      <w:r/>
    </w:p>
    <w:p>
      <w:pPr>
        <w:numPr>
          <w:ilvl w:val="255"/>
          <w:numId w:val="0"/>
        </w:numPr>
        <w:ind w:firstLine="480"/>
        <w:spacing w:line="48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提供详细的现场安装实施方案，包括安装人员组织、安装流程、安装周期（不超过15个日历日）、质量验收标准等。安装过程不得影响学校正常教学秩序。</w:t>
      </w:r>
      <w:r/>
    </w:p>
    <w:p>
      <w:pPr>
        <w:ind w:firstLine="482"/>
        <w:spacing w:line="480" w:lineRule="exact"/>
        <w:widowControl/>
        <w:rPr>
          <w:rFonts w:ascii="宋体" w:hAnsi="宋体" w:eastAsia="宋体" w:cs="宋体"/>
          <w:b/>
          <w:bCs/>
          <w:sz w:val="24"/>
          <w:highlight w:val="none"/>
        </w:rPr>
      </w:pPr>
      <w:r>
        <w:rPr>
          <w:rFonts w:hint="eastAsia" w:ascii="宋体" w:hAnsi="宋体" w:eastAsia="宋体" w:cs="宋体"/>
          <w:b/>
          <w:bCs/>
          <w:sz w:val="24"/>
          <w:highlight w:val="none"/>
        </w:rPr>
        <w:t xml:space="preserve">2.应对方案</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2.1 生产风险应对</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针对原材料供应波动、生产设备故障等潜在风险，制定具体应对措施。供应商应保持不低于合同总量10%的原材料储备，确保生产连续性。</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2.2 交期延误应对</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如遇不可抗力因素可能导致交货延期，供应商应在24小时内书面通知采购人，并提出补救方案。每延迟一天，按合同总额的6‰支付违约金。</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2.3 质量波动应对</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建立完善的质量监控体系，对生产全过程进行质量跟踪。如发现质量问题，应立即启动质量追溯机制，并在48小时内提出整改方案。</w:t>
      </w:r>
      <w:r/>
    </w:p>
    <w:p>
      <w:pPr>
        <w:numPr>
          <w:ilvl w:val="255"/>
          <w:numId w:val="0"/>
        </w:numPr>
        <w:ind w:firstLine="482"/>
        <w:spacing w:line="48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3.售后服务方案</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3.1 质保期服务</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提供不少于</w:t>
      </w:r>
      <w:r>
        <w:rPr>
          <w:rFonts w:ascii="宋体" w:hAnsi="宋体" w:eastAsia="宋体" w:cs="宋体"/>
          <w:b/>
          <w:bCs/>
          <w:sz w:val="24"/>
          <w:highlight w:val="none"/>
        </w:rPr>
        <w:t xml:space="preserve">2</w:t>
      </w:r>
      <w:r>
        <w:rPr>
          <w:rFonts w:hint="eastAsia" w:ascii="宋体" w:hAnsi="宋体" w:eastAsia="宋体" w:cs="宋体"/>
          <w:b/>
          <w:bCs/>
          <w:sz w:val="24"/>
          <w:highlight w:val="none"/>
        </w:rPr>
        <w:t xml:space="preserve">年</w:t>
      </w:r>
      <w:r>
        <w:rPr>
          <w:rFonts w:hint="eastAsia" w:ascii="宋体" w:hAnsi="宋体" w:eastAsia="宋体" w:cs="宋体"/>
          <w:sz w:val="24"/>
          <w:highlight w:val="none"/>
        </w:rPr>
        <w:t xml:space="preserve">的免费质保期。质保期内，因产品质量问题导致的损坏，供应商应提供免费维修或更换服务。</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3.2 一般服务响应时间</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接到服务请求后，供应商应在2小时内响应，8小时内到达现场处理问题，72小时内完成维修或更换。</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3.3 定期维护</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每学期提供免费巡检服务，对课桌椅进行紧固、润滑、调整等维护工作，并提交维护报告。</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3.4 配件供应</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保证10年内持续提供易损配件（升降装置、螺丝配件等），价格不高于原合同配件单价。</w:t>
      </w:r>
      <w:r/>
    </w:p>
    <w:p>
      <w:pPr>
        <w:ind w:firstLine="482"/>
        <w:spacing w:line="480" w:lineRule="exact"/>
        <w:widowControl/>
        <w:rPr>
          <w:rFonts w:ascii="宋体" w:hAnsi="宋体" w:eastAsia="宋体" w:cs="宋体"/>
          <w:b/>
          <w:bCs/>
          <w:sz w:val="24"/>
          <w:highlight w:val="none"/>
        </w:rPr>
      </w:pPr>
      <w:r>
        <w:rPr>
          <w:rFonts w:hint="eastAsia" w:ascii="宋体" w:hAnsi="宋体" w:eastAsia="宋体" w:cs="宋体"/>
          <w:b/>
          <w:bCs/>
          <w:sz w:val="24"/>
          <w:highlight w:val="none"/>
        </w:rPr>
        <w:t xml:space="preserve">4.产品质量保证及安全保障措施</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4.1 工艺要求：焊接部位应平整无焊渣；喷涂表面光滑均匀，附着力强；木质部分封边严密，无毛刺、开裂；升降机构操作顺畅，无卡滞现象。</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4.2 生产安全</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供应商应建立完善的生产安全管理体系，确保生产过程中操作人员安全防护到位，设备安全运行，杜绝重大安全事故。</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4.3 安装安全</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安装现场设置安全警示区域，确保安装过程零事故。</w:t>
      </w:r>
      <w:r/>
    </w:p>
    <w:p>
      <w:pPr>
        <w:ind w:firstLine="482"/>
        <w:spacing w:line="480" w:lineRule="exact"/>
        <w:widowControl/>
        <w:rPr>
          <w:rFonts w:ascii="宋体" w:hAnsi="宋体" w:eastAsia="宋体" w:cs="宋体"/>
          <w:b/>
          <w:bCs/>
          <w:sz w:val="24"/>
          <w:highlight w:val="none"/>
        </w:rPr>
      </w:pPr>
      <w:r>
        <w:rPr>
          <w:rFonts w:hint="eastAsia" w:ascii="宋体" w:hAnsi="宋体" w:eastAsia="宋体" w:cs="宋体"/>
          <w:b/>
          <w:bCs/>
          <w:sz w:val="24"/>
          <w:highlight w:val="none"/>
        </w:rPr>
        <w:t xml:space="preserve">5.应急服务方案</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5.1 应急响应机制</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设立7×24小时应急服务专线（需在投标文件中提供具体联系方式），针对突发性、大规模产品故障提供紧急响应服务。</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5.2 应急配件储备</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在采购单位所在地区或邻近地区设立应急配件仓库，储备不低于总量3%的常用配件，确保紧急维修需求。</w:t>
      </w:r>
      <w:r/>
    </w:p>
    <w:p>
      <w:pPr>
        <w:ind w:firstLine="480"/>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5.3 应急维修队伍</w:t>
      </w:r>
      <w:r/>
    </w:p>
    <w:p>
      <w:pPr>
        <w:pStyle w:val="954"/>
        <w:ind w:firstLine="480"/>
        <w:spacing w:line="480" w:lineRule="exact"/>
        <w:rPr>
          <w:rFonts w:hAnsi="宋体" w:eastAsia="宋体"/>
          <w:color w:val="auto"/>
          <w:highlight w:val="none"/>
        </w:rPr>
      </w:pPr>
      <w:r>
        <w:rPr>
          <w:rFonts w:hAnsi="宋体" w:eastAsia="宋体"/>
          <w:color w:val="auto"/>
          <w:highlight w:val="none"/>
        </w:rPr>
        <w:t xml:space="preserve">组建不少于3人的专业应急维修队伍，具备在3小时内到达两个校区现场处理问题的能力。</w:t>
      </w:r>
      <w:r/>
    </w:p>
    <w:p>
      <w:pPr>
        <w:pStyle w:val="954"/>
        <w:ind w:firstLine="480"/>
        <w:spacing w:line="480" w:lineRule="exact"/>
        <w:rPr>
          <w:rFonts w:hAnsi="宋体" w:eastAsia="宋体"/>
          <w:color w:val="auto"/>
          <w:highlight w:val="none"/>
        </w:rPr>
      </w:pPr>
      <w:r>
        <w:rPr>
          <w:rFonts w:hAnsi="宋体" w:eastAsia="宋体"/>
          <w:color w:val="auto"/>
          <w:highlight w:val="none"/>
        </w:rPr>
        <w:t xml:space="preserve">5.4重大事故处理</w:t>
      </w:r>
      <w:r/>
    </w:p>
    <w:p>
      <w:pPr>
        <w:pStyle w:val="954"/>
        <w:ind w:firstLine="480"/>
        <w:spacing w:line="480" w:lineRule="exact"/>
        <w:rPr>
          <w:rFonts w:hAnsi="宋体" w:eastAsia="宋体"/>
          <w:color w:val="auto"/>
          <w:highlight w:val="none"/>
        </w:rPr>
      </w:pPr>
      <w:r>
        <w:rPr>
          <w:rFonts w:hAnsi="宋体" w:eastAsia="宋体"/>
          <w:color w:val="auto"/>
          <w:highlight w:val="none"/>
        </w:rPr>
        <w:t xml:space="preserve">如遇产品导致的人身伤害事故，供应商应在接报后2小时内派专业团队到达现场，配合事故调查，并承担相应责任。</w:t>
      </w:r>
      <w:r/>
    </w:p>
    <w:p>
      <w:pPr>
        <w:pStyle w:val="954"/>
        <w:ind w:firstLine="480"/>
        <w:spacing w:line="480" w:lineRule="exact"/>
        <w:rPr>
          <w:rFonts w:hAnsi="宋体" w:eastAsia="宋体"/>
          <w:b/>
          <w:bCs/>
          <w:color w:val="auto"/>
          <w:highlight w:val="none"/>
        </w:rPr>
      </w:pPr>
      <w:r>
        <w:rPr>
          <w:rFonts w:hint="eastAsia" w:hAnsi="宋体" w:eastAsia="宋体"/>
          <w:b/>
          <w:bCs/>
          <w:color w:val="auto"/>
          <w:highlight w:val="none"/>
        </w:rPr>
        <w:t xml:space="preserve">（二）供应商能力要求</w:t>
      </w:r>
      <w:r/>
    </w:p>
    <w:p>
      <w:pPr>
        <w:ind w:firstLine="480"/>
        <w:keepLines w:val="0"/>
        <w:keepNext w:val="0"/>
        <w:pageBreakBefore w:val="0"/>
        <w:spacing w:line="48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产品品质</w:t>
      </w:r>
      <w:r/>
    </w:p>
    <w:p>
      <w:pPr>
        <w:ind w:left="0" w:right="0" w:firstLine="480"/>
        <w:jc w:val="left"/>
        <w:spacing w:before="0" w:after="0" w:line="479" w:lineRule="atLeast"/>
        <w:rPr>
          <w:rFonts w:ascii="SimSun" w:hAnsi="SimSun" w:eastAsia="SimSun" w:cs="SimSun"/>
          <w:b/>
          <w:bCs/>
          <w:color w:val="000000"/>
          <w:spacing w:val="-3"/>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投标课桌通过以下检测：课桌至少符合QB/T 4071-2021、GB/T 3325-2024、GB/T 18584-2024，检测内容至少包含①表面耐磨性无露底现象，抗冲击≥3级，耐光色牢度≥4级，桌面耐污染无明显痕迹，表面胶合强度0.40MPa；力学性能：课桌：桌面垂直静载荷、桌面垂直冲击、桌腿跌落、桌面水平静载荷，课桌无断裂或豁裂现象；用手揿压各部件无永久性松动；零部件无严重影响使用功能的磨损或变形；五金连接件无松动；活动部件的开关灵。②金属喷漆 (塑)涂层冲击高度400mm,应无剥落、裂纹、皱</w:t>
      </w:r>
      <w:r>
        <w:rPr>
          <w:rFonts w:ascii="SimSun" w:hAnsi="SimSun" w:eastAsia="SimSun" w:cs="SimSun"/>
          <w:color w:val="000000"/>
          <w:sz w:val="24"/>
        </w:rPr>
        <w:t xml:space="preserve">纹；附着力0级，耐盐浴（划道两侧3mm外,应无鼓泡,锈蚀、剥落和起皱等现象）；塑料件中有害物质限量：邻苯二甲酸酯≤0.1%；③产品整体挥发性有害物质:甲醛释放量≤0.02mg/m</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；苯≤0.06mg/m</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；甲苯≤0.15mg/m</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；二甲苯&lt;0.20mg/m</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；总挥发性有机化合物(TVOC)释放量≤0.50mg/m</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w:t>
      </w:r>
      <w:r>
        <w:rPr>
          <w:rFonts w:ascii="SimSun" w:hAnsi="SimSun" w:eastAsia="SimSun" w:cs="SimSun"/>
          <w:b/>
          <w:color w:val="000000"/>
          <w:spacing w:val="-3"/>
          <w:sz w:val="24"/>
        </w:rPr>
        <w:t xml:space="preserve">承诺全部满足的优先。</w:t>
      </w:r>
      <w:r>
        <w:rPr>
          <w:sz w:val="21"/>
        </w:rPr>
      </w:r>
      <w:r/>
    </w:p>
    <w:p>
      <w:pPr>
        <w:ind w:left="0" w:right="0" w:firstLine="480"/>
        <w:spacing w:before="0" w:after="0" w:line="47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r>
      <w:r>
        <w:rPr>
          <w:rFonts w:ascii="SimSun" w:hAnsi="SimSun" w:eastAsia="SimSun" w:cs="SimSun"/>
          <w:color w:val="000000"/>
          <w:spacing w:val="-3"/>
          <w:sz w:val="24"/>
        </w:rPr>
        <w:t xml:space="preserve">2.2 投标课椅通过以下检测，检测依据 GB/T 18584-2024 标准要求：产品整体挥发性有害物质:甲醛释放量≤0.02mg/m</w:t>
      </w:r>
      <w:r>
        <w:rPr>
          <w:rFonts w:ascii="SimSun" w:hAnsi="SimSun" w:eastAsia="SimSun" w:cs="SimSun"/>
          <w:color w:val="000000"/>
          <w:sz w:val="24"/>
          <w:vertAlign w:val="superscript"/>
        </w:rPr>
        <w:t xml:space="preserve">3</w:t>
      </w:r>
      <w:r>
        <w:rPr>
          <w:rFonts w:ascii="SimSun" w:hAnsi="SimSun" w:eastAsia="SimSun" w:cs="SimSun"/>
          <w:color w:val="000000"/>
          <w:spacing w:val="-3"/>
          <w:sz w:val="24"/>
        </w:rPr>
        <w:t xml:space="preserve">；苯≤0.06mg/m</w:t>
      </w:r>
      <w:r>
        <w:rPr>
          <w:rFonts w:ascii="SimSun" w:hAnsi="SimSun" w:eastAsia="SimSun" w:cs="SimSun"/>
          <w:color w:val="000000"/>
          <w:sz w:val="24"/>
          <w:vertAlign w:val="superscript"/>
        </w:rPr>
        <w:t xml:space="preserve">3</w:t>
      </w:r>
      <w:r>
        <w:rPr>
          <w:rFonts w:ascii="SimSun" w:hAnsi="SimSun" w:eastAsia="SimSun" w:cs="SimSun"/>
          <w:color w:val="000000"/>
          <w:spacing w:val="-3"/>
          <w:sz w:val="24"/>
        </w:rPr>
        <w:t xml:space="preserve">;甲苯≤0.15mg/m</w:t>
      </w:r>
      <w:r>
        <w:rPr>
          <w:rFonts w:ascii="SimSun" w:hAnsi="SimSun" w:eastAsia="SimSun" w:cs="SimSun"/>
          <w:color w:val="000000"/>
          <w:sz w:val="24"/>
          <w:vertAlign w:val="superscript"/>
        </w:rPr>
        <w:t xml:space="preserve">3</w:t>
      </w:r>
      <w:r>
        <w:rPr>
          <w:rFonts w:ascii="SimSun" w:hAnsi="SimSun" w:eastAsia="SimSun" w:cs="SimSun"/>
          <w:color w:val="000000"/>
          <w:spacing w:val="-3"/>
          <w:sz w:val="24"/>
        </w:rPr>
        <w:t xml:space="preserve">；二甲苯&lt;0.20mg/m</w:t>
      </w:r>
      <w:r>
        <w:rPr>
          <w:rFonts w:ascii="SimSun" w:hAnsi="SimSun" w:eastAsia="SimSun" w:cs="SimSun"/>
          <w:color w:val="000000"/>
          <w:sz w:val="24"/>
          <w:vertAlign w:val="superscript"/>
        </w:rPr>
        <w:t xml:space="preserve">3</w:t>
      </w:r>
      <w:r>
        <w:rPr>
          <w:rFonts w:ascii="SimSun" w:hAnsi="SimSun" w:eastAsia="SimSun" w:cs="SimSun"/>
          <w:color w:val="000000"/>
          <w:spacing w:val="-3"/>
          <w:sz w:val="24"/>
        </w:rPr>
        <w:t xml:space="preserve">；总挥发性有机化合物(TVOC)释放量</w:t>
      </w:r>
      <w:r>
        <w:rPr>
          <w:rFonts w:ascii="SimSun" w:hAnsi="SimSun" w:eastAsia="SimSun" w:cs="SimSun"/>
          <w:color w:val="000000"/>
          <w:sz w:val="24"/>
        </w:rPr>
        <w:t xml:space="preserve">≤</w:t>
      </w:r>
      <w:r>
        <w:rPr>
          <w:rFonts w:ascii="SimSun" w:hAnsi="SimSun" w:eastAsia="SimSun" w:cs="SimSun"/>
          <w:color w:val="000000"/>
          <w:spacing w:val="-3"/>
          <w:sz w:val="24"/>
        </w:rPr>
        <w:t xml:space="preserve">0.50mg/m</w:t>
      </w:r>
      <w:r>
        <w:rPr>
          <w:rFonts w:ascii="SimSun" w:hAnsi="SimSun" w:eastAsia="SimSun" w:cs="SimSun"/>
          <w:color w:val="000000"/>
          <w:sz w:val="24"/>
          <w:vertAlign w:val="superscript"/>
        </w:rPr>
        <w:t xml:space="preserve">3</w:t>
      </w:r>
      <w:r>
        <w:rPr>
          <w:rFonts w:ascii="SimSun" w:hAnsi="SimSun" w:eastAsia="SimSun" w:cs="SimSun"/>
          <w:b/>
          <w:color w:val="000000"/>
          <w:sz w:val="24"/>
        </w:rPr>
        <w:t xml:space="preserve">；承诺全部满足的优先</w:t>
      </w:r>
      <w:r>
        <w:rPr>
          <w:rFonts w:ascii="SimSun" w:hAnsi="SimSun" w:eastAsia="SimSun" w:cs="SimSun"/>
          <w:color w:val="000000"/>
          <w:sz w:val="24"/>
        </w:rPr>
        <w:t xml:space="preserve">。</w:t>
      </w:r>
      <w:r>
        <w:rPr>
          <w:sz w:val="21"/>
        </w:rPr>
      </w:r>
      <w:r/>
    </w:p>
    <w:p>
      <w:pPr>
        <w:pStyle w:val="730"/>
        <w:ind w:firstLine="480"/>
        <w:spacing w:before="0" w:line="500" w:lineRule="exact"/>
        <w:rPr>
          <w:rFonts w:ascii="宋体" w:hAnsi="宋体" w:cs="宋体"/>
          <w:szCs w:val="24"/>
          <w:highlight w:val="none"/>
        </w:rPr>
      </w:pPr>
      <w:r>
        <w:rPr>
          <w:rFonts w:hint="eastAsia" w:ascii="宋体" w:hAnsi="宋体" w:cs="宋体"/>
          <w:szCs w:val="24"/>
          <w:highlight w:val="none"/>
          <w:lang w:val="en-US" w:eastAsia="zh-CN"/>
        </w:rPr>
        <w:t xml:space="preserve">2、</w:t>
      </w:r>
      <w:r>
        <w:rPr>
          <w:rFonts w:hint="eastAsia" w:ascii="宋体" w:hAnsi="宋体" w:cs="宋体"/>
          <w:szCs w:val="24"/>
          <w:highlight w:val="none"/>
        </w:rPr>
        <w:t xml:space="preserve">供应商需具备类似项目供货经验，供应商自202</w:t>
      </w:r>
      <w:r>
        <w:rPr>
          <w:rFonts w:ascii="宋体" w:hAnsi="宋体" w:cs="宋体"/>
          <w:szCs w:val="24"/>
          <w:highlight w:val="none"/>
        </w:rPr>
        <w:t xml:space="preserve">1</w:t>
      </w:r>
      <w:r>
        <w:rPr>
          <w:rFonts w:hint="eastAsia" w:ascii="宋体" w:hAnsi="宋体" w:cs="宋体"/>
          <w:szCs w:val="24"/>
          <w:highlight w:val="none"/>
        </w:rPr>
        <w:t xml:space="preserve">年1月1日（以合同签订时间为准）以来，具有类似</w:t>
      </w:r>
      <w:r>
        <w:rPr>
          <w:rFonts w:hint="eastAsia" w:ascii="宋体" w:hAnsi="宋体" w:cs="宋体"/>
          <w:szCs w:val="24"/>
          <w:highlight w:val="none"/>
          <w:lang w:val="en-US" w:eastAsia="zh-CN"/>
        </w:rPr>
        <w:t xml:space="preserve">家具</w:t>
      </w:r>
      <w:r>
        <w:rPr>
          <w:rFonts w:hint="eastAsia" w:ascii="宋体" w:hAnsi="宋体" w:cs="宋体"/>
          <w:szCs w:val="24"/>
          <w:highlight w:val="none"/>
        </w:rPr>
        <w:t xml:space="preserve">项目业绩的</w:t>
      </w:r>
      <w:r>
        <w:rPr>
          <w:rFonts w:hint="eastAsia" w:ascii="宋体" w:hAnsi="宋体" w:cs="宋体"/>
          <w:b/>
          <w:bCs/>
          <w:szCs w:val="24"/>
          <w:highlight w:val="none"/>
        </w:rPr>
        <w:t xml:space="preserve">优先</w:t>
      </w:r>
      <w:r>
        <w:rPr>
          <w:rFonts w:hint="eastAsia" w:ascii="宋体" w:hAnsi="宋体" w:cs="宋体"/>
          <w:szCs w:val="24"/>
          <w:highlight w:val="none"/>
        </w:rPr>
        <w:t xml:space="preserve">。</w:t>
      </w:r>
      <w:r/>
    </w:p>
    <w:p>
      <w:pPr>
        <w:pStyle w:val="954"/>
        <w:ind w:firstLine="480"/>
        <w:spacing w:line="480" w:lineRule="exact"/>
        <w:rPr>
          <w:rFonts w:hAnsi="宋体" w:eastAsia="宋体"/>
          <w:color w:val="auto"/>
          <w:highlight w:val="none"/>
        </w:rPr>
      </w:pPr>
      <w:r>
        <w:rPr>
          <w:rFonts w:hint="eastAsia" w:hAnsi="宋体" w:eastAsia="宋体"/>
          <w:color w:val="auto"/>
          <w:highlight w:val="none"/>
          <w:lang w:val="en-US" w:eastAsia="zh-CN"/>
        </w:rPr>
        <w:t xml:space="preserve">3</w:t>
      </w:r>
      <w:r>
        <w:rPr>
          <w:rFonts w:hint="eastAsia" w:hAnsi="宋体" w:eastAsia="宋体"/>
          <w:color w:val="auto"/>
          <w:highlight w:val="none"/>
        </w:rPr>
        <w:t xml:space="preserve">、本项目为家具采购项目，投标人或产品制造商需具有科学有效的管理流程和规范，优化内部管理，提高工作效率和质量；并且通过有效的环境管理减少环境污染，同时应重视员工的职业健康和安全；降低工伤事故和职业病的发生率，积极保障员工职业健康和安全，以保障本项目的顺利实施。具有有效期内的质量认证管理体系证书、职业健康安全管理体系认证证书、环境管理体系认证证书的</w:t>
      </w:r>
      <w:r>
        <w:rPr>
          <w:rFonts w:hint="eastAsia" w:hAnsi="宋体" w:eastAsia="宋体"/>
          <w:b/>
          <w:bCs/>
          <w:color w:val="auto"/>
          <w:highlight w:val="none"/>
        </w:rPr>
        <w:t xml:space="preserve">优先</w:t>
      </w:r>
      <w:r>
        <w:rPr>
          <w:rFonts w:hint="eastAsia" w:hAnsi="宋体" w:eastAsia="宋体"/>
          <w:color w:val="auto"/>
          <w:highlight w:val="none"/>
        </w:rPr>
        <w:t xml:space="preserve">。</w:t>
      </w:r>
      <w:r/>
    </w:p>
    <w:p>
      <w:pPr>
        <w:pStyle w:val="954"/>
        <w:ind w:firstLine="480"/>
        <w:spacing w:line="480" w:lineRule="exact"/>
        <w:rPr>
          <w:rFonts w:hAnsi="宋体" w:eastAsia="宋体"/>
          <w:color w:val="auto"/>
          <w:highlight w:val="none"/>
        </w:rPr>
      </w:pPr>
      <w:r>
        <w:rPr>
          <w:rFonts w:hint="eastAsia" w:hAnsi="宋体" w:eastAsia="宋体"/>
          <w:color w:val="auto"/>
          <w:highlight w:val="none"/>
          <w:lang w:val="en-US" w:eastAsia="zh-CN"/>
        </w:rPr>
        <w:t xml:space="preserve">4</w:t>
      </w:r>
      <w:r>
        <w:rPr>
          <w:rFonts w:hint="eastAsia" w:hAnsi="宋体" w:eastAsia="宋体"/>
          <w:color w:val="auto"/>
          <w:highlight w:val="none"/>
        </w:rPr>
        <w:t xml:space="preserve">、</w:t>
      </w:r>
      <w:r>
        <w:rPr>
          <w:rFonts w:hint="eastAsia" w:hAnsi="宋体"/>
          <w:highlight w:val="none"/>
        </w:rPr>
        <w:t xml:space="preserve">供应商承诺</w:t>
      </w:r>
      <w:r>
        <w:rPr>
          <w:rFonts w:hint="eastAsia" w:hAnsi="宋体"/>
          <w:bCs/>
          <w:highlight w:val="none"/>
        </w:rPr>
        <w:t xml:space="preserve">在招标文件基本要求（2年）基础上</w:t>
      </w:r>
      <w:r>
        <w:rPr>
          <w:rFonts w:hint="eastAsia" w:hAnsi="宋体"/>
          <w:highlight w:val="none"/>
        </w:rPr>
        <w:t xml:space="preserve">增加质保年限的</w:t>
      </w:r>
      <w:r>
        <w:rPr>
          <w:rFonts w:hint="eastAsia" w:hAnsi="宋体"/>
          <w:b/>
          <w:bCs/>
          <w:highlight w:val="none"/>
        </w:rPr>
        <w:t xml:space="preserve">优先</w:t>
      </w:r>
      <w:r>
        <w:rPr>
          <w:rFonts w:hint="eastAsia" w:hAnsi="宋体"/>
          <w:highlight w:val="none"/>
        </w:rPr>
        <w:t xml:space="preserve">。</w:t>
      </w:r>
      <w:r/>
    </w:p>
    <w:p>
      <w:pPr>
        <w:pStyle w:val="954"/>
        <w:ind w:firstLine="480"/>
        <w:spacing w:line="480" w:lineRule="exact"/>
        <w:rPr>
          <w:rFonts w:hint="eastAsia" w:hAnsi="宋体" w:eastAsia="宋体"/>
          <w:color w:val="auto"/>
          <w:highlight w:val="none"/>
          <w:lang w:eastAsia="zh-CN"/>
        </w:rPr>
      </w:pPr>
      <w:r>
        <w:rPr>
          <w:rFonts w:hint="eastAsia" w:hAnsi="宋体" w:eastAsia="宋体"/>
          <w:color w:val="auto"/>
          <w:highlight w:val="none"/>
          <w:lang w:val="en-US" w:eastAsia="zh-CN"/>
        </w:rPr>
        <w:t xml:space="preserve">5</w:t>
      </w:r>
      <w:r>
        <w:rPr>
          <w:rFonts w:hint="eastAsia" w:hAnsi="宋体" w:eastAsia="宋体"/>
          <w:color w:val="auto"/>
          <w:highlight w:val="none"/>
        </w:rPr>
        <w:t xml:space="preserve">、投标人提供国家确定的认证机构出具的、处于有效期内的投标产品环境标志产品认证证书，证书须满足以下要求：A0602台、桌类，A0603 椅凳类、A060101钢木床类的</w:t>
      </w:r>
      <w:r>
        <w:rPr>
          <w:rFonts w:hint="eastAsia" w:hAnsi="宋体" w:eastAsia="宋体"/>
          <w:b/>
          <w:color w:val="auto"/>
          <w:highlight w:val="none"/>
        </w:rPr>
        <w:t xml:space="preserve">优先</w:t>
      </w:r>
      <w:r>
        <w:rPr>
          <w:rFonts w:hint="eastAsia" w:hAnsi="宋体" w:eastAsia="宋体"/>
          <w:b/>
          <w:color w:val="auto"/>
          <w:highlight w:val="none"/>
          <w:lang w:eastAsia="zh-CN"/>
        </w:rPr>
        <w:t xml:space="preserve">。</w:t>
      </w:r>
      <w:r/>
    </w:p>
    <w:p>
      <w:pPr>
        <w:pStyle w:val="954"/>
        <w:ind w:firstLine="480"/>
        <w:spacing w:line="480" w:lineRule="exact"/>
        <w:rPr>
          <w:rFonts w:hAnsi="宋体" w:eastAsia="宋体"/>
          <w:b/>
          <w:bCs/>
          <w:color w:val="auto"/>
          <w:highlight w:val="none"/>
        </w:rPr>
      </w:pPr>
      <w:r>
        <w:rPr>
          <w:rFonts w:hint="eastAsia" w:hAnsi="宋体" w:eastAsia="宋体"/>
          <w:b/>
          <w:bCs/>
          <w:color w:val="auto"/>
          <w:highlight w:val="none"/>
        </w:rPr>
        <w:t xml:space="preserve">六、采购标的对应的中小企业划分标准所属行业一览表</w:t>
      </w:r>
      <w:r/>
    </w:p>
    <w:tbl>
      <w:tblPr>
        <w:tblStyle w:val="727"/>
        <w:tblW w:w="83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73"/>
        <w:gridCol w:w="4451"/>
        <w:gridCol w:w="2854"/>
      </w:tblGrid>
      <w:tr>
        <w:trPr>
          <w:jc w:val="center"/>
          <w:tblCellSpacing w:w="0" w:type="dxa"/>
          <w:trHeight w:val="915"/>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752"/>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752"/>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752"/>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对应中小企业划分标准所属行业</w:t>
            </w:r>
            <w:r/>
          </w:p>
        </w:tc>
      </w:tr>
      <w:tr>
        <w:trPr>
          <w:jc w:val="center"/>
          <w:tblCellSpacing w:w="0" w:type="dxa"/>
          <w:trHeight w:val="93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752"/>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732"/>
              <w:jc w:val="center"/>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盐城体育运动学校新校区家具采购项目</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752"/>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工业</w:t>
            </w:r>
            <w:r/>
          </w:p>
        </w:tc>
      </w:tr>
    </w:tbl>
    <w:p>
      <w:pPr>
        <w:jc w:val="left"/>
        <w:widowControl/>
        <w:rPr>
          <w:rFonts w:cs="Times New Roman"/>
          <w:sz w:val="24"/>
          <w:highlight w:val="none"/>
        </w:rPr>
      </w:pPr>
      <w:r>
        <w:rPr>
          <w:highlight w:val="none"/>
        </w:rPr>
        <w:t xml:space="preserve"> </w:t>
      </w:r>
      <w:r/>
    </w:p>
    <w:p>
      <w:pPr>
        <w:pStyle w:val="752"/>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tab/>
      </w:r>
      <w:r/>
    </w:p>
    <w:p>
      <w:pPr>
        <w:jc w:val="left"/>
        <w:widowControl/>
        <w:rPr>
          <w:rFonts w:ascii="黑体" w:hAnsi="宋体" w:eastAsia="黑体" w:cs="黑体"/>
          <w:color w:val="000000"/>
          <w:sz w:val="44"/>
          <w:szCs w:val="44"/>
          <w:highlight w:val="none"/>
        </w:rPr>
      </w:pPr>
      <w:r>
        <w:rPr>
          <w:rFonts w:ascii="黑体" w:hAnsi="宋体" w:eastAsia="黑体" w:cs="黑体"/>
          <w:color w:val="000000"/>
          <w:sz w:val="44"/>
          <w:szCs w:val="44"/>
          <w:highlight w:val="none"/>
        </w:rPr>
        <w:br w:type="page" w:clear="all"/>
      </w:r>
      <w:r/>
    </w:p>
    <w:p>
      <w:pPr>
        <w:pStyle w:val="752"/>
        <w:ind w:firstLine="220"/>
        <w:jc w:val="center"/>
        <w:keepNext/>
        <w:spacing w:beforeAutospacing="0" w:afterAutospacing="0"/>
        <w:rPr>
          <w:highlight w:val="none"/>
        </w:rPr>
      </w:pPr>
      <w:r>
        <w:rPr>
          <w:rFonts w:hint="eastAsia" w:ascii="黑体" w:hAnsi="宋体" w:eastAsia="黑体" w:cs="黑体"/>
          <w:sz w:val="44"/>
          <w:szCs w:val="44"/>
          <w:highlight w:val="none"/>
        </w:rPr>
        <w:t xml:space="preserve">第五章  评标方法与评标标准</w:t>
      </w:r>
      <w:r/>
    </w:p>
    <w:p>
      <w:pPr>
        <w:pStyle w:val="752"/>
        <w:jc w:val="both"/>
        <w:spacing w:beforeAutospacing="0" w:afterAutospacing="0"/>
        <w:rPr>
          <w:highlight w:val="none"/>
        </w:rPr>
      </w:pPr>
      <w:r>
        <w:rPr>
          <w:highlight w:val="none"/>
        </w:rPr>
        <w:t xml:space="preserve"> </w:t>
      </w:r>
      <w:r/>
    </w:p>
    <w:p>
      <w:pPr>
        <w:ind w:firstLine="482"/>
        <w:jc w:val="left"/>
        <w:spacing w:line="560" w:lineRule="exact"/>
        <w:widowControl/>
        <w:rPr>
          <w:rFonts w:asciiTheme="minorEastAsia" w:hAnsiTheme="minorEastAsia" w:cstheme="minorEastAsia"/>
          <w:b/>
          <w:bCs/>
          <w:sz w:val="24"/>
          <w:szCs w:val="20"/>
          <w:highlight w:val="none"/>
        </w:rPr>
        <w:outlineLvl w:val="1"/>
      </w:pPr>
      <w:r>
        <w:rPr>
          <w:rFonts w:hint="eastAsia" w:asciiTheme="minorEastAsia" w:hAnsiTheme="minorEastAsia" w:cstheme="minorEastAsia"/>
          <w:b/>
          <w:bCs/>
          <w:sz w:val="24"/>
          <w:szCs w:val="20"/>
          <w:highlight w:val="none"/>
        </w:rPr>
        <w:t xml:space="preserve">一、定标原则</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本项目采用</w:t>
      </w:r>
      <w:r>
        <w:rPr>
          <w:rFonts w:hint="eastAsia" w:ascii="宋体" w:hAnsi="宋体" w:eastAsia="Arial" w:cs="宋体"/>
          <w:sz w:val="24"/>
          <w:szCs w:val="20"/>
          <w:highlight w:val="none"/>
          <w:u w:val="single"/>
        </w:rPr>
        <w:t xml:space="preserve"> 综合评分 </w:t>
      </w:r>
      <w:r>
        <w:rPr>
          <w:rFonts w:hint="eastAsia" w:ascii="宋体" w:hAnsi="宋体" w:eastAsia="Arial" w:cs="宋体"/>
          <w:sz w:val="24"/>
          <w:szCs w:val="20"/>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eastAsia="Arial" w:cs="宋体"/>
          <w:b/>
          <w:bCs/>
          <w:sz w:val="24"/>
          <w:szCs w:val="20"/>
          <w:highlight w:val="none"/>
        </w:rPr>
        <w:outlineLvl w:val="2"/>
      </w:pPr>
      <w:r>
        <w:rPr>
          <w:rFonts w:hint="eastAsia" w:ascii="宋体" w:hAnsi="宋体" w:eastAsia="Arial" w:cs="宋体"/>
          <w:b/>
          <w:bCs/>
          <w:sz w:val="24"/>
          <w:szCs w:val="20"/>
          <w:highlight w:val="none"/>
        </w:rPr>
        <w:t xml:space="preserve">政府采购政策功能落实</w:t>
      </w:r>
      <w:r/>
    </w:p>
    <w:p>
      <w:pPr>
        <w:numPr>
          <w:ilvl w:val="0"/>
          <w:numId w:val="6"/>
        </w:numPr>
        <w:ind w:firstLine="482"/>
        <w:jc w:val="left"/>
        <w:spacing w:line="560" w:lineRule="exact"/>
        <w:widowControl/>
        <w:rPr>
          <w:rFonts w:ascii="宋体" w:hAnsi="宋体" w:eastAsia="Arial" w:cs="宋体"/>
          <w:b/>
          <w:bCs/>
          <w:sz w:val="24"/>
          <w:szCs w:val="20"/>
          <w:highlight w:val="none"/>
        </w:rPr>
        <w:outlineLvl w:val="2"/>
      </w:pPr>
      <w:r>
        <w:rPr>
          <w:rFonts w:hint="eastAsia" w:ascii="宋体" w:hAnsi="宋体" w:eastAsia="Arial" w:cs="宋体"/>
          <w:b/>
          <w:bCs/>
          <w:sz w:val="24"/>
          <w:szCs w:val="20"/>
          <w:highlight w:val="none"/>
        </w:rPr>
        <w:t xml:space="preserve">小微型企业价格扣除</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（1）本项目专门面向中小企业采购，不再对小型和微型企业报价给予价格扣除。</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（2）供应商需按照采购文件的要求提供相应的《中小企业声明函》。</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eastAsia="Arial" w:cs="宋体"/>
          <w:b/>
          <w:bCs/>
          <w:sz w:val="24"/>
          <w:szCs w:val="20"/>
          <w:highlight w:val="none"/>
        </w:rPr>
      </w:pPr>
      <w:r>
        <w:rPr>
          <w:rFonts w:hint="eastAsia" w:ascii="宋体" w:hAnsi="宋体" w:eastAsia="Arial" w:cs="宋体"/>
          <w:b/>
          <w:bCs/>
          <w:sz w:val="24"/>
          <w:szCs w:val="20"/>
          <w:highlight w:val="none"/>
        </w:rPr>
        <w:t xml:space="preserve">2、残疾人福利单位价格扣除</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（1）本项目对残疾人福利性单位视同小型、微型企业。</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（2）残疾人福利单位需按照采购文件的要求提供《残疾人福利性单位声明函》。</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（3）残疾人福利单位标准请参照《关于促进残疾人就业政府采购政策的通知》（财库〔2017〕141号）。</w:t>
      </w:r>
      <w:r/>
    </w:p>
    <w:p>
      <w:pPr>
        <w:ind w:firstLine="482"/>
        <w:jc w:val="left"/>
        <w:spacing w:line="560" w:lineRule="exact"/>
        <w:widowControl/>
        <w:rPr>
          <w:rFonts w:ascii="宋体" w:hAnsi="宋体" w:eastAsia="Arial" w:cs="宋体"/>
          <w:b/>
          <w:bCs/>
          <w:sz w:val="24"/>
          <w:szCs w:val="20"/>
          <w:highlight w:val="none"/>
        </w:rPr>
      </w:pPr>
      <w:r>
        <w:rPr>
          <w:rFonts w:hint="eastAsia" w:ascii="宋体" w:hAnsi="宋体" w:eastAsia="Arial" w:cs="宋体"/>
          <w:b/>
          <w:bCs/>
          <w:sz w:val="24"/>
          <w:szCs w:val="20"/>
          <w:highlight w:val="none"/>
        </w:rPr>
        <w:t xml:space="preserve">3、监狱和戒毒企业价格扣除</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（1）本项目对监狱和戒毒企业（简称监狱企业）视同小型、微型企业。</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（3）监狱企业标准请参照《关于政府采购支持监狱企业发展有关问题的通知》（财库[2014]68号）。</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4、残疾人福利单位、监狱企业属于小型、微型企业的，不重复享受政策。</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Arial" w:cs="宋体"/>
          <w:b/>
          <w:bCs/>
          <w:sz w:val="24"/>
          <w:szCs w:val="20"/>
          <w:highlight w:val="none"/>
        </w:rPr>
      </w:pPr>
      <w:r>
        <w:rPr>
          <w:rFonts w:hint="eastAsia" w:ascii="宋体" w:hAnsi="宋体" w:eastAsia="Arial" w:cs="宋体"/>
          <w:b/>
          <w:bCs/>
          <w:sz w:val="24"/>
          <w:szCs w:val="20"/>
          <w:highlight w:val="none"/>
        </w:rPr>
        <w:t xml:space="preserve">二、评标方法与评标标准</w:t>
      </w:r>
      <w:r/>
    </w:p>
    <w:p>
      <w:pPr>
        <w:ind w:firstLine="482"/>
        <w:jc w:val="left"/>
        <w:spacing w:line="560" w:lineRule="exact"/>
        <w:widowControl/>
        <w:rPr>
          <w:rFonts w:ascii="宋体" w:hAnsi="宋体" w:eastAsia="Arial" w:cs="宋体"/>
          <w:sz w:val="24"/>
          <w:szCs w:val="20"/>
          <w:highlight w:val="none"/>
        </w:rPr>
      </w:pPr>
      <w:r>
        <w:rPr>
          <w:rFonts w:hint="eastAsia" w:ascii="宋体" w:hAnsi="宋体" w:eastAsia="Arial" w:cs="宋体"/>
          <w:sz w:val="24"/>
          <w:szCs w:val="20"/>
          <w:highlight w:val="none"/>
        </w:rPr>
        <w:t xml:space="preserve">本项目评分总分值为100分。</w:t>
      </w:r>
      <w:r/>
    </w:p>
    <w:tbl>
      <w:tblPr>
        <w:tblStyle w:val="727"/>
        <w:tblW w:w="88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929"/>
        <w:gridCol w:w="1045"/>
        <w:gridCol w:w="6175"/>
      </w:tblGrid>
      <w:tr>
        <w:trPr>
          <w:jc w:val="center"/>
        </w:trPr>
        <w:tc>
          <w:tcPr>
            <w:tcW w:w="657" w:type="dxa"/>
            <w:vAlign w:val="center"/>
            <w:textDirection w:val="lrTb"/>
            <w:noWrap/>
          </w:tcPr>
          <w:p>
            <w:pPr>
              <w:jc w:val="center"/>
              <w:spacing w:line="500" w:lineRule="exact"/>
              <w:widowControl/>
              <w:rPr>
                <w:rFonts w:ascii="宋体" w:hAnsi="宋体"/>
                <w:sz w:val="24"/>
                <w:highlight w:val="none"/>
              </w:rPr>
            </w:pPr>
            <w:r>
              <w:rPr>
                <w:rFonts w:hint="eastAsia" w:ascii="宋体" w:hAnsi="宋体"/>
                <w:b/>
                <w:bCs/>
                <w:sz w:val="24"/>
                <w:highlight w:val="none"/>
              </w:rPr>
              <w:t xml:space="preserve">序号</w:t>
            </w:r>
            <w:r/>
          </w:p>
        </w:tc>
        <w:tc>
          <w:tcPr>
            <w:tcW w:w="929" w:type="dxa"/>
            <w:vAlign w:val="center"/>
            <w:textDirection w:val="lrTb"/>
            <w:noWrap/>
          </w:tcPr>
          <w:p>
            <w:pPr>
              <w:jc w:val="center"/>
              <w:spacing w:line="500" w:lineRule="exact"/>
              <w:widowControl/>
              <w:rPr>
                <w:rFonts w:ascii="宋体" w:hAnsi="宋体"/>
                <w:b/>
                <w:bCs/>
                <w:sz w:val="24"/>
                <w:highlight w:val="none"/>
              </w:rPr>
            </w:pPr>
            <w:r>
              <w:rPr>
                <w:rFonts w:hint="eastAsia" w:ascii="宋体" w:hAnsi="宋体"/>
                <w:b/>
                <w:bCs/>
                <w:sz w:val="24"/>
                <w:highlight w:val="none"/>
              </w:rPr>
              <w:t xml:space="preserve">评审项目</w:t>
            </w:r>
            <w:r/>
          </w:p>
        </w:tc>
        <w:tc>
          <w:tcPr>
            <w:tcW w:w="1045" w:type="dxa"/>
            <w:vAlign w:val="center"/>
            <w:textDirection w:val="lrTb"/>
            <w:noWrap/>
          </w:tcPr>
          <w:p>
            <w:pPr>
              <w:jc w:val="center"/>
              <w:spacing w:line="500" w:lineRule="exact"/>
              <w:widowControl/>
              <w:rPr>
                <w:rFonts w:ascii="宋体" w:hAnsi="宋体"/>
                <w:sz w:val="24"/>
                <w:highlight w:val="none"/>
              </w:rPr>
            </w:pPr>
            <w:r>
              <w:rPr>
                <w:rFonts w:hint="eastAsia" w:ascii="宋体" w:hAnsi="宋体"/>
                <w:b/>
                <w:bCs/>
                <w:sz w:val="24"/>
                <w:highlight w:val="none"/>
              </w:rPr>
              <w:t xml:space="preserve">分值</w:t>
            </w:r>
            <w:r/>
          </w:p>
        </w:tc>
        <w:tc>
          <w:tcPr>
            <w:tcW w:w="6175" w:type="dxa"/>
            <w:vAlign w:val="center"/>
            <w:textDirection w:val="lrTb"/>
            <w:noWrap/>
          </w:tcPr>
          <w:p>
            <w:pPr>
              <w:jc w:val="center"/>
              <w:spacing w:line="500" w:lineRule="exact"/>
              <w:widowControl/>
              <w:rPr>
                <w:rFonts w:ascii="宋体" w:hAnsi="宋体"/>
                <w:b/>
                <w:bCs/>
                <w:sz w:val="24"/>
                <w:highlight w:val="none"/>
              </w:rPr>
            </w:pPr>
            <w:r>
              <w:rPr>
                <w:rFonts w:hint="eastAsia" w:ascii="宋体" w:hAnsi="宋体"/>
                <w:b/>
                <w:bCs/>
                <w:sz w:val="24"/>
                <w:highlight w:val="none"/>
              </w:rPr>
              <w:t xml:space="preserve">评审细则</w:t>
            </w:r>
            <w:r/>
          </w:p>
        </w:tc>
      </w:tr>
      <w:tr>
        <w:trPr>
          <w:jc w:val="center"/>
        </w:trPr>
        <w:tc>
          <w:tcPr>
            <w:tcW w:w="657" w:type="dxa"/>
            <w:vAlign w:val="center"/>
            <w:textDirection w:val="lrTb"/>
            <w:noWrap/>
          </w:tcPr>
          <w:p>
            <w:pPr>
              <w:jc w:val="center"/>
              <w:spacing w:line="500" w:lineRule="exact"/>
              <w:rPr>
                <w:rFonts w:ascii="宋体" w:hAnsi="宋体"/>
                <w:sz w:val="24"/>
                <w:highlight w:val="none"/>
              </w:rPr>
            </w:pPr>
            <w:r>
              <w:rPr>
                <w:rFonts w:hint="eastAsia" w:ascii="宋体" w:hAnsi="宋体"/>
                <w:sz w:val="24"/>
                <w:highlight w:val="none"/>
              </w:rPr>
              <w:t xml:space="preserve">1</w:t>
            </w:r>
            <w:r/>
          </w:p>
        </w:tc>
        <w:tc>
          <w:tcPr>
            <w:tcW w:w="929" w:type="dxa"/>
            <w:vAlign w:val="center"/>
            <w:textDirection w:val="lrTb"/>
            <w:noWrap/>
          </w:tcPr>
          <w:p>
            <w:pPr>
              <w:jc w:val="center"/>
              <w:spacing w:line="500" w:lineRule="exact"/>
              <w:rPr>
                <w:rFonts w:ascii="宋体" w:hAnsi="宋体"/>
                <w:sz w:val="24"/>
                <w:highlight w:val="none"/>
              </w:rPr>
            </w:pPr>
            <w:r>
              <w:rPr>
                <w:rFonts w:hint="eastAsia" w:ascii="宋体" w:hAnsi="宋体"/>
                <w:sz w:val="24"/>
                <w:highlight w:val="none"/>
              </w:rPr>
              <w:t xml:space="preserve">投标报价</w:t>
            </w:r>
            <w:r/>
          </w:p>
        </w:tc>
        <w:tc>
          <w:tcPr>
            <w:tcW w:w="1045" w:type="dxa"/>
            <w:vAlign w:val="center"/>
            <w:textDirection w:val="lrTb"/>
            <w:noWrap/>
          </w:tcPr>
          <w:p>
            <w:pPr>
              <w:jc w:val="center"/>
              <w:spacing w:line="500" w:lineRule="exact"/>
              <w:rPr>
                <w:rFonts w:ascii="宋体" w:hAnsi="宋体"/>
                <w:sz w:val="24"/>
                <w:highlight w:val="none"/>
              </w:rPr>
            </w:pPr>
            <w:r>
              <w:rPr>
                <w:rFonts w:ascii="宋体" w:hAnsi="宋体"/>
                <w:sz w:val="24"/>
                <w:highlight w:val="none"/>
              </w:rPr>
              <w:t xml:space="preserve">30</w:t>
            </w:r>
            <w:r>
              <w:rPr>
                <w:rFonts w:hint="eastAsia" w:ascii="宋体" w:hAnsi="宋体"/>
                <w:sz w:val="24"/>
                <w:highlight w:val="none"/>
              </w:rPr>
              <w:t xml:space="preserve">分</w:t>
            </w:r>
            <w:r/>
          </w:p>
        </w:tc>
        <w:tc>
          <w:tcPr>
            <w:tcW w:w="6175" w:type="dxa"/>
            <w:textDirection w:val="lrTb"/>
            <w:noWrap/>
          </w:tcPr>
          <w:p>
            <w:pPr>
              <w:ind w:firstLine="480"/>
              <w:spacing w:line="500" w:lineRule="exact"/>
              <w:rPr>
                <w:rFonts w:ascii="宋体" w:hAnsi="宋体"/>
                <w:sz w:val="24"/>
                <w:highlight w:val="none"/>
              </w:rPr>
            </w:pPr>
            <w:r>
              <w:rPr>
                <w:rFonts w:hint="eastAsia" w:ascii="宋体" w:hAnsi="宋体"/>
                <w:sz w:val="24"/>
                <w:highlight w:val="none"/>
              </w:rPr>
              <w:t xml:space="preserve">采用低价优先法，即满足招标文件要求且投标价格最低的有效投标报价（有效投标报价为未被评标委员会判定为无效标的投标文件）为评标基准价，其价格分为满分。</w:t>
            </w:r>
            <w:r/>
          </w:p>
          <w:p>
            <w:pPr>
              <w:spacing w:line="500" w:lineRule="exact"/>
              <w:rPr>
                <w:rFonts w:ascii="宋体" w:hAnsi="宋体"/>
                <w:sz w:val="24"/>
                <w:highlight w:val="none"/>
              </w:rPr>
            </w:pPr>
            <w:r>
              <w:rPr>
                <w:rFonts w:hint="eastAsia" w:ascii="宋体" w:hAnsi="宋体"/>
                <w:sz w:val="24"/>
                <w:highlight w:val="none"/>
              </w:rPr>
              <w:t xml:space="preserve">其他投标人的价格分统一按下列公式计算：投标报价得分＝（评标基准价/投标报价）×</w:t>
            </w:r>
            <w:r>
              <w:rPr>
                <w:rFonts w:ascii="宋体" w:hAnsi="宋体"/>
                <w:sz w:val="24"/>
                <w:highlight w:val="none"/>
              </w:rPr>
              <w:t xml:space="preserve">3</w:t>
            </w:r>
            <w:r>
              <w:rPr>
                <w:rFonts w:hint="eastAsia" w:ascii="宋体" w:hAnsi="宋体"/>
                <w:sz w:val="24"/>
                <w:highlight w:val="none"/>
              </w:rPr>
              <w:t xml:space="preserve">0（小数点保留两位）（得分保留两位小数）。</w:t>
            </w:r>
            <w:r/>
          </w:p>
        </w:tc>
      </w:tr>
      <w:tr>
        <w:trPr>
          <w:jc w:val="center"/>
        </w:trPr>
        <w:tc>
          <w:tcPr>
            <w:tcW w:w="657" w:type="dxa"/>
            <w:vAlign w:val="center"/>
            <w:textDirection w:val="lrTb"/>
            <w:noWrap/>
          </w:tcPr>
          <w:p>
            <w:pPr>
              <w:jc w:val="center"/>
              <w:spacing w:line="500" w:lineRule="exact"/>
              <w:rPr>
                <w:rFonts w:ascii="宋体" w:hAnsi="宋体" w:eastAsia="宋体"/>
                <w:sz w:val="24"/>
                <w:highlight w:val="none"/>
              </w:rPr>
            </w:pPr>
            <w:r>
              <w:rPr>
                <w:rFonts w:hint="eastAsia" w:ascii="宋体" w:hAnsi="宋体"/>
                <w:sz w:val="24"/>
                <w:highlight w:val="none"/>
              </w:rPr>
              <w:t xml:space="preserve">2</w:t>
            </w:r>
            <w:r/>
          </w:p>
        </w:tc>
        <w:tc>
          <w:tcPr>
            <w:tcW w:w="929" w:type="dxa"/>
            <w:vAlign w:val="center"/>
            <w:textDirection w:val="lrTb"/>
            <w:noWrap/>
          </w:tcPr>
          <w:p>
            <w:pPr>
              <w:jc w:val="center"/>
              <w:spacing w:line="500" w:lineRule="exact"/>
              <w:rPr>
                <w:rFonts w:ascii="宋体" w:hAnsi="宋体" w:eastAsia="宋体"/>
                <w:sz w:val="24"/>
                <w:highlight w:val="none"/>
              </w:rPr>
            </w:pPr>
            <w:r>
              <w:rPr>
                <w:rFonts w:hint="eastAsia" w:ascii="宋体" w:hAnsi="宋体"/>
                <w:sz w:val="24"/>
                <w:highlight w:val="none"/>
              </w:rPr>
              <w:t xml:space="preserve">企业实力</w:t>
            </w:r>
            <w:r/>
          </w:p>
        </w:tc>
        <w:tc>
          <w:tcPr>
            <w:tcW w:w="1045" w:type="dxa"/>
            <w:vAlign w:val="center"/>
            <w:textDirection w:val="lrTb"/>
            <w:noWrap/>
          </w:tcPr>
          <w:p>
            <w:pPr>
              <w:jc w:val="center"/>
              <w:spacing w:line="500" w:lineRule="exact"/>
              <w:rPr>
                <w:rFonts w:ascii="宋体" w:hAnsi="宋体"/>
                <w:sz w:val="24"/>
                <w:highlight w:val="none"/>
              </w:rPr>
            </w:pPr>
            <w:r>
              <w:rPr>
                <w:rFonts w:hint="eastAsia" w:ascii="宋体" w:hAnsi="宋体"/>
                <w:sz w:val="24"/>
                <w:highlight w:val="none"/>
              </w:rPr>
              <w:t xml:space="preserve">9分</w:t>
            </w:r>
            <w:r/>
          </w:p>
        </w:tc>
        <w:tc>
          <w:tcPr>
            <w:tcW w:w="6175" w:type="dxa"/>
            <w:vAlign w:val="center"/>
            <w:textDirection w:val="lrTb"/>
            <w:noWrap/>
          </w:tcPr>
          <w:p>
            <w:pPr>
              <w:ind w:firstLine="468"/>
              <w:spacing w:line="500" w:lineRule="exact"/>
              <w:rPr>
                <w:rFonts w:ascii="宋体" w:hAnsi="宋体" w:eastAsia="宋体" w:cs="宋体"/>
                <w:spacing w:val="-3"/>
                <w:sz w:val="24"/>
                <w:highlight w:val="none"/>
              </w:rPr>
            </w:pPr>
            <w:r>
              <w:rPr>
                <w:rFonts w:hint="eastAsia" w:ascii="宋体" w:hAnsi="宋体" w:eastAsia="宋体" w:cs="宋体"/>
                <w:spacing w:val="-3"/>
                <w:sz w:val="24"/>
                <w:highlight w:val="none"/>
              </w:rPr>
              <w:t xml:space="preserve">投标人或产品的制造商：具有有效的质量管理体系认证、环境管理体系认证、职业健康安全管理体系认证证书，每提供1项得3分，满分9分</w:t>
            </w:r>
            <w:r>
              <w:rPr>
                <w:rFonts w:hint="eastAsia" w:ascii="宋体" w:hAnsi="宋体" w:eastAsia="宋体" w:cs="宋体"/>
                <w:spacing w:val="-3"/>
                <w:sz w:val="24"/>
                <w:highlight w:val="none"/>
                <w:lang w:eastAsia="zh-CN"/>
              </w:rPr>
              <w:t xml:space="preserve">。</w:t>
            </w:r>
            <w:r>
              <w:rPr>
                <w:rFonts w:hint="eastAsia" w:ascii="宋体" w:hAnsi="宋体" w:eastAsia="宋体" w:cs="宋体"/>
                <w:spacing w:val="-3"/>
                <w:sz w:val="24"/>
                <w:highlight w:val="none"/>
              </w:rPr>
              <w:t xml:space="preserve">未提供或不符合不得分。</w:t>
            </w:r>
            <w:r/>
          </w:p>
          <w:p>
            <w:pPr>
              <w:ind w:firstLine="470"/>
              <w:spacing w:line="500" w:lineRule="exact"/>
              <w:rPr>
                <w:highlight w:val="none"/>
              </w:rPr>
            </w:pPr>
            <w:r>
              <w:rPr>
                <w:rFonts w:hint="eastAsia" w:ascii="宋体" w:hAnsi="宋体" w:eastAsia="宋体" w:cs="宋体"/>
                <w:b/>
                <w:bCs/>
                <w:spacing w:val="-3"/>
                <w:sz w:val="24"/>
                <w:highlight w:val="none"/>
              </w:rPr>
              <w:t xml:space="preserve">评审依据:提供相应证书(有效期内)的扫描件及全国认证认可信息公共服务平台查询截图佐证，截图必须清晰可辩，投标人应当确保证书开标当天处于有效期内，否则不得分。</w:t>
            </w:r>
            <w:r/>
          </w:p>
        </w:tc>
      </w:tr>
      <w:tr>
        <w:trPr>
          <w:jc w:val="center"/>
        </w:trPr>
        <w:tc>
          <w:tcPr>
            <w:tcW w:w="657" w:type="dxa"/>
            <w:vAlign w:val="center"/>
            <w:textDirection w:val="lrTb"/>
            <w:noWrap/>
          </w:tcPr>
          <w:p>
            <w:pPr>
              <w:jc w:val="center"/>
              <w:spacing w:line="500" w:lineRule="exact"/>
              <w:rPr>
                <w:rFonts w:ascii="宋体" w:hAnsi="宋体"/>
                <w:sz w:val="24"/>
                <w:highlight w:val="none"/>
              </w:rPr>
            </w:pPr>
            <w:r>
              <w:rPr>
                <w:rFonts w:ascii="宋体" w:hAnsi="宋体"/>
                <w:sz w:val="24"/>
                <w:highlight w:val="none"/>
              </w:rPr>
              <w:t xml:space="preserve">3</w:t>
            </w:r>
            <w:r/>
          </w:p>
        </w:tc>
        <w:tc>
          <w:tcPr>
            <w:tcW w:w="929" w:type="dxa"/>
            <w:vAlign w:val="center"/>
            <w:textDirection w:val="lrTb"/>
            <w:noWrap/>
          </w:tcPr>
          <w:p>
            <w:pPr>
              <w:jc w:val="center"/>
              <w:spacing w:line="500" w:lineRule="exact"/>
              <w:rPr>
                <w:rFonts w:ascii="宋体" w:hAnsi="宋体"/>
                <w:sz w:val="24"/>
                <w:highlight w:val="none"/>
              </w:rPr>
            </w:pPr>
            <w:r>
              <w:rPr>
                <w:rFonts w:hint="eastAsia" w:ascii="宋体" w:hAnsi="宋体"/>
                <w:sz w:val="24"/>
                <w:highlight w:val="none"/>
              </w:rPr>
              <w:t xml:space="preserve">业绩</w:t>
            </w:r>
            <w:r/>
          </w:p>
        </w:tc>
        <w:tc>
          <w:tcPr>
            <w:tcW w:w="1045" w:type="dxa"/>
            <w:vAlign w:val="center"/>
            <w:textDirection w:val="lrTb"/>
            <w:noWrap/>
          </w:tcPr>
          <w:p>
            <w:pPr>
              <w:jc w:val="center"/>
              <w:spacing w:line="500" w:lineRule="exact"/>
              <w:rPr>
                <w:rFonts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分</w:t>
            </w:r>
            <w:r/>
          </w:p>
        </w:tc>
        <w:tc>
          <w:tcPr>
            <w:tcW w:w="6175" w:type="dxa"/>
            <w:vAlign w:val="center"/>
            <w:textDirection w:val="lrTb"/>
            <w:noWrap/>
          </w:tcPr>
          <w:p>
            <w:pPr>
              <w:ind w:firstLine="480"/>
              <w:spacing w:line="500" w:lineRule="exact"/>
              <w:rPr>
                <w:rFonts w:ascii="宋体" w:hAnsi="宋体"/>
                <w:sz w:val="24"/>
                <w:highlight w:val="none"/>
                <w:lang w:val="zh-CN"/>
              </w:rPr>
            </w:pPr>
            <w:r>
              <w:rPr>
                <w:rFonts w:hint="eastAsia" w:ascii="宋体" w:hAnsi="宋体"/>
                <w:sz w:val="24"/>
                <w:highlight w:val="none"/>
                <w:lang w:val="zh-CN"/>
              </w:rPr>
              <w:t xml:space="preserve">自202</w:t>
            </w:r>
            <w:r>
              <w:rPr>
                <w:rFonts w:hint="eastAsia" w:ascii="宋体" w:hAnsi="宋体"/>
                <w:sz w:val="24"/>
                <w:highlight w:val="none"/>
              </w:rPr>
              <w:t xml:space="preserve">1</w:t>
            </w:r>
            <w:r>
              <w:rPr>
                <w:rFonts w:hint="eastAsia" w:ascii="宋体" w:hAnsi="宋体"/>
                <w:sz w:val="24"/>
                <w:highlight w:val="none"/>
                <w:lang w:val="zh-CN"/>
              </w:rPr>
              <w:t xml:space="preserve">年1月1日（以合同签订时间为准）以来，投标人承担过</w:t>
            </w:r>
            <w:r>
              <w:rPr>
                <w:rFonts w:hint="eastAsia" w:ascii="宋体" w:hAnsi="宋体"/>
                <w:sz w:val="24"/>
                <w:highlight w:val="none"/>
              </w:rPr>
              <w:t xml:space="preserve">类似</w:t>
            </w:r>
            <w:r>
              <w:rPr>
                <w:rFonts w:hint="eastAsia" w:ascii="宋体" w:hAnsi="宋体"/>
                <w:sz w:val="24"/>
                <w:highlight w:val="none"/>
                <w:lang w:val="zh-CN"/>
              </w:rPr>
              <w:t xml:space="preserve">本项目（类似项目是指家具供货业绩）采购成功案例的,每有一个得</w:t>
            </w:r>
            <w:r>
              <w:rPr>
                <w:rFonts w:ascii="宋体" w:hAnsi="宋体"/>
                <w:sz w:val="24"/>
                <w:highlight w:val="none"/>
              </w:rPr>
              <w:t xml:space="preserve">2.5</w:t>
            </w:r>
            <w:r>
              <w:rPr>
                <w:rFonts w:hint="eastAsia" w:ascii="宋体" w:hAnsi="宋体"/>
                <w:sz w:val="24"/>
                <w:highlight w:val="none"/>
                <w:lang w:val="zh-CN"/>
              </w:rPr>
              <w:t xml:space="preserve">分，最高得</w:t>
            </w:r>
            <w:r>
              <w:rPr>
                <w:rFonts w:ascii="宋体" w:hAnsi="宋体"/>
                <w:sz w:val="24"/>
                <w:highlight w:val="none"/>
              </w:rPr>
              <w:t xml:space="preserve">10</w:t>
            </w:r>
            <w:r>
              <w:rPr>
                <w:rFonts w:hint="eastAsia" w:ascii="宋体" w:hAnsi="宋体"/>
                <w:sz w:val="24"/>
                <w:highlight w:val="none"/>
                <w:lang w:val="zh-CN"/>
              </w:rPr>
              <w:t xml:space="preserve">分。</w:t>
            </w:r>
            <w:r/>
          </w:p>
          <w:p>
            <w:pPr>
              <w:spacing w:line="500" w:lineRule="exact"/>
              <w:rPr>
                <w:rFonts w:ascii="宋体" w:hAnsi="宋体"/>
                <w:sz w:val="24"/>
                <w:highlight w:val="none"/>
              </w:rPr>
            </w:pPr>
            <w:r>
              <w:rPr>
                <w:rFonts w:hint="eastAsia" w:ascii="宋体" w:hAnsi="宋体"/>
                <w:sz w:val="24"/>
                <w:highlight w:val="none"/>
                <w:lang w:val="zh-CN"/>
              </w:rPr>
              <w:t xml:space="preserve">注：必须提供合同原件扫描件、采购人出具的对应批次货物验收合格证明。合同应体现合同签订时间，否则该项不得分。</w:t>
            </w:r>
            <w:r/>
          </w:p>
        </w:tc>
      </w:tr>
      <w:tr>
        <w:trPr>
          <w:jc w:val="center"/>
        </w:trPr>
        <w:tc>
          <w:tcPr>
            <w:tcW w:w="657" w:type="dxa"/>
            <w:vAlign w:val="center"/>
            <w:textDirection w:val="lrTb"/>
            <w:noWrap/>
          </w:tcPr>
          <w:p>
            <w:pPr>
              <w:jc w:val="center"/>
              <w:spacing w:line="500" w:lineRule="exact"/>
              <w:rPr>
                <w:rFonts w:ascii="宋体" w:hAnsi="宋体"/>
                <w:sz w:val="24"/>
                <w:highlight w:val="none"/>
              </w:rPr>
            </w:pPr>
            <w:r>
              <w:rPr>
                <w:rFonts w:hint="eastAsia" w:ascii="宋体" w:hAnsi="宋体"/>
                <w:sz w:val="24"/>
                <w:highlight w:val="none"/>
              </w:rPr>
              <w:t xml:space="preserve">4</w:t>
            </w:r>
            <w:r/>
          </w:p>
        </w:tc>
        <w:tc>
          <w:tcPr>
            <w:tcW w:w="929" w:type="dxa"/>
            <w:vAlign w:val="center"/>
            <w:textDirection w:val="lrTb"/>
            <w:noWrap/>
          </w:tcPr>
          <w:p>
            <w:pPr>
              <w:jc w:val="center"/>
              <w:spacing w:line="500" w:lineRule="exact"/>
              <w:rPr>
                <w:rFonts w:ascii="宋体" w:hAnsi="宋体"/>
                <w:sz w:val="24"/>
                <w:highlight w:val="none"/>
              </w:rPr>
            </w:pPr>
            <w:r>
              <w:rPr>
                <w:rFonts w:hint="eastAsia" w:ascii="宋体" w:hAnsi="宋体"/>
                <w:sz w:val="24"/>
                <w:highlight w:val="none"/>
              </w:rPr>
              <w:t xml:space="preserve">质保期承诺</w:t>
            </w:r>
            <w:r/>
          </w:p>
        </w:tc>
        <w:tc>
          <w:tcPr>
            <w:tcW w:w="1045" w:type="dxa"/>
            <w:vAlign w:val="center"/>
            <w:textDirection w:val="lrTb"/>
            <w:noWrap/>
          </w:tcPr>
          <w:p>
            <w:pPr>
              <w:jc w:val="center"/>
              <w:spacing w:line="500" w:lineRule="exact"/>
              <w:rPr>
                <w:rFonts w:ascii="宋体" w:hAnsi="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分</w:t>
            </w:r>
            <w:r/>
          </w:p>
        </w:tc>
        <w:tc>
          <w:tcPr>
            <w:tcW w:w="6175" w:type="dxa"/>
            <w:vAlign w:val="center"/>
            <w:textDirection w:val="lrTb"/>
            <w:noWrap/>
          </w:tcPr>
          <w:p>
            <w:pPr>
              <w:ind w:firstLine="480"/>
              <w:spacing w:line="500" w:lineRule="exact"/>
              <w:rPr>
                <w:rFonts w:ascii="宋体" w:hAnsi="宋体"/>
                <w:sz w:val="24"/>
                <w:highlight w:val="none"/>
                <w:lang w:val="zh-CN"/>
              </w:rPr>
            </w:pPr>
            <w:r>
              <w:rPr>
                <w:rFonts w:hint="eastAsia" w:ascii="宋体" w:hAnsi="宋体"/>
                <w:sz w:val="24"/>
                <w:highlight w:val="none"/>
                <w:lang w:val="zh-CN"/>
              </w:rPr>
              <w:t xml:space="preserve">投标人承诺质保期在招标文件基本要求（2年）基础上，每增加1年得1分，最多得3分。</w:t>
            </w:r>
            <w:r/>
          </w:p>
          <w:p>
            <w:pPr>
              <w:ind w:firstLine="480"/>
              <w:spacing w:line="500" w:lineRule="exact"/>
              <w:rPr>
                <w:rFonts w:ascii="宋体" w:hAnsi="宋体"/>
                <w:sz w:val="24"/>
                <w:highlight w:val="none"/>
                <w:lang w:val="zh-CN"/>
              </w:rPr>
            </w:pPr>
            <w:r>
              <w:rPr>
                <w:rFonts w:hint="eastAsia" w:ascii="宋体" w:hAnsi="宋体"/>
                <w:sz w:val="24"/>
                <w:highlight w:val="none"/>
                <w:lang w:val="zh-CN"/>
              </w:rPr>
              <w:t xml:space="preserve">投标时提供承诺函加盖投标人公章，承诺函格式自拟。</w:t>
            </w:r>
            <w:r/>
          </w:p>
        </w:tc>
      </w:tr>
      <w:tr>
        <w:trPr>
          <w:jc w:val="center"/>
          <w:trHeight w:val="3015"/>
        </w:trPr>
        <w:tc>
          <w:tcPr>
            <w:tcW w:w="657" w:type="dxa"/>
            <w:vAlign w:val="center"/>
            <w:vMerge w:val="restart"/>
            <w:textDirection w:val="lrTb"/>
            <w:noWrap/>
          </w:tcPr>
          <w:p>
            <w:pPr>
              <w:jc w:val="center"/>
              <w:spacing w:line="500" w:lineRule="exact"/>
              <w:rPr>
                <w:rFonts w:ascii="宋体" w:hAnsi="宋体" w:eastAsia="宋体"/>
                <w:sz w:val="24"/>
                <w:highlight w:val="none"/>
              </w:rPr>
            </w:pPr>
            <w:r>
              <w:rPr>
                <w:rFonts w:ascii="宋体" w:hAnsi="宋体" w:eastAsia="宋体"/>
                <w:sz w:val="24"/>
                <w:highlight w:val="none"/>
              </w:rPr>
              <w:t xml:space="preserve">5</w:t>
            </w:r>
            <w:r/>
          </w:p>
        </w:tc>
        <w:tc>
          <w:tcPr>
            <w:tcW w:w="929" w:type="dxa"/>
            <w:vAlign w:val="center"/>
            <w:vMerge w:val="restart"/>
            <w:textDirection w:val="lrTb"/>
            <w:noWrap/>
          </w:tcPr>
          <w:p>
            <w:pPr>
              <w:jc w:val="center"/>
              <w:spacing w:line="500" w:lineRule="exact"/>
              <w:rPr>
                <w:rFonts w:ascii="宋体" w:hAnsi="宋体"/>
                <w:sz w:val="24"/>
                <w:highlight w:val="none"/>
              </w:rPr>
            </w:pPr>
            <w:r>
              <w:rPr>
                <w:rFonts w:hint="eastAsia" w:ascii="宋体" w:hAnsi="宋体"/>
                <w:sz w:val="24"/>
                <w:highlight w:val="none"/>
              </w:rPr>
              <w:t xml:space="preserve">技术方案评审（</w:t>
            </w:r>
            <w:r>
              <w:rPr>
                <w:rFonts w:ascii="宋体" w:hAnsi="宋体"/>
                <w:sz w:val="24"/>
                <w:highlight w:val="none"/>
              </w:rPr>
              <w:t xml:space="preserve">40</w:t>
            </w:r>
            <w:r>
              <w:rPr>
                <w:rFonts w:hint="eastAsia" w:ascii="宋体" w:hAnsi="宋体"/>
                <w:sz w:val="24"/>
                <w:highlight w:val="none"/>
              </w:rPr>
              <w:t xml:space="preserve">分）</w:t>
            </w:r>
            <w:r/>
          </w:p>
        </w:tc>
        <w:tc>
          <w:tcPr>
            <w:gridSpan w:val="2"/>
            <w:tcW w:w="7220" w:type="dxa"/>
            <w:vAlign w:val="center"/>
            <w:textDirection w:val="lrTb"/>
            <w:noWrap/>
          </w:tcPr>
          <w:p>
            <w:pPr>
              <w:pStyle w:val="956"/>
              <w:ind w:firstLine="482"/>
              <w:spacing w:line="500" w:lineRule="exact"/>
              <w:widowControl/>
              <w:rPr>
                <w:b/>
                <w:bCs/>
                <w:highlight w:val="none"/>
              </w:rPr>
            </w:pPr>
            <w:r>
              <w:rPr>
                <w:rFonts w:hint="eastAsia"/>
                <w:b/>
                <w:bCs/>
                <w:highlight w:val="none"/>
              </w:rPr>
              <w:t xml:space="preserve">1、项目实施计划（</w:t>
            </w:r>
            <w:r>
              <w:rPr>
                <w:b/>
                <w:bCs/>
                <w:highlight w:val="none"/>
              </w:rPr>
              <w:t xml:space="preserve">10</w:t>
            </w:r>
            <w:r>
              <w:rPr>
                <w:rFonts w:hint="eastAsia"/>
                <w:b/>
                <w:bCs/>
                <w:highlight w:val="none"/>
              </w:rPr>
              <w:t xml:space="preserve">分）</w:t>
            </w:r>
            <w:r/>
          </w:p>
          <w:p>
            <w:pPr>
              <w:pStyle w:val="956"/>
              <w:ind w:firstLine="480"/>
              <w:spacing w:line="500" w:lineRule="exact"/>
              <w:widowControl/>
              <w:rPr>
                <w:highlight w:val="none"/>
              </w:rPr>
            </w:pPr>
            <w:r>
              <w:rPr>
                <w:rFonts w:hint="eastAsia"/>
                <w:highlight w:val="none"/>
              </w:rPr>
              <w:t xml:space="preserve">供应商根据本项目第四章“（一）项目实施计划”要求提供实施计划，</w:t>
            </w:r>
            <w:r>
              <w:rPr>
                <w:rFonts w:hint="eastAsia"/>
                <w:highlight w:val="none"/>
                <w:lang w:val="en-US" w:eastAsia="zh-CN"/>
              </w:rPr>
              <w:t xml:space="preserve">内容</w:t>
            </w:r>
            <w:r>
              <w:rPr>
                <w:rFonts w:hint="eastAsia"/>
                <w:highlight w:val="none"/>
              </w:rPr>
              <w:t xml:space="preserve">至少包含</w:t>
            </w:r>
            <w:r>
              <w:rPr>
                <w:rFonts w:hint="eastAsia"/>
                <w:highlight w:val="none"/>
                <w:lang w:eastAsia="zh-CN"/>
              </w:rPr>
              <w:t xml:space="preserve">：</w:t>
            </w:r>
            <w:r>
              <w:rPr>
                <w:rFonts w:hint="eastAsia"/>
                <w:highlight w:val="none"/>
              </w:rPr>
              <w:t xml:space="preserve">①项目进度安排；②生产制造计划；③运输配送方案；④现场安装计划。方案优于项目需求的得</w:t>
            </w:r>
            <w:r>
              <w:rPr>
                <w:highlight w:val="none"/>
              </w:rPr>
              <w:t xml:space="preserve">10</w:t>
            </w:r>
            <w:r>
              <w:rPr>
                <w:rFonts w:hint="eastAsia"/>
                <w:highlight w:val="none"/>
              </w:rPr>
              <w:t xml:space="preserve">分；满足项目需求的得</w:t>
            </w:r>
            <w:r>
              <w:rPr>
                <w:highlight w:val="none"/>
              </w:rPr>
              <w:t xml:space="preserve">9</w:t>
            </w:r>
            <w:r>
              <w:rPr>
                <w:rFonts w:hint="eastAsia"/>
                <w:highlight w:val="none"/>
              </w:rPr>
              <w:t xml:space="preserve">分；不满足或无此项内容的本项不得分。</w:t>
            </w:r>
            <w:r/>
          </w:p>
          <w:p>
            <w:pPr>
              <w:pStyle w:val="956"/>
              <w:spacing w:line="500" w:lineRule="exact"/>
              <w:widowControl/>
              <w:rPr>
                <w:highlight w:val="none"/>
              </w:rPr>
            </w:pPr>
            <w:r>
              <w:rPr>
                <w:rFonts w:hint="eastAsia"/>
                <w:highlight w:val="none"/>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1049"/>
        </w:trPr>
        <w:tc>
          <w:tcPr>
            <w:tcW w:w="657" w:type="dxa"/>
            <w:vAlign w:val="center"/>
            <w:vMerge w:val="continue"/>
            <w:textDirection w:val="lrTb"/>
            <w:noWrap/>
          </w:tcPr>
          <w:p>
            <w:pPr>
              <w:jc w:val="center"/>
              <w:spacing w:line="500" w:lineRule="exact"/>
              <w:rPr>
                <w:rFonts w:ascii="宋体" w:hAnsi="宋体"/>
                <w:sz w:val="24"/>
                <w:highlight w:val="none"/>
              </w:rPr>
            </w:pPr>
            <w:r>
              <w:rPr>
                <w:rFonts w:ascii="宋体" w:hAnsi="宋体"/>
                <w:sz w:val="24"/>
                <w:highlight w:val="none"/>
              </w:rPr>
            </w:r>
            <w:r/>
          </w:p>
        </w:tc>
        <w:tc>
          <w:tcPr>
            <w:tcW w:w="929" w:type="dxa"/>
            <w:vAlign w:val="center"/>
            <w:vMerge w:val="continue"/>
            <w:textDirection w:val="lrTb"/>
            <w:noWrap/>
          </w:tcPr>
          <w:p>
            <w:pPr>
              <w:jc w:val="center"/>
              <w:spacing w:line="500" w:lineRule="exact"/>
              <w:rPr>
                <w:rFonts w:ascii="宋体" w:hAnsi="宋体"/>
                <w:sz w:val="24"/>
                <w:highlight w:val="none"/>
              </w:rPr>
            </w:pPr>
            <w:r>
              <w:rPr>
                <w:rFonts w:ascii="宋体" w:hAnsi="宋体"/>
                <w:sz w:val="24"/>
                <w:highlight w:val="none"/>
              </w:rPr>
            </w:r>
            <w:r/>
          </w:p>
        </w:tc>
        <w:tc>
          <w:tcPr>
            <w:gridSpan w:val="2"/>
            <w:tcW w:w="7220" w:type="dxa"/>
            <w:vAlign w:val="center"/>
            <w:textDirection w:val="lrTb"/>
            <w:noWrap/>
          </w:tcPr>
          <w:p>
            <w:pPr>
              <w:pStyle w:val="956"/>
              <w:ind w:firstLine="482"/>
              <w:spacing w:line="500" w:lineRule="exact"/>
              <w:widowControl/>
              <w:rPr>
                <w:b/>
                <w:bCs/>
                <w:highlight w:val="none"/>
              </w:rPr>
            </w:pPr>
            <w:r>
              <w:rPr>
                <w:rFonts w:hint="eastAsia"/>
                <w:b/>
                <w:bCs/>
                <w:highlight w:val="none"/>
              </w:rPr>
              <w:t xml:space="preserve">2、应对方案（</w:t>
            </w:r>
            <w:r>
              <w:rPr>
                <w:b/>
                <w:bCs/>
                <w:highlight w:val="none"/>
              </w:rPr>
              <w:t xml:space="preserve">10</w:t>
            </w:r>
            <w:r>
              <w:rPr>
                <w:rFonts w:hint="eastAsia"/>
                <w:b/>
                <w:bCs/>
                <w:highlight w:val="none"/>
              </w:rPr>
              <w:t xml:space="preserve">分）</w:t>
            </w:r>
            <w:r/>
          </w:p>
          <w:p>
            <w:pPr>
              <w:pStyle w:val="956"/>
              <w:ind w:firstLine="480"/>
              <w:spacing w:line="500" w:lineRule="exact"/>
              <w:widowControl/>
              <w:rPr>
                <w:highlight w:val="none"/>
              </w:rPr>
            </w:pPr>
            <w:r>
              <w:rPr>
                <w:rFonts w:hint="eastAsia"/>
                <w:highlight w:val="none"/>
              </w:rPr>
              <w:t xml:space="preserve">供应商根据本项目第四章“（二）应对方案”要求提供应对方案，内容至少包含：①生产风险应对方案；②交期延误应对方案；③质量波动应对方案。方案优于项目需求的得</w:t>
            </w:r>
            <w:r>
              <w:rPr>
                <w:highlight w:val="none"/>
              </w:rPr>
              <w:t xml:space="preserve">10</w:t>
            </w:r>
            <w:r>
              <w:rPr>
                <w:rFonts w:hint="eastAsia"/>
                <w:highlight w:val="none"/>
              </w:rPr>
              <w:t xml:space="preserve">分；满足项目需求的得</w:t>
            </w:r>
            <w:r>
              <w:rPr>
                <w:highlight w:val="none"/>
              </w:rPr>
              <w:t xml:space="preserve">9</w:t>
            </w:r>
            <w:r>
              <w:rPr>
                <w:rFonts w:hint="eastAsia"/>
                <w:highlight w:val="none"/>
              </w:rPr>
              <w:t xml:space="preserve">分；不满足或无此项内容的本项不得分。</w:t>
            </w:r>
            <w:r/>
          </w:p>
          <w:p>
            <w:pPr>
              <w:pStyle w:val="956"/>
              <w:spacing w:line="500" w:lineRule="exact"/>
              <w:widowControl/>
              <w:rPr>
                <w:highlight w:val="none"/>
              </w:rPr>
            </w:pPr>
            <w:r>
              <w:rPr>
                <w:rFonts w:hint="eastAsia"/>
                <w:highlight w:val="none"/>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657" w:type="dxa"/>
            <w:vAlign w:val="center"/>
            <w:vMerge w:val="continue"/>
            <w:textDirection w:val="lrTb"/>
            <w:noWrap/>
          </w:tcPr>
          <w:p>
            <w:pPr>
              <w:jc w:val="center"/>
              <w:spacing w:line="500" w:lineRule="exact"/>
              <w:rPr>
                <w:rFonts w:ascii="宋体" w:hAnsi="宋体"/>
                <w:sz w:val="24"/>
                <w:highlight w:val="none"/>
              </w:rPr>
            </w:pPr>
            <w:r>
              <w:rPr>
                <w:rFonts w:ascii="宋体" w:hAnsi="宋体"/>
                <w:sz w:val="24"/>
                <w:highlight w:val="none"/>
              </w:rPr>
            </w:r>
            <w:r/>
          </w:p>
        </w:tc>
        <w:tc>
          <w:tcPr>
            <w:tcW w:w="929" w:type="dxa"/>
            <w:vAlign w:val="center"/>
            <w:vMerge w:val="continue"/>
            <w:textDirection w:val="lrTb"/>
            <w:noWrap/>
          </w:tcPr>
          <w:p>
            <w:pPr>
              <w:jc w:val="center"/>
              <w:spacing w:line="500" w:lineRule="exact"/>
              <w:rPr>
                <w:rFonts w:ascii="宋体" w:hAnsi="宋体"/>
                <w:sz w:val="24"/>
                <w:highlight w:val="none"/>
              </w:rPr>
            </w:pPr>
            <w:r>
              <w:rPr>
                <w:rFonts w:ascii="宋体" w:hAnsi="宋体"/>
                <w:sz w:val="24"/>
                <w:highlight w:val="none"/>
              </w:rPr>
            </w:r>
            <w:r/>
          </w:p>
        </w:tc>
        <w:tc>
          <w:tcPr>
            <w:gridSpan w:val="2"/>
            <w:tcW w:w="7220" w:type="dxa"/>
            <w:vAlign w:val="center"/>
            <w:textDirection w:val="lrTb"/>
            <w:noWrap/>
          </w:tcPr>
          <w:p>
            <w:pPr>
              <w:pStyle w:val="956"/>
              <w:ind w:firstLine="482"/>
              <w:spacing w:line="500" w:lineRule="exact"/>
              <w:widowControl/>
              <w:rPr>
                <w:b/>
                <w:bCs/>
                <w:highlight w:val="none"/>
              </w:rPr>
            </w:pPr>
            <w:r>
              <w:rPr>
                <w:rFonts w:hint="eastAsia"/>
                <w:b/>
                <w:bCs/>
                <w:highlight w:val="none"/>
              </w:rPr>
              <w:t xml:space="preserve">3、售后服务方案（</w:t>
            </w:r>
            <w:r>
              <w:rPr>
                <w:b/>
                <w:bCs/>
                <w:highlight w:val="none"/>
              </w:rPr>
              <w:t xml:space="preserve">10</w:t>
            </w:r>
            <w:r>
              <w:rPr>
                <w:rFonts w:hint="eastAsia"/>
                <w:b/>
                <w:bCs/>
                <w:highlight w:val="none"/>
              </w:rPr>
              <w:t xml:space="preserve">分）</w:t>
            </w:r>
            <w:r/>
          </w:p>
          <w:p>
            <w:pPr>
              <w:pStyle w:val="956"/>
              <w:ind w:firstLine="480"/>
              <w:spacing w:line="500" w:lineRule="exact"/>
              <w:widowControl/>
              <w:rPr>
                <w:highlight w:val="none"/>
              </w:rPr>
            </w:pPr>
            <w:r>
              <w:rPr>
                <w:rFonts w:hint="eastAsia"/>
                <w:highlight w:val="none"/>
              </w:rPr>
              <w:t xml:space="preserve">供应商根据本项目第四章“（三）售后服务方案”要求提供售后服务方案，内容至少包含：①质保期服务；②一般服务响应时间；③定期维护；④配件供应。方案优于项目需求的得</w:t>
            </w:r>
            <w:r>
              <w:rPr>
                <w:highlight w:val="none"/>
              </w:rPr>
              <w:t xml:space="preserve">10</w:t>
            </w:r>
            <w:r>
              <w:rPr>
                <w:rFonts w:hint="eastAsia"/>
                <w:highlight w:val="none"/>
              </w:rPr>
              <w:t xml:space="preserve">分；满足项目需求的得</w:t>
            </w:r>
            <w:r>
              <w:rPr>
                <w:highlight w:val="none"/>
              </w:rPr>
              <w:t xml:space="preserve">9</w:t>
            </w:r>
            <w:r>
              <w:rPr>
                <w:rFonts w:hint="eastAsia"/>
                <w:highlight w:val="none"/>
              </w:rPr>
              <w:t xml:space="preserve">分；不满足或无此项内容的本项不得分。</w:t>
            </w:r>
            <w:r/>
          </w:p>
          <w:p>
            <w:pPr>
              <w:pStyle w:val="956"/>
              <w:spacing w:line="500" w:lineRule="exact"/>
              <w:widowControl/>
              <w:rPr>
                <w:highlight w:val="none"/>
              </w:rPr>
            </w:pPr>
            <w:r>
              <w:rPr>
                <w:rFonts w:hint="eastAsia"/>
                <w:highlight w:val="none"/>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657" w:type="dxa"/>
            <w:vAlign w:val="center"/>
            <w:vMerge w:val="continue"/>
            <w:textDirection w:val="lrTb"/>
            <w:noWrap/>
          </w:tcPr>
          <w:p>
            <w:pPr>
              <w:jc w:val="center"/>
              <w:spacing w:line="500" w:lineRule="exact"/>
              <w:rPr>
                <w:rFonts w:ascii="宋体" w:hAnsi="宋体"/>
                <w:sz w:val="24"/>
                <w:highlight w:val="none"/>
              </w:rPr>
            </w:pPr>
            <w:r>
              <w:rPr>
                <w:rFonts w:ascii="宋体" w:hAnsi="宋体"/>
                <w:sz w:val="24"/>
                <w:highlight w:val="none"/>
              </w:rPr>
            </w:r>
            <w:r/>
          </w:p>
        </w:tc>
        <w:tc>
          <w:tcPr>
            <w:tcW w:w="929" w:type="dxa"/>
            <w:vAlign w:val="center"/>
            <w:vMerge w:val="continue"/>
            <w:textDirection w:val="lrTb"/>
            <w:noWrap/>
          </w:tcPr>
          <w:p>
            <w:pPr>
              <w:jc w:val="center"/>
              <w:spacing w:line="500" w:lineRule="exact"/>
              <w:rPr>
                <w:rFonts w:ascii="宋体" w:hAnsi="宋体"/>
                <w:sz w:val="24"/>
                <w:highlight w:val="none"/>
              </w:rPr>
            </w:pPr>
            <w:r>
              <w:rPr>
                <w:rFonts w:ascii="宋体" w:hAnsi="宋体"/>
                <w:sz w:val="24"/>
                <w:highlight w:val="none"/>
              </w:rPr>
            </w:r>
            <w:r/>
          </w:p>
        </w:tc>
        <w:tc>
          <w:tcPr>
            <w:gridSpan w:val="2"/>
            <w:tcW w:w="7220" w:type="dxa"/>
            <w:vAlign w:val="center"/>
            <w:textDirection w:val="lrTb"/>
            <w:noWrap/>
          </w:tcPr>
          <w:p>
            <w:pPr>
              <w:pStyle w:val="956"/>
              <w:ind w:firstLine="482"/>
              <w:spacing w:line="500" w:lineRule="exact"/>
              <w:widowControl/>
              <w:rPr>
                <w:b/>
                <w:bCs/>
                <w:highlight w:val="none"/>
              </w:rPr>
            </w:pPr>
            <w:r>
              <w:rPr>
                <w:rFonts w:hint="eastAsia"/>
                <w:b/>
                <w:bCs/>
                <w:highlight w:val="none"/>
              </w:rPr>
              <w:t xml:space="preserve">4、产品质量保证及安全保障措施（</w:t>
            </w:r>
            <w:r>
              <w:rPr>
                <w:b/>
                <w:bCs/>
                <w:highlight w:val="none"/>
              </w:rPr>
              <w:t xml:space="preserve">5</w:t>
            </w:r>
            <w:r>
              <w:rPr>
                <w:rFonts w:hint="eastAsia"/>
                <w:b/>
                <w:bCs/>
                <w:highlight w:val="none"/>
              </w:rPr>
              <w:t xml:space="preserve">分）</w:t>
            </w:r>
            <w:r/>
          </w:p>
          <w:p>
            <w:pPr>
              <w:pStyle w:val="956"/>
              <w:ind w:firstLine="480"/>
              <w:spacing w:line="500" w:lineRule="exact"/>
              <w:widowControl/>
              <w:rPr>
                <w:highlight w:val="none"/>
              </w:rPr>
            </w:pPr>
            <w:r>
              <w:rPr>
                <w:rFonts w:hint="eastAsia"/>
                <w:highlight w:val="none"/>
              </w:rPr>
              <w:t xml:space="preserve">供应商根据本项目第四章“（四）产品质量保证及安全保障措施”要求提供产品质量保证及安全保障措施方案，内容至少包含：①工艺要求；②生产安全；③安装安全。方案优于项目需求的得</w:t>
            </w:r>
            <w:r>
              <w:rPr>
                <w:highlight w:val="none"/>
              </w:rPr>
              <w:t xml:space="preserve">5</w:t>
            </w:r>
            <w:r>
              <w:rPr>
                <w:rFonts w:hint="eastAsia"/>
                <w:highlight w:val="none"/>
              </w:rPr>
              <w:t xml:space="preserve">分；满足项目需求的得</w:t>
            </w:r>
            <w:r>
              <w:rPr>
                <w:highlight w:val="none"/>
              </w:rPr>
              <w:t xml:space="preserve">4</w:t>
            </w:r>
            <w:r>
              <w:rPr>
                <w:rFonts w:hint="eastAsia"/>
                <w:highlight w:val="none"/>
              </w:rPr>
              <w:t xml:space="preserve">分；不满足或无此项内容的本项不得分。</w:t>
            </w:r>
            <w:r/>
          </w:p>
          <w:p>
            <w:pPr>
              <w:pStyle w:val="956"/>
              <w:spacing w:line="500" w:lineRule="exact"/>
              <w:widowControl/>
              <w:rPr>
                <w:highlight w:val="none"/>
              </w:rPr>
            </w:pPr>
            <w:r>
              <w:rPr>
                <w:rFonts w:hint="eastAsia"/>
                <w:highlight w:val="none"/>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657" w:type="dxa"/>
            <w:vAlign w:val="center"/>
            <w:vMerge w:val="continue"/>
            <w:textDirection w:val="lrTb"/>
            <w:noWrap/>
          </w:tcPr>
          <w:p>
            <w:pPr>
              <w:jc w:val="center"/>
              <w:spacing w:line="500" w:lineRule="exact"/>
              <w:rPr>
                <w:rFonts w:ascii="宋体" w:hAnsi="宋体"/>
                <w:sz w:val="24"/>
                <w:highlight w:val="none"/>
              </w:rPr>
            </w:pPr>
            <w:r>
              <w:rPr>
                <w:rFonts w:ascii="宋体" w:hAnsi="宋体"/>
                <w:sz w:val="24"/>
                <w:highlight w:val="none"/>
              </w:rPr>
            </w:r>
            <w:r/>
          </w:p>
        </w:tc>
        <w:tc>
          <w:tcPr>
            <w:tcW w:w="929" w:type="dxa"/>
            <w:vAlign w:val="center"/>
            <w:vMerge w:val="continue"/>
            <w:textDirection w:val="lrTb"/>
            <w:noWrap/>
          </w:tcPr>
          <w:p>
            <w:pPr>
              <w:jc w:val="center"/>
              <w:spacing w:line="500" w:lineRule="exact"/>
              <w:rPr>
                <w:rFonts w:ascii="宋体" w:hAnsi="宋体"/>
                <w:sz w:val="24"/>
                <w:highlight w:val="none"/>
              </w:rPr>
            </w:pPr>
            <w:r>
              <w:rPr>
                <w:rFonts w:ascii="宋体" w:hAnsi="宋体"/>
                <w:sz w:val="24"/>
                <w:highlight w:val="none"/>
              </w:rPr>
            </w:r>
            <w:r/>
          </w:p>
        </w:tc>
        <w:tc>
          <w:tcPr>
            <w:gridSpan w:val="2"/>
            <w:tcW w:w="7220" w:type="dxa"/>
            <w:vAlign w:val="center"/>
            <w:textDirection w:val="lrTb"/>
            <w:noWrap/>
          </w:tcPr>
          <w:p>
            <w:pPr>
              <w:pStyle w:val="956"/>
              <w:ind w:firstLine="482"/>
              <w:spacing w:line="500" w:lineRule="exact"/>
              <w:widowControl/>
              <w:rPr>
                <w:b/>
                <w:bCs/>
                <w:highlight w:val="none"/>
              </w:rPr>
            </w:pPr>
            <w:r>
              <w:rPr>
                <w:rFonts w:hint="eastAsia"/>
                <w:b/>
                <w:bCs/>
                <w:highlight w:val="none"/>
              </w:rPr>
              <w:t xml:space="preserve">5、应急服务方案（5分）</w:t>
            </w:r>
            <w:r/>
          </w:p>
          <w:p>
            <w:pPr>
              <w:pStyle w:val="956"/>
              <w:ind w:firstLine="480"/>
              <w:spacing w:line="500" w:lineRule="exact"/>
              <w:widowControl/>
              <w:rPr>
                <w:highlight w:val="none"/>
              </w:rPr>
            </w:pPr>
            <w:r>
              <w:rPr>
                <w:rFonts w:hint="eastAsia"/>
                <w:highlight w:val="none"/>
              </w:rPr>
              <w:t xml:space="preserve">供应商根据本项目第四章“（五）应急服务方案”要求提供应急服务方案，内容至少包含：①应急响应机制；②应急配件储备；③应急维修队伍；④重大事故处理。方案优于项目需求的得5分；满足项目需求的得4分；不满足或无此项内容的本项不得分。</w:t>
            </w:r>
            <w:r/>
          </w:p>
          <w:p>
            <w:pPr>
              <w:pStyle w:val="956"/>
              <w:spacing w:line="500" w:lineRule="exact"/>
              <w:widowControl/>
              <w:rPr>
                <w:highlight w:val="none"/>
              </w:rPr>
            </w:pPr>
            <w:r>
              <w:rPr>
                <w:rFonts w:hint="eastAsia"/>
                <w:highlight w:val="none"/>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657" w:type="dxa"/>
            <w:vAlign w:val="center"/>
            <w:textDirection w:val="lrTb"/>
            <w:noWrap/>
          </w:tcPr>
          <w:p>
            <w:pPr>
              <w:jc w:val="center"/>
              <w:spacing w:line="500" w:lineRule="exact"/>
              <w:rPr>
                <w:rFonts w:ascii="宋体" w:hAnsi="宋体"/>
                <w:sz w:val="24"/>
                <w:highlight w:val="none"/>
              </w:rPr>
            </w:pPr>
            <w:r>
              <w:rPr>
                <w:rFonts w:ascii="宋体" w:hAnsi="宋体"/>
                <w:sz w:val="24"/>
                <w:highlight w:val="none"/>
              </w:rPr>
              <w:t xml:space="preserve">6</w:t>
            </w:r>
            <w:r/>
          </w:p>
        </w:tc>
        <w:tc>
          <w:tcPr>
            <w:tcW w:w="929" w:type="dxa"/>
            <w:vAlign w:val="center"/>
            <w:textDirection w:val="lrTb"/>
            <w:noWrap/>
          </w:tcPr>
          <w:p>
            <w:pPr>
              <w:jc w:val="center"/>
              <w:spacing w:line="500" w:lineRule="exact"/>
              <w:rPr>
                <w:rFonts w:ascii="宋体" w:hAnsi="宋体"/>
                <w:sz w:val="24"/>
                <w:highlight w:val="none"/>
              </w:rPr>
            </w:pPr>
            <w:r>
              <w:rPr>
                <w:rFonts w:hint="eastAsia" w:ascii="宋体" w:hAnsi="宋体"/>
                <w:sz w:val="24"/>
                <w:highlight w:val="none"/>
              </w:rPr>
              <w:t xml:space="preserve">产品品质</w:t>
            </w:r>
            <w:r/>
          </w:p>
        </w:tc>
        <w:tc>
          <w:tcPr>
            <w:tcW w:w="1045" w:type="dxa"/>
            <w:vAlign w:val="center"/>
            <w:textDirection w:val="lrTb"/>
            <w:noWrap/>
          </w:tcPr>
          <w:p>
            <w:pPr>
              <w:pStyle w:val="956"/>
              <w:jc w:val="center"/>
              <w:spacing w:line="500" w:lineRule="exact"/>
              <w:widowControl/>
              <w:rPr>
                <w:bCs/>
                <w:highlight w:val="none"/>
              </w:rPr>
            </w:pPr>
            <w:r>
              <w:rPr>
                <w:bCs/>
                <w:highlight w:val="none"/>
              </w:rPr>
              <w:t xml:space="preserve">5</w:t>
            </w:r>
            <w:r>
              <w:rPr>
                <w:rFonts w:hint="eastAsia"/>
                <w:bCs/>
                <w:highlight w:val="none"/>
              </w:rPr>
              <w:t xml:space="preserve">分</w:t>
            </w:r>
            <w:r/>
          </w:p>
        </w:tc>
        <w:tc>
          <w:tcPr>
            <w:tcW w:w="6175" w:type="dxa"/>
            <w:vAlign w:val="center"/>
            <w:textDirection w:val="lrTb"/>
            <w:noWrap w:val="false"/>
          </w:tcPr>
          <w:p>
            <w:pPr>
              <w:pStyle w:val="956"/>
              <w:spacing w:line="500" w:lineRule="exact"/>
              <w:widowControl/>
              <w:rPr>
                <w:rFonts w:ascii="SimSun" w:hAnsi="SimSun" w:eastAsia="SimSun" w:cs="SimSun"/>
                <w:b/>
                <w:bCs/>
                <w:color w:val="000000"/>
                <w:spacing w:val="-3"/>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hint="eastAsia"/>
                <w:highlight w:val="none"/>
              </w:rPr>
              <w:t xml:space="preserve">  1.投标课桌通过以下检测：课桌至少符合QB/T 4071-2021、GB/T 3325-2024、</w:t>
            </w:r>
            <w:r>
              <w:rPr>
                <w:rFonts w:hint="eastAsia"/>
                <w:highlight w:val="none"/>
              </w:rPr>
              <w:t xml:space="preserve">GB/T</w:t>
            </w:r>
            <w:r>
              <w:rPr>
                <w:rFonts w:hint="eastAsia"/>
                <w:highlight w:val="none"/>
              </w:rPr>
              <w:t xml:space="preserve"> 18584-2024，检测内容至少包含①表面耐磨性无露底现象，抗冲击≥3级，耐光色牢度≥4级，桌面耐污染无明显痕迹，表面胶合强度≥0.40MPa；力学性能：课桌：桌面垂直静载荷、桌面垂直冲击、桌腿跌落、桌面水平静载荷，课桌无断裂或豁裂现象；用手揿压各部件无永久性松动；零部件无严重影响使用功能的磨损或变形；五金连接件无松动；活动部件的开关灵。②金属喷漆(塑)涂层冲击高度400mm,应无剥落、裂纹、皱纹；附着力0级，耐盐浴（划道两侧3mm外,应无鼓泡,锈蚀、剥落和起皱等现象）；塑料件中有害物质限量：邻苯二甲</w:t>
            </w:r>
            <w:r>
              <w:rPr>
                <w:rFonts w:hint="eastAsia"/>
                <w:highlight w:val="none"/>
              </w:rPr>
              <w:t xml:space="preserve">酸酯≤0.1%；③产品整体挥发性有害物质:甲醛释放量≤0.02mg/m</w:t>
            </w:r>
            <w:r>
              <w:rPr>
                <w:rFonts w:hint="eastAsia"/>
                <w:highlight w:val="none"/>
              </w:rPr>
              <w:t xml:space="preserve">3</w:t>
            </w:r>
            <w:r>
              <w:rPr>
                <w:rFonts w:hint="eastAsia"/>
                <w:highlight w:val="none"/>
              </w:rPr>
              <w:t xml:space="preserve">；苯≤0.06mg/m</w:t>
            </w:r>
            <w:r>
              <w:rPr>
                <w:rFonts w:hint="eastAsia"/>
                <w:highlight w:val="none"/>
              </w:rPr>
              <w:t xml:space="preserve">3</w:t>
            </w:r>
            <w:r>
              <w:rPr>
                <w:rFonts w:hint="eastAsia"/>
                <w:highlight w:val="none"/>
              </w:rPr>
              <w:t xml:space="preserve">；甲苯≤0.15mg/m</w:t>
            </w:r>
            <w:r>
              <w:rPr>
                <w:rFonts w:hint="eastAsia"/>
                <w:highlight w:val="none"/>
              </w:rPr>
              <w:t xml:space="preserve">3</w:t>
            </w:r>
            <w:r>
              <w:rPr>
                <w:rFonts w:hint="eastAsia"/>
                <w:highlight w:val="none"/>
              </w:rPr>
              <w:t xml:space="preserve">；二甲苯&lt;0.20mg/m</w:t>
            </w:r>
            <w:r>
              <w:rPr>
                <w:rFonts w:hint="eastAsia"/>
                <w:highlight w:val="none"/>
              </w:rPr>
              <w:t xml:space="preserve">3</w:t>
            </w:r>
            <w:r>
              <w:rPr>
                <w:rFonts w:hint="eastAsia"/>
                <w:highlight w:val="none"/>
              </w:rPr>
              <w:t xml:space="preserve">；总挥发性有机化合物(TVOC)释放量≤0.50mg/m</w:t>
            </w:r>
            <w:r>
              <w:rPr>
                <w:rFonts w:hint="eastAsia"/>
                <w:highlight w:val="none"/>
              </w:rPr>
              <w:t xml:space="preserve">3</w:t>
            </w:r>
            <w:r>
              <w:rPr>
                <w:rFonts w:ascii="SimSun" w:hAnsi="SimSun" w:eastAsia="SimSun" w:cs="SimSun"/>
                <w:color w:val="000000"/>
                <w:sz w:val="24"/>
              </w:rPr>
              <w:t xml:space="preserve">；</w:t>
            </w:r>
            <w:r>
              <w:rPr>
                <w:rFonts w:ascii="SimSun" w:hAnsi="SimSun" w:eastAsia="SimSun" w:cs="SimSun"/>
                <w:b/>
                <w:color w:val="000000"/>
                <w:spacing w:val="-3"/>
                <w:sz w:val="24"/>
              </w:rPr>
              <w:t xml:space="preserve">承诺全部满足得</w:t>
            </w:r>
            <w:r>
              <w:rPr>
                <w:rFonts w:ascii="SimSun" w:hAnsi="SimSun" w:eastAsia="SimSun" w:cs="SimSun"/>
                <w:b/>
                <w:color w:val="000000"/>
                <w:spacing w:val="-37"/>
                <w:sz w:val="24"/>
              </w:rPr>
              <w:t xml:space="preserve">3</w:t>
            </w:r>
            <w:r>
              <w:rPr>
                <w:rFonts w:ascii="SimSun" w:hAnsi="SimSun" w:eastAsia="SimSun" w:cs="SimSun"/>
                <w:b/>
                <w:color w:val="000000"/>
                <w:spacing w:val="-3"/>
                <w:sz w:val="24"/>
              </w:rPr>
              <w:t xml:space="preserve">分，未提供或不符合不得分。</w:t>
            </w:r>
            <w:r>
              <w:rPr>
                <w:sz w:val="24"/>
              </w:rPr>
            </w:r>
            <w:r/>
          </w:p>
          <w:p>
            <w:pPr>
              <w:pStyle w:val="956"/>
              <w:spacing w:line="500" w:lineRule="exact"/>
              <w:widowControl/>
              <w:rPr>
                <w:rFonts w:ascii="SimSun" w:hAnsi="SimSun" w:eastAsia="SimSun" w:cs="SimSun"/>
                <w:b/>
                <w:bCs/>
                <w:color w:val="000000"/>
                <w:spacing w:val="-3"/>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     </w:t>
            </w:r>
            <w:r>
              <w:rPr>
                <w:rFonts w:ascii="SimSun" w:hAnsi="SimSun" w:eastAsia="SimSun" w:cs="SimSun"/>
                <w:color w:val="000000"/>
                <w:spacing w:val="-3"/>
                <w:sz w:val="24"/>
              </w:rPr>
              <w:t xml:space="preserve">2.</w:t>
            </w:r>
            <w:r>
              <w:rPr>
                <w:rFonts w:ascii="SimSun" w:hAnsi="SimSun" w:eastAsia="SimSun" w:cs="SimSun"/>
                <w:color w:val="000000"/>
                <w:sz w:val="24"/>
              </w:rPr>
              <w:t xml:space="preserve">投标</w:t>
            </w:r>
            <w:r>
              <w:rPr>
                <w:rFonts w:ascii="SimSun" w:hAnsi="SimSun" w:eastAsia="SimSun" w:cs="SimSun"/>
                <w:color w:val="000000"/>
                <w:spacing w:val="-1"/>
                <w:sz w:val="24"/>
              </w:rPr>
              <w:t xml:space="preserve">课椅通过以下检测，检测依据</w:t>
            </w:r>
            <w:r>
              <w:rPr>
                <w:rFonts w:ascii="SimSun" w:hAnsi="SimSun" w:eastAsia="SimSun" w:cs="SimSun"/>
                <w:color w:val="000000"/>
                <w:spacing w:val="-36"/>
                <w:sz w:val="24"/>
              </w:rPr>
              <w:t xml:space="preserve"> </w:t>
            </w:r>
            <w:r>
              <w:rPr>
                <w:rFonts w:ascii="SimSun" w:hAnsi="SimSun" w:eastAsia="SimSun" w:cs="SimSun"/>
                <w:color w:val="000000"/>
                <w:spacing w:val="-1"/>
                <w:sz w:val="24"/>
              </w:rPr>
              <w:t xml:space="preserve">GB/T</w:t>
            </w:r>
            <w:r>
              <w:rPr>
                <w:rFonts w:ascii="SimSun" w:hAnsi="SimSun" w:eastAsia="SimSun" w:cs="SimSun"/>
                <w:color w:val="000000"/>
                <w:sz w:val="24"/>
              </w:rPr>
              <w:t xml:space="preserve"> 18584-2024</w:t>
            </w:r>
            <w:r>
              <w:rPr>
                <w:rFonts w:ascii="SimSun" w:hAnsi="SimSun" w:eastAsia="SimSun" w:cs="SimSun"/>
                <w:color w:val="000000"/>
                <w:spacing w:val="-43"/>
                <w:sz w:val="24"/>
              </w:rPr>
              <w:t xml:space="preserve"> </w:t>
            </w:r>
            <w:r>
              <w:rPr>
                <w:rFonts w:ascii="SimSun" w:hAnsi="SimSun" w:eastAsia="SimSun" w:cs="SimSun"/>
                <w:color w:val="000000"/>
                <w:spacing w:val="-1"/>
                <w:sz w:val="24"/>
              </w:rPr>
              <w:t xml:space="preserve">标</w:t>
            </w:r>
            <w:r>
              <w:rPr>
                <w:rFonts w:ascii="SimSun" w:hAnsi="SimSun" w:eastAsia="SimSun" w:cs="SimSun"/>
                <w:color w:val="000000"/>
                <w:spacing w:val="-13"/>
                <w:sz w:val="24"/>
              </w:rPr>
              <w:t xml:space="preserve">准要求：</w:t>
            </w:r>
            <w:r>
              <w:rPr>
                <w:rFonts w:ascii="SimSun" w:hAnsi="SimSun" w:eastAsia="SimSun" w:cs="SimSun"/>
                <w:color w:val="000000"/>
                <w:sz w:val="24"/>
              </w:rPr>
              <w:t xml:space="preserve">产品整体挥发性有害物质:甲醛释放量≤0.02mg/m</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；苯≤0.06mg/m</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;甲苯≤0.15mg/m</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；二甲苯&lt;0.20mg/m</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；总挥发性有机化合物(TVOC)释放量≤0.50mg/m</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w:t>
            </w:r>
            <w:r>
              <w:rPr>
                <w:rFonts w:ascii="SimSun" w:hAnsi="SimSun" w:eastAsia="SimSun" w:cs="SimSun"/>
                <w:b/>
                <w:color w:val="000000"/>
                <w:spacing w:val="-3"/>
                <w:sz w:val="24"/>
              </w:rPr>
              <w:t xml:space="preserve">承诺全部满足得</w:t>
            </w:r>
            <w:r>
              <w:rPr>
                <w:rFonts w:ascii="SimSun" w:hAnsi="SimSun" w:eastAsia="SimSun" w:cs="SimSun"/>
                <w:b/>
                <w:color w:val="000000"/>
                <w:spacing w:val="-37"/>
                <w:sz w:val="24"/>
              </w:rPr>
              <w:t xml:space="preserve">2</w:t>
            </w:r>
            <w:r>
              <w:rPr>
                <w:rFonts w:ascii="SimSun" w:hAnsi="SimSun" w:eastAsia="SimSun" w:cs="SimSun"/>
                <w:b/>
                <w:color w:val="000000"/>
                <w:spacing w:val="-3"/>
                <w:sz w:val="24"/>
              </w:rPr>
              <w:t xml:space="preserve">分，未提供或不符合不得分。</w:t>
            </w:r>
            <w:r>
              <w:rPr>
                <w:sz w:val="24"/>
                <w:szCs w:val="24"/>
              </w:rPr>
            </w:r>
            <w:r/>
          </w:p>
          <w:p>
            <w:pPr>
              <w:pStyle w:val="956"/>
              <w:spacing w:line="500" w:lineRule="exact"/>
              <w:widowControl/>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r>
            <w:r>
              <w:rPr>
                <w:rFonts w:ascii="SimSun" w:hAnsi="SimSun" w:eastAsia="SimSun" w:cs="SimSun"/>
                <w:b/>
                <w:color w:val="000000"/>
                <w:spacing w:val="-2"/>
                <w:sz w:val="24"/>
                <w:szCs w:val="32"/>
              </w:rPr>
              <w:t xml:space="preserve">评审依据：根据投标人提供的承诺函（承诺函格式自制，内容必须包含以上检测内容），否则不得分。</w:t>
            </w:r>
            <w:r>
              <w:rPr>
                <w:sz w:val="24"/>
                <w:szCs w:val="24"/>
              </w:rPr>
            </w:r>
            <w:r/>
          </w:p>
        </w:tc>
      </w:tr>
      <w:tr>
        <w:trPr>
          <w:jc w:val="center"/>
        </w:trPr>
        <w:tc>
          <w:tcPr>
            <w:tcW w:w="657" w:type="dxa"/>
            <w:vAlign w:val="center"/>
            <w:textDirection w:val="lrTb"/>
            <w:noWrap/>
          </w:tcPr>
          <w:p>
            <w:pPr>
              <w:jc w:val="center"/>
              <w:spacing w:line="500" w:lineRule="exact"/>
              <w:rPr>
                <w:rFonts w:ascii="宋体" w:hAnsi="宋体"/>
                <w:sz w:val="24"/>
                <w:highlight w:val="none"/>
              </w:rPr>
            </w:pPr>
            <w:r>
              <w:rPr>
                <w:rFonts w:ascii="宋体" w:hAnsi="宋体"/>
                <w:sz w:val="24"/>
                <w:highlight w:val="none"/>
              </w:rPr>
              <w:t xml:space="preserve">7</w:t>
            </w:r>
            <w:r/>
          </w:p>
        </w:tc>
        <w:tc>
          <w:tcPr>
            <w:tcW w:w="929" w:type="dxa"/>
            <w:vAlign w:val="center"/>
            <w:textDirection w:val="lrTb"/>
            <w:noWrap/>
          </w:tcPr>
          <w:p>
            <w:pPr>
              <w:jc w:val="center"/>
              <w:spacing w:line="500" w:lineRule="exact"/>
              <w:rPr>
                <w:rFonts w:ascii="宋体" w:hAnsi="宋体"/>
                <w:sz w:val="24"/>
                <w:highlight w:val="none"/>
              </w:rPr>
            </w:pPr>
            <w:r>
              <w:rPr>
                <w:rFonts w:hint="eastAsia" w:ascii="宋体" w:hAnsi="宋体"/>
                <w:sz w:val="24"/>
                <w:highlight w:val="none"/>
              </w:rPr>
              <w:t xml:space="preserve">环保</w:t>
            </w:r>
            <w:r/>
          </w:p>
        </w:tc>
        <w:tc>
          <w:tcPr>
            <w:tcW w:w="1045" w:type="dxa"/>
            <w:vAlign w:val="center"/>
            <w:textDirection w:val="lrTb"/>
            <w:noWrap/>
          </w:tcPr>
          <w:p>
            <w:pPr>
              <w:jc w:val="center"/>
              <w:spacing w:line="5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分</w:t>
            </w:r>
            <w:r/>
          </w:p>
        </w:tc>
        <w:tc>
          <w:tcPr>
            <w:tcW w:w="6175" w:type="dxa"/>
            <w:vAlign w:val="center"/>
            <w:textDirection w:val="lrTb"/>
            <w:noWrap/>
          </w:tcPr>
          <w:p>
            <w:pPr>
              <w:ind w:firstLine="480"/>
              <w:jc w:val="left"/>
              <w:spacing w:line="500" w:lineRule="exact"/>
              <w:rPr>
                <w:rFonts w:ascii="宋体" w:hAnsi="宋体"/>
                <w:sz w:val="24"/>
                <w:highlight w:val="none"/>
              </w:rPr>
            </w:pPr>
            <w:r>
              <w:rPr>
                <w:rFonts w:hint="eastAsia" w:ascii="宋体" w:hAnsi="宋体"/>
                <w:sz w:val="24"/>
                <w:highlight w:val="none"/>
              </w:rPr>
              <w:t xml:space="preserve">投标产品属于财政部、生态环境部公布的“环境标志产品品目清单”范围内的，投标人提供国家确定的认证机构出具的、处于有效期内的该环保产品认证证书的，有1个得</w:t>
            </w:r>
            <w:r>
              <w:rPr>
                <w:rFonts w:ascii="宋体" w:hAnsi="宋体"/>
                <w:sz w:val="24"/>
                <w:highlight w:val="none"/>
              </w:rPr>
              <w:t xml:space="preserve">1</w:t>
            </w:r>
            <w:r>
              <w:rPr>
                <w:rFonts w:hint="eastAsia" w:ascii="宋体" w:hAnsi="宋体"/>
                <w:sz w:val="24"/>
                <w:highlight w:val="none"/>
              </w:rPr>
              <w:t xml:space="preserve">分，最多得</w:t>
            </w:r>
            <w:r>
              <w:rPr>
                <w:rFonts w:ascii="宋体" w:hAnsi="宋体"/>
                <w:sz w:val="24"/>
                <w:highlight w:val="none"/>
              </w:rPr>
              <w:t xml:space="preserve">3</w:t>
            </w:r>
            <w:r>
              <w:rPr>
                <w:rFonts w:hint="eastAsia" w:ascii="宋体" w:hAnsi="宋体"/>
                <w:sz w:val="24"/>
                <w:highlight w:val="none"/>
              </w:rPr>
              <w:t xml:space="preserve">分。</w:t>
            </w:r>
            <w:r/>
          </w:p>
        </w:tc>
      </w:tr>
    </w:tbl>
    <w:p>
      <w:pPr>
        <w:rPr>
          <w:rFonts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752"/>
        <w:ind w:firstLine="220"/>
        <w:jc w:val="center"/>
        <w:keepNext/>
        <w:spacing w:beforeAutospacing="0" w:afterAutospacing="0"/>
        <w:rPr>
          <w:rFonts w:ascii="黑体" w:hAnsi="宋体" w:eastAsia="黑体" w:cs="黑体"/>
          <w:sz w:val="44"/>
          <w:szCs w:val="44"/>
          <w:highlight w:val="none"/>
        </w:rPr>
      </w:pPr>
      <w:r>
        <w:rPr>
          <w:rFonts w:ascii="黑体" w:hAnsi="宋体" w:eastAsia="黑体" w:cs="黑体"/>
          <w:sz w:val="44"/>
          <w:szCs w:val="44"/>
          <w:highlight w:val="none"/>
        </w:rPr>
      </w:r>
      <w:r/>
    </w:p>
    <w:p>
      <w:pPr>
        <w:jc w:val="center"/>
        <w:widowControl/>
        <w:rPr>
          <w:rFonts w:ascii="方正小标宋_GBK" w:eastAsia="方正小标宋_GBK" w:cs="宋体" w:hAnsiTheme="minorEastAsia"/>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44"/>
          <w:highlight w:val="none"/>
        </w:rPr>
        <w:t xml:space="preserve">第六章  投标文件格式 </w:t>
      </w:r>
      <w:r>
        <w:rPr>
          <w:rFonts w:hint="eastAsia" w:ascii="方正小标宋_GBK" w:eastAsia="方正小标宋_GBK" w:cs="宋体" w:hAnsiTheme="minorEastAsia"/>
          <w:sz w:val="44"/>
          <w:szCs w:val="44"/>
          <w:highlight w:val="none"/>
        </w:rPr>
        <w:t xml:space="preserve"> </w:t>
      </w:r>
      <w:r/>
    </w:p>
    <w:p>
      <w:pPr>
        <w:ind w:firstLine="1446"/>
        <w:widowControl/>
        <w:rPr>
          <w:rFonts w:cs="Times New Roman" w:asciiTheme="minorEastAsia" w:hAnsiTheme="minorEastAsia"/>
          <w:b/>
          <w:sz w:val="72"/>
          <w:szCs w:val="72"/>
          <w:highlight w:val="none"/>
        </w:rPr>
      </w:pPr>
      <w:r>
        <w:rPr>
          <w:rFonts w:cs="Times New Roman" w:asciiTheme="minorEastAsia" w:hAnsiTheme="minorEastAsia"/>
          <w:b/>
          <w:sz w:val="72"/>
          <w:szCs w:val="72"/>
          <w:highlight w:val="none"/>
        </w:rPr>
      </w:r>
      <w:r/>
    </w:p>
    <w:p>
      <w:pPr>
        <w:ind w:firstLine="1446"/>
        <w:widowControl/>
        <w:rPr>
          <w:rFonts w:cs="Times New Roman" w:asciiTheme="minorEastAsia" w:hAnsiTheme="minorEastAsia"/>
          <w:b/>
          <w:sz w:val="72"/>
          <w:szCs w:val="72"/>
          <w:highlight w:val="none"/>
        </w:rPr>
      </w:pPr>
      <w:r>
        <w:rPr>
          <w:rFonts w:cs="Times New Roman" w:asciiTheme="minorEastAsia" w:hAnsiTheme="minorEastAsia"/>
          <w:b/>
          <w:sz w:val="72"/>
          <w:szCs w:val="72"/>
          <w:highlight w:val="none"/>
        </w:rPr>
      </w:r>
      <w:r/>
    </w:p>
    <w:p>
      <w:pPr>
        <w:jc w:val="center"/>
        <w:widowControl/>
        <w:rPr>
          <w:rFonts w:ascii="方正小标宋_GBK" w:eastAsia="方正小标宋_GBK" w:cs="Times New Roman" w:hAnsiTheme="minorEastAsia"/>
          <w:bCs/>
          <w:sz w:val="84"/>
          <w:szCs w:val="84"/>
          <w:highlight w:val="none"/>
        </w:rPr>
      </w:pPr>
      <w:r>
        <w:rPr>
          <w:rFonts w:hint="eastAsia" w:ascii="方正小标宋_GBK" w:eastAsia="方正小标宋_GBK" w:cs="Times New Roman" w:hAnsiTheme="minorEastAsia"/>
          <w:bCs/>
          <w:sz w:val="84"/>
          <w:szCs w:val="84"/>
          <w:highlight w:val="none"/>
        </w:rPr>
        <w:t xml:space="preserve">投 标 文 件</w:t>
      </w:r>
      <w:r/>
    </w:p>
    <w:p>
      <w:pPr>
        <w:ind w:firstLine="480"/>
        <w:widowControl/>
        <w:rPr>
          <w:rFonts w:cs="Times New Roman" w:asciiTheme="minorEastAsia" w:hAnsiTheme="minorEastAsia"/>
          <w:sz w:val="24"/>
          <w:highlight w:val="none"/>
        </w:rPr>
      </w:pPr>
      <w:r>
        <w:rPr>
          <w:rFonts w:cs="Times New Roman" w:asciiTheme="minorEastAsia" w:hAnsiTheme="minorEastAsia"/>
          <w:sz w:val="24"/>
          <w:highlight w:val="none"/>
        </w:rPr>
      </w:r>
      <w:r/>
    </w:p>
    <w:p>
      <w:pPr>
        <w:ind w:firstLine="480"/>
        <w:widowControl/>
        <w:rPr>
          <w:rFonts w:cs="Times New Roman" w:asciiTheme="minorEastAsia" w:hAnsiTheme="minorEastAsia"/>
          <w:sz w:val="24"/>
          <w:highlight w:val="none"/>
        </w:rPr>
      </w:pPr>
      <w:r>
        <w:rPr>
          <w:rFonts w:cs="Times New Roman" w:asciiTheme="minorEastAsia" w:hAnsiTheme="minorEastAsia"/>
          <w:sz w:val="24"/>
          <w:highlight w:val="none"/>
        </w:rPr>
      </w:r>
      <w:r/>
    </w:p>
    <w:p>
      <w:pPr>
        <w:ind w:firstLine="480"/>
        <w:widowControl/>
        <w:rPr>
          <w:rFonts w:cs="Times New Roman" w:asciiTheme="minorEastAsia" w:hAnsiTheme="minorEastAsia"/>
          <w:sz w:val="24"/>
          <w:highlight w:val="none"/>
        </w:rPr>
      </w:pPr>
      <w:r>
        <w:rPr>
          <w:rFonts w:cs="Times New Roman" w:asciiTheme="minorEastAsia" w:hAnsiTheme="minorEastAsia"/>
          <w:sz w:val="24"/>
          <w:highlight w:val="none"/>
        </w:rPr>
      </w:r>
      <w:r/>
    </w:p>
    <w:p>
      <w:pPr>
        <w:ind w:firstLine="480"/>
        <w:widowControl/>
        <w:rPr>
          <w:rFonts w:cs="Times New Roman" w:asciiTheme="minorEastAsia" w:hAnsiTheme="minorEastAsia"/>
          <w:sz w:val="24"/>
          <w:highlight w:val="none"/>
        </w:rPr>
      </w:pPr>
      <w:r>
        <w:rPr>
          <w:rFonts w:cs="Times New Roman" w:asciiTheme="minorEastAsia" w:hAnsiTheme="minorEastAsia"/>
          <w:sz w:val="24"/>
          <w:highlight w:val="none"/>
        </w:rPr>
      </w:r>
      <w:r/>
    </w:p>
    <w:p>
      <w:pPr>
        <w:ind w:firstLine="480"/>
        <w:widowControl/>
        <w:rPr>
          <w:rFonts w:cs="Times New Roman" w:asciiTheme="minorEastAsia" w:hAnsiTheme="minorEastAsia"/>
          <w:sz w:val="24"/>
          <w:highlight w:val="none"/>
        </w:rPr>
      </w:pPr>
      <w:r>
        <w:rPr>
          <w:rFonts w:cs="Times New Roman" w:asciiTheme="minorEastAsia" w:hAnsiTheme="minorEastAsia"/>
          <w:sz w:val="24"/>
          <w:highlight w:val="none"/>
        </w:rPr>
      </w:r>
      <w:r/>
    </w:p>
    <w:p>
      <w:pPr>
        <w:ind w:firstLine="1134"/>
        <w:spacing w:line="360" w:lineRule="auto"/>
        <w:widowControl/>
        <w:rPr>
          <w:rFonts w:asciiTheme="minorEastAsia" w:hAnsiTheme="minorEastAsia" w:cstheme="minorEastAsia"/>
          <w:b/>
          <w:spacing w:val="46"/>
          <w:sz w:val="24"/>
          <w:highlight w:val="none"/>
          <w:u w:val="single"/>
        </w:rPr>
      </w:pPr>
      <w:r>
        <w:rPr>
          <w:rFonts w:hint="eastAsia" w:asciiTheme="minorEastAsia" w:hAnsiTheme="minorEastAsia" w:cstheme="minorEastAsia"/>
          <w:b/>
          <w:spacing w:val="46"/>
          <w:sz w:val="36"/>
          <w:szCs w:val="36"/>
          <w:highlight w:val="none"/>
        </w:rPr>
        <w:t xml:space="preserve">项目名称：</w:t>
      </w:r>
      <w:r>
        <w:rPr>
          <w:rFonts w:hint="eastAsia" w:asciiTheme="minorEastAsia" w:hAnsiTheme="minorEastAsia" w:cstheme="minorEastAsia"/>
          <w:b/>
          <w:spacing w:val="46"/>
          <w:sz w:val="36"/>
          <w:szCs w:val="36"/>
          <w:highlight w:val="none"/>
          <w:u w:val="single"/>
        </w:rPr>
        <w:t xml:space="preserve">                 </w:t>
      </w:r>
      <w:r/>
    </w:p>
    <w:p>
      <w:pPr>
        <w:ind w:firstLine="1134"/>
        <w:spacing w:line="360" w:lineRule="auto"/>
        <w:widowControl/>
        <w:rPr>
          <w:rFonts w:asciiTheme="minorEastAsia" w:hAnsiTheme="minorEastAsia" w:cstheme="minorEastAsia"/>
          <w:b/>
          <w:spacing w:val="46"/>
          <w:sz w:val="24"/>
          <w:highlight w:val="none"/>
          <w:u w:val="single"/>
        </w:rPr>
      </w:pPr>
      <w:r>
        <w:rPr>
          <w:rFonts w:hint="eastAsia" w:asciiTheme="minorEastAsia" w:hAnsiTheme="minorEastAsia" w:cstheme="minorEastAsia"/>
          <w:b/>
          <w:spacing w:val="46"/>
          <w:sz w:val="36"/>
          <w:szCs w:val="36"/>
          <w:highlight w:val="none"/>
        </w:rPr>
        <w:t xml:space="preserve">项目编号：</w:t>
      </w:r>
      <w:r>
        <w:rPr>
          <w:rFonts w:hint="eastAsia" w:asciiTheme="minorEastAsia" w:hAnsiTheme="minorEastAsia" w:cstheme="minorEastAsia"/>
          <w:b/>
          <w:spacing w:val="46"/>
          <w:sz w:val="36"/>
          <w:szCs w:val="36"/>
          <w:highlight w:val="none"/>
          <w:u w:val="single"/>
        </w:rPr>
        <w:t xml:space="preserve">                 </w:t>
      </w:r>
      <w:r/>
    </w:p>
    <w:p>
      <w:pPr>
        <w:ind w:firstLine="1134"/>
        <w:spacing w:line="360" w:lineRule="auto"/>
        <w:widowControl/>
        <w:rPr>
          <w:rFonts w:asciiTheme="minorEastAsia" w:hAnsiTheme="minorEastAsia" w:cstheme="minorEastAsia"/>
          <w:b/>
          <w:sz w:val="24"/>
          <w:highlight w:val="none"/>
        </w:rPr>
        <w:outlineLvl w:val="1"/>
      </w:pPr>
      <w:r>
        <w:rPr>
          <w:rFonts w:hint="eastAsia" w:asciiTheme="minorEastAsia" w:hAnsiTheme="minorEastAsia" w:cstheme="minorEastAsia"/>
          <w:b/>
          <w:sz w:val="36"/>
          <w:szCs w:val="36"/>
          <w:highlight w:val="none"/>
        </w:rPr>
        <w:t xml:space="preserve">投标人名称：</w:t>
      </w:r>
      <w:r>
        <w:rPr>
          <w:rFonts w:hint="eastAsia" w:asciiTheme="minorEastAsia" w:hAnsiTheme="minorEastAsia" w:cstheme="minorEastAsia"/>
          <w:b/>
          <w:sz w:val="36"/>
          <w:szCs w:val="36"/>
          <w:highlight w:val="none"/>
          <w:u w:val="single"/>
        </w:rPr>
        <w:t xml:space="preserve"> （加盖CA电子公章）  </w:t>
      </w:r>
      <w:r/>
    </w:p>
    <w:p>
      <w:pPr>
        <w:ind w:firstLine="1134"/>
        <w:spacing w:line="360" w:lineRule="auto"/>
        <w:widowControl/>
        <w:rPr>
          <w:rFonts w:ascii="黑体" w:hAnsi="黑体" w:cs="Times New Roman"/>
          <w:bCs/>
          <w:sz w:val="24"/>
          <w:highlight w:val="none"/>
          <w:u w:val="single"/>
        </w:rPr>
      </w:pPr>
      <w:r>
        <w:rPr>
          <w:rFonts w:hint="eastAsia" w:asciiTheme="minorEastAsia" w:hAnsiTheme="minorEastAsia" w:cstheme="minorEastAsia"/>
          <w:b/>
          <w:sz w:val="36"/>
          <w:szCs w:val="36"/>
          <w:highlight w:val="none"/>
        </w:rPr>
        <w:t xml:space="preserve">日      期：</w:t>
      </w:r>
      <w:r>
        <w:rPr>
          <w:rFonts w:hint="eastAsia" w:asciiTheme="minorEastAsia" w:hAnsiTheme="minorEastAsia" w:cstheme="minorEastAsia"/>
          <w:b/>
          <w:sz w:val="36"/>
          <w:szCs w:val="36"/>
          <w:highlight w:val="none"/>
          <w:u w:val="single"/>
        </w:rPr>
        <w:t xml:space="preserve">                     </w:t>
      </w:r>
      <w:r/>
    </w:p>
    <w:p>
      <w:pPr>
        <w:pStyle w:val="960"/>
        <w:jc w:val="both"/>
        <w:spacing w:before="0" w:after="0" w:line="240" w:lineRule="auto"/>
        <w:widowControl/>
        <w:rPr>
          <w:rFonts w:cs="Times New Roman" w:asciiTheme="minorEastAsia" w:hAnsiTheme="minorEastAsia" w:eastAsiaTheme="minorEastAsia"/>
          <w:highlight w:val="none"/>
        </w:rPr>
      </w:pPr>
      <w:r>
        <w:rPr>
          <w:rFonts w:cs="Times New Roman" w:asciiTheme="minorEastAsia" w:hAnsiTheme="minorEastAsia" w:eastAsiaTheme="minorEastAsia"/>
          <w:highlight w:val="none"/>
        </w:rPr>
      </w:r>
      <w:r/>
    </w:p>
    <w:p>
      <w:pPr>
        <w:pStyle w:val="960"/>
        <w:jc w:val="both"/>
        <w:spacing w:before="0" w:after="0" w:line="240" w:lineRule="auto"/>
        <w:widowControl/>
        <w:rPr>
          <w:rFonts w:cs="Times New Roman" w:asciiTheme="minorEastAsia" w:hAnsiTheme="minorEastAsia" w:eastAsiaTheme="minorEastAsia"/>
          <w:highlight w:val="none"/>
        </w:rPr>
      </w:pPr>
      <w:r>
        <w:rPr>
          <w:rFonts w:cs="Times New Roman" w:asciiTheme="minorEastAsia" w:hAnsiTheme="minorEastAsia" w:eastAsiaTheme="minorEastAsia"/>
          <w:highlight w:val="none"/>
        </w:rPr>
      </w:r>
      <w:r/>
    </w:p>
    <w:p>
      <w:pPr>
        <w:pStyle w:val="961"/>
        <w:ind w:firstLine="480"/>
        <w:jc w:val="both"/>
        <w:spacing w:before="0" w:beforeAutospacing="0" w:after="0" w:afterAutospacing="0" w:line="240" w:lineRule="auto"/>
        <w:rPr>
          <w:rFonts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r>
      <w:r/>
    </w:p>
    <w:p>
      <w:pPr>
        <w:pStyle w:val="961"/>
        <w:ind w:firstLine="480"/>
        <w:jc w:val="both"/>
        <w:spacing w:before="0" w:beforeAutospacing="0" w:after="0" w:afterAutospacing="0" w:line="240" w:lineRule="auto"/>
        <w:rPr>
          <w:rFonts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r>
      <w:r/>
    </w:p>
    <w:p>
      <w:pPr>
        <w:jc w:val="left"/>
        <w:widowControl/>
        <w:rPr>
          <w:rFonts w:cs="Times New Roman" w:asciiTheme="minorEastAsia" w:hAnsiTheme="minorEastAsia"/>
          <w:b/>
          <w:bCs/>
          <w:sz w:val="36"/>
          <w:szCs w:val="36"/>
          <w:highlight w:val="none"/>
        </w:rPr>
      </w:pPr>
      <w:r>
        <w:rPr>
          <w:rFonts w:cs="Times New Roman" w:asciiTheme="minorEastAsia" w:hAnsiTheme="minorEastAsia"/>
          <w:b/>
          <w:bCs/>
          <w:sz w:val="36"/>
          <w:szCs w:val="36"/>
          <w:highlight w:val="none"/>
        </w:rPr>
        <w:br w:type="page" w:clear="all"/>
      </w:r>
      <w:r/>
    </w:p>
    <w:p>
      <w:pPr>
        <w:jc w:val="center"/>
        <w:spacing w:before="120"/>
        <w:widowControl/>
        <w:rPr>
          <w:rFonts w:asciiTheme="minorEastAsia" w:hAnsiTheme="minorEastAsia" w:cstheme="minorEastAsia"/>
          <w:b/>
          <w:bCs/>
          <w:sz w:val="32"/>
          <w:szCs w:val="32"/>
          <w:highlight w:val="none"/>
        </w:rPr>
      </w:pPr>
      <w:r>
        <w:rPr>
          <w:rFonts w:hint="eastAsia" w:asciiTheme="minorEastAsia" w:hAnsiTheme="minorEastAsia" w:cstheme="minorEastAsia"/>
          <w:b/>
          <w:bCs/>
          <w:sz w:val="32"/>
          <w:szCs w:val="32"/>
          <w:highlight w:val="none"/>
        </w:rPr>
        <w:t xml:space="preserve">投标文件目录</w:t>
      </w:r>
      <w:r/>
    </w:p>
    <w:p>
      <w:pPr>
        <w:ind w:firstLine="561"/>
        <w:spacing w:line="560" w:lineRule="exact"/>
        <w:widowControl/>
        <w:rPr>
          <w:rFonts w:asciiTheme="minorEastAsia" w:hAnsiTheme="minorEastAsia" w:cstheme="minorEastAsia"/>
          <w:sz w:val="24"/>
          <w:highlight w:val="none"/>
        </w:rPr>
        <w:outlineLvl w:val="1"/>
      </w:pPr>
      <w:r>
        <w:rPr>
          <w:rFonts w:hint="eastAsia" w:asciiTheme="minorEastAsia" w:hAnsiTheme="minorEastAsia" w:cstheme="minorEastAsia"/>
          <w:sz w:val="24"/>
          <w:highlight w:val="none"/>
        </w:rPr>
        <w:t xml:space="preserve">一、法人或者其他组织的营业执照等证明文件，自然人的身份证明</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二、上一年度的财务状况报告（至少提供资产负债表、利润表、现金流量表，投标人成立不满一年无需提供）</w:t>
      </w:r>
      <w:r/>
    </w:p>
    <w:p>
      <w:pPr>
        <w:ind w:firstLine="561"/>
        <w:spacing w:line="560" w:lineRule="exact"/>
        <w:widowControl/>
        <w:rPr>
          <w:rFonts w:asciiTheme="minorEastAsia" w:hAnsiTheme="minorEastAsia" w:cstheme="minorEastAsia"/>
          <w:sz w:val="24"/>
          <w:highlight w:val="none"/>
        </w:rPr>
        <w:outlineLvl w:val="1"/>
      </w:pPr>
      <w:r>
        <w:rPr>
          <w:rFonts w:hint="eastAsia" w:asciiTheme="minorEastAsia" w:hAnsiTheme="minorEastAsia" w:cstheme="minorEastAsia"/>
          <w:sz w:val="24"/>
          <w:highlight w:val="none"/>
        </w:rPr>
        <w:t xml:space="preserve">三、具备履行合同所必需的设备和专业技术能力的书面声明</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五、参加政府采购活动前3年内在经营活动中没有重大违法记录的书面声明</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六、特定资格要求的证明文件（如果本项目设置特定资格要求，则需要提供）</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七、法人授权书</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八、投标函</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九、中小企业声明函</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十、残疾人福利性单位声明函</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十一、投标分项报价表</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十二、</w:t>
      </w:r>
      <w:bookmarkStart w:id="167" w:name="OLE_LINK23"/>
      <w:r/>
      <w:bookmarkStart w:id="168" w:name="OLE_LINK24"/>
      <w:r>
        <w:rPr>
          <w:rFonts w:hint="eastAsia" w:asciiTheme="minorEastAsia" w:hAnsiTheme="minorEastAsia" w:cstheme="minorEastAsia"/>
          <w:sz w:val="24"/>
          <w:highlight w:val="none"/>
        </w:rPr>
        <w:t xml:space="preserve">技术要求响应及偏离表</w:t>
      </w:r>
      <w:bookmarkEnd w:id="167"/>
      <w:r/>
      <w:bookmarkEnd w:id="168"/>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十三、</w:t>
      </w:r>
      <w:bookmarkStart w:id="169" w:name="OLE_LINK22"/>
      <w:r/>
      <w:bookmarkStart w:id="170" w:name="OLE_LINK21"/>
      <w:r>
        <w:rPr>
          <w:rFonts w:hint="eastAsia" w:asciiTheme="minorEastAsia" w:hAnsiTheme="minorEastAsia" w:cstheme="minorEastAsia"/>
          <w:sz w:val="24"/>
          <w:highlight w:val="none"/>
        </w:rPr>
        <w:t xml:space="preserve">商务要求响应及偏离表</w:t>
      </w:r>
      <w:bookmarkEnd w:id="169"/>
      <w:r/>
      <w:bookmarkEnd w:id="170"/>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十四、开标一览表</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十五、</w:t>
      </w:r>
      <w:r>
        <w:rPr>
          <w:rFonts w:hint="eastAsia" w:ascii="宋体" w:hAnsi="宋体" w:eastAsia="宋体" w:cs="宋体"/>
          <w:sz w:val="24"/>
          <w:highlight w:val="none"/>
        </w:rPr>
        <w:t xml:space="preserve">技术方案、服务承诺、培训承诺等</w:t>
      </w:r>
      <w:r/>
    </w:p>
    <w:p>
      <w:pPr>
        <w:ind w:firstLine="561"/>
        <w:spacing w:line="56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十六、盐城市政府采购事前信用承诺书</w:t>
      </w:r>
      <w:r/>
    </w:p>
    <w:p>
      <w:pPr>
        <w:pStyle w:val="752"/>
        <w:jc w:val="both"/>
        <w:spacing w:beforeAutospacing="0" w:afterAutospacing="0" w:line="0" w:lineRule="atLeast"/>
        <w:rPr>
          <w:highlight w:val="none"/>
        </w:rPr>
      </w:pPr>
      <w:r>
        <w:rPr>
          <w:highlight w:val="none"/>
        </w:rPr>
      </w:r>
      <w:r/>
    </w:p>
    <w:p>
      <w:pPr>
        <w:pStyle w:val="752"/>
        <w:jc w:val="both"/>
        <w:spacing w:beforeAutospacing="0" w:afterAutospacing="0" w:line="0" w:lineRule="atLeast"/>
        <w:rPr>
          <w:highlight w:val="none"/>
        </w:rPr>
      </w:pPr>
      <w:r>
        <w:rPr>
          <w:highlight w:val="none"/>
        </w:rPr>
      </w:r>
      <w:r/>
    </w:p>
    <w:p>
      <w:pPr>
        <w:pStyle w:val="752"/>
        <w:jc w:val="both"/>
        <w:spacing w:beforeAutospacing="0" w:afterAutospacing="0" w:line="0" w:lineRule="atLeast"/>
        <w:rPr>
          <w:highlight w:val="none"/>
        </w:rPr>
      </w:pPr>
      <w:r>
        <w:rPr>
          <w:highlight w:val="none"/>
        </w:rPr>
      </w:r>
      <w:r/>
    </w:p>
    <w:p>
      <w:pPr>
        <w:pStyle w:val="752"/>
        <w:jc w:val="both"/>
        <w:spacing w:beforeAutospacing="0" w:afterAutospacing="0" w:line="0" w:lineRule="atLeast"/>
        <w:rPr>
          <w:highlight w:val="none"/>
        </w:rPr>
      </w:pPr>
      <w:r>
        <w:rPr>
          <w:highlight w:val="none"/>
        </w:rPr>
      </w:r>
      <w:r/>
    </w:p>
    <w:p>
      <w:pPr>
        <w:pStyle w:val="752"/>
        <w:ind w:firstLine="120"/>
        <w:jc w:val="both"/>
        <w:spacing w:beforeAutospacing="0" w:afterAutospacing="0" w:line="0" w:lineRule="atLeast"/>
        <w:rPr>
          <w:highlight w:val="none"/>
        </w:rPr>
      </w:pPr>
      <w:r>
        <w:rPr>
          <w:highlight w:val="none"/>
        </w:rPr>
        <w:t xml:space="preserve"> </w:t>
      </w:r>
      <w:r/>
    </w:p>
    <w:p>
      <w:pPr>
        <w:pStyle w:val="961"/>
        <w:jc w:val="center"/>
        <w:spacing w:beforeAutospacing="0" w:afterAutospacing="0" w:line="4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61"/>
        <w:jc w:val="center"/>
        <w:spacing w:beforeAutospacing="0" w:afterAutospacing="0" w:line="4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一、法人或者其他组织的营业执照等证明文件，自然人的   身份证明</w:t>
      </w:r>
      <w:r/>
    </w:p>
    <w:p>
      <w:pPr>
        <w:jc w:val="center"/>
        <w:spacing w:before="120"/>
        <w:widowControl/>
        <w:rPr>
          <w:rFonts w:asciiTheme="minorEastAsia" w:hAnsiTheme="minorEastAsia" w:cstheme="minorEastAsia"/>
          <w:b/>
          <w:bCs/>
          <w:sz w:val="32"/>
          <w:szCs w:val="32"/>
          <w:highlight w:val="none"/>
        </w:rPr>
      </w:pPr>
      <w:r>
        <w:rPr>
          <w:rFonts w:hint="eastAsia" w:asciiTheme="minorEastAsia" w:hAnsiTheme="minorEastAsia" w:cstheme="minorEastAsia"/>
          <w:b/>
          <w:bCs/>
          <w:sz w:val="32"/>
          <w:szCs w:val="32"/>
          <w:highlight w:val="none"/>
        </w:rPr>
        <w:t xml:space="preserve"> </w:t>
      </w:r>
      <w:r/>
    </w:p>
    <w:p>
      <w:pPr>
        <w:jc w:val="left"/>
        <w:widowControl/>
        <w:rPr>
          <w:rFonts w:ascii="方正小标宋_GBK" w:hAnsi="宋体" w:eastAsia="方正小标宋_GBK" w:cs="黑体"/>
          <w:iCs/>
          <w:sz w:val="30"/>
          <w:szCs w:val="30"/>
          <w:highlight w:val="none"/>
        </w:rPr>
      </w:pPr>
      <w:r>
        <w:rPr>
          <w:rFonts w:ascii="方正小标宋_GBK" w:hAnsi="宋体" w:eastAsia="方正小标宋_GBK" w:cs="黑体"/>
          <w:iCs/>
          <w:sz w:val="30"/>
          <w:szCs w:val="30"/>
          <w:highlight w:val="none"/>
        </w:rPr>
        <w:br w:type="page" w:clear="all"/>
      </w:r>
      <w:r/>
    </w:p>
    <w:p>
      <w:pPr>
        <w:jc w:val="center"/>
        <w:spacing w:before="120" w:line="360" w:lineRule="auto"/>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二、上一年度的财务状况报告</w:t>
      </w:r>
      <w:r/>
    </w:p>
    <w:p>
      <w:pPr>
        <w:jc w:val="center"/>
        <w:spacing w:line="360" w:lineRule="auto"/>
        <w:tabs>
          <w:tab w:val="left" w:pos="1331" w:leader="none"/>
        </w:tabs>
        <w:rPr>
          <w:rFonts w:ascii="宋体" w:hAnsi="宋体" w:eastAsia="宋体" w:cs="宋体"/>
          <w:iCs/>
          <w:sz w:val="24"/>
          <w:highlight w:val="none"/>
        </w:rPr>
      </w:pPr>
      <w:r>
        <w:rPr>
          <w:rFonts w:hint="eastAsia" w:ascii="宋体" w:hAnsi="宋体" w:eastAsia="宋体" w:cs="宋体"/>
          <w:iCs/>
          <w:sz w:val="24"/>
          <w:highlight w:val="none"/>
        </w:rPr>
        <w:t xml:space="preserve">（至少提供资产负债表、利润表、现金流量表，投标人成立不满一年无需提供）</w:t>
      </w:r>
      <w:r/>
    </w:p>
    <w:p>
      <w:pPr>
        <w:pStyle w:val="752"/>
        <w:ind w:firstLine="492"/>
        <w:jc w:val="center"/>
        <w:spacing w:line="360" w:lineRule="auto"/>
        <w:widowControl/>
        <w:rPr>
          <w:rFonts w:ascii="宋体" w:hAnsi="宋体" w:eastAsia="宋体" w:cs="宋体"/>
          <w:highlight w:val="none"/>
        </w:rPr>
      </w:pPr>
      <w:r>
        <w:rPr>
          <w:rFonts w:ascii="宋体" w:hAnsi="宋体" w:eastAsia="宋体" w:cs="宋体"/>
          <w:highlight w:val="none"/>
        </w:rPr>
      </w:r>
      <w:r/>
    </w:p>
    <w:p>
      <w:pPr>
        <w:jc w:val="left"/>
        <w:widowControl/>
        <w:rPr>
          <w:rFonts w:ascii="方正小标宋_GBK" w:hAnsi="宋体" w:eastAsia="方正小标宋_GBK" w:cs="黑体"/>
          <w:iCs/>
          <w:sz w:val="30"/>
          <w:szCs w:val="30"/>
          <w:highlight w:val="none"/>
        </w:rPr>
      </w:pPr>
      <w:r>
        <w:rPr>
          <w:rFonts w:ascii="方正小标宋_GBK" w:hAnsi="宋体" w:eastAsia="方正小标宋_GBK" w:cs="黑体"/>
          <w:iCs/>
          <w:sz w:val="30"/>
          <w:szCs w:val="30"/>
          <w:highlight w:val="none"/>
        </w:rPr>
        <w:br w:type="page" w:clear="all"/>
      </w:r>
      <w:r/>
    </w:p>
    <w:p>
      <w:pPr>
        <w:jc w:val="center"/>
        <w:spacing w:before="120"/>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三、具备履行合同所必需的设备和专业技术能力的书面声明</w:t>
      </w:r>
      <w:r/>
    </w:p>
    <w:p>
      <w:pPr>
        <w:pStyle w:val="752"/>
        <w:ind w:firstLine="480"/>
        <w:jc w:val="both"/>
        <w:spacing w:line="560" w:lineRule="exact"/>
        <w:rPr>
          <w:rFonts w:asciiTheme="minorEastAsia" w:hAnsiTheme="minorEastAsia" w:cstheme="minorEastAsia"/>
          <w:highlight w:val="none"/>
        </w:rPr>
      </w:pPr>
      <w:r>
        <w:rPr>
          <w:rFonts w:hint="eastAsia" w:asciiTheme="minorEastAsia" w:hAnsiTheme="minorEastAsia" w:cstheme="minorEastAsia"/>
          <w:highlight w:val="none"/>
        </w:rPr>
        <w:t xml:space="preserve">我单位郑重声明：我单位具备履行本项采购合同所必需的设备和专业技术能力，为履行本项采购合同我公司具备如下主要设备和主要专业技术能力：</w:t>
      </w:r>
      <w:r/>
    </w:p>
    <w:p>
      <w:pPr>
        <w:pStyle w:val="752"/>
        <w:ind w:firstLine="480"/>
        <w:jc w:val="both"/>
        <w:rPr>
          <w:rFonts w:asciiTheme="minorEastAsia" w:hAnsiTheme="minorEastAsia" w:cstheme="minorEastAsia"/>
          <w:highlight w:val="none"/>
        </w:rPr>
      </w:pPr>
      <w:r>
        <w:rPr>
          <w:rFonts w:hint="eastAsia" w:asciiTheme="minorEastAsia" w:hAnsiTheme="minorEastAsia" w:cstheme="minorEastAsia"/>
          <w:highlight w:val="none"/>
        </w:rPr>
        <w:t xml:space="preserve">主要设备有：</w:t>
      </w:r>
      <w:r>
        <w:rPr>
          <w:rFonts w:hint="eastAsia" w:asciiTheme="minorEastAsia" w:hAnsiTheme="minorEastAsia" w:cstheme="minorEastAsia"/>
          <w:highlight w:val="none"/>
          <w:u w:val="single"/>
        </w:rPr>
        <w:t xml:space="preserve">              </w:t>
      </w:r>
      <w:r>
        <w:rPr>
          <w:rFonts w:hint="eastAsia" w:asciiTheme="minorEastAsia" w:hAnsiTheme="minorEastAsia" w:cstheme="minorEastAsia"/>
          <w:highlight w:val="none"/>
        </w:rPr>
        <w:t xml:space="preserve">。</w:t>
      </w:r>
      <w:r/>
    </w:p>
    <w:p>
      <w:pPr>
        <w:pStyle w:val="752"/>
        <w:ind w:firstLine="480"/>
        <w:jc w:val="both"/>
        <w:rPr>
          <w:rFonts w:asciiTheme="minorEastAsia" w:hAnsiTheme="minorEastAsia" w:cstheme="minorEastAsia"/>
          <w:highlight w:val="none"/>
        </w:rPr>
      </w:pPr>
      <w:r>
        <w:rPr>
          <w:rFonts w:hint="eastAsia" w:asciiTheme="minorEastAsia" w:hAnsiTheme="minorEastAsia" w:cstheme="minorEastAsia"/>
          <w:highlight w:val="none"/>
        </w:rPr>
        <w:t xml:space="preserve">主要专业技术能力有：</w:t>
      </w:r>
      <w:r>
        <w:rPr>
          <w:rFonts w:hint="eastAsia" w:asciiTheme="minorEastAsia" w:hAnsiTheme="minorEastAsia" w:cstheme="minorEastAsia"/>
          <w:highlight w:val="none"/>
          <w:u w:val="single"/>
        </w:rPr>
        <w:t xml:space="preserve">     </w:t>
      </w:r>
      <w:r>
        <w:rPr>
          <w:rFonts w:hint="eastAsia" w:asciiTheme="minorEastAsia" w:hAnsiTheme="minorEastAsia" w:cstheme="minorEastAsia"/>
          <w:highlight w:val="none"/>
        </w:rPr>
        <w:t xml:space="preserve">。</w:t>
      </w:r>
      <w:r/>
    </w:p>
    <w:p>
      <w:pPr>
        <w:pStyle w:val="752"/>
        <w:ind w:firstLine="492"/>
        <w:jc w:val="center"/>
        <w:widowControl/>
        <w:rPr>
          <w:rFonts w:ascii="方正小标宋_GBK" w:hAnsi="宋体" w:eastAsia="方正小标宋_GBK" w:cs="宋体"/>
          <w:iCs/>
          <w:highlight w:val="none"/>
        </w:rPr>
      </w:pPr>
      <w:r>
        <w:rPr>
          <w:rFonts w:ascii="方正小标宋_GBK" w:hAnsi="宋体" w:eastAsia="方正小标宋_GBK" w:cs="宋体"/>
          <w:iCs/>
          <w:highlight w:val="none"/>
        </w:rPr>
      </w:r>
      <w:r/>
    </w:p>
    <w:p>
      <w:pPr>
        <w:jc w:val="left"/>
        <w:widowControl/>
        <w:rPr>
          <w:rFonts w:ascii="方正小标宋_GBK" w:hAnsi="宋体" w:eastAsia="方正小标宋_GBK" w:cs="黑体"/>
          <w:iCs/>
          <w:sz w:val="30"/>
          <w:szCs w:val="30"/>
          <w:highlight w:val="none"/>
        </w:rPr>
      </w:pPr>
      <w:r>
        <w:rPr>
          <w:rFonts w:ascii="方正小标宋_GBK" w:hAnsi="宋体" w:eastAsia="方正小标宋_GBK" w:cs="黑体"/>
          <w:iCs/>
          <w:sz w:val="30"/>
          <w:szCs w:val="30"/>
          <w:highlight w:val="none"/>
        </w:rPr>
        <w:br w:type="page" w:clear="all"/>
      </w:r>
      <w:r/>
    </w:p>
    <w:p>
      <w:pPr>
        <w:jc w:val="center"/>
        <w:spacing w:before="120"/>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四、依法缴纳税收和社会保障资金的相关材料</w:t>
      </w:r>
      <w:r/>
    </w:p>
    <w:p>
      <w:pPr>
        <w:pStyle w:val="752"/>
        <w:ind w:firstLine="480"/>
        <w:jc w:val="both"/>
        <w:spacing w:line="560" w:lineRule="exact"/>
        <w:rPr>
          <w:rFonts w:asciiTheme="minorEastAsia" w:hAnsiTheme="minorEastAsia" w:cstheme="minorEastAsia"/>
          <w:highlight w:val="none"/>
        </w:rPr>
      </w:pPr>
      <w:r>
        <w:rPr>
          <w:rFonts w:hint="eastAsia" w:asciiTheme="minorEastAsia" w:hAnsiTheme="minorEastAsia" w:cstheme="minorEastAsia"/>
          <w:highlight w:val="none"/>
        </w:rPr>
        <w:t xml:space="preserve">提供提交响应文件截止时间前一年内至少一个月依法缴纳税收及缴纳社会保障资金的证明材料。供应商依法享受缓缴、免缴税收、社会保障资金的提供证明材料。</w:t>
      </w:r>
      <w:r/>
    </w:p>
    <w:p>
      <w:pPr>
        <w:pStyle w:val="752"/>
        <w:ind w:firstLine="492"/>
        <w:jc w:val="both"/>
        <w:widowControl/>
        <w:rPr>
          <w:rFonts w:ascii="宋体" w:hAnsi="宋体" w:eastAsia="宋体" w:cs="宋体"/>
          <w:highlight w:val="none"/>
        </w:rPr>
      </w:pPr>
      <w:r>
        <w:rPr>
          <w:rFonts w:ascii="宋体" w:hAnsi="宋体" w:eastAsia="宋体" w:cs="宋体"/>
          <w:highlight w:val="none"/>
        </w:rPr>
      </w:r>
      <w:r/>
    </w:p>
    <w:p>
      <w:pPr>
        <w:jc w:val="left"/>
        <w:widowControl/>
        <w:rPr>
          <w:rFonts w:ascii="方正小标宋_GBK" w:hAnsi="宋体" w:eastAsia="方正小标宋_GBK" w:cs="黑体"/>
          <w:iCs/>
          <w:sz w:val="30"/>
          <w:szCs w:val="30"/>
          <w:highlight w:val="none"/>
        </w:rPr>
      </w:pPr>
      <w:r>
        <w:rPr>
          <w:rFonts w:ascii="方正小标宋_GBK" w:hAnsi="宋体" w:eastAsia="方正小标宋_GBK" w:cs="黑体"/>
          <w:iCs/>
          <w:sz w:val="30"/>
          <w:szCs w:val="30"/>
          <w:highlight w:val="none"/>
        </w:rPr>
        <w:br w:type="page" w:clear="all"/>
      </w:r>
      <w:r/>
    </w:p>
    <w:p>
      <w:pPr>
        <w:jc w:val="center"/>
        <w:spacing w:before="120"/>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五、参加政府采购活动前3年内在经营活动中没有重大违法记录的书面声明</w:t>
      </w:r>
      <w:r/>
    </w:p>
    <w:p>
      <w:pPr>
        <w:pStyle w:val="752"/>
        <w:jc w:val="center"/>
        <w:spacing w:line="500" w:lineRule="exact"/>
        <w:widowControl/>
        <w:rPr>
          <w:rFonts w:ascii="方正小标宋_GBK" w:eastAsia="方正小标宋_GBK"/>
          <w:bCs/>
          <w:highlight w:val="none"/>
        </w:rPr>
      </w:pPr>
      <w:r>
        <w:rPr>
          <w:rFonts w:hint="eastAsia" w:ascii="方正小标宋_GBK" w:hAnsi="宋体" w:eastAsia="方正小标宋_GBK" w:cs="宋体"/>
          <w:bCs/>
          <w:sz w:val="44"/>
          <w:szCs w:val="44"/>
          <w:highlight w:val="none"/>
        </w:rPr>
        <w:t xml:space="preserve">声  明</w:t>
      </w:r>
      <w:r/>
    </w:p>
    <w:p>
      <w:pPr>
        <w:pStyle w:val="752"/>
        <w:ind w:firstLine="480"/>
        <w:jc w:val="both"/>
        <w:spacing w:line="500" w:lineRule="exact"/>
        <w:rPr>
          <w:rFonts w:asciiTheme="minorEastAsia" w:hAnsiTheme="minorEastAsia" w:cstheme="minorEastAsia"/>
          <w:highlight w:val="none"/>
        </w:rPr>
      </w:pPr>
      <w:r>
        <w:rPr>
          <w:rFonts w:hint="eastAsia" w:asciiTheme="minorEastAsia" w:hAnsiTheme="minorEastAsia" w:cstheme="minor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52"/>
        <w:ind w:firstLine="492"/>
        <w:jc w:val="both"/>
        <w:spacing w:line="560" w:lineRule="exact"/>
        <w:widowControl/>
        <w:rPr>
          <w:rFonts w:asciiTheme="minorEastAsia" w:hAnsiTheme="minorEastAsia" w:cstheme="minorEastAsia"/>
          <w:highlight w:val="none"/>
        </w:rPr>
      </w:pPr>
      <w:r>
        <w:rPr>
          <w:rFonts w:hint="eastAsia" w:asciiTheme="minorEastAsia" w:hAnsiTheme="minorEastAsia" w:cstheme="minorEastAsia"/>
          <w:highlight w:val="none"/>
        </w:rPr>
        <w:t xml:space="preserve"> </w:t>
      </w:r>
      <w:r/>
    </w:p>
    <w:p>
      <w:pPr>
        <w:jc w:val="left"/>
        <w:widowControl/>
        <w:rPr>
          <w:rFonts w:ascii="方正小标宋_GBK" w:hAnsi="宋体" w:eastAsia="方正小标宋_GBK" w:cs="黑体"/>
          <w:iCs/>
          <w:sz w:val="30"/>
          <w:szCs w:val="30"/>
          <w:highlight w:val="none"/>
        </w:rPr>
      </w:pPr>
      <w:r>
        <w:rPr>
          <w:rFonts w:ascii="方正小标宋_GBK" w:hAnsi="宋体" w:eastAsia="方正小标宋_GBK" w:cs="黑体"/>
          <w:iCs/>
          <w:sz w:val="30"/>
          <w:szCs w:val="30"/>
          <w:highlight w:val="none"/>
        </w:rPr>
        <w:br w:type="page" w:clear="all"/>
      </w:r>
      <w:r/>
    </w:p>
    <w:p>
      <w:pPr>
        <w:jc w:val="center"/>
        <w:spacing w:before="120"/>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六、特定资格要求的证明文件</w:t>
      </w:r>
      <w:r/>
    </w:p>
    <w:p>
      <w:pPr>
        <w:pStyle w:val="752"/>
        <w:jc w:val="center"/>
        <w:rPr>
          <w:rFonts w:ascii="宋体" w:hAnsi="宋体" w:eastAsia="宋体" w:cs="宋体"/>
          <w:highlight w:val="none"/>
        </w:rPr>
      </w:pPr>
      <w:r>
        <w:rPr>
          <w:rFonts w:hint="eastAsia" w:ascii="宋体" w:hAnsi="宋体" w:eastAsia="宋体" w:cs="宋体"/>
          <w:highlight w:val="none"/>
        </w:rPr>
        <w:t xml:space="preserve">如果本项目申请人的特定资格要求中要求提供的，必须提供。</w:t>
      </w:r>
      <w:r/>
    </w:p>
    <w:p>
      <w:pPr>
        <w:jc w:val="left"/>
        <w:widowControl/>
        <w:rPr>
          <w:rFonts w:cs="Times New Roman" w:asciiTheme="minorEastAsia" w:hAnsiTheme="minorEastAsia"/>
          <w:sz w:val="32"/>
          <w:szCs w:val="32"/>
          <w:highlight w:val="none"/>
        </w:rPr>
      </w:pPr>
      <w:r>
        <w:rPr>
          <w:rFonts w:asciiTheme="minorEastAsia" w:hAnsiTheme="minorEastAsia"/>
          <w:highlight w:val="none"/>
        </w:rPr>
        <w:br w:type="page" w:clear="all"/>
      </w:r>
      <w:r/>
    </w:p>
    <w:p>
      <w:pPr>
        <w:jc w:val="center"/>
        <w:spacing w:before="120"/>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七、法人授权书</w:t>
      </w:r>
      <w:r/>
    </w:p>
    <w:p>
      <w:pPr>
        <w:pStyle w:val="752"/>
        <w:ind w:firstLine="480"/>
        <w:jc w:val="both"/>
        <w:spacing w:line="560" w:lineRule="exact"/>
        <w:widowControl/>
        <w:rPr>
          <w:rFonts w:asciiTheme="minorEastAsia" w:hAnsiTheme="minorEastAsia" w:cstheme="minorEastAsia"/>
          <w:highlight w:val="none"/>
        </w:rPr>
      </w:pPr>
      <w:r>
        <w:rPr>
          <w:rFonts w:hint="eastAsia" w:asciiTheme="minorEastAsia" w:hAnsiTheme="minorEastAsia" w:cstheme="minorEastAsia"/>
          <w:highlight w:val="none"/>
        </w:rPr>
        <w:t xml:space="preserve">本授权书声明：</w:t>
      </w:r>
      <w:r>
        <w:rPr>
          <w:rFonts w:hint="eastAsia" w:asciiTheme="minorEastAsia" w:hAnsiTheme="minorEastAsia" w:cstheme="minorEastAsia"/>
          <w:highlight w:val="none"/>
          <w:u w:val="single"/>
        </w:rPr>
        <w:t xml:space="preserve">               </w:t>
      </w:r>
      <w:r>
        <w:rPr>
          <w:rFonts w:hint="eastAsia" w:asciiTheme="minorEastAsia" w:hAnsiTheme="minorEastAsia" w:cstheme="minorEastAsia"/>
          <w:highlight w:val="none"/>
        </w:rPr>
        <w:t xml:space="preserve">（供应商名称）授权</w:t>
      </w:r>
      <w:r>
        <w:rPr>
          <w:rFonts w:hint="eastAsia" w:asciiTheme="minorEastAsia" w:hAnsiTheme="minorEastAsia" w:cstheme="minorEastAsia"/>
          <w:highlight w:val="none"/>
          <w:u w:val="single"/>
        </w:rPr>
        <w:t xml:space="preserve">            </w:t>
      </w:r>
      <w:r>
        <w:rPr>
          <w:rFonts w:hint="eastAsia" w:asciiTheme="minorEastAsia" w:hAnsiTheme="minorEastAsia" w:cstheme="minorEastAsia"/>
          <w:highlight w:val="none"/>
        </w:rPr>
        <w:t xml:space="preserve">（被授权人的姓名）为我方就</w:t>
      </w:r>
      <w:r>
        <w:rPr>
          <w:rFonts w:hint="eastAsia" w:asciiTheme="minorEastAsia" w:hAnsiTheme="minorEastAsia" w:cstheme="minorEastAsia"/>
          <w:highlight w:val="none"/>
          <w:u w:val="single"/>
        </w:rPr>
        <w:t xml:space="preserve">JSZC-320900-JZCG-G2025-0052</w:t>
      </w:r>
      <w:r>
        <w:rPr>
          <w:rFonts w:hint="eastAsia" w:asciiTheme="minorEastAsia" w:hAnsiTheme="minorEastAsia" w:cstheme="minorEastAsia"/>
          <w:highlight w:val="none"/>
        </w:rPr>
        <w:t xml:space="preserve">号</w:t>
      </w:r>
      <w:r>
        <w:rPr>
          <w:rFonts w:hint="eastAsia" w:ascii="宋体" w:hAnsi="宋体" w:eastAsia="宋体" w:cs="宋体"/>
          <w:szCs w:val="20"/>
          <w:highlight w:val="none"/>
          <w:u w:val="single"/>
        </w:rPr>
        <w:t xml:space="preserve">盐城体育运动学校新校区家具采购项目</w:t>
      </w:r>
      <w:r>
        <w:rPr>
          <w:rFonts w:hint="eastAsia" w:asciiTheme="minorEastAsia" w:hAnsiTheme="minorEastAsia" w:cstheme="minorEastAsia"/>
          <w:highlight w:val="none"/>
        </w:rPr>
        <w:t xml:space="preserve">采购活动的合法代理人，以本单位名义全权处理一切与该项目采购有关的事务。</w:t>
      </w:r>
      <w:r/>
    </w:p>
    <w:p>
      <w:pPr>
        <w:pStyle w:val="752"/>
        <w:ind w:firstLine="480"/>
        <w:jc w:val="both"/>
        <w:spacing w:line="400" w:lineRule="exact"/>
        <w:widowControl/>
        <w:rPr>
          <w:rFonts w:asciiTheme="minorEastAsia" w:hAnsiTheme="minorEastAsia" w:cstheme="minorEastAsia"/>
          <w:highlight w:val="none"/>
        </w:rPr>
      </w:pPr>
      <w:r>
        <w:rPr>
          <w:rFonts w:hint="eastAsia" w:asciiTheme="minorEastAsia" w:hAnsiTheme="minorEastAsia" w:cstheme="minorEastAsia"/>
          <w:highlight w:val="none"/>
        </w:rPr>
        <w:t xml:space="preserve">本授权书于</w:t>
      </w:r>
      <w:r>
        <w:rPr>
          <w:rFonts w:hint="eastAsia" w:asciiTheme="minorEastAsia" w:hAnsiTheme="minorEastAsia" w:cstheme="minorEastAsia"/>
          <w:highlight w:val="none"/>
          <w:u w:val="single"/>
        </w:rPr>
        <w:t xml:space="preserve">       </w:t>
      </w:r>
      <w:r>
        <w:rPr>
          <w:rFonts w:hint="eastAsia" w:asciiTheme="minorEastAsia" w:hAnsiTheme="minorEastAsia" w:cstheme="minorEastAsia"/>
          <w:highlight w:val="none"/>
        </w:rPr>
        <w:t xml:space="preserve">年</w:t>
      </w:r>
      <w:r>
        <w:rPr>
          <w:rFonts w:hint="eastAsia" w:asciiTheme="minorEastAsia" w:hAnsiTheme="minorEastAsia" w:cstheme="minorEastAsia"/>
          <w:highlight w:val="none"/>
          <w:u w:val="single"/>
        </w:rPr>
        <w:t xml:space="preserve">     </w:t>
      </w:r>
      <w:r>
        <w:rPr>
          <w:rFonts w:hint="eastAsia" w:asciiTheme="minorEastAsia" w:hAnsiTheme="minorEastAsia" w:cstheme="minorEastAsia"/>
          <w:highlight w:val="none"/>
        </w:rPr>
        <w:t xml:space="preserve">月</w:t>
      </w:r>
      <w:r>
        <w:rPr>
          <w:rFonts w:hint="eastAsia" w:asciiTheme="minorEastAsia" w:hAnsiTheme="minorEastAsia" w:cstheme="minorEastAsia"/>
          <w:highlight w:val="none"/>
          <w:u w:val="single"/>
        </w:rPr>
        <w:t xml:space="preserve">     </w:t>
      </w:r>
      <w:r>
        <w:rPr>
          <w:rFonts w:hint="eastAsia" w:asciiTheme="minorEastAsia" w:hAnsiTheme="minorEastAsia" w:cstheme="minorEastAsia"/>
          <w:highlight w:val="none"/>
        </w:rPr>
        <w:t xml:space="preserve">日起生效，特此声明。</w:t>
      </w:r>
      <w:r/>
    </w:p>
    <w:p>
      <w:pPr>
        <w:pStyle w:val="752"/>
        <w:ind w:firstLine="480"/>
        <w:jc w:val="both"/>
        <w:spacing w:line="400" w:lineRule="exact"/>
        <w:widowControl/>
        <w:tabs>
          <w:tab w:val="left" w:pos="360" w:leader="none"/>
        </w:tabs>
        <w:rPr>
          <w:rFonts w:asciiTheme="minorEastAsia" w:hAnsiTheme="minorEastAsia" w:cstheme="minorEastAsia"/>
          <w:highlight w:val="none"/>
        </w:rPr>
      </w:pPr>
      <w:r>
        <w:rPr>
          <w:rFonts w:hint="eastAsia" w:asciiTheme="minorEastAsia" w:hAnsiTheme="minorEastAsia" w:cstheme="minorEastAsia"/>
          <w:highlight w:val="none"/>
        </w:rPr>
        <w:t xml:space="preserve">被授权人身份证号码：</w:t>
      </w:r>
      <w:r>
        <w:rPr>
          <w:rFonts w:hint="eastAsia" w:asciiTheme="minorEastAsia" w:hAnsiTheme="minorEastAsia" w:cstheme="minorEastAsia"/>
          <w:highlight w:val="none"/>
          <w:u w:val="single"/>
        </w:rPr>
        <w:t xml:space="preserve">                     </w:t>
      </w:r>
      <w:r/>
    </w:p>
    <w:p>
      <w:pPr>
        <w:pStyle w:val="752"/>
        <w:ind w:firstLine="480"/>
        <w:jc w:val="both"/>
        <w:spacing w:line="400" w:lineRule="exact"/>
        <w:widowControl/>
        <w:tabs>
          <w:tab w:val="left" w:pos="360" w:leader="none"/>
        </w:tabs>
        <w:rPr>
          <w:rFonts w:asciiTheme="minorEastAsia" w:hAnsiTheme="minorEastAsia" w:cstheme="minorEastAsia"/>
          <w:highlight w:val="none"/>
        </w:rPr>
      </w:pPr>
      <w:r>
        <w:rPr>
          <w:rFonts w:hint="eastAsia" w:asciiTheme="minorEastAsia" w:hAnsiTheme="minorEastAsia" w:cstheme="minorEastAsia"/>
          <w:highlight w:val="none"/>
        </w:rPr>
        <w:t xml:space="preserve">被授权人联系电话：（手机）</w:t>
      </w:r>
      <w:r>
        <w:rPr>
          <w:rFonts w:hint="eastAsia" w:asciiTheme="minorEastAsia" w:hAnsiTheme="minorEastAsia" w:cstheme="minorEastAsia"/>
          <w:highlight w:val="none"/>
          <w:u w:val="single"/>
        </w:rPr>
        <w:t xml:space="preserve">               </w:t>
      </w:r>
      <w:r/>
    </w:p>
    <w:p>
      <w:pPr>
        <w:pStyle w:val="752"/>
        <w:ind w:firstLine="480"/>
        <w:jc w:val="both"/>
        <w:spacing w:line="400" w:lineRule="exact"/>
        <w:widowControl/>
        <w:tabs>
          <w:tab w:val="left" w:pos="360" w:leader="none"/>
        </w:tabs>
        <w:rPr>
          <w:rFonts w:asciiTheme="minorEastAsia" w:hAnsiTheme="minorEastAsia" w:cstheme="minorEastAsia"/>
          <w:highlight w:val="none"/>
        </w:rPr>
      </w:pPr>
      <w:r>
        <w:rPr>
          <w:rFonts w:hint="eastAsia" w:asciiTheme="minorEastAsia" w:hAnsiTheme="minorEastAsia" w:cstheme="minorEastAsia"/>
          <w:highlight w:val="none"/>
        </w:rPr>
        <w:t xml:space="preserve">授权单位名称：</w:t>
      </w:r>
      <w:r>
        <w:rPr>
          <w:rFonts w:hint="eastAsia" w:asciiTheme="minorEastAsia" w:hAnsiTheme="minorEastAsia" w:cstheme="minorEastAsia"/>
          <w:highlight w:val="none"/>
          <w:u w:val="single"/>
        </w:rPr>
        <w:t xml:space="preserve">    （加盖CA电子公章）     </w:t>
      </w:r>
      <w:r/>
    </w:p>
    <w:p>
      <w:pPr>
        <w:pStyle w:val="752"/>
        <w:ind w:firstLine="480"/>
        <w:jc w:val="both"/>
        <w:spacing w:line="400" w:lineRule="exact"/>
        <w:widowControl/>
        <w:tabs>
          <w:tab w:val="left" w:pos="360" w:leader="none"/>
        </w:tabs>
        <w:rPr>
          <w:rFonts w:asciiTheme="minorEastAsia" w:hAnsiTheme="minorEastAsia" w:cstheme="minorEastAsia"/>
          <w:highlight w:val="none"/>
        </w:rPr>
      </w:pPr>
      <w:r>
        <w:rPr>
          <w:rFonts w:hint="eastAsia" w:asciiTheme="minorEastAsia" w:hAnsiTheme="minorEastAsia" w:cstheme="minorEastAsia"/>
          <w:highlight w:val="none"/>
        </w:rPr>
        <w:t xml:space="preserve">单位地址：</w:t>
      </w:r>
      <w:r>
        <w:rPr>
          <w:rFonts w:hint="eastAsia" w:asciiTheme="minorEastAsia" w:hAnsiTheme="minorEastAsia" w:cstheme="minorEastAsia"/>
          <w:highlight w:val="none"/>
          <w:u w:val="single"/>
        </w:rPr>
        <w:t xml:space="preserve">                               </w:t>
      </w:r>
      <w:r/>
    </w:p>
    <w:p>
      <w:pPr>
        <w:pStyle w:val="752"/>
        <w:ind w:firstLine="480"/>
        <w:jc w:val="both"/>
        <w:spacing w:line="400" w:lineRule="exact"/>
        <w:widowControl/>
        <w:tabs>
          <w:tab w:val="left" w:pos="360" w:leader="none"/>
        </w:tabs>
        <w:rPr>
          <w:rFonts w:asciiTheme="minorEastAsia" w:hAnsiTheme="minorEastAsia" w:cstheme="minorEastAsia"/>
          <w:highlight w:val="none"/>
        </w:rPr>
      </w:pPr>
      <w:r>
        <w:rPr>
          <w:rFonts w:hint="eastAsia" w:asciiTheme="minorEastAsia" w:hAnsiTheme="minorEastAsia" w:cstheme="minorEastAsia"/>
          <w:highlight w:val="none"/>
        </w:rPr>
        <w:t xml:space="preserve">日    期：</w:t>
      </w:r>
      <w:r>
        <w:rPr>
          <w:rFonts w:hint="eastAsia" w:asciiTheme="minorEastAsia" w:hAnsiTheme="minorEastAsia" w:cstheme="minorEastAsia"/>
          <w:highlight w:val="none"/>
          <w:u w:val="single"/>
        </w:rPr>
        <w:t xml:space="preserve">                               </w:t>
      </w:r>
      <w:r/>
    </w:p>
    <w:p>
      <w:pPr>
        <w:pStyle w:val="752"/>
        <w:ind w:firstLine="480"/>
        <w:jc w:val="both"/>
        <w:spacing w:line="560" w:lineRule="exact"/>
        <w:widowControl/>
        <w:rPr>
          <w:rFonts w:asciiTheme="minorEastAsia" w:hAnsiTheme="minorEastAsia" w:cstheme="minorEastAsia"/>
          <w:highlight w:val="none"/>
        </w:rPr>
      </w:pPr>
      <w:r>
        <w:rPr>
          <w:rFonts w:asciiTheme="minorEastAsia" w:hAnsiTheme="minorEastAsia" w:cstheme="minorEastAsia"/>
          <w:highlight w:val="none"/>
        </w:rPr>
      </w:r>
      <w:r/>
    </w:p>
    <w:p>
      <w:pPr>
        <w:rPr>
          <w:rFonts w:ascii="方正小标宋_GBK" w:hAnsi="宋体" w:eastAsia="方正小标宋_GBK" w:cs="黑体"/>
          <w:iCs/>
          <w:sz w:val="30"/>
          <w:szCs w:val="30"/>
          <w:highlight w:val="none"/>
        </w:rPr>
      </w:pPr>
      <w:r>
        <w:rPr>
          <w:rFonts w:ascii="方正小标宋_GBK" w:hAnsi="宋体" w:eastAsia="方正小标宋_GBK" w:cs="黑体"/>
          <w:iCs/>
          <w:sz w:val="30"/>
          <w:szCs w:val="30"/>
          <w:highlight w:val="none"/>
        </w:rPr>
        <w:br w:type="page" w:clear="all"/>
      </w:r>
      <w:r/>
    </w:p>
    <w:p>
      <w:pPr>
        <w:jc w:val="center"/>
        <w:spacing w:before="120"/>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八、投标函</w:t>
      </w:r>
      <w:r/>
    </w:p>
    <w:p>
      <w:pPr>
        <w:jc w:val="left"/>
        <w:spacing w:line="500" w:lineRule="exact"/>
        <w:rPr>
          <w:rFonts w:ascii="宋体" w:hAnsi="宋体" w:cs="宋体"/>
          <w:sz w:val="24"/>
          <w:highlight w:val="none"/>
        </w:rPr>
      </w:pPr>
      <w:r>
        <w:rPr>
          <w:rFonts w:hint="eastAsia" w:ascii="宋体" w:hAnsi="宋体" w:cs="宋体"/>
          <w:sz w:val="24"/>
          <w:highlight w:val="none"/>
        </w:rPr>
        <w:t xml:space="preserve">致：盐城市政府采购中心</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根据贵方的</w:t>
      </w:r>
      <w:r>
        <w:rPr>
          <w:rFonts w:hint="eastAsia" w:ascii="宋体" w:hAnsi="宋体" w:cs="宋体"/>
          <w:sz w:val="24"/>
          <w:highlight w:val="none"/>
          <w:u w:val="single"/>
        </w:rPr>
        <w:t xml:space="preserve"> JSZC-320900-JZCG-G2025-0052</w:t>
      </w:r>
      <w:r>
        <w:rPr>
          <w:rFonts w:hint="eastAsia" w:ascii="宋体" w:hAnsi="宋体" w:cs="宋体"/>
          <w:sz w:val="24"/>
          <w:highlight w:val="none"/>
        </w:rPr>
        <w:t xml:space="preserve">号招标文件，正式授权下述签字人______(姓名)代表我方______________（投标人的名称），全权处理本次项目投标的有关事宜。</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据此函，__________</w:t>
      </w:r>
      <w:r>
        <w:rPr>
          <w:rFonts w:hint="eastAsia" w:ascii="宋体" w:hAnsi="宋体" w:cs="宋体"/>
          <w:b/>
          <w:bCs/>
          <w:sz w:val="24"/>
          <w:highlight w:val="none"/>
        </w:rPr>
        <w:t xml:space="preserve">签字人</w:t>
      </w:r>
      <w:r>
        <w:rPr>
          <w:rFonts w:hint="eastAsia" w:ascii="宋体" w:hAnsi="宋体" w:cs="宋体"/>
          <w:sz w:val="24"/>
          <w:highlight w:val="none"/>
        </w:rPr>
        <w:t xml:space="preserve">兹宣布同意如下：</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1.按招标文件规定的各项要求，向买方提供所需货物（包含与货物相关的服务）。</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2.我们完全理解贵方不一定将合同授予最低报价的投标人。</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3.我们已详细审核全部招标文件及其有效补充文件，我们知道必须放弃提出含糊不清或误解问题的权利。</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4.我们同意从规定的开标日期起遵循本投标文件，并在规定的投标有效期期满之前均具有约束力。</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5.同意向贵方提供贵方可能另外要求的与投标有关的任何证据或资料，并保证我方已提供和将要提供的文件是真实的、准确的。</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s="宋体"/>
          <w:sz w:val="24"/>
          <w:highlight w:val="none"/>
        </w:rPr>
        <w:outlineLvl w:val="2"/>
      </w:pPr>
      <w:r>
        <w:rPr>
          <w:rFonts w:hint="eastAsia" w:ascii="宋体" w:hAnsi="宋体" w:cs="宋体"/>
          <w:sz w:val="24"/>
          <w:highlight w:val="none"/>
        </w:rPr>
        <w:t xml:space="preserve">7.与本投标有关的正式通讯地址为：</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地        址：</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邮        编：</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电        话：</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传        真：</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投标人开户行：</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账        号： </w:t>
      </w:r>
      <w:r/>
    </w:p>
    <w:p>
      <w:pPr>
        <w:ind w:firstLine="480"/>
        <w:jc w:val="left"/>
        <w:spacing w:line="500" w:lineRule="exact"/>
        <w:rPr>
          <w:highlight w:val="none"/>
        </w:rPr>
      </w:pPr>
      <w:r>
        <w:rPr>
          <w:rFonts w:hint="eastAsia" w:ascii="宋体" w:hAnsi="宋体" w:cs="宋体"/>
          <w:sz w:val="24"/>
          <w:highlight w:val="none"/>
        </w:rPr>
        <w:t xml:space="preserve">日        期：______年____月____日</w:t>
      </w:r>
      <w:r>
        <w:rPr>
          <w:highlight w:val="none"/>
        </w:rPr>
        <w:t xml:space="preserve"> </w:t>
      </w:r>
      <w:r/>
    </w:p>
    <w:p>
      <w:pPr>
        <w:jc w:val="left"/>
        <w:widowControl/>
        <w:rPr>
          <w:rFonts w:ascii="黑体" w:hAnsi="黑体" w:eastAsia="黑体" w:cs="黑体"/>
          <w:i/>
          <w:sz w:val="32"/>
          <w:szCs w:val="32"/>
          <w:highlight w:val="none"/>
        </w:rPr>
      </w:pPr>
      <w:r>
        <w:rPr>
          <w:rFonts w:ascii="黑体" w:hAnsi="黑体" w:eastAsia="黑体" w:cs="黑体"/>
          <w:i/>
          <w:sz w:val="32"/>
          <w:szCs w:val="32"/>
          <w:highlight w:val="none"/>
        </w:rPr>
        <w:br w:type="page" w:clear="all"/>
      </w:r>
      <w:r/>
    </w:p>
    <w:p>
      <w:pPr>
        <w:jc w:val="center"/>
        <w:spacing w:before="120"/>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九、中小企业声明函（货物）</w:t>
      </w:r>
      <w:r/>
    </w:p>
    <w:p>
      <w:pPr>
        <w:ind w:firstLine="48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sz w:val="24"/>
          <w:szCs w:val="20"/>
          <w:highlight w:val="none"/>
          <w:u w:val="single"/>
        </w:rPr>
        <w:t xml:space="preserve">盐城体育运动学校</w:t>
      </w:r>
      <w:r>
        <w:rPr>
          <w:rFonts w:hint="eastAsia" w:ascii="宋体" w:hAnsi="宋体" w:cs="宋体"/>
          <w:sz w:val="24"/>
          <w:highlight w:val="none"/>
        </w:rPr>
        <w:t xml:space="preserve">，</w:t>
      </w:r>
      <w:r>
        <w:rPr>
          <w:rFonts w:ascii="宋体" w:hAnsi="宋体" w:cs="宋体"/>
          <w:sz w:val="24"/>
          <w:highlight w:val="none"/>
        </w:rPr>
        <w:t xml:space="preserve">采购编号为</w:t>
      </w:r>
      <w:r>
        <w:rPr>
          <w:rFonts w:hint="eastAsia" w:ascii="宋体" w:hAnsi="宋体" w:cs="宋体"/>
          <w:sz w:val="24"/>
          <w:highlight w:val="none"/>
          <w:u w:val="single"/>
        </w:rPr>
        <w:t xml:space="preserve">JSZC-320900-JZCG-G2025-0052</w:t>
      </w:r>
      <w:r>
        <w:rPr>
          <w:rFonts w:ascii="宋体" w:hAnsi="宋体" w:cs="宋体"/>
          <w:sz w:val="24"/>
          <w:highlight w:val="none"/>
        </w:rPr>
        <w:t xml:space="preserve">，</w:t>
      </w:r>
      <w:r>
        <w:rPr>
          <w:rFonts w:hint="eastAsia" w:ascii="宋体" w:hAnsi="宋体" w:eastAsia="宋体" w:cs="宋体"/>
          <w:sz w:val="24"/>
          <w:szCs w:val="20"/>
          <w:highlight w:val="none"/>
          <w:u w:val="single"/>
        </w:rPr>
        <w:t xml:space="preserve">盐城体育运动学校新校区家具采购项目</w:t>
      </w:r>
      <w:r>
        <w:rPr>
          <w:rFonts w:ascii="宋体" w:hAnsi="宋体" w:cs="宋体"/>
          <w:sz w:val="24"/>
          <w:highlight w:val="none"/>
        </w:rPr>
        <w:t xml:space="preserve">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i/>
          <w:sz w:val="24"/>
          <w:highlight w:val="none"/>
          <w:u w:val="single"/>
        </w:rPr>
        <w:t xml:space="preserve">（标的名称）</w:t>
      </w:r>
      <w:r>
        <w:rPr>
          <w:rFonts w:ascii="宋体" w:hAnsi="宋体" w:cs="宋体"/>
          <w:sz w:val="24"/>
          <w:highlight w:val="none"/>
        </w:rPr>
        <w:t xml:space="preserve">，属于</w:t>
      </w:r>
      <w:r>
        <w:rPr>
          <w:rFonts w:ascii="宋体" w:hAnsi="宋体" w:cs="宋体"/>
          <w:i/>
          <w:sz w:val="24"/>
          <w:highlight w:val="none"/>
          <w:u w:val="single"/>
        </w:rPr>
        <w:t xml:space="preserve">（采购文件中明确的所属行业）</w:t>
      </w:r>
      <w:r>
        <w:rPr>
          <w:rFonts w:ascii="宋体" w:hAnsi="宋体" w:cs="宋体"/>
          <w:sz w:val="24"/>
          <w:highlight w:val="none"/>
        </w:rPr>
        <w:t xml:space="preserve">行业；</w:t>
      </w:r>
      <w:r>
        <w:rPr>
          <w:rFonts w:hint="eastAsia" w:ascii="宋体" w:hAnsi="宋体" w:cs="宋体"/>
          <w:sz w:val="24"/>
          <w:highlight w:val="none"/>
        </w:rPr>
        <w:t xml:space="preserve">制造商为</w:t>
      </w:r>
      <w:r>
        <w:rPr>
          <w:rFonts w:ascii="宋体" w:hAnsi="宋体" w:cs="宋体"/>
          <w:sz w:val="24"/>
          <w:highlight w:val="none"/>
        </w:rPr>
        <w:t xml:space="preserve">（</w:t>
      </w:r>
      <w:r>
        <w:rPr>
          <w:rFonts w:ascii="宋体" w:hAnsi="宋体" w:cs="宋体"/>
          <w:i/>
          <w:sz w:val="24"/>
          <w:highlight w:val="none"/>
          <w:u w:val="single"/>
        </w:rPr>
        <w:t xml:space="preserve">企业名称</w:t>
      </w:r>
      <w:r>
        <w:rPr>
          <w:rFonts w:ascii="宋体" w:hAnsi="宋体" w:cs="宋体"/>
          <w:sz w:val="24"/>
          <w:highlight w:val="none"/>
        </w:rPr>
        <w:t xml:space="preserve">），从业人员</w:t>
      </w:r>
      <w:r>
        <w:rPr>
          <w:rFonts w:ascii="宋体" w:hAnsi="宋体" w:cs="宋体"/>
          <w:sz w:val="24"/>
          <w:highlight w:val="none"/>
          <w:u w:val="single"/>
        </w:rPr>
        <w:t xml:space="preserve">     </w:t>
      </w:r>
      <w:r>
        <w:rPr>
          <w:rFonts w:ascii="宋体" w:hAnsi="宋体" w:cs="宋体"/>
          <w:sz w:val="24"/>
          <w:highlight w:val="none"/>
        </w:rPr>
        <w:t xml:space="preserve">人，营业收入为</w:t>
      </w:r>
      <w:r>
        <w:rPr>
          <w:rFonts w:ascii="宋体" w:hAnsi="宋体" w:cs="宋体"/>
          <w:sz w:val="24"/>
          <w:highlight w:val="none"/>
          <w:u w:val="single"/>
        </w:rPr>
        <w:t xml:space="preserve">     </w:t>
      </w:r>
      <w:r>
        <w:rPr>
          <w:rFonts w:ascii="宋体" w:hAnsi="宋体" w:cs="宋体"/>
          <w:sz w:val="24"/>
          <w:highlight w:val="none"/>
        </w:rPr>
        <w:t xml:space="preserve">万元，资产总额为</w:t>
      </w:r>
      <w:r>
        <w:rPr>
          <w:rFonts w:ascii="宋体" w:hAnsi="宋体" w:cs="宋体"/>
          <w:sz w:val="24"/>
          <w:highlight w:val="none"/>
          <w:u w:val="single"/>
        </w:rPr>
        <w:t xml:space="preserve">    </w:t>
      </w:r>
      <w:r>
        <w:rPr>
          <w:rFonts w:ascii="宋体" w:hAnsi="宋体" w:cs="宋体"/>
          <w:sz w:val="24"/>
          <w:highlight w:val="none"/>
        </w:rPr>
        <w:t xml:space="preserve">万元，属于（</w:t>
      </w:r>
      <w:r>
        <w:rPr>
          <w:rFonts w:ascii="宋体" w:hAnsi="宋体" w:cs="宋体"/>
          <w:i/>
          <w:sz w:val="24"/>
          <w:highlight w:val="none"/>
          <w:u w:val="single"/>
        </w:rPr>
        <w:t xml:space="preserve">中型企业、小型企业、微型企业</w:t>
      </w:r>
      <w:r>
        <w:rPr>
          <w:rFonts w:ascii="宋体" w:hAnsi="宋体" w:cs="宋体"/>
          <w:sz w:val="24"/>
          <w:highlight w:val="none"/>
        </w:rPr>
        <w:t xml:space="preserve">）；</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i/>
          <w:sz w:val="24"/>
          <w:highlight w:val="none"/>
          <w:u w:val="single"/>
        </w:rPr>
        <w:t xml:space="preserve">（标的名称）</w:t>
      </w:r>
      <w:r>
        <w:rPr>
          <w:rFonts w:ascii="宋体" w:hAnsi="宋体" w:cs="宋体"/>
          <w:sz w:val="24"/>
          <w:highlight w:val="none"/>
        </w:rPr>
        <w:t xml:space="preserve">，属于</w:t>
      </w:r>
      <w:r>
        <w:rPr>
          <w:rFonts w:ascii="宋体" w:hAnsi="宋体" w:cs="宋体"/>
          <w:i/>
          <w:sz w:val="24"/>
          <w:highlight w:val="none"/>
          <w:u w:val="single"/>
        </w:rPr>
        <w:t xml:space="preserve">（采购文件中明确的所属行业）</w:t>
      </w:r>
      <w:r>
        <w:rPr>
          <w:rFonts w:ascii="宋体" w:hAnsi="宋体" w:cs="宋体"/>
          <w:sz w:val="24"/>
          <w:highlight w:val="none"/>
        </w:rPr>
        <w:t xml:space="preserve">行业；</w:t>
      </w:r>
      <w:r>
        <w:rPr>
          <w:rFonts w:hint="eastAsia" w:ascii="宋体" w:hAnsi="宋体" w:cs="宋体"/>
          <w:sz w:val="24"/>
          <w:highlight w:val="none"/>
        </w:rPr>
        <w:t xml:space="preserve">制造商为</w:t>
      </w:r>
      <w:r>
        <w:rPr>
          <w:rFonts w:ascii="宋体" w:hAnsi="宋体" w:cs="宋体"/>
          <w:sz w:val="24"/>
          <w:highlight w:val="none"/>
        </w:rPr>
        <w:t xml:space="preserve">（</w:t>
      </w:r>
      <w:r>
        <w:rPr>
          <w:rFonts w:ascii="宋体" w:hAnsi="宋体" w:cs="宋体"/>
          <w:i/>
          <w:sz w:val="24"/>
          <w:highlight w:val="none"/>
          <w:u w:val="single"/>
        </w:rPr>
        <w:t xml:space="preserve">企业名称</w:t>
      </w:r>
      <w:r>
        <w:rPr>
          <w:rFonts w:ascii="宋体" w:hAnsi="宋体" w:cs="宋体"/>
          <w:sz w:val="24"/>
          <w:highlight w:val="none"/>
        </w:rPr>
        <w:t xml:space="preserve">），从业人员</w:t>
      </w:r>
      <w:r>
        <w:rPr>
          <w:rFonts w:ascii="宋体" w:hAnsi="宋体" w:cs="宋体"/>
          <w:sz w:val="24"/>
          <w:highlight w:val="none"/>
          <w:u w:val="single"/>
        </w:rPr>
        <w:t xml:space="preserve">     </w:t>
      </w:r>
      <w:r>
        <w:rPr>
          <w:rFonts w:ascii="宋体" w:hAnsi="宋体" w:cs="宋体"/>
          <w:sz w:val="24"/>
          <w:highlight w:val="none"/>
        </w:rPr>
        <w:t xml:space="preserve">人，营业收入为</w:t>
      </w:r>
      <w:r>
        <w:rPr>
          <w:rFonts w:ascii="宋体" w:hAnsi="宋体" w:cs="宋体"/>
          <w:sz w:val="24"/>
          <w:highlight w:val="none"/>
          <w:u w:val="single"/>
        </w:rPr>
        <w:t xml:space="preserve">     </w:t>
      </w:r>
      <w:r>
        <w:rPr>
          <w:rFonts w:ascii="宋体" w:hAnsi="宋体" w:cs="宋体"/>
          <w:sz w:val="24"/>
          <w:highlight w:val="none"/>
        </w:rPr>
        <w:t xml:space="preserve">万元，资产总额为</w:t>
      </w:r>
      <w:r>
        <w:rPr>
          <w:rFonts w:ascii="宋体" w:hAnsi="宋体" w:cs="宋体"/>
          <w:sz w:val="24"/>
          <w:highlight w:val="none"/>
          <w:u w:val="single"/>
        </w:rPr>
        <w:t xml:space="preserve">    </w:t>
      </w:r>
      <w:r>
        <w:rPr>
          <w:rFonts w:ascii="宋体" w:hAnsi="宋体" w:cs="宋体"/>
          <w:sz w:val="24"/>
          <w:highlight w:val="none"/>
        </w:rPr>
        <w:t xml:space="preserve">万元，属于（</w:t>
      </w:r>
      <w:r>
        <w:rPr>
          <w:rFonts w:ascii="宋体" w:hAnsi="宋体" w:cs="宋体"/>
          <w:i/>
          <w:sz w:val="24"/>
          <w:highlight w:val="none"/>
          <w:u w:val="single"/>
        </w:rPr>
        <w:t xml:space="preserve">中型企业、小型企业、微型企业</w:t>
      </w:r>
      <w:r>
        <w:rPr>
          <w:rFonts w:ascii="宋体" w:hAnsi="宋体" w:cs="宋体"/>
          <w:sz w:val="24"/>
          <w:highlight w:val="none"/>
        </w:rPr>
        <w:t xml:space="preserve">）；</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sz w:val="24"/>
          <w:highlight w:val="none"/>
        </w:rPr>
        <w:t xml:space="preserve">本企业对上述声明内容的真实性负责。如有虚假，将依法承担相应责任</w:t>
      </w:r>
      <w:r>
        <w:rPr>
          <w:rFonts w:hint="eastAsia" w:ascii="宋体" w:hAnsi="宋体" w:cs="宋体"/>
          <w:sz w:val="24"/>
          <w:highlight w:val="none"/>
        </w:rPr>
        <w:t xml:space="preserve">。</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80"/>
        <w:jc w:val="right"/>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企业名称（加盖CA电子公章）：</w:t>
      </w:r>
      <w:r/>
    </w:p>
    <w:p>
      <w:pPr>
        <w:ind w:firstLine="480"/>
        <w:jc w:val="right"/>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  期：</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备注1：从业人员、营业收入、资产总额填报上一年度数据，无上一年度数据的新成立企业可不填报。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备注2：供应商如不提供此声明函，价格将不做相应扣除（如项目全面面向中小企业，则资格审查不通过）。</w:t>
      </w:r>
      <w:r/>
    </w:p>
    <w:p>
      <w:pPr>
        <w:pStyle w:val="752"/>
        <w:ind w:right="1560" w:firstLine="120"/>
        <w:jc w:val="center"/>
        <w:spacing w:line="0" w:lineRule="atLeast"/>
        <w:widowControl/>
        <w:tabs>
          <w:tab w:val="left" w:pos="4864" w:leader="none"/>
        </w:tabs>
        <w:rPr>
          <w:rFonts w:ascii="黑体" w:hAnsi="黑体" w:eastAsia="黑体" w:cs="黑体"/>
          <w:i/>
          <w:sz w:val="32"/>
          <w:szCs w:val="32"/>
          <w:highlight w:val="none"/>
        </w:rPr>
      </w:pPr>
      <w:r>
        <w:rPr>
          <w:rFonts w:ascii="黑体" w:hAnsi="黑体" w:eastAsia="黑体" w:cs="黑体"/>
          <w:i/>
          <w:sz w:val="32"/>
          <w:szCs w:val="32"/>
          <w:highlight w:val="none"/>
        </w:rPr>
        <w:br w:type="page" w:clear="all"/>
      </w:r>
      <w:r/>
    </w:p>
    <w:p>
      <w:pPr>
        <w:jc w:val="center"/>
        <w:spacing w:before="120"/>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十、残疾人福利性单位声明函</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sz w:val="24"/>
          <w:szCs w:val="20"/>
          <w:highlight w:val="none"/>
          <w:u w:val="single"/>
        </w:rPr>
        <w:t xml:space="preserve">盐城体育运动学校</w:t>
      </w:r>
      <w:r>
        <w:rPr>
          <w:rFonts w:hint="eastAsia" w:ascii="宋体" w:hAnsi="宋体" w:cs="宋体"/>
          <w:sz w:val="24"/>
          <w:highlight w:val="none"/>
        </w:rPr>
        <w:t xml:space="preserve">单位的采购文件编号为</w:t>
      </w:r>
      <w:r>
        <w:rPr>
          <w:rFonts w:hint="eastAsia" w:ascii="宋体" w:hAnsi="宋体" w:cs="宋体"/>
          <w:sz w:val="24"/>
          <w:highlight w:val="none"/>
          <w:u w:val="single"/>
        </w:rPr>
        <w:t xml:space="preserve">JSZC-320900-JZCG-G2025-0052</w:t>
      </w:r>
      <w:r>
        <w:rPr>
          <w:rFonts w:hint="eastAsia" w:ascii="宋体" w:hAnsi="宋体" w:cs="宋体"/>
          <w:sz w:val="24"/>
          <w:highlight w:val="none"/>
        </w:rPr>
        <w:t xml:space="preserve">的</w:t>
      </w:r>
      <w:r>
        <w:rPr>
          <w:rFonts w:hint="eastAsia" w:ascii="宋体" w:hAnsi="宋体" w:eastAsia="宋体" w:cs="宋体"/>
          <w:sz w:val="24"/>
          <w:szCs w:val="20"/>
          <w:highlight w:val="none"/>
          <w:u w:val="single"/>
        </w:rPr>
        <w:t xml:space="preserve">盐城体育运动学校新校区家具采购项目</w:t>
      </w:r>
      <w:r>
        <w:rPr>
          <w:rFonts w:hint="eastAsia" w:ascii="宋体" w:hAnsi="宋体" w:cs="宋体"/>
          <w:sz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482"/>
        <w:jc w:val="left"/>
        <w:spacing w:line="500" w:lineRule="exact"/>
        <w:rPr>
          <w:rFonts w:ascii="宋体" w:hAnsi="宋体" w:cs="宋体"/>
          <w:sz w:val="24"/>
          <w:highlight w:val="none"/>
        </w:rPr>
      </w:pPr>
      <w:r>
        <w:rPr>
          <w:rFonts w:ascii="宋体" w:hAnsi="宋体" w:cs="宋体"/>
          <w:sz w:val="24"/>
          <w:highlight w:val="none"/>
        </w:rPr>
      </w:r>
      <w:r/>
    </w:p>
    <w:p>
      <w:pPr>
        <w:ind w:firstLine="482"/>
        <w:spacing w:line="500" w:lineRule="exac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rPr>
          <w:rFonts w:hint="eastAsia" w:ascii="宋体" w:hAnsi="宋体" w:eastAsia="宋体" w:cs="宋体"/>
          <w:sz w:val="24"/>
          <w:highlight w:val="none"/>
        </w:rPr>
        <w:t xml:space="preserve">。</w:t>
      </w:r>
      <w:r/>
    </w:p>
    <w:p>
      <w:pPr>
        <w:ind w:firstLine="480"/>
        <w:jc w:val="left"/>
        <w:spacing w:line="520" w:lineRule="exact"/>
        <w:rPr>
          <w:rFonts w:ascii="宋体" w:hAnsi="宋体" w:cs="宋体"/>
          <w:sz w:val="24"/>
          <w:highlight w:val="none"/>
        </w:rPr>
      </w:pPr>
      <w:r>
        <w:rPr>
          <w:rFonts w:ascii="宋体" w:hAnsi="宋体" w:cs="宋体"/>
          <w:sz w:val="24"/>
          <w:highlight w:val="none"/>
        </w:rPr>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 </w:t>
      </w:r>
      <w:r/>
    </w:p>
    <w:p>
      <w:pPr>
        <w:ind w:right="480" w:firstLine="480"/>
        <w:jc w:val="right"/>
        <w:spacing w:line="520" w:lineRule="exact"/>
        <w:rPr>
          <w:rFonts w:ascii="宋体" w:hAnsi="宋体" w:cs="宋体"/>
          <w:sz w:val="24"/>
          <w:highlight w:val="none"/>
        </w:rPr>
      </w:pPr>
      <w:r>
        <w:rPr>
          <w:rFonts w:hint="eastAsia" w:ascii="宋体" w:hAnsi="宋体" w:cs="宋体"/>
          <w:sz w:val="24"/>
          <w:highlight w:val="none"/>
        </w:rPr>
        <w:t xml:space="preserve">企业名称（加盖CA电子公章）：        </w:t>
      </w:r>
      <w:r/>
    </w:p>
    <w:p>
      <w:pPr>
        <w:ind w:right="480" w:firstLine="480"/>
        <w:jc w:val="right"/>
        <w:spacing w:line="520" w:lineRule="exact"/>
        <w:rPr>
          <w:rFonts w:ascii="宋体" w:hAnsi="宋体" w:cs="宋体"/>
          <w:sz w:val="24"/>
          <w:highlight w:val="none"/>
        </w:rPr>
      </w:pPr>
      <w:r>
        <w:rPr>
          <w:rFonts w:hint="eastAsia" w:ascii="宋体" w:hAnsi="宋体" w:cs="宋体"/>
          <w:sz w:val="24"/>
          <w:highlight w:val="none"/>
        </w:rPr>
        <w:t xml:space="preserve">日  期：        </w:t>
      </w:r>
      <w:r/>
    </w:p>
    <w:p>
      <w:pPr>
        <w:ind w:right="480" w:firstLine="480"/>
        <w:spacing w:line="520" w:lineRule="exact"/>
        <w:rPr>
          <w:highlight w:val="none"/>
        </w:rPr>
      </w:pPr>
      <w:r>
        <w:rPr>
          <w:highlight w:val="none"/>
        </w:rPr>
        <w:t xml:space="preserve"> </w:t>
      </w:r>
      <w:r/>
    </w:p>
    <w:p>
      <w:pPr>
        <w:rPr>
          <w:rFonts w:ascii="方正小标宋_GBK" w:hAnsi="宋体" w:eastAsia="方正小标宋_GBK" w:cs="黑体"/>
          <w:iCs/>
          <w:sz w:val="30"/>
          <w:szCs w:val="30"/>
          <w:highlight w:val="none"/>
        </w:rPr>
      </w:pPr>
      <w:r>
        <w:rPr>
          <w:rFonts w:ascii="方正小标宋_GBK" w:hAnsi="宋体" w:eastAsia="方正小标宋_GBK" w:cs="黑体"/>
          <w:iCs/>
          <w:sz w:val="30"/>
          <w:szCs w:val="30"/>
          <w:highlight w:val="none"/>
        </w:rPr>
        <w:br w:type="page" w:clear="all"/>
      </w:r>
      <w:r/>
    </w:p>
    <w:p>
      <w:pPr>
        <w:jc w:val="center"/>
        <w:spacing w:before="120"/>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十一、投标分项报价表</w:t>
      </w:r>
      <w:r/>
    </w:p>
    <w:tbl>
      <w:tblPr>
        <w:tblStyle w:val="727"/>
        <w:tblW w:w="890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65"/>
        <w:gridCol w:w="1031"/>
        <w:gridCol w:w="937"/>
        <w:gridCol w:w="1094"/>
        <w:gridCol w:w="1022"/>
        <w:gridCol w:w="950"/>
        <w:gridCol w:w="818"/>
        <w:gridCol w:w="1207"/>
        <w:gridCol w:w="1283"/>
      </w:tblGrid>
      <w:tr>
        <w:trPr>
          <w:tblCellSpacing w:w="0" w:type="dxa"/>
          <w:trHeight w:val="653"/>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8</w:t>
            </w:r>
            <w:r/>
          </w:p>
        </w:tc>
      </w:tr>
      <w:tr>
        <w:trPr>
          <w:tblCellSpacing w:w="0" w:type="dxa"/>
          <w:trHeight w:val="653"/>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产品</w:t>
            </w:r>
            <w:r/>
          </w:p>
          <w:p>
            <w:pPr>
              <w:pStyle w:val="752"/>
              <w:jc w:val="center"/>
              <w:spacing w:beforeAutospacing="0" w:afterAutospacing="0" w:line="0" w:lineRule="atLeast"/>
              <w:rPr>
                <w:highlight w:val="none"/>
              </w:rPr>
            </w:pPr>
            <w:r>
              <w:rPr>
                <w:rFonts w:hint="eastAsia" w:ascii="宋体" w:hAnsi="宋体" w:eastAsia="宋体" w:cs="宋体"/>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规格</w:t>
            </w:r>
            <w:r/>
          </w:p>
          <w:p>
            <w:pPr>
              <w:pStyle w:val="752"/>
              <w:jc w:val="center"/>
              <w:spacing w:beforeAutospacing="0" w:afterAutospacing="0" w:line="0" w:lineRule="atLeast"/>
              <w:rPr>
                <w:highlight w:val="none"/>
              </w:rPr>
            </w:pPr>
            <w:r>
              <w:rPr>
                <w:rFonts w:hint="eastAsia" w:ascii="宋体" w:hAnsi="宋体" w:eastAsia="宋体" w:cs="宋体"/>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分项总价</w:t>
            </w:r>
            <w:r/>
          </w:p>
        </w:tc>
      </w:tr>
      <w:tr>
        <w:trPr>
          <w:tblCellSpacing w:w="0" w:type="dxa"/>
          <w:trHeight w:val="728"/>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r>
      <w:tr>
        <w:trPr>
          <w:tblCellSpacing w:w="0" w:type="dxa"/>
          <w:trHeight w:val="61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52"/>
              <w:jc w:val="center"/>
              <w:spacing w:beforeAutospacing="0" w:afterAutospacing="0" w:line="0" w:lineRule="atLeast"/>
              <w:rPr>
                <w:highlight w:val="none"/>
              </w:rPr>
            </w:pPr>
            <w:r>
              <w:rPr>
                <w:rFonts w:hint="eastAsia" w:ascii="宋体" w:hAnsi="宋体" w:eastAsia="宋体" w:cs="宋体"/>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52"/>
              <w:jc w:val="both"/>
              <w:spacing w:beforeAutospacing="0" w:afterAutospacing="0" w:line="0" w:lineRule="atLeast"/>
              <w:rPr>
                <w:highlight w:val="none"/>
              </w:rPr>
            </w:pPr>
            <w:r>
              <w:rPr>
                <w:rFonts w:hint="eastAsia" w:ascii="宋体" w:hAnsi="宋体" w:eastAsia="宋体" w:cs="宋体"/>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752"/>
              <w:jc w:val="both"/>
              <w:spacing w:beforeAutospacing="0" w:afterAutospacing="0" w:line="0" w:lineRule="atLeast"/>
              <w:rPr>
                <w:highlight w:val="none"/>
              </w:rPr>
            </w:pPr>
            <w:r>
              <w:rPr>
                <w:highlight w:val="none"/>
              </w:rPr>
              <w:t xml:space="preserve"> </w:t>
            </w:r>
            <w:r/>
          </w:p>
        </w:tc>
      </w:tr>
      <w:tr>
        <w:trPr>
          <w:tblCellSpacing w:w="0" w:type="dxa"/>
          <w:trHeight w:val="1068"/>
        </w:trPr>
        <w:tc>
          <w:tcPr>
            <w:gridSpan w:val="8"/>
            <w:shd w:val="clear" w:color="auto" w:fill="auto"/>
            <w:tcBorders>
              <w:top w:val="single" w:color="000000" w:sz="4" w:space="0"/>
              <w:left w:val="single" w:color="000000" w:sz="4" w:space="0"/>
              <w:bottom w:val="single" w:color="000000" w:sz="4" w:space="0"/>
              <w:right w:val="single" w:color="000000" w:sz="4" w:space="0"/>
            </w:tcBorders>
            <w:tcW w:w="7624" w:type="dxa"/>
            <w:vAlign w:val="center"/>
            <w:textDirection w:val="lrTb"/>
            <w:noWrap w:val="false"/>
          </w:tcPr>
          <w:p>
            <w:pPr>
              <w:pStyle w:val="752"/>
              <w:jc w:val="center"/>
              <w:spacing w:beforeAutospacing="0" w:afterAutospacing="0"/>
              <w:rPr>
                <w:highlight w:val="none"/>
              </w:rPr>
            </w:pPr>
            <w:r>
              <w:rPr>
                <w:rFonts w:hint="eastAsia" w:ascii="宋体" w:hAnsi="宋体" w:eastAsia="宋体" w:cs="宋体"/>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752"/>
              <w:jc w:val="both"/>
              <w:spacing w:beforeAutospacing="0" w:afterAutospacing="0"/>
              <w:rPr>
                <w:highlight w:val="none"/>
              </w:rPr>
            </w:pPr>
            <w:r>
              <w:rPr>
                <w:highlight w:val="none"/>
              </w:rPr>
              <w:t xml:space="preserve"> </w:t>
            </w:r>
            <w:r/>
          </w:p>
        </w:tc>
      </w:tr>
    </w:tbl>
    <w:p>
      <w:pPr>
        <w:pStyle w:val="752"/>
        <w:jc w:val="both"/>
        <w:spacing w:beforeAutospacing="0" w:afterAutospacing="0" w:line="500" w:lineRule="exact"/>
        <w:rPr>
          <w:rFonts w:ascii="宋体" w:hAnsi="宋体" w:eastAsia="宋体" w:cs="宋体"/>
          <w:highlight w:val="none"/>
        </w:rPr>
      </w:pPr>
      <w:r>
        <w:rPr>
          <w:rFonts w:ascii="宋体" w:hAnsi="宋体" w:eastAsia="宋体" w:cs="宋体"/>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投标分项报价表”中“投标总报价”数额应当与“开标一览表”中“投标总报价”数额一致。</w:t>
      </w:r>
      <w:r/>
    </w:p>
    <w:p>
      <w:pPr>
        <w:pStyle w:val="752"/>
        <w:jc w:val="both"/>
        <w:spacing w:beforeAutospacing="0" w:afterAutospacing="0"/>
        <w:rPr>
          <w:rFonts w:ascii="宋体" w:hAnsi="宋体" w:eastAsia="宋体" w:cs="宋体"/>
          <w:highlight w:val="none"/>
        </w:rPr>
      </w:pPr>
      <w:r>
        <w:rPr>
          <w:rFonts w:ascii="宋体" w:hAnsi="宋体" w:eastAsia="宋体" w:cs="宋体"/>
          <w:highlight w:val="none"/>
        </w:rPr>
        <w:t xml:space="preserve"> </w:t>
      </w:r>
      <w:r/>
    </w:p>
    <w:p>
      <w:pPr>
        <w:pStyle w:val="752"/>
        <w:jc w:val="both"/>
        <w:spacing w:beforeAutospacing="0" w:afterAutospacing="0"/>
        <w:rPr>
          <w:rFonts w:ascii="宋体" w:hAnsi="宋体" w:eastAsia="宋体" w:cs="宋体"/>
          <w:highlight w:val="none"/>
        </w:rPr>
      </w:pPr>
      <w:r>
        <w:rPr>
          <w:rFonts w:ascii="宋体" w:hAnsi="宋体" w:eastAsia="宋体" w:cs="宋体"/>
          <w:highlight w:val="none"/>
        </w:rPr>
        <w:t xml:space="preserve"> </w:t>
      </w:r>
      <w:r/>
    </w:p>
    <w:p>
      <w:pPr>
        <w:pStyle w:val="752"/>
        <w:widowControl/>
        <w:rPr>
          <w:rFonts w:asciiTheme="minorEastAsia" w:hAnsiTheme="minorEastAsia"/>
          <w:sz w:val="28"/>
          <w:szCs w:val="28"/>
          <w:highlight w:val="none"/>
        </w:rPr>
      </w:pPr>
      <w:r>
        <w:rPr>
          <w:rFonts w:asciiTheme="minorEastAsia" w:hAnsiTheme="minorEastAsia"/>
          <w:sz w:val="28"/>
          <w:szCs w:val="28"/>
          <w:highlight w:val="none"/>
        </w:rPr>
      </w:r>
      <w:r/>
    </w:p>
    <w:p>
      <w:pPr>
        <w:widowControl/>
        <w:rPr>
          <w:rFonts w:asciiTheme="minorEastAsia" w:hAnsiTheme="minorEastAsia"/>
          <w:sz w:val="28"/>
          <w:szCs w:val="28"/>
          <w:highlight w:val="none"/>
        </w:rPr>
      </w:pPr>
      <w:r>
        <w:rPr>
          <w:rFonts w:asciiTheme="minorEastAsia" w:hAnsiTheme="minorEastAsia"/>
          <w:sz w:val="28"/>
          <w:szCs w:val="28"/>
          <w:highlight w:val="none"/>
        </w:rPr>
        <w:br w:type="page" w:clear="all"/>
      </w:r>
      <w:r/>
    </w:p>
    <w:p>
      <w:pPr>
        <w:jc w:val="center"/>
        <w:spacing w:before="120" w:line="400" w:lineRule="exact"/>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十二、技术要求响应及偏离表</w:t>
      </w:r>
      <w:r/>
    </w:p>
    <w:tbl>
      <w:tblPr>
        <w:tblStyle w:val="727"/>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序号</w:t>
            </w:r>
            <w:r/>
          </w:p>
        </w:tc>
        <w:tc>
          <w:tcPr>
            <w:tcW w:w="1900" w:type="dxa"/>
            <w:vAlign w:val="center"/>
            <w:textDirection w:val="lrTb"/>
            <w:noWrap w:val="false"/>
          </w:tcPr>
          <w:p>
            <w:pPr>
              <w:jc w:val="center"/>
              <w:spacing w:line="4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招标文件要求</w:t>
            </w:r>
            <w:r/>
          </w:p>
        </w:tc>
        <w:tc>
          <w:tcPr>
            <w:tcW w:w="2006" w:type="dxa"/>
            <w:vAlign w:val="center"/>
            <w:textDirection w:val="lrTb"/>
            <w:noWrap w:val="false"/>
          </w:tcPr>
          <w:p>
            <w:pPr>
              <w:jc w:val="center"/>
              <w:spacing w:line="4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投标响应情况</w:t>
            </w:r>
            <w:r/>
          </w:p>
        </w:tc>
        <w:tc>
          <w:tcPr>
            <w:tcW w:w="2304" w:type="dxa"/>
            <w:vAlign w:val="center"/>
            <w:textDirection w:val="lrTb"/>
            <w:noWrap w:val="false"/>
          </w:tcPr>
          <w:p>
            <w:pPr>
              <w:jc w:val="center"/>
              <w:spacing w:line="4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超出、符合或偏离</w:t>
            </w:r>
            <w:r/>
          </w:p>
        </w:tc>
        <w:tc>
          <w:tcPr>
            <w:tcW w:w="1514" w:type="dxa"/>
            <w:vAlign w:val="center"/>
            <w:textDirection w:val="lrTb"/>
            <w:noWrap w:val="false"/>
          </w:tcPr>
          <w:p>
            <w:pPr>
              <w:jc w:val="center"/>
              <w:spacing w:line="4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证明材料</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bl>
    <w:p>
      <w:pPr>
        <w:pStyle w:val="752"/>
        <w:widowControl/>
        <w:rPr>
          <w:rFonts w:asciiTheme="minorEastAsia" w:hAnsiTheme="minorEastAsia" w:cstheme="minorEastAsia"/>
          <w:highlight w:val="none"/>
        </w:rPr>
      </w:pPr>
      <w:r>
        <w:rPr>
          <w:rFonts w:hint="eastAsia" w:asciiTheme="minorEastAsia" w:hAnsiTheme="minorEastAsia" w:cstheme="minorEastAsia"/>
          <w:highlight w:val="none"/>
        </w:rPr>
        <w:t xml:space="preserve">注：行数不够，可自行添加。</w:t>
      </w:r>
      <w:r/>
    </w:p>
    <w:p>
      <w:pPr>
        <w:pStyle w:val="752"/>
        <w:widowControl/>
        <w:rPr>
          <w:rFonts w:asciiTheme="minorEastAsia" w:hAnsiTheme="minorEastAsia"/>
          <w:highlight w:val="none"/>
        </w:rPr>
      </w:pPr>
      <w:r>
        <w:rPr>
          <w:rFonts w:asciiTheme="minorEastAsia" w:hAnsiTheme="minorEastAsia"/>
          <w:highlight w:val="none"/>
        </w:rPr>
        <w:t xml:space="preserve"> </w:t>
      </w:r>
      <w:r/>
    </w:p>
    <w:p>
      <w:pPr>
        <w:jc w:val="left"/>
        <w:widowControl/>
        <w:rPr>
          <w:rFonts w:cs="Times New Roman" w:asciiTheme="minorEastAsia" w:hAnsiTheme="minorEastAsia"/>
          <w:sz w:val="32"/>
          <w:szCs w:val="32"/>
          <w:highlight w:val="none"/>
        </w:rPr>
      </w:pPr>
      <w:r>
        <w:rPr>
          <w:rFonts w:asciiTheme="minorEastAsia" w:hAnsiTheme="minorEastAsia"/>
          <w:highlight w:val="none"/>
        </w:rPr>
        <w:br w:type="page" w:clear="all"/>
      </w:r>
      <w:r/>
    </w:p>
    <w:p>
      <w:pPr>
        <w:jc w:val="center"/>
        <w:spacing w:before="120" w:line="400" w:lineRule="exact"/>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十三、商务要求响应及偏离表</w:t>
      </w:r>
      <w:r/>
    </w:p>
    <w:tbl>
      <w:tblPr>
        <w:tblStyle w:val="727"/>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序号</w:t>
            </w:r>
            <w:r/>
          </w:p>
        </w:tc>
        <w:tc>
          <w:tcPr>
            <w:tcW w:w="1900" w:type="dxa"/>
            <w:vAlign w:val="center"/>
            <w:textDirection w:val="lrTb"/>
            <w:noWrap w:val="false"/>
          </w:tcPr>
          <w:p>
            <w:pPr>
              <w:jc w:val="center"/>
              <w:spacing w:line="4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招标文件要求</w:t>
            </w:r>
            <w:r/>
          </w:p>
        </w:tc>
        <w:tc>
          <w:tcPr>
            <w:tcW w:w="2006" w:type="dxa"/>
            <w:vAlign w:val="center"/>
            <w:textDirection w:val="lrTb"/>
            <w:noWrap w:val="false"/>
          </w:tcPr>
          <w:p>
            <w:pPr>
              <w:jc w:val="center"/>
              <w:spacing w:line="4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投标响应情况</w:t>
            </w:r>
            <w:r/>
          </w:p>
        </w:tc>
        <w:tc>
          <w:tcPr>
            <w:tcW w:w="2304" w:type="dxa"/>
            <w:vAlign w:val="center"/>
            <w:textDirection w:val="lrTb"/>
            <w:noWrap w:val="false"/>
          </w:tcPr>
          <w:p>
            <w:pPr>
              <w:jc w:val="center"/>
              <w:spacing w:line="4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超出、符合或偏离</w:t>
            </w:r>
            <w:r/>
          </w:p>
        </w:tc>
        <w:tc>
          <w:tcPr>
            <w:tcW w:w="1514" w:type="dxa"/>
            <w:vAlign w:val="center"/>
            <w:textDirection w:val="lrTb"/>
            <w:noWrap w:val="false"/>
          </w:tcPr>
          <w:p>
            <w:pPr>
              <w:jc w:val="center"/>
              <w:spacing w:line="400" w:lineRule="exact"/>
              <w:widowControl/>
              <w:rPr>
                <w:rFonts w:asciiTheme="minorEastAsia" w:hAnsiTheme="minorEastAsia" w:cstheme="minorEastAsia"/>
                <w:b/>
                <w:bCs/>
                <w:sz w:val="24"/>
                <w:highlight w:val="none"/>
              </w:rPr>
            </w:pPr>
            <w:r>
              <w:rPr>
                <w:rFonts w:hint="eastAsia" w:asciiTheme="minorEastAsia" w:hAnsiTheme="minorEastAsia" w:cstheme="minorEastAsia"/>
                <w:b/>
                <w:bCs/>
                <w:sz w:val="24"/>
                <w:highlight w:val="none"/>
              </w:rPr>
              <w:t xml:space="preserve">证明材料</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　</w:t>
            </w:r>
            <w:r/>
          </w:p>
        </w:tc>
      </w:tr>
    </w:tbl>
    <w:p>
      <w:pPr>
        <w:pStyle w:val="752"/>
        <w:widowControl/>
        <w:rPr>
          <w:rFonts w:asciiTheme="minorEastAsia" w:hAnsiTheme="minorEastAsia" w:cstheme="minorEastAsia"/>
          <w:highlight w:val="none"/>
        </w:rPr>
      </w:pPr>
      <w:r>
        <w:rPr>
          <w:rFonts w:hint="eastAsia" w:asciiTheme="minorEastAsia" w:hAnsiTheme="minorEastAsia" w:cstheme="minorEastAsia"/>
          <w:highlight w:val="none"/>
        </w:rPr>
        <w:t xml:space="preserve">注：行数不够，可自行添加。</w:t>
      </w:r>
      <w:r/>
    </w:p>
    <w:p>
      <w:pPr>
        <w:pStyle w:val="752"/>
        <w:jc w:val="center"/>
        <w:widowControl/>
        <w:rPr>
          <w:rFonts w:ascii="方正小标宋_GBK" w:hAnsi="宋体" w:eastAsia="方正小标宋_GBK" w:cs="黑体"/>
          <w:iCs/>
          <w:sz w:val="30"/>
          <w:szCs w:val="30"/>
          <w:highlight w:val="none"/>
        </w:rPr>
      </w:pPr>
      <w:r>
        <w:rPr>
          <w:rFonts w:ascii="方正小标宋_GBK" w:hAnsi="宋体" w:eastAsia="方正小标宋_GBK" w:cs="黑体"/>
          <w:iCs/>
          <w:sz w:val="30"/>
          <w:szCs w:val="30"/>
          <w:highlight w:val="none"/>
        </w:rPr>
      </w:r>
      <w:r/>
    </w:p>
    <w:p>
      <w:pPr>
        <w:jc w:val="left"/>
        <w:widowControl/>
        <w:rPr>
          <w:rFonts w:cs="Times New Roman" w:asciiTheme="minorEastAsia" w:hAnsiTheme="minorEastAsia"/>
          <w:sz w:val="32"/>
          <w:szCs w:val="32"/>
          <w:highlight w:val="none"/>
        </w:rPr>
      </w:pPr>
      <w:r>
        <w:rPr>
          <w:rFonts w:asciiTheme="minorEastAsia" w:hAnsiTheme="minorEastAsia"/>
          <w:highlight w:val="none"/>
        </w:rPr>
        <w:br w:type="page" w:clear="all"/>
      </w:r>
      <w:r/>
    </w:p>
    <w:p>
      <w:pPr>
        <w:jc w:val="center"/>
        <w:spacing w:before="120" w:line="400" w:lineRule="exact"/>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十四、开标一览表</w:t>
      </w:r>
      <w:r/>
    </w:p>
    <w:p>
      <w:pPr>
        <w:jc w:val="center"/>
        <w:spacing w:before="50" w:after="50"/>
        <w:rPr>
          <w:sz w:val="22"/>
          <w:szCs w:val="22"/>
          <w:highlight w:val="none"/>
        </w:rPr>
        <w:pBdr>
          <w:top w:val="none" w:color="000000" w:sz="0" w:space="0"/>
          <w:left w:val="none" w:color="000000" w:sz="0" w:space="0"/>
          <w:bottom w:val="none" w:color="000000" w:sz="0" w:space="0"/>
          <w:right w:val="none" w:color="000000" w:sz="0" w:space="0"/>
        </w:pBdr>
      </w:pPr>
      <w:r>
        <w:rPr>
          <w:sz w:val="22"/>
          <w:szCs w:val="22"/>
          <w:highlight w:val="none"/>
        </w:rPr>
      </w:r>
      <w:r/>
    </w:p>
    <w:p>
      <w:pPr>
        <w:spacing w:before="100" w:after="1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投标人全称（CA公章）： 供应商名称 </w:t>
      </w:r>
      <w:r/>
    </w:p>
    <w:p>
      <w:pPr>
        <w:spacing w:before="100" w:after="1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项目名称：盐城体育运动学校新校区家具采购项目</w:t>
      </w:r>
      <w:r/>
    </w:p>
    <w:p>
      <w:pPr>
        <w:spacing w:before="100" w:after="1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项目编号：JSZC-320900-JZCG-G2025-0052</w:t>
      </w:r>
      <w:r/>
    </w:p>
    <w:p>
      <w:pPr>
        <w:spacing w:before="100" w:after="100"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分包号：/</w:t>
      </w:r>
      <w:r/>
    </w:p>
    <w:tbl>
      <w:tblPr>
        <w:tblStyle w:val="757"/>
        <w:tblW w:w="87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30"/>
        <w:gridCol w:w="4335"/>
      </w:tblGrid>
      <w:tr>
        <w:trPr>
          <w:jc w:val="center"/>
          <w:trHeight w:val="93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430" w:type="dxa"/>
            <w:vAlign w:val="center"/>
            <w:textDirection w:val="lrTb"/>
            <w:noWrap w:val="false"/>
          </w:tcPr>
          <w:p>
            <w:pPr>
              <w:jc w:val="center"/>
              <w:spacing w:before="100" w:after="10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35" w:type="dxa"/>
            <w:vAlign w:val="center"/>
            <w:textDirection w:val="lrTb"/>
            <w:noWrap w:val="false"/>
          </w:tcPr>
          <w:p>
            <w:pPr>
              <w:jc w:val="center"/>
              <w:spacing w:before="100" w:after="10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总价（小写）</w:t>
            </w:r>
            <w:r/>
          </w:p>
        </w:tc>
      </w:tr>
      <w:tr>
        <w:trPr>
          <w:jc w:val="center"/>
          <w:trHeight w:val="94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430" w:type="dxa"/>
            <w:vAlign w:val="center"/>
            <w:textDirection w:val="lrTb"/>
            <w:noWrap w:val="false"/>
          </w:tcPr>
          <w:p>
            <w:pPr>
              <w:jc w:val="center"/>
              <w:spacing w:before="100" w:after="10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投标产品名称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35" w:type="dxa"/>
            <w:vAlign w:val="center"/>
            <w:textDirection w:val="lrTb"/>
            <w:noWrap w:val="false"/>
          </w:tcPr>
          <w:p>
            <w:pPr>
              <w:spacing w:before="100" w:after="10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元</w:t>
            </w:r>
            <w:r/>
          </w:p>
        </w:tc>
      </w:tr>
      <w:tr>
        <w:trPr>
          <w:jc w:val="center"/>
          <w:trHeight w:val="110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430" w:type="dxa"/>
            <w:vAlign w:val="center"/>
            <w:textDirection w:val="lrTb"/>
            <w:noWrap w:val="false"/>
          </w:tcPr>
          <w:p>
            <w:pPr>
              <w:jc w:val="center"/>
              <w:spacing w:before="100" w:after="10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35" w:type="dxa"/>
            <w:vAlign w:val="center"/>
            <w:textDirection w:val="lrTb"/>
            <w:noWrap w:val="false"/>
          </w:tcPr>
          <w:p>
            <w:pPr>
              <w:spacing w:before="100" w:after="10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spacing w:before="100" w:after="10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p>
    <w:p>
      <w:pPr>
        <w:jc w:val="right"/>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rFonts w:ascii="Calibri" w:hAnsi="Calibri" w:eastAsia="Calibri" w:cs="Calibri"/>
          <w:color w:val="000000"/>
          <w:sz w:val="24"/>
          <w:highlight w:val="none"/>
        </w:rPr>
        <w:t xml:space="preserve">    </w:t>
      </w:r>
      <w:r>
        <w:rPr>
          <w:rFonts w:ascii="宋体" w:hAnsi="宋体" w:eastAsia="宋体" w:cs="宋体"/>
          <w:color w:val="000000"/>
          <w:sz w:val="24"/>
          <w:highlight w:val="none"/>
        </w:rPr>
        <w:t xml:space="preserve">年      月   日</w:t>
      </w:r>
      <w:r/>
    </w:p>
    <w:p>
      <w:pPr>
        <w:jc w:val="left"/>
        <w:widowControl/>
        <w:rPr>
          <w:rFonts w:ascii="宋体" w:hAnsi="宋体" w:eastAsia="宋体" w:cs="宋体"/>
          <w:sz w:val="24"/>
          <w:szCs w:val="21"/>
          <w:highlight w:val="none"/>
        </w:rPr>
      </w:pPr>
      <w:r>
        <w:rPr>
          <w:rFonts w:ascii="宋体" w:hAnsi="宋体" w:eastAsia="宋体" w:cs="宋体"/>
          <w:sz w:val="24"/>
          <w:szCs w:val="21"/>
          <w:highlight w:val="none"/>
        </w:rPr>
      </w:r>
      <w:r/>
    </w:p>
    <w:p>
      <w:pP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br w:type="page" w:clear="all"/>
      </w:r>
      <w:r/>
    </w:p>
    <w:p>
      <w:pPr>
        <w:jc w:val="center"/>
        <w:spacing w:before="120" w:line="400" w:lineRule="exact"/>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十五、技术方案、服务承诺、培训承诺等</w:t>
      </w:r>
      <w:r/>
    </w:p>
    <w:p>
      <w:pPr>
        <w:jc w:val="center"/>
        <w:spacing w:before="120" w:line="400" w:lineRule="exact"/>
        <w:widowControl/>
        <w:rPr>
          <w:rFonts w:ascii="黑体" w:hAnsi="黑体" w:eastAsia="黑体" w:cs="黑体"/>
          <w:i/>
          <w:sz w:val="32"/>
          <w:szCs w:val="32"/>
          <w:highlight w:val="none"/>
          <w:u w:val="single"/>
        </w:rPr>
      </w:pPr>
      <w:r>
        <w:rPr>
          <w:rFonts w:ascii="黑体" w:hAnsi="黑体" w:eastAsia="黑体" w:cs="黑体"/>
          <w:i/>
          <w:sz w:val="32"/>
          <w:szCs w:val="32"/>
          <w:highlight w:val="none"/>
          <w:u w:val="single"/>
        </w:rPr>
      </w:r>
      <w:r/>
    </w:p>
    <w:p>
      <w:pPr>
        <w:jc w:val="center"/>
        <w:spacing w:line="499" w:lineRule="atLeast"/>
        <w:widowControl/>
        <w:rPr>
          <w:rFonts w:cs="Times New Roman" w:asciiTheme="minorEastAsia" w:hAnsiTheme="minorEastAsia"/>
          <w:sz w:val="32"/>
          <w:szCs w:val="32"/>
          <w:highlight w:val="none"/>
        </w:rPr>
      </w:pPr>
      <w:r>
        <w:rPr>
          <w:rFonts w:cs="Times New Roman" w:asciiTheme="minorEastAsia" w:hAnsiTheme="minorEastAsia"/>
          <w:sz w:val="32"/>
          <w:szCs w:val="32"/>
          <w:highlight w:val="none"/>
        </w:rPr>
      </w:r>
      <w:r/>
    </w:p>
    <w:p>
      <w:pPr>
        <w:jc w:val="center"/>
        <w:spacing w:line="499" w:lineRule="atLeast"/>
        <w:widowControl/>
        <w:rPr>
          <w:rFonts w:cs="Times New Roman" w:asciiTheme="minorEastAsia" w:hAnsiTheme="minorEastAsia"/>
          <w:sz w:val="32"/>
          <w:szCs w:val="32"/>
          <w:highlight w:val="none"/>
        </w:rPr>
      </w:pPr>
      <w:r>
        <w:rPr>
          <w:rFonts w:cs="Times New Roman" w:asciiTheme="minorEastAsia" w:hAnsiTheme="minorEastAsia"/>
          <w:sz w:val="32"/>
          <w:szCs w:val="32"/>
          <w:highlight w:val="none"/>
        </w:rPr>
      </w:r>
      <w:r/>
    </w:p>
    <w:p>
      <w:pPr>
        <w:jc w:val="center"/>
        <w:spacing w:line="499" w:lineRule="atLeast"/>
        <w:widowControl/>
        <w:rPr>
          <w:rFonts w:cs="Times New Roman" w:asciiTheme="minorEastAsia" w:hAnsiTheme="minorEastAsia"/>
          <w:sz w:val="32"/>
          <w:szCs w:val="32"/>
          <w:highlight w:val="none"/>
        </w:rPr>
      </w:pPr>
      <w:r>
        <w:rPr>
          <w:rFonts w:cs="Times New Roman" w:asciiTheme="minorEastAsia" w:hAnsiTheme="minorEastAsia"/>
          <w:sz w:val="32"/>
          <w:szCs w:val="32"/>
          <w:highlight w:val="none"/>
        </w:rPr>
      </w:r>
      <w:r/>
    </w:p>
    <w:p>
      <w:pPr>
        <w:widowControl/>
        <w:rPr>
          <w:rFonts w:cs="Times New Roman" w:asciiTheme="minorEastAsia" w:hAnsiTheme="minorEastAsia"/>
          <w:sz w:val="32"/>
          <w:szCs w:val="32"/>
          <w:highlight w:val="none"/>
        </w:rPr>
      </w:pPr>
      <w:r>
        <w:rPr>
          <w:rFonts w:cs="Times New Roman" w:asciiTheme="minorEastAsia" w:hAnsiTheme="minorEastAsia"/>
          <w:sz w:val="32"/>
          <w:szCs w:val="32"/>
          <w:highlight w:val="none"/>
        </w:rPr>
        <w:br w:type="page" w:clear="all"/>
      </w:r>
      <w:r/>
    </w:p>
    <w:p>
      <w:pPr>
        <w:jc w:val="center"/>
        <w:spacing w:before="120" w:line="400" w:lineRule="exact"/>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十六、盐城市政府采购事前信用承诺书</w:t>
      </w:r>
      <w:r/>
    </w:p>
    <w:p>
      <w:pPr>
        <w:ind w:firstLine="440"/>
        <w:spacing w:line="520" w:lineRule="exact"/>
        <w:widowControl/>
        <w:rPr>
          <w:sz w:val="24"/>
          <w:highlight w:val="none"/>
        </w:rPr>
      </w:pPr>
      <w:r>
        <w:rPr>
          <w:rFonts w:hint="eastAsia"/>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sz w:val="24"/>
          <w:highlight w:val="none"/>
        </w:rPr>
      </w:pPr>
      <w:r>
        <w:rPr>
          <w:rFonts w:hint="eastAsia"/>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highlight w:val="none"/>
        </w:rPr>
      </w:pPr>
      <w:r>
        <w:rPr>
          <w:rFonts w:hint="eastAsia"/>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highlight w:val="none"/>
        </w:rPr>
      </w:pPr>
      <w:r>
        <w:rPr>
          <w:rFonts w:hint="eastAsia"/>
          <w:sz w:val="24"/>
          <w:highlight w:val="none"/>
        </w:rPr>
        <w:t xml:space="preserve">（三）严格依照国家和省、市关于政府采购的法律、法规、规章、规范性文件，参加政府采购投标活动；积极履行社会责任，促进廉政建设； </w:t>
      </w:r>
      <w:r/>
    </w:p>
    <w:p>
      <w:pPr>
        <w:ind w:firstLine="440"/>
        <w:spacing w:line="520" w:lineRule="exact"/>
        <w:widowControl/>
        <w:rPr>
          <w:sz w:val="24"/>
          <w:highlight w:val="none"/>
        </w:rPr>
      </w:pPr>
      <w:r>
        <w:rPr>
          <w:rFonts w:hint="eastAsia"/>
          <w:sz w:val="24"/>
          <w:highlight w:val="none"/>
        </w:rPr>
        <w:t xml:space="preserve">（四）严格遵守即时信息公示规定，及时维护和更新盐城市政府采购网中与本单位相关的信息；</w:t>
      </w:r>
      <w:r/>
    </w:p>
    <w:p>
      <w:pPr>
        <w:ind w:firstLine="440"/>
        <w:spacing w:line="520" w:lineRule="exact"/>
        <w:widowControl/>
        <w:rPr>
          <w:sz w:val="24"/>
          <w:highlight w:val="none"/>
        </w:rPr>
      </w:pPr>
      <w:r>
        <w:rPr>
          <w:rFonts w:hint="eastAsia"/>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highlight w:val="none"/>
        </w:rPr>
        <w:outlineLvl w:val="2"/>
      </w:pPr>
      <w:r>
        <w:rPr>
          <w:rFonts w:hint="eastAsia"/>
          <w:sz w:val="24"/>
          <w:highlight w:val="none"/>
        </w:rPr>
        <w:t xml:space="preserve">（六）自觉接受政府、行业组织、社会公众、新闻舆论的监督；</w:t>
      </w:r>
      <w:r/>
    </w:p>
    <w:p>
      <w:pPr>
        <w:ind w:firstLine="440"/>
        <w:spacing w:line="520" w:lineRule="exact"/>
        <w:widowControl/>
        <w:rPr>
          <w:sz w:val="24"/>
          <w:highlight w:val="none"/>
        </w:rPr>
      </w:pPr>
      <w:r>
        <w:rPr>
          <w:rFonts w:hint="eastAsia"/>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highlight w:val="none"/>
        </w:rPr>
        <w:outlineLvl w:val="2"/>
      </w:pPr>
      <w:r>
        <w:rPr>
          <w:rFonts w:hint="eastAsia"/>
          <w:sz w:val="24"/>
          <w:highlight w:val="none"/>
        </w:rPr>
        <w:t xml:space="preserve">（八）本人已认真阅读了上述承诺，并向本单位员工做了宣传教育。</w:t>
      </w:r>
      <w:r/>
    </w:p>
    <w:p>
      <w:pPr>
        <w:ind w:firstLine="440"/>
        <w:spacing w:line="520" w:lineRule="exact"/>
        <w:widowControl/>
        <w:rPr>
          <w:sz w:val="24"/>
          <w:highlight w:val="none"/>
        </w:rPr>
      </w:pPr>
      <w:r>
        <w:rPr>
          <w:rFonts w:hint="eastAsia"/>
          <w:sz w:val="24"/>
          <w:highlight w:val="none"/>
        </w:rPr>
        <w:t xml:space="preserve">                </w:t>
      </w:r>
      <w:r/>
    </w:p>
    <w:p>
      <w:pPr>
        <w:ind w:firstLine="440"/>
        <w:jc w:val="right"/>
        <w:spacing w:line="520" w:lineRule="exact"/>
        <w:widowControl/>
        <w:rPr>
          <w:sz w:val="24"/>
          <w:highlight w:val="none"/>
        </w:rPr>
      </w:pPr>
      <w:r>
        <w:rPr>
          <w:rFonts w:hint="eastAsia"/>
          <w:sz w:val="24"/>
          <w:highlight w:val="none"/>
        </w:rPr>
        <w:t xml:space="preserve"> 法定代表人（签名）：          </w:t>
      </w:r>
      <w:r/>
    </w:p>
    <w:p>
      <w:pPr>
        <w:ind w:firstLine="440"/>
        <w:jc w:val="right"/>
        <w:spacing w:line="520" w:lineRule="exact"/>
        <w:widowControl/>
        <w:rPr>
          <w:sz w:val="24"/>
          <w:highlight w:val="none"/>
        </w:rPr>
      </w:pPr>
      <w:r>
        <w:rPr>
          <w:rFonts w:hint="eastAsia"/>
          <w:sz w:val="24"/>
          <w:highlight w:val="none"/>
        </w:rPr>
        <w:t xml:space="preserve">单位名称（盖章）：          </w:t>
      </w:r>
      <w:r/>
    </w:p>
    <w:p>
      <w:pPr>
        <w:ind w:firstLine="440"/>
        <w:spacing w:line="520" w:lineRule="exact"/>
        <w:widowControl/>
        <w:rPr>
          <w:rFonts w:cs="Times New Roman" w:asciiTheme="minorEastAsia" w:hAnsiTheme="minorEastAsia"/>
          <w:sz w:val="32"/>
          <w:szCs w:val="32"/>
          <w:highlight w:val="none"/>
        </w:rPr>
      </w:pPr>
      <w:r>
        <w:rPr>
          <w:rFonts w:hint="eastAsia"/>
          <w:sz w:val="24"/>
          <w:highlight w:val="none"/>
        </w:rPr>
        <w:t xml:space="preserve">                                                       年   月   日</w:t>
      </w:r>
      <w:r>
        <w:rPr>
          <w:rFonts w:asciiTheme="minorEastAsia" w:hAnsiTheme="minorEastAsia"/>
          <w:highlight w:val="none"/>
        </w:rPr>
        <w:br w:type="page" w:clear="all"/>
      </w:r>
      <w:r/>
    </w:p>
    <w:p>
      <w:pPr>
        <w:jc w:val="center"/>
        <w:spacing w:before="120" w:line="400" w:lineRule="exact"/>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质疑函范本</w:t>
      </w:r>
      <w:r/>
    </w:p>
    <w:p>
      <w:pPr>
        <w:pStyle w:val="752"/>
        <w:ind w:firstLine="482"/>
        <w:jc w:val="both"/>
        <w:widowControl/>
        <w:rPr>
          <w:rFonts w:asciiTheme="minorEastAsia" w:hAnsiTheme="minorEastAsia" w:cstheme="minorEastAsia"/>
          <w:b/>
          <w:bCs/>
          <w:highlight w:val="none"/>
        </w:rPr>
        <w:outlineLvl w:val="1"/>
      </w:pPr>
      <w:r>
        <w:rPr>
          <w:rFonts w:hint="eastAsia" w:asciiTheme="minorEastAsia" w:hAnsiTheme="minorEastAsia" w:cstheme="minorEastAsia"/>
          <w:bCs/>
          <w:highlight w:val="none"/>
        </w:rPr>
        <w:t xml:space="preserve">一、质疑供应商基本信息</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质疑供应商：</w:t>
      </w:r>
      <w:r>
        <w:rPr>
          <w:rFonts w:hint="eastAsia" w:asciiTheme="minorEastAsia" w:hAnsiTheme="minorEastAsia" w:cstheme="minorEastAsia"/>
          <w:bCs/>
          <w:highlight w:val="none"/>
          <w:u w:val="single"/>
        </w:rPr>
        <w:t xml:space="preserve">                    </w:t>
      </w:r>
      <w:r>
        <w:rPr>
          <w:rFonts w:hint="eastAsia" w:asciiTheme="minorEastAsia" w:hAnsiTheme="minorEastAsia" w:cstheme="minorEastAsia"/>
          <w:bCs/>
          <w:highlight w:val="none"/>
          <w:u w:val="single"/>
        </w:rPr>
        <w:tab/>
      </w:r>
      <w:r>
        <w:rPr>
          <w:rFonts w:hint="eastAsia" w:asciiTheme="minorEastAsia" w:hAnsiTheme="minorEastAsia" w:cstheme="minorEastAsia"/>
          <w:bCs/>
          <w:highlight w:val="none"/>
          <w:u w:val="single"/>
        </w:rPr>
        <w:t xml:space="preserve">       </w:t>
      </w:r>
      <w:r>
        <w:rPr>
          <w:rFonts w:hint="eastAsia" w:asciiTheme="minorEastAsia" w:hAnsiTheme="minorEastAsia" w:cstheme="minorEastAsia"/>
          <w:bCs/>
          <w:highlight w:val="none"/>
          <w:u w:val="single"/>
        </w:rPr>
        <w:tab/>
      </w:r>
      <w:r/>
    </w:p>
    <w:p>
      <w:pPr>
        <w:pStyle w:val="752"/>
        <w:ind w:firstLine="482"/>
        <w:jc w:val="both"/>
        <w:widowControl/>
        <w:rPr>
          <w:rFonts w:asciiTheme="minorEastAsia" w:hAnsiTheme="minorEastAsia" w:cstheme="minorEastAsia"/>
          <w:b/>
          <w:bCs/>
          <w:highlight w:val="none"/>
          <w:u w:val="single"/>
        </w:rPr>
      </w:pPr>
      <w:r>
        <w:rPr>
          <w:rFonts w:hint="eastAsia" w:asciiTheme="minorEastAsia" w:hAnsiTheme="minorEastAsia" w:cstheme="minorEastAsia"/>
          <w:bCs/>
          <w:highlight w:val="none"/>
        </w:rPr>
        <w:t xml:space="preserve">地址：</w:t>
      </w:r>
      <w:r>
        <w:rPr>
          <w:rFonts w:hint="eastAsia" w:asciiTheme="minorEastAsia" w:hAnsiTheme="minorEastAsia" w:cstheme="minorEastAsia"/>
          <w:bCs/>
          <w:highlight w:val="none"/>
          <w:u w:val="single"/>
        </w:rPr>
        <w:t xml:space="preserve">                      </w:t>
      </w:r>
      <w:r>
        <w:rPr>
          <w:rFonts w:hint="eastAsia" w:asciiTheme="minorEastAsia" w:hAnsiTheme="minorEastAsia" w:cstheme="minorEastAsia"/>
          <w:bCs/>
          <w:highlight w:val="none"/>
          <w:u w:val="single"/>
        </w:rPr>
        <w:t xml:space="preserve">   </w:t>
        <w:tab/>
      </w:r>
      <w:r>
        <w:rPr>
          <w:rFonts w:hint="eastAsia" w:asciiTheme="minorEastAsia" w:hAnsiTheme="minorEastAsia" w:cstheme="minorEastAsia"/>
          <w:bCs/>
          <w:highlight w:val="none"/>
          <w:u w:val="single"/>
        </w:rPr>
        <w:tab/>
      </w:r>
      <w:r>
        <w:rPr>
          <w:rFonts w:hint="eastAsia" w:asciiTheme="minorEastAsia" w:hAnsiTheme="minorEastAsia" w:cstheme="minorEastAsia"/>
          <w:bCs/>
          <w:highlight w:val="none"/>
          <w:u w:val="single"/>
        </w:rPr>
        <w:t xml:space="preserve">    </w:t>
      </w:r>
      <w:r>
        <w:rPr>
          <w:rFonts w:hint="eastAsia" w:asciiTheme="minorEastAsia" w:hAnsiTheme="minorEastAsia" w:cstheme="minorEastAsia"/>
          <w:bCs/>
          <w:highlight w:val="none"/>
          <w:u w:val="single"/>
        </w:rPr>
        <w:tab/>
      </w:r>
      <w:r/>
    </w:p>
    <w:p>
      <w:pPr>
        <w:pStyle w:val="752"/>
        <w:ind w:firstLine="482"/>
        <w:jc w:val="both"/>
        <w:widowControl/>
        <w:rPr>
          <w:rFonts w:asciiTheme="minorEastAsia" w:hAnsiTheme="minorEastAsia" w:cstheme="minorEastAsia"/>
          <w:highlight w:val="none"/>
        </w:rPr>
      </w:pPr>
      <w:r>
        <w:rPr>
          <w:rFonts w:hint="eastAsia" w:asciiTheme="minorEastAsia" w:hAnsiTheme="minorEastAsia" w:cstheme="minorEastAsia"/>
          <w:bCs/>
          <w:highlight w:val="none"/>
        </w:rPr>
        <w:t xml:space="preserve">邮编：</w:t>
      </w:r>
      <w:r>
        <w:rPr>
          <w:rFonts w:hint="eastAsia" w:asciiTheme="minorEastAsia" w:hAnsiTheme="minorEastAsia" w:cstheme="minorEastAsia"/>
          <w:highlight w:val="none"/>
          <w:u w:val="single"/>
        </w:rPr>
        <w:t xml:space="preserve">                         </w:t>
      </w:r>
      <w:r/>
    </w:p>
    <w:p>
      <w:pPr>
        <w:pStyle w:val="752"/>
        <w:ind w:firstLine="482"/>
        <w:jc w:val="both"/>
        <w:widowControl/>
        <w:rPr>
          <w:rFonts w:asciiTheme="minorEastAsia" w:hAnsiTheme="minorEastAsia" w:cstheme="minorEastAsia"/>
          <w:b/>
          <w:bCs/>
          <w:highlight w:val="none"/>
          <w:u w:val="single"/>
        </w:rPr>
      </w:pPr>
      <w:r>
        <w:rPr>
          <w:rFonts w:hint="eastAsia" w:asciiTheme="minorEastAsia" w:hAnsiTheme="minorEastAsia" w:cstheme="minorEastAsia"/>
          <w:bCs/>
          <w:highlight w:val="none"/>
        </w:rPr>
        <w:t xml:space="preserve">联系人：</w:t>
      </w:r>
      <w:r>
        <w:rPr>
          <w:rFonts w:hint="eastAsia" w:asciiTheme="minorEastAsia" w:hAnsiTheme="minorEastAsia" w:cstheme="minorEastAsia"/>
          <w:bCs/>
          <w:highlight w:val="none"/>
          <w:u w:val="single"/>
        </w:rPr>
        <w:t xml:space="preserve">               </w:t>
      </w:r>
      <w:r>
        <w:rPr>
          <w:rFonts w:hint="eastAsia" w:asciiTheme="minorEastAsia" w:hAnsiTheme="minorEastAsia" w:cstheme="minorEastAsia"/>
          <w:bCs/>
          <w:highlight w:val="none"/>
          <w:u w:val="single"/>
        </w:rPr>
        <w:tab/>
      </w:r>
      <w:r>
        <w:rPr>
          <w:rFonts w:hint="eastAsia" w:asciiTheme="minorEastAsia" w:hAnsiTheme="minorEastAsia" w:cstheme="minorEastAsia"/>
          <w:bCs/>
          <w:highlight w:val="none"/>
          <w:u w:val="single"/>
        </w:rPr>
        <w:tab/>
      </w:r>
      <w:r>
        <w:rPr>
          <w:rFonts w:hint="eastAsia" w:asciiTheme="minorEastAsia" w:hAnsiTheme="minorEastAsia" w:cstheme="minorEastAsia"/>
          <w:bCs/>
          <w:highlight w:val="none"/>
          <w:u w:val="single"/>
        </w:rPr>
        <w:tab/>
      </w:r>
      <w:r>
        <w:rPr>
          <w:rFonts w:hint="eastAsia" w:asciiTheme="minorEastAsia" w:hAnsiTheme="minorEastAsia" w:cstheme="minorEastAsia"/>
          <w:bCs/>
          <w:highlight w:val="none"/>
          <w:u w:val="single"/>
        </w:rPr>
        <w:tab/>
      </w:r>
      <w:r>
        <w:rPr>
          <w:rFonts w:hint="eastAsia" w:asciiTheme="minorEastAsia" w:hAnsiTheme="minorEastAsia" w:cstheme="minorEastAsia"/>
          <w:bCs/>
          <w:highlight w:val="none"/>
          <w:u w:val="single"/>
        </w:rPr>
        <w:tab/>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联系电话：</w:t>
      </w:r>
      <w:r>
        <w:rPr>
          <w:rFonts w:hint="eastAsia" w:asciiTheme="minorEastAsia" w:hAnsiTheme="minorEastAsia" w:cstheme="minorEastAsia"/>
          <w:bCs/>
          <w:highlight w:val="none"/>
          <w:u w:val="single"/>
        </w:rPr>
        <w:t xml:space="preserve">                            </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授权代表：</w:t>
      </w:r>
      <w:r>
        <w:rPr>
          <w:rFonts w:hint="eastAsia" w:asciiTheme="minorEastAsia" w:hAnsiTheme="minorEastAsia" w:cstheme="minorEastAsia"/>
          <w:bCs/>
          <w:highlight w:val="none"/>
          <w:u w:val="single"/>
        </w:rPr>
        <w:t xml:space="preserve">                 </w:t>
      </w:r>
      <w:r>
        <w:rPr>
          <w:rFonts w:hint="eastAsia" w:asciiTheme="minorEastAsia" w:hAnsiTheme="minorEastAsia" w:cstheme="minorEastAsia"/>
          <w:bCs/>
          <w:highlight w:val="none"/>
          <w:u w:val="single"/>
        </w:rPr>
        <w:tab/>
      </w:r>
      <w:r>
        <w:rPr>
          <w:rFonts w:hint="eastAsia" w:asciiTheme="minorEastAsia" w:hAnsiTheme="minorEastAsia" w:cstheme="minorEastAsia"/>
          <w:bCs/>
          <w:highlight w:val="none"/>
          <w:u w:val="single"/>
        </w:rPr>
        <w:tab/>
      </w:r>
      <w:r>
        <w:rPr>
          <w:rFonts w:hint="eastAsia" w:asciiTheme="minorEastAsia" w:hAnsiTheme="minorEastAsia" w:cstheme="minorEastAsia"/>
          <w:bCs/>
          <w:highlight w:val="none"/>
          <w:u w:val="single"/>
        </w:rPr>
        <w:tab/>
      </w:r>
      <w:r>
        <w:rPr>
          <w:rFonts w:hint="eastAsia" w:asciiTheme="minorEastAsia" w:hAnsiTheme="minorEastAsia" w:cstheme="minorEastAsia"/>
          <w:bCs/>
          <w:highlight w:val="none"/>
          <w:u w:val="single"/>
        </w:rPr>
        <w:tab/>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联系电话：</w:t>
      </w:r>
      <w:r>
        <w:rPr>
          <w:rFonts w:hint="eastAsia" w:asciiTheme="minorEastAsia" w:hAnsiTheme="minorEastAsia" w:cstheme="minorEastAsia"/>
          <w:bCs/>
          <w:highlight w:val="none"/>
          <w:u w:val="single"/>
        </w:rPr>
        <w:t xml:space="preserve">                     </w:t>
      </w:r>
      <w:r/>
    </w:p>
    <w:p>
      <w:pPr>
        <w:pStyle w:val="752"/>
        <w:ind w:firstLine="482"/>
        <w:jc w:val="both"/>
        <w:widowControl/>
        <w:rPr>
          <w:rFonts w:asciiTheme="minorEastAsia" w:hAnsiTheme="minorEastAsia" w:cstheme="minorEastAsia"/>
          <w:b/>
          <w:bCs/>
          <w:highlight w:val="none"/>
          <w:u w:val="single"/>
        </w:rPr>
      </w:pPr>
      <w:r>
        <w:rPr>
          <w:rFonts w:hint="eastAsia" w:asciiTheme="minorEastAsia" w:hAnsiTheme="minorEastAsia" w:cstheme="minorEastAsia"/>
          <w:bCs/>
          <w:highlight w:val="none"/>
        </w:rPr>
        <w:t xml:space="preserve">地址：</w:t>
      </w:r>
      <w:r>
        <w:rPr>
          <w:rFonts w:hint="eastAsia" w:asciiTheme="minorEastAsia" w:hAnsiTheme="minorEastAsia" w:cstheme="minorEastAsia"/>
          <w:bCs/>
          <w:highlight w:val="none"/>
          <w:u w:val="single"/>
        </w:rPr>
        <w:t xml:space="preserve">                         </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邮编：</w:t>
      </w:r>
      <w:r>
        <w:rPr>
          <w:rFonts w:hint="eastAsia" w:asciiTheme="minorEastAsia" w:hAnsiTheme="minorEastAsia" w:cstheme="minorEastAsia"/>
          <w:bCs/>
          <w:highlight w:val="none"/>
          <w:u w:val="single"/>
        </w:rPr>
        <w:t xml:space="preserve">                         </w:t>
      </w:r>
      <w:r/>
    </w:p>
    <w:p>
      <w:pPr>
        <w:pStyle w:val="752"/>
        <w:ind w:firstLine="482"/>
        <w:jc w:val="both"/>
        <w:widowControl/>
        <w:rPr>
          <w:rFonts w:asciiTheme="minorEastAsia" w:hAnsiTheme="minorEastAsia" w:cstheme="minorEastAsia"/>
          <w:b/>
          <w:bCs/>
          <w:highlight w:val="none"/>
        </w:rPr>
        <w:outlineLvl w:val="1"/>
      </w:pPr>
      <w:r>
        <w:rPr>
          <w:rFonts w:hint="eastAsia" w:asciiTheme="minorEastAsia" w:hAnsiTheme="minorEastAsia" w:cstheme="minorEastAsia"/>
          <w:bCs/>
          <w:highlight w:val="none"/>
        </w:rPr>
        <w:t xml:space="preserve">二、质疑项目基本情况</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质疑项目的名称：</w:t>
      </w:r>
      <w:r>
        <w:rPr>
          <w:rFonts w:hint="eastAsia" w:asciiTheme="minorEastAsia" w:hAnsiTheme="minorEastAsia" w:cstheme="minorEastAsia"/>
          <w:bCs/>
          <w:highlight w:val="none"/>
          <w:u w:val="single"/>
        </w:rPr>
        <w:t xml:space="preserve">               </w:t>
      </w:r>
      <w:r/>
    </w:p>
    <w:p>
      <w:pPr>
        <w:pStyle w:val="752"/>
        <w:ind w:firstLine="482"/>
        <w:jc w:val="both"/>
        <w:widowControl/>
        <w:rPr>
          <w:rFonts w:asciiTheme="minorEastAsia" w:hAnsiTheme="minorEastAsia" w:cstheme="minorEastAsia"/>
          <w:b/>
          <w:bCs/>
          <w:highlight w:val="none"/>
          <w:u w:val="single"/>
        </w:rPr>
      </w:pPr>
      <w:r>
        <w:rPr>
          <w:rFonts w:hint="eastAsia" w:asciiTheme="minorEastAsia" w:hAnsiTheme="minorEastAsia" w:cstheme="minorEastAsia"/>
          <w:bCs/>
          <w:highlight w:val="none"/>
        </w:rPr>
        <w:t xml:space="preserve">质疑项目的编号：</w:t>
      </w:r>
      <w:r>
        <w:rPr>
          <w:rFonts w:hint="eastAsia" w:asciiTheme="minorEastAsia" w:hAnsiTheme="minorEastAsia" w:cstheme="minorEastAsia"/>
          <w:bCs/>
          <w:highlight w:val="none"/>
          <w:u w:val="single"/>
        </w:rPr>
        <w:t xml:space="preserve">                        </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包号：</w:t>
      </w:r>
      <w:r>
        <w:rPr>
          <w:rFonts w:hint="eastAsia" w:asciiTheme="minorEastAsia" w:hAnsiTheme="minorEastAsia" w:cstheme="minorEastAsia"/>
          <w:bCs/>
          <w:highlight w:val="none"/>
          <w:u w:val="single"/>
        </w:rPr>
        <w:t xml:space="preserve">                              </w:t>
      </w:r>
      <w:r>
        <w:rPr>
          <w:rFonts w:hint="eastAsia" w:asciiTheme="minorEastAsia" w:hAnsiTheme="minorEastAsia" w:cstheme="minorEastAsia"/>
          <w:bCs/>
          <w:highlight w:val="none"/>
          <w:u w:val="single"/>
        </w:rPr>
        <w:tab/>
      </w:r>
      <w:r>
        <w:rPr>
          <w:rFonts w:hint="eastAsia" w:asciiTheme="minorEastAsia" w:hAnsiTheme="minorEastAsia" w:cstheme="minorEastAsia"/>
          <w:bCs/>
          <w:highlight w:val="none"/>
          <w:u w:val="single"/>
        </w:rPr>
        <w:tab/>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采购人名称：</w:t>
      </w:r>
      <w:r>
        <w:rPr>
          <w:rFonts w:hint="eastAsia" w:asciiTheme="minorEastAsia" w:hAnsiTheme="minorEastAsia" w:cstheme="minorEastAsia"/>
          <w:bCs/>
          <w:highlight w:val="none"/>
          <w:u w:val="single"/>
        </w:rPr>
        <w:t xml:space="preserve">                              </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采购文件获取日期：</w:t>
      </w:r>
      <w:r>
        <w:rPr>
          <w:rFonts w:hint="eastAsia" w:asciiTheme="minorEastAsia" w:hAnsiTheme="minorEastAsia" w:cstheme="minorEastAsia"/>
          <w:bCs/>
          <w:highlight w:val="none"/>
          <w:u w:val="single"/>
        </w:rPr>
        <w:t xml:space="preserve">                    </w:t>
      </w:r>
      <w:r/>
    </w:p>
    <w:p>
      <w:pPr>
        <w:pStyle w:val="752"/>
        <w:ind w:firstLine="482"/>
        <w:jc w:val="both"/>
        <w:widowControl/>
        <w:rPr>
          <w:rFonts w:asciiTheme="minorEastAsia" w:hAnsiTheme="minorEastAsia" w:cstheme="minorEastAsia"/>
          <w:b/>
          <w:bCs/>
          <w:highlight w:val="none"/>
        </w:rPr>
        <w:outlineLvl w:val="1"/>
      </w:pPr>
      <w:r>
        <w:rPr>
          <w:rFonts w:hint="eastAsia" w:asciiTheme="minorEastAsia" w:hAnsiTheme="minorEastAsia" w:cstheme="minorEastAsia"/>
          <w:bCs/>
          <w:highlight w:val="none"/>
        </w:rPr>
        <w:t xml:space="preserve">三、质疑事项具体内容</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质疑事项1：</w:t>
      </w:r>
      <w:r>
        <w:rPr>
          <w:rFonts w:hint="eastAsia" w:asciiTheme="minorEastAsia" w:hAnsiTheme="minorEastAsia" w:cstheme="minorEastAsia"/>
          <w:bCs/>
          <w:highlight w:val="none"/>
          <w:u w:val="single"/>
        </w:rPr>
        <w:t xml:space="preserve">                              </w:t>
      </w:r>
      <w:r/>
    </w:p>
    <w:p>
      <w:pPr>
        <w:pStyle w:val="752"/>
        <w:ind w:firstLine="482"/>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事实依据：</w:t>
      </w:r>
      <w:r>
        <w:rPr>
          <w:rFonts w:hint="eastAsia" w:asciiTheme="minorEastAsia" w:hAnsiTheme="minorEastAsia" w:cstheme="minorEastAsia"/>
          <w:bCs/>
          <w:highlight w:val="none"/>
          <w:u w:val="single"/>
        </w:rPr>
        <w:t xml:space="preserve">                                           </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法律依据：</w:t>
      </w:r>
      <w:r>
        <w:rPr>
          <w:rFonts w:hint="eastAsia" w:asciiTheme="minorEastAsia" w:hAnsiTheme="minorEastAsia" w:cstheme="minorEastAsia"/>
          <w:bCs/>
          <w:highlight w:val="none"/>
          <w:u w:val="single"/>
        </w:rPr>
        <w:t xml:space="preserve">                                          </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质疑事项2</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w:t>
      </w:r>
      <w:r/>
    </w:p>
    <w:p>
      <w:pPr>
        <w:pStyle w:val="752"/>
        <w:ind w:firstLine="482"/>
        <w:jc w:val="both"/>
        <w:widowControl/>
        <w:rPr>
          <w:rFonts w:asciiTheme="minorEastAsia" w:hAnsiTheme="minorEastAsia" w:cstheme="minorEastAsia"/>
          <w:b/>
          <w:bCs/>
          <w:highlight w:val="none"/>
        </w:rPr>
        <w:outlineLvl w:val="1"/>
      </w:pPr>
      <w:r>
        <w:rPr>
          <w:rFonts w:hint="eastAsia" w:asciiTheme="minorEastAsia" w:hAnsiTheme="minorEastAsia" w:cstheme="minorEastAsia"/>
          <w:bCs/>
          <w:highlight w:val="none"/>
        </w:rPr>
        <w:t xml:space="preserve">四、与质疑事项相关的质疑请求</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请求：</w:t>
      </w:r>
      <w:r>
        <w:rPr>
          <w:rFonts w:hint="eastAsia" w:asciiTheme="minorEastAsia" w:hAnsiTheme="minorEastAsia" w:cstheme="minorEastAsia"/>
          <w:bCs/>
          <w:highlight w:val="none"/>
          <w:u w:val="single"/>
        </w:rPr>
        <w:t xml:space="preserve">                                               </w:t>
      </w:r>
      <w:r/>
    </w:p>
    <w:p>
      <w:pPr>
        <w:pStyle w:val="752"/>
        <w:ind w:firstLine="482"/>
        <w:jc w:val="both"/>
        <w:widowControl/>
        <w:rPr>
          <w:rFonts w:asciiTheme="minorEastAsia" w:hAnsiTheme="minorEastAsia" w:cstheme="minorEastAsia"/>
          <w:b/>
          <w:bCs/>
          <w:highlight w:val="none"/>
        </w:rPr>
      </w:pPr>
      <w:r>
        <w:rPr>
          <w:rFonts w:hint="eastAsia" w:asciiTheme="minorEastAsia" w:hAnsiTheme="minorEastAsia" w:cstheme="minorEastAsia"/>
          <w:bCs/>
          <w:highlight w:val="none"/>
        </w:rPr>
        <w:t xml:space="preserve">签字（签章）：          公章：               日期：    </w:t>
      </w:r>
      <w:r/>
    </w:p>
    <w:p>
      <w:pPr>
        <w:ind w:firstLine="440"/>
        <w:spacing w:line="520" w:lineRule="exact"/>
        <w:widowControl/>
        <w:rPr>
          <w:sz w:val="24"/>
          <w:highlight w:val="none"/>
        </w:rPr>
      </w:pPr>
      <w:r>
        <w:rPr>
          <w:rFonts w:hint="eastAsia"/>
          <w:sz w:val="24"/>
          <w:highlight w:val="none"/>
        </w:rPr>
        <w:t xml:space="preserve">质疑函制作说明：</w:t>
      </w:r>
      <w:r/>
    </w:p>
    <w:p>
      <w:pPr>
        <w:ind w:firstLine="440"/>
        <w:spacing w:line="520" w:lineRule="exact"/>
        <w:widowControl/>
        <w:rPr>
          <w:rFonts w:ascii="宋体" w:hAnsi="宋体" w:eastAsia="宋体" w:cs="宋体"/>
          <w:sz w:val="24"/>
          <w:highlight w:val="none"/>
        </w:rPr>
        <w:outlineLvl w:val="2"/>
      </w:pPr>
      <w:r>
        <w:rPr>
          <w:rFonts w:hint="eastAsia" w:ascii="宋体" w:hAnsi="宋体" w:eastAsia="宋体" w:cs="宋体"/>
          <w:sz w:val="24"/>
          <w:highlight w:val="none"/>
        </w:rPr>
        <w:t xml:space="preserve">1. 供应商提出质疑时，应提交质疑函和必要的证明材料。</w:t>
      </w:r>
      <w:r/>
    </w:p>
    <w:p>
      <w:pPr>
        <w:ind w:firstLine="440"/>
        <w:spacing w:line="520" w:lineRule="exact"/>
        <w:widowControl/>
        <w:rPr>
          <w:rFonts w:ascii="宋体" w:hAnsi="宋体" w:eastAsia="宋体" w:cs="宋体"/>
          <w:sz w:val="24"/>
          <w:highlight w:val="none"/>
        </w:rPr>
      </w:pPr>
      <w:r>
        <w:rPr>
          <w:rFonts w:hint="eastAsia" w:ascii="宋体" w:hAnsi="宋体" w:eastAsia="宋体" w:cs="宋体"/>
          <w:sz w:val="24"/>
          <w:highlight w:val="none"/>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40"/>
        <w:spacing w:line="520" w:lineRule="exact"/>
        <w:widowControl/>
        <w:rPr>
          <w:rFonts w:ascii="宋体" w:hAnsi="宋体" w:eastAsia="宋体" w:cs="宋体"/>
          <w:sz w:val="24"/>
          <w:highlight w:val="none"/>
        </w:rPr>
      </w:pPr>
      <w:r>
        <w:rPr>
          <w:rFonts w:hint="eastAsia" w:ascii="宋体" w:hAnsi="宋体" w:eastAsia="宋体" w:cs="宋体"/>
          <w:sz w:val="24"/>
          <w:highlight w:val="none"/>
        </w:rPr>
        <w:t xml:space="preserve">3. 质疑供应商若对项目的某一分包进行质疑，质疑函中应列明具体分包号。</w:t>
      </w:r>
      <w:r/>
    </w:p>
    <w:p>
      <w:pPr>
        <w:ind w:firstLine="440"/>
        <w:spacing w:line="520" w:lineRule="exact"/>
        <w:widowControl/>
        <w:rPr>
          <w:rFonts w:ascii="宋体" w:hAnsi="宋体" w:eastAsia="宋体" w:cs="宋体"/>
          <w:sz w:val="24"/>
          <w:highlight w:val="none"/>
        </w:rPr>
      </w:pPr>
      <w:r>
        <w:rPr>
          <w:rFonts w:hint="eastAsia" w:ascii="宋体" w:hAnsi="宋体" w:eastAsia="宋体" w:cs="宋体"/>
          <w:sz w:val="24"/>
          <w:highlight w:val="none"/>
        </w:rPr>
        <w:t xml:space="preserve">4. 质疑函的质疑事项应具体、明确，并有必要的事实依据和法律依据。</w:t>
      </w:r>
      <w:r/>
    </w:p>
    <w:p>
      <w:pPr>
        <w:ind w:firstLine="440"/>
        <w:spacing w:line="520" w:lineRule="exact"/>
        <w:widowControl/>
        <w:rPr>
          <w:rFonts w:ascii="宋体" w:hAnsi="宋体" w:eastAsia="宋体" w:cs="宋体"/>
          <w:sz w:val="24"/>
          <w:highlight w:val="none"/>
        </w:rPr>
        <w:outlineLvl w:val="2"/>
      </w:pPr>
      <w:r>
        <w:rPr>
          <w:rFonts w:hint="eastAsia" w:ascii="宋体" w:hAnsi="宋体" w:eastAsia="宋体" w:cs="宋体"/>
          <w:sz w:val="24"/>
          <w:highlight w:val="none"/>
        </w:rPr>
        <w:t xml:space="preserve">5. 质疑函的质疑请求应与质疑事项相关。</w:t>
      </w:r>
      <w:r/>
    </w:p>
    <w:p>
      <w:pPr>
        <w:ind w:firstLine="440"/>
        <w:spacing w:line="520" w:lineRule="exact"/>
        <w:widowControl/>
        <w:rPr>
          <w:rFonts w:ascii="宋体" w:hAnsi="宋体" w:eastAsia="宋体" w:cs="宋体"/>
          <w:sz w:val="24"/>
          <w:highlight w:val="none"/>
        </w:rPr>
      </w:pPr>
      <w:r>
        <w:rPr>
          <w:rFonts w:hint="eastAsia" w:ascii="宋体" w:hAnsi="宋体" w:eastAsia="宋体" w:cs="宋体"/>
          <w:sz w:val="24"/>
          <w:highlight w:val="none"/>
        </w:rPr>
        <w:t xml:space="preserve">6. 质疑供应商为自然人的，质疑函应由本人签字；质疑供应商为法人或者其他组织的，质疑函应由法定代表人、主要负责人，或者其授权代表签字或者盖章，并加盖公章。</w:t>
      </w:r>
      <w:r/>
    </w:p>
    <w:p>
      <w:pPr>
        <w:pStyle w:val="752"/>
        <w:ind w:firstLine="160"/>
        <w:jc w:val="center"/>
        <w:spacing w:beforeAutospacing="0" w:afterAutospacing="0"/>
        <w:rPr>
          <w:rFonts w:ascii="黑体" w:hAnsi="宋体" w:eastAsia="黑体" w:cs="黑体"/>
          <w:bCs/>
          <w:i/>
          <w:sz w:val="32"/>
          <w:szCs w:val="32"/>
          <w:highlight w:val="none"/>
          <w:u w:val="single"/>
        </w:rPr>
      </w:pPr>
      <w:r/>
      <w:bookmarkStart w:id="171" w:name="_Toc120614284"/>
      <w:r/>
      <w:r/>
    </w:p>
    <w:p>
      <w:pPr>
        <w:pStyle w:val="752"/>
        <w:ind w:firstLine="160"/>
        <w:jc w:val="center"/>
        <w:spacing w:beforeAutospacing="0" w:afterAutospacing="0"/>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pStyle w:val="752"/>
        <w:ind w:firstLine="160"/>
        <w:jc w:val="center"/>
        <w:spacing w:beforeAutospacing="0" w:afterAutospacing="0"/>
        <w:rPr>
          <w:rFonts w:ascii="黑体" w:hAnsi="宋体" w:eastAsia="黑体" w:cs="黑体"/>
          <w:bCs/>
          <w:i/>
          <w:sz w:val="32"/>
          <w:szCs w:val="32"/>
          <w:highlight w:val="none"/>
          <w:u w:val="single"/>
        </w:rPr>
      </w:pPr>
      <w:r>
        <w:rPr>
          <w:rFonts w:ascii="黑体" w:hAnsi="宋体" w:eastAsia="黑体" w:cs="黑体"/>
          <w:bCs/>
          <w:i/>
          <w:sz w:val="32"/>
          <w:szCs w:val="32"/>
          <w:highlight w:val="none"/>
          <w:u w:val="single"/>
        </w:rPr>
      </w:r>
      <w:r/>
    </w:p>
    <w:p>
      <w:pPr>
        <w:pStyle w:val="752"/>
        <w:ind w:firstLine="160"/>
        <w:jc w:val="center"/>
        <w:spacing w:beforeAutospacing="0" w:afterAutospacing="0"/>
        <w:rPr>
          <w:rFonts w:ascii="黑体" w:hAnsi="宋体" w:eastAsia="黑体" w:cs="黑体"/>
          <w:bCs/>
          <w:i/>
          <w:sz w:val="32"/>
          <w:szCs w:val="32"/>
          <w:highlight w:val="none"/>
          <w:u w:val="single"/>
        </w:rPr>
      </w:pPr>
      <w:r>
        <w:rPr>
          <w:rFonts w:ascii="黑体" w:hAnsi="宋体" w:eastAsia="黑体" w:cs="黑体"/>
          <w:bCs/>
          <w:i/>
          <w:sz w:val="32"/>
          <w:szCs w:val="32"/>
          <w:highlight w:val="none"/>
          <w:u w:val="single"/>
        </w:rPr>
      </w:r>
      <w:r/>
    </w:p>
    <w:p>
      <w:pPr>
        <w:pStyle w:val="752"/>
        <w:ind w:firstLine="160"/>
        <w:jc w:val="center"/>
        <w:spacing w:beforeAutospacing="0" w:afterAutospacing="0"/>
        <w:rPr>
          <w:rFonts w:ascii="黑体" w:hAnsi="宋体" w:eastAsia="黑体" w:cs="黑体"/>
          <w:bCs/>
          <w:i/>
          <w:sz w:val="32"/>
          <w:szCs w:val="32"/>
          <w:highlight w:val="none"/>
          <w:u w:val="single"/>
        </w:rPr>
      </w:pPr>
      <w:r>
        <w:rPr>
          <w:rFonts w:ascii="黑体" w:hAnsi="宋体" w:eastAsia="黑体" w:cs="黑体"/>
          <w:bCs/>
          <w:i/>
          <w:sz w:val="32"/>
          <w:szCs w:val="32"/>
          <w:highlight w:val="none"/>
          <w:u w:val="single"/>
        </w:rPr>
      </w:r>
      <w:bookmarkEnd w:id="6"/>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155"/>
      <w:r/>
      <w:bookmarkEnd w:id="161"/>
      <w:r/>
      <w:bookmarkEnd w:id="171"/>
      <w:r/>
      <w:r/>
    </w:p>
    <w:p>
      <w:pPr>
        <w:pStyle w:val="752"/>
        <w:spacing w:beforeAutospacing="0" w:afterAutospacing="0"/>
        <w:rPr>
          <w:highlight w:val="none"/>
        </w:rPr>
      </w:pPr>
      <w:r>
        <w:rPr>
          <w:highlight w:val="none"/>
        </w:rPr>
      </w:r>
      <w:r/>
    </w:p>
    <w:sectPr>
      <w:footerReference w:type="default" r:id="rId10"/>
      <w:footnotePr/>
      <w:endnotePr/>
      <w:type w:val="nextPage"/>
      <w:pgSz w:w="11906" w:h="16838" w:orient="portrait"/>
      <w:pgMar w:top="1440" w:right="1633" w:bottom="1440" w:left="1633" w:header="851" w:footer="992" w:gutter="0"/>
      <w:pgNumType w:start="2"/>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w:panose1 w:val="02010600030101010101"/>
  </w:font>
  <w:font w:name="楷体_GB2312">
    <w:panose1 w:val="02010609060101010101"/>
  </w:font>
  <w:font w:name="Cambria">
    <w:panose1 w:val="02040503050406030204"/>
  </w:font>
  <w:font w:name="Calibri">
    <w:panose1 w:val="020F0502020204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6953" cy="139526"/>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4695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6pt;height:11.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rPr>
      <w:t xml:space="preserve">JSZC-320900-JZCG-G2025-0052</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25"/>
    <w:next w:val="725"/>
    <w:link w:val="765"/>
    <w:uiPriority w:val="9"/>
    <w:qFormat/>
    <w:pPr>
      <w:keepLines/>
      <w:keepNext/>
      <w:spacing w:before="480" w:after="200"/>
      <w:outlineLvl w:val="0"/>
    </w:pPr>
    <w:rPr>
      <w:rFonts w:ascii="Arial" w:hAnsi="Arial" w:eastAsia="Arial" w:cs="Arial"/>
      <w:sz w:val="40"/>
      <w:szCs w:val="40"/>
    </w:rPr>
  </w:style>
  <w:style w:type="paragraph" w:styleId="696">
    <w:name w:val="Heading 2"/>
    <w:basedOn w:val="725"/>
    <w:next w:val="725"/>
    <w:link w:val="779"/>
    <w:uiPriority w:val="9"/>
    <w:unhideWhenUsed/>
    <w:qFormat/>
    <w:pPr>
      <w:keepLines/>
      <w:keepNext/>
      <w:spacing w:before="360" w:after="200"/>
      <w:outlineLvl w:val="1"/>
    </w:pPr>
    <w:rPr>
      <w:rFonts w:ascii="Arial" w:hAnsi="Arial" w:eastAsia="Arial" w:cs="Arial"/>
      <w:sz w:val="34"/>
    </w:rPr>
  </w:style>
  <w:style w:type="paragraph" w:styleId="697">
    <w:name w:val="Heading 3"/>
    <w:basedOn w:val="725"/>
    <w:next w:val="725"/>
    <w:link w:val="780"/>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725"/>
    <w:next w:val="725"/>
    <w:link w:val="782"/>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725"/>
    <w:next w:val="725"/>
    <w:link w:val="78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725"/>
    <w:next w:val="725"/>
    <w:link w:val="786"/>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725"/>
    <w:next w:val="725"/>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25"/>
    <w:next w:val="725"/>
    <w:link w:val="790"/>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25"/>
    <w:next w:val="725"/>
    <w:link w:val="792"/>
    <w:uiPriority w:val="9"/>
    <w:unhideWhenUsed/>
    <w:qFormat/>
    <w:pPr>
      <w:keepLines/>
      <w:keepNext/>
      <w:spacing w:before="320" w:after="200"/>
      <w:outlineLvl w:val="8"/>
    </w:pPr>
    <w:rPr>
      <w:rFonts w:ascii="Arial" w:hAnsi="Arial" w:eastAsia="Arial" w:cs="Arial"/>
      <w:i/>
      <w:iCs/>
      <w:sz w:val="21"/>
      <w:szCs w:val="21"/>
    </w:rPr>
  </w:style>
  <w:style w:type="paragraph" w:styleId="704">
    <w:name w:val="Caption"/>
    <w:basedOn w:val="725"/>
    <w:next w:val="725"/>
    <w:uiPriority w:val="35"/>
    <w:semiHidden/>
    <w:unhideWhenUsed/>
    <w:qFormat/>
    <w:pPr>
      <w:spacing w:line="276" w:lineRule="auto"/>
    </w:pPr>
    <w:rPr>
      <w:b/>
      <w:bCs/>
      <w:color w:val="4f81bd" w:themeColor="accent1"/>
      <w:sz w:val="18"/>
      <w:szCs w:val="18"/>
    </w:rPr>
  </w:style>
  <w:style w:type="table" w:styleId="705">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4">
    <w:name w:val="TOC Heading"/>
    <w:uiPriority w:val="39"/>
    <w:unhideWhenUsed/>
  </w:style>
  <w:style w:type="paragraph" w:styleId="72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25"/>
    <w:next w:val="725"/>
    <w:uiPriority w:val="39"/>
    <w:unhideWhenUsed/>
    <w:qFormat/>
    <w:pPr>
      <w:ind w:left="1701"/>
      <w:spacing w:after="57"/>
    </w:pPr>
  </w:style>
  <w:style w:type="paragraph" w:styleId="729">
    <w:name w:val="Normal Indent"/>
    <w:basedOn w:val="725"/>
    <w:link w:val="941"/>
    <w:uiPriority w:val="0"/>
    <w:unhideWhenUsed/>
    <w:qFormat/>
    <w:pPr>
      <w:ind w:firstLine="420"/>
    </w:pPr>
    <w:rPr>
      <w:rFonts w:ascii="Calibri" w:hAnsi="Calibri" w:eastAsia="宋体" w:cs="Times New Roman"/>
      <w:sz w:val="20"/>
      <w:szCs w:val="20"/>
    </w:rPr>
  </w:style>
  <w:style w:type="paragraph" w:styleId="730">
    <w:name w:val="toa heading"/>
    <w:basedOn w:val="725"/>
    <w:next w:val="725"/>
    <w:uiPriority w:val="99"/>
    <w:unhideWhenUsed/>
    <w:qFormat/>
    <w:pPr>
      <w:spacing w:before="120"/>
    </w:pPr>
    <w:rPr>
      <w:rFonts w:ascii="Cambria" w:hAnsi="Cambria" w:eastAsia="宋体" w:cs="Times New Roman"/>
      <w:sz w:val="24"/>
      <w:szCs w:val="21"/>
    </w:rPr>
  </w:style>
  <w:style w:type="paragraph" w:styleId="731">
    <w:name w:val="annotation text"/>
    <w:basedOn w:val="725"/>
    <w:uiPriority w:val="99"/>
    <w:semiHidden/>
    <w:unhideWhenUsed/>
    <w:qFormat/>
    <w:pPr>
      <w:jc w:val="left"/>
    </w:pPr>
  </w:style>
  <w:style w:type="paragraph" w:styleId="732">
    <w:name w:val="Body Text"/>
    <w:basedOn w:val="725"/>
    <w:next w:val="725"/>
    <w:link w:val="943"/>
    <w:uiPriority w:val="99"/>
    <w:unhideWhenUsed/>
    <w:qFormat/>
    <w:rPr>
      <w:rFonts w:ascii="楷体_GB2312" w:hAnsi="Arial" w:eastAsia="楷体_GB2312" w:cs="Times New Roman"/>
      <w:sz w:val="28"/>
      <w:szCs w:val="28"/>
    </w:rPr>
  </w:style>
  <w:style w:type="paragraph" w:styleId="733">
    <w:name w:val="Body Text Indent"/>
    <w:basedOn w:val="725"/>
    <w:next w:val="734"/>
    <w:uiPriority w:val="0"/>
    <w:qFormat/>
    <w:pPr>
      <w:ind w:left="420"/>
      <w:spacing w:after="120"/>
    </w:pPr>
  </w:style>
  <w:style w:type="paragraph" w:styleId="734">
    <w:name w:val="envelope return"/>
    <w:basedOn w:val="725"/>
    <w:uiPriority w:val="0"/>
    <w:qFormat/>
    <w:pPr>
      <w:spacing w:line="360" w:lineRule="auto"/>
    </w:pPr>
    <w:rPr>
      <w:rFonts w:ascii="Arial" w:hAnsi="Arial" w:eastAsia="仿宋" w:cs="Arial"/>
      <w:sz w:val="28"/>
      <w:szCs w:val="21"/>
    </w:rPr>
  </w:style>
  <w:style w:type="paragraph" w:styleId="735">
    <w:name w:val="index 4"/>
    <w:basedOn w:val="725"/>
    <w:next w:val="725"/>
    <w:uiPriority w:val="0"/>
    <w:qFormat/>
    <w:pPr>
      <w:ind w:left="600"/>
      <w:spacing w:line="360" w:lineRule="auto"/>
    </w:pPr>
    <w:rPr>
      <w:sz w:val="24"/>
    </w:rPr>
  </w:style>
  <w:style w:type="paragraph" w:styleId="736">
    <w:name w:val="toc 5"/>
    <w:basedOn w:val="725"/>
    <w:next w:val="725"/>
    <w:uiPriority w:val="39"/>
    <w:unhideWhenUsed/>
    <w:qFormat/>
    <w:pPr>
      <w:ind w:left="1134"/>
      <w:spacing w:after="57"/>
    </w:pPr>
  </w:style>
  <w:style w:type="paragraph" w:styleId="737">
    <w:name w:val="toc 3"/>
    <w:basedOn w:val="725"/>
    <w:next w:val="725"/>
    <w:uiPriority w:val="39"/>
    <w:unhideWhenUsed/>
    <w:qFormat/>
    <w:pPr>
      <w:ind w:left="567"/>
      <w:spacing w:after="57"/>
    </w:pPr>
  </w:style>
  <w:style w:type="paragraph" w:styleId="738">
    <w:name w:val="Plain Text"/>
    <w:basedOn w:val="725"/>
    <w:link w:val="940"/>
    <w:uiPriority w:val="0"/>
    <w:unhideWhenUsed/>
    <w:qFormat/>
    <w:rPr>
      <w:rFonts w:ascii="宋体" w:hAnsi="Courier New" w:eastAsia="宋体" w:cs="Times New Roman"/>
      <w:szCs w:val="21"/>
    </w:rPr>
  </w:style>
  <w:style w:type="paragraph" w:styleId="739">
    <w:name w:val="toc 8"/>
    <w:basedOn w:val="725"/>
    <w:next w:val="725"/>
    <w:uiPriority w:val="39"/>
    <w:unhideWhenUsed/>
    <w:qFormat/>
    <w:pPr>
      <w:ind w:left="1984"/>
      <w:spacing w:after="57"/>
    </w:pPr>
  </w:style>
  <w:style w:type="paragraph" w:styleId="740">
    <w:name w:val="endnote text"/>
    <w:basedOn w:val="725"/>
    <w:link w:val="931"/>
    <w:uiPriority w:val="99"/>
    <w:semiHidden/>
    <w:unhideWhenUsed/>
    <w:qFormat/>
    <w:rPr>
      <w:sz w:val="20"/>
    </w:rPr>
  </w:style>
  <w:style w:type="paragraph" w:styleId="741">
    <w:name w:val="Balloon Text"/>
    <w:basedOn w:val="725"/>
    <w:link w:val="945"/>
    <w:uiPriority w:val="0"/>
    <w:qFormat/>
    <w:rPr>
      <w:sz w:val="18"/>
      <w:szCs w:val="18"/>
    </w:rPr>
  </w:style>
  <w:style w:type="paragraph" w:styleId="742">
    <w:name w:val="Footer"/>
    <w:basedOn w:val="725"/>
    <w:uiPriority w:val="99"/>
    <w:unhideWhenUsed/>
    <w:qFormat/>
    <w:pPr>
      <w:jc w:val="left"/>
      <w:tabs>
        <w:tab w:val="center" w:pos="4153" w:leader="none"/>
        <w:tab w:val="right" w:pos="8306" w:leader="none"/>
      </w:tabs>
    </w:pPr>
    <w:rPr>
      <w:sz w:val="18"/>
      <w:szCs w:val="18"/>
    </w:rPr>
  </w:style>
  <w:style w:type="paragraph" w:styleId="743">
    <w:name w:val="Header"/>
    <w:basedOn w:val="725"/>
    <w:uiPriority w:val="99"/>
    <w:semiHidden/>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4">
    <w:name w:val="toc 1"/>
    <w:basedOn w:val="725"/>
    <w:next w:val="725"/>
    <w:uiPriority w:val="39"/>
    <w:unhideWhenUsed/>
    <w:qFormat/>
    <w:pPr>
      <w:spacing w:after="57"/>
    </w:pPr>
  </w:style>
  <w:style w:type="paragraph" w:styleId="745">
    <w:name w:val="toc 4"/>
    <w:basedOn w:val="725"/>
    <w:next w:val="725"/>
    <w:uiPriority w:val="39"/>
    <w:unhideWhenUsed/>
    <w:qFormat/>
    <w:pPr>
      <w:ind w:left="850"/>
      <w:spacing w:after="57"/>
    </w:pPr>
  </w:style>
  <w:style w:type="paragraph" w:styleId="746">
    <w:name w:val="Subtitle"/>
    <w:basedOn w:val="725"/>
    <w:next w:val="725"/>
    <w:link w:val="796"/>
    <w:uiPriority w:val="11"/>
    <w:qFormat/>
    <w:pPr>
      <w:spacing w:before="200" w:after="200"/>
    </w:pPr>
    <w:rPr>
      <w:sz w:val="24"/>
    </w:rPr>
  </w:style>
  <w:style w:type="paragraph" w:styleId="747">
    <w:name w:val="footnote text"/>
    <w:basedOn w:val="725"/>
    <w:link w:val="930"/>
    <w:uiPriority w:val="99"/>
    <w:semiHidden/>
    <w:unhideWhenUsed/>
    <w:qFormat/>
    <w:pPr>
      <w:spacing w:after="40"/>
    </w:pPr>
    <w:rPr>
      <w:sz w:val="18"/>
    </w:rPr>
  </w:style>
  <w:style w:type="paragraph" w:styleId="748">
    <w:name w:val="toc 6"/>
    <w:basedOn w:val="725"/>
    <w:next w:val="725"/>
    <w:uiPriority w:val="39"/>
    <w:unhideWhenUsed/>
    <w:qFormat/>
    <w:pPr>
      <w:ind w:left="1417"/>
      <w:spacing w:after="57"/>
    </w:pPr>
  </w:style>
  <w:style w:type="paragraph" w:styleId="749">
    <w:name w:val="table of figures"/>
    <w:basedOn w:val="725"/>
    <w:next w:val="725"/>
    <w:uiPriority w:val="99"/>
    <w:unhideWhenUsed/>
    <w:qFormat/>
  </w:style>
  <w:style w:type="paragraph" w:styleId="750">
    <w:name w:val="toc 2"/>
    <w:basedOn w:val="725"/>
    <w:next w:val="725"/>
    <w:uiPriority w:val="39"/>
    <w:unhideWhenUsed/>
    <w:qFormat/>
    <w:pPr>
      <w:ind w:left="283"/>
      <w:spacing w:after="57"/>
    </w:pPr>
  </w:style>
  <w:style w:type="paragraph" w:styleId="751">
    <w:name w:val="toc 9"/>
    <w:basedOn w:val="725"/>
    <w:next w:val="725"/>
    <w:uiPriority w:val="39"/>
    <w:unhideWhenUsed/>
    <w:qFormat/>
    <w:pPr>
      <w:ind w:left="2268"/>
      <w:spacing w:after="57"/>
    </w:pPr>
  </w:style>
  <w:style w:type="paragraph" w:styleId="752">
    <w:name w:val="Normal (Web)"/>
    <w:basedOn w:val="725"/>
    <w:uiPriority w:val="0"/>
    <w:qFormat/>
    <w:pPr>
      <w:jc w:val="left"/>
      <w:spacing w:beforeAutospacing="1" w:afterAutospacing="1"/>
    </w:pPr>
    <w:rPr>
      <w:rFonts w:cs="Times New Roman"/>
      <w:sz w:val="24"/>
    </w:rPr>
  </w:style>
  <w:style w:type="paragraph" w:styleId="753">
    <w:name w:val="Title"/>
    <w:basedOn w:val="725"/>
    <w:next w:val="725"/>
    <w:link w:val="795"/>
    <w:uiPriority w:val="10"/>
    <w:qFormat/>
    <w:pPr>
      <w:contextualSpacing/>
      <w:spacing w:before="300" w:after="200"/>
    </w:pPr>
    <w:rPr>
      <w:sz w:val="48"/>
      <w:szCs w:val="48"/>
    </w:rPr>
  </w:style>
  <w:style w:type="paragraph" w:styleId="754">
    <w:name w:val="Body Text First Indent"/>
    <w:basedOn w:val="732"/>
    <w:next w:val="725"/>
    <w:uiPriority w:val="0"/>
    <w:qFormat/>
    <w:pPr>
      <w:ind w:firstLine="200"/>
      <w:spacing w:line="360" w:lineRule="auto"/>
    </w:pPr>
    <w:rPr>
      <w:rFonts w:ascii="仿宋_GB2312" w:hAnsi="Times New Roman" w:eastAsia="仿宋_GB2312"/>
      <w:sz w:val="30"/>
      <w:szCs w:val="30"/>
    </w:rPr>
  </w:style>
  <w:style w:type="paragraph" w:styleId="755">
    <w:name w:val="Body Text First Indent 2"/>
    <w:basedOn w:val="733"/>
    <w:next w:val="756"/>
    <w:uiPriority w:val="0"/>
    <w:qFormat/>
    <w:pPr>
      <w:ind w:firstLine="420"/>
      <w:spacing w:line="360" w:lineRule="auto"/>
    </w:pPr>
    <w:rPr>
      <w:rFonts w:ascii="宋体" w:eastAsia="仿宋"/>
      <w:sz w:val="24"/>
      <w:szCs w:val="21"/>
    </w:rPr>
  </w:style>
  <w:style w:type="paragraph" w:styleId="756" w:customStyle="1">
    <w:name w:val="样式 标题 3 + (中文) 黑体 小四 非加粗 段前: 7.8 磅 段后: 0 磅 行距: 固定值 20 磅_0"/>
    <w:basedOn w:val="725"/>
    <w:uiPriority w:val="0"/>
    <w:qFormat/>
    <w:pPr>
      <w:keepLines/>
      <w:keepNext/>
      <w:spacing w:line="400" w:lineRule="exact"/>
      <w:outlineLvl w:val="2"/>
    </w:pPr>
    <w:rPr>
      <w:rFonts w:eastAsia="黑体" w:cs="宋体"/>
      <w:szCs w:val="21"/>
    </w:rPr>
  </w:style>
  <w:style w:type="table" w:styleId="757">
    <w:name w:val="Table Grid"/>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basedOn w:val="726"/>
    <w:uiPriority w:val="22"/>
    <w:qFormat/>
    <w:rPr>
      <w:b/>
      <w:bCs/>
    </w:rPr>
  </w:style>
  <w:style w:type="character" w:styleId="759">
    <w:name w:val="endnote reference"/>
    <w:basedOn w:val="726"/>
    <w:uiPriority w:val="99"/>
    <w:semiHidden/>
    <w:unhideWhenUsed/>
    <w:qFormat/>
    <w:rPr>
      <w:vertAlign w:val="superscript"/>
    </w:rPr>
  </w:style>
  <w:style w:type="character" w:styleId="760">
    <w:name w:val="Hyperlink"/>
    <w:uiPriority w:val="99"/>
    <w:unhideWhenUsed/>
    <w:qFormat/>
    <w:rPr>
      <w:color w:val="0563c1" w:themeColor="hyperlink"/>
      <w:u w:val="single"/>
      <w14:textFill>
        <w14:solidFill>
          <w14:schemeClr w14:val="hlink"/>
        </w14:solidFill>
      </w14:textFill>
    </w:rPr>
  </w:style>
  <w:style w:type="character" w:styleId="761">
    <w:name w:val="footnote reference"/>
    <w:basedOn w:val="726"/>
    <w:uiPriority w:val="99"/>
    <w:unhideWhenUsed/>
    <w:qFormat/>
    <w:rPr>
      <w:vertAlign w:val="superscript"/>
    </w:rPr>
  </w:style>
  <w:style w:type="paragraph" w:styleId="762" w:customStyle="1">
    <w:name w:val="style4"/>
    <w:basedOn w:val="725"/>
    <w:next w:val="763"/>
    <w:uiPriority w:val="0"/>
    <w:qFormat/>
    <w:pPr>
      <w:spacing w:before="280" w:after="280"/>
      <w:widowControl/>
    </w:pPr>
    <w:rPr>
      <w:rFonts w:ascii="宋体" w:hAnsi="Calibri" w:eastAsia="宋体" w:cs="Times New Roman"/>
      <w:sz w:val="18"/>
    </w:rPr>
  </w:style>
  <w:style w:type="paragraph" w:styleId="763" w:customStyle="1">
    <w:name w:val="2"/>
    <w:next w:val="725"/>
    <w:uiPriority w:val="0"/>
    <w:qFormat/>
    <w:pPr>
      <w:jc w:val="both"/>
      <w:widowControl w:val="off"/>
    </w:pPr>
    <w:rPr>
      <w:rFonts w:ascii="Calibri" w:hAnsi="Calibri" w:eastAsia="宋体" w:cs="Times New Roman"/>
      <w:sz w:val="21"/>
      <w:szCs w:val="22"/>
      <w:lang w:val="en-US" w:eastAsia="zh-CN" w:bidi="ar-SA"/>
    </w:rPr>
  </w:style>
  <w:style w:type="character" w:styleId="764" w:customStyle="1">
    <w:name w:val="标题 3 Char"/>
    <w:basedOn w:val="726"/>
    <w:uiPriority w:val="0"/>
    <w:semiHidden/>
    <w:qFormat/>
    <w:rPr>
      <w:rFonts w:asciiTheme="minorHAnsi" w:hAnsiTheme="minorHAnsi" w:eastAsiaTheme="minorEastAsia" w:cstheme="minorBidi"/>
      <w:b/>
      <w:bCs/>
      <w:sz w:val="32"/>
      <w:szCs w:val="32"/>
    </w:rPr>
  </w:style>
  <w:style w:type="character" w:styleId="765" w:customStyle="1">
    <w:name w:val="Heading 1 Char"/>
    <w:basedOn w:val="726"/>
    <w:link w:val="766"/>
    <w:uiPriority w:val="9"/>
    <w:qFormat/>
    <w:rPr>
      <w:rFonts w:ascii="Arial" w:hAnsi="Arial" w:eastAsia="Arial" w:cs="Arial"/>
      <w:sz w:val="40"/>
      <w:szCs w:val="40"/>
    </w:rPr>
  </w:style>
  <w:style w:type="paragraph" w:styleId="766" w:customStyle="1">
    <w:name w:val="Heading 11"/>
    <w:basedOn w:val="725"/>
    <w:next w:val="725"/>
    <w:link w:val="765"/>
    <w:uiPriority w:val="9"/>
    <w:qFormat/>
    <w:pPr>
      <w:keepLines/>
      <w:keepNext/>
      <w:spacing w:before="480" w:after="200"/>
      <w:outlineLvl w:val="0"/>
    </w:pPr>
    <w:rPr>
      <w:rFonts w:ascii="Arial" w:hAnsi="Arial" w:eastAsia="Arial" w:cs="Arial"/>
      <w:sz w:val="40"/>
      <w:szCs w:val="40"/>
    </w:rPr>
  </w:style>
  <w:style w:type="paragraph" w:styleId="767" w:customStyle="1">
    <w:name w:val="正文首行缩进11"/>
    <w:basedOn w:val="725"/>
    <w:next w:val="725"/>
    <w:uiPriority w:val="99"/>
    <w:unhideWhenUsed/>
    <w:qFormat/>
    <w:pPr>
      <w:ind w:firstLine="420"/>
    </w:pPr>
    <w:rPr>
      <w:rFonts w:ascii="Times New Roman" w:hAnsi="Times New Roman"/>
    </w:rPr>
  </w:style>
  <w:style w:type="paragraph" w:styleId="768" w:customStyle="1">
    <w:name w:val="TOC 标题1"/>
    <w:uiPriority w:val="39"/>
    <w:unhideWhenUsed/>
    <w:qFormat/>
    <w:rPr>
      <w:rFonts w:ascii="Times New Roman" w:hAnsi="Times New Roman" w:eastAsia="宋体" w:cs="Times New Roman"/>
      <w:lang w:val="en-US" w:eastAsia="zh-CN" w:bidi="ar-SA"/>
    </w:rPr>
  </w:style>
  <w:style w:type="character" w:styleId="769" w:customStyle="1">
    <w:name w:val="Title Char"/>
    <w:basedOn w:val="726"/>
    <w:uiPriority w:val="10"/>
    <w:qFormat/>
    <w:rPr>
      <w:sz w:val="48"/>
      <w:szCs w:val="48"/>
    </w:rPr>
  </w:style>
  <w:style w:type="character" w:styleId="770" w:customStyle="1">
    <w:name w:val="Subtitle Char"/>
    <w:basedOn w:val="726"/>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paragraph" w:styleId="775" w:customStyle="1">
    <w:name w:val="标题 11"/>
    <w:basedOn w:val="725"/>
    <w:next w:val="725"/>
    <w:uiPriority w:val="9"/>
    <w:qFormat/>
    <w:pPr>
      <w:keepLines/>
      <w:keepNext/>
      <w:spacing w:before="340" w:after="330" w:line="576" w:lineRule="auto"/>
      <w:outlineLvl w:val="0"/>
    </w:pPr>
    <w:rPr>
      <w:b/>
      <w:sz w:val="44"/>
    </w:rPr>
  </w:style>
  <w:style w:type="paragraph" w:styleId="776" w:customStyle="1">
    <w:name w:val="标题 21"/>
    <w:basedOn w:val="725"/>
    <w:link w:val="950"/>
    <w:uiPriority w:val="9"/>
    <w:qFormat/>
    <w:pPr>
      <w:jc w:val="left"/>
      <w:spacing w:before="100" w:beforeAutospacing="1" w:after="100" w:afterAutospacing="1"/>
      <w:widowControl/>
      <w:outlineLvl w:val="1"/>
    </w:pPr>
    <w:rPr>
      <w:rFonts w:ascii="宋体" w:hAnsi="宋体" w:eastAsia="宋体" w:cs="宋体"/>
      <w:b/>
      <w:bCs/>
      <w:sz w:val="36"/>
      <w:szCs w:val="36"/>
    </w:rPr>
  </w:style>
  <w:style w:type="paragraph" w:styleId="777" w:customStyle="1">
    <w:name w:val="页脚1"/>
    <w:basedOn w:val="725"/>
    <w:link w:val="949"/>
    <w:uiPriority w:val="99"/>
    <w:semiHidden/>
    <w:unhideWhenUsed/>
    <w:qFormat/>
    <w:pPr>
      <w:jc w:val="left"/>
      <w:tabs>
        <w:tab w:val="center" w:pos="4153" w:leader="none"/>
        <w:tab w:val="right" w:pos="8306" w:leader="none"/>
      </w:tabs>
    </w:pPr>
    <w:rPr>
      <w:sz w:val="18"/>
      <w:szCs w:val="18"/>
    </w:rPr>
  </w:style>
  <w:style w:type="paragraph" w:styleId="778" w:customStyle="1">
    <w:name w:val="页眉1"/>
    <w:basedOn w:val="725"/>
    <w:link w:val="948"/>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779" w:customStyle="1">
    <w:name w:val="Heading 2 Char"/>
    <w:basedOn w:val="726"/>
    <w:uiPriority w:val="9"/>
    <w:qFormat/>
    <w:rPr>
      <w:rFonts w:ascii="Arial" w:hAnsi="Arial" w:eastAsia="Arial" w:cs="Arial"/>
      <w:sz w:val="34"/>
    </w:rPr>
  </w:style>
  <w:style w:type="character" w:styleId="780" w:customStyle="1">
    <w:name w:val="Heading 3 Char"/>
    <w:basedOn w:val="726"/>
    <w:uiPriority w:val="9"/>
    <w:qFormat/>
    <w:rPr>
      <w:rFonts w:ascii="Arial" w:hAnsi="Arial" w:eastAsia="Arial" w:cs="Arial"/>
      <w:sz w:val="30"/>
      <w:szCs w:val="30"/>
    </w:rPr>
  </w:style>
  <w:style w:type="paragraph" w:styleId="781" w:customStyle="1">
    <w:name w:val="标题 41"/>
    <w:basedOn w:val="725"/>
    <w:next w:val="725"/>
    <w:link w:val="782"/>
    <w:uiPriority w:val="9"/>
    <w:unhideWhenUsed/>
    <w:qFormat/>
    <w:pPr>
      <w:keepLines/>
      <w:keepNext/>
      <w:spacing w:before="320" w:after="200"/>
      <w:outlineLvl w:val="3"/>
    </w:pPr>
    <w:rPr>
      <w:rFonts w:ascii="Arial" w:hAnsi="Arial" w:eastAsia="Arial" w:cs="Arial"/>
      <w:b/>
      <w:bCs/>
      <w:sz w:val="26"/>
      <w:szCs w:val="26"/>
    </w:rPr>
  </w:style>
  <w:style w:type="character" w:styleId="782" w:customStyle="1">
    <w:name w:val="Heading 4 Char"/>
    <w:basedOn w:val="726"/>
    <w:link w:val="781"/>
    <w:uiPriority w:val="9"/>
    <w:qFormat/>
    <w:rPr>
      <w:rFonts w:ascii="Arial" w:hAnsi="Arial" w:eastAsia="Arial" w:cs="Arial"/>
      <w:b/>
      <w:bCs/>
      <w:sz w:val="26"/>
      <w:szCs w:val="26"/>
    </w:rPr>
  </w:style>
  <w:style w:type="paragraph" w:styleId="783" w:customStyle="1">
    <w:name w:val="标题 51"/>
    <w:basedOn w:val="725"/>
    <w:next w:val="725"/>
    <w:link w:val="784"/>
    <w:uiPriority w:val="9"/>
    <w:unhideWhenUsed/>
    <w:qFormat/>
    <w:pPr>
      <w:keepLines/>
      <w:keepNext/>
      <w:spacing w:before="320" w:after="200"/>
      <w:outlineLvl w:val="4"/>
    </w:pPr>
    <w:rPr>
      <w:rFonts w:ascii="Arial" w:hAnsi="Arial" w:eastAsia="Arial" w:cs="Arial"/>
      <w:b/>
      <w:bCs/>
      <w:sz w:val="24"/>
    </w:rPr>
  </w:style>
  <w:style w:type="character" w:styleId="784" w:customStyle="1">
    <w:name w:val="Heading 5 Char"/>
    <w:basedOn w:val="726"/>
    <w:link w:val="783"/>
    <w:uiPriority w:val="9"/>
    <w:qFormat/>
    <w:rPr>
      <w:rFonts w:ascii="Arial" w:hAnsi="Arial" w:eastAsia="Arial" w:cs="Arial"/>
      <w:b/>
      <w:bCs/>
      <w:sz w:val="24"/>
      <w:szCs w:val="24"/>
    </w:rPr>
  </w:style>
  <w:style w:type="paragraph" w:styleId="785" w:customStyle="1">
    <w:name w:val="标题 61"/>
    <w:basedOn w:val="725"/>
    <w:next w:val="725"/>
    <w:link w:val="786"/>
    <w:uiPriority w:val="9"/>
    <w:unhideWhenUsed/>
    <w:qFormat/>
    <w:pPr>
      <w:keepLines/>
      <w:keepNext/>
      <w:spacing w:before="320" w:after="200"/>
      <w:outlineLvl w:val="5"/>
    </w:pPr>
    <w:rPr>
      <w:rFonts w:ascii="Arial" w:hAnsi="Arial" w:eastAsia="Arial" w:cs="Arial"/>
      <w:b/>
      <w:bCs/>
      <w:sz w:val="22"/>
      <w:szCs w:val="22"/>
    </w:rPr>
  </w:style>
  <w:style w:type="character" w:styleId="786" w:customStyle="1">
    <w:name w:val="Heading 6 Char"/>
    <w:basedOn w:val="726"/>
    <w:link w:val="785"/>
    <w:uiPriority w:val="9"/>
    <w:qFormat/>
    <w:rPr>
      <w:rFonts w:ascii="Arial" w:hAnsi="Arial" w:eastAsia="Arial" w:cs="Arial"/>
      <w:b/>
      <w:bCs/>
      <w:sz w:val="22"/>
      <w:szCs w:val="22"/>
    </w:rPr>
  </w:style>
  <w:style w:type="paragraph" w:styleId="787" w:customStyle="1">
    <w:name w:val="标题 71"/>
    <w:basedOn w:val="725"/>
    <w:next w:val="725"/>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customStyle="1">
    <w:name w:val="Heading 7 Char"/>
    <w:basedOn w:val="726"/>
    <w:link w:val="787"/>
    <w:uiPriority w:val="9"/>
    <w:qFormat/>
    <w:rPr>
      <w:rFonts w:ascii="Arial" w:hAnsi="Arial" w:eastAsia="Arial" w:cs="Arial"/>
      <w:b/>
      <w:bCs/>
      <w:i/>
      <w:iCs/>
      <w:sz w:val="22"/>
      <w:szCs w:val="22"/>
    </w:rPr>
  </w:style>
  <w:style w:type="paragraph" w:styleId="789" w:customStyle="1">
    <w:name w:val="标题 81"/>
    <w:basedOn w:val="725"/>
    <w:next w:val="725"/>
    <w:link w:val="790"/>
    <w:uiPriority w:val="9"/>
    <w:unhideWhenUsed/>
    <w:qFormat/>
    <w:pPr>
      <w:keepLines/>
      <w:keepNext/>
      <w:spacing w:before="320" w:after="200"/>
      <w:outlineLvl w:val="7"/>
    </w:pPr>
    <w:rPr>
      <w:rFonts w:ascii="Arial" w:hAnsi="Arial" w:eastAsia="Arial" w:cs="Arial"/>
      <w:i/>
      <w:iCs/>
      <w:sz w:val="22"/>
      <w:szCs w:val="22"/>
    </w:rPr>
  </w:style>
  <w:style w:type="character" w:styleId="790" w:customStyle="1">
    <w:name w:val="Heading 8 Char"/>
    <w:basedOn w:val="726"/>
    <w:link w:val="789"/>
    <w:uiPriority w:val="9"/>
    <w:qFormat/>
    <w:rPr>
      <w:rFonts w:ascii="Arial" w:hAnsi="Arial" w:eastAsia="Arial" w:cs="Arial"/>
      <w:i/>
      <w:iCs/>
      <w:sz w:val="22"/>
      <w:szCs w:val="22"/>
    </w:rPr>
  </w:style>
  <w:style w:type="paragraph" w:styleId="791" w:customStyle="1">
    <w:name w:val="标题 91"/>
    <w:basedOn w:val="725"/>
    <w:next w:val="725"/>
    <w:link w:val="792"/>
    <w:uiPriority w:val="9"/>
    <w:unhideWhenUsed/>
    <w:qFormat/>
    <w:pPr>
      <w:keepLines/>
      <w:keepNext/>
      <w:spacing w:before="320" w:after="200"/>
      <w:outlineLvl w:val="8"/>
    </w:pPr>
    <w:rPr>
      <w:rFonts w:ascii="Arial" w:hAnsi="Arial" w:eastAsia="Arial" w:cs="Arial"/>
      <w:i/>
      <w:iCs/>
      <w:szCs w:val="21"/>
    </w:rPr>
  </w:style>
  <w:style w:type="character" w:styleId="792" w:customStyle="1">
    <w:name w:val="Heading 9 Char"/>
    <w:basedOn w:val="726"/>
    <w:link w:val="791"/>
    <w:uiPriority w:val="9"/>
    <w:qFormat/>
    <w:rPr>
      <w:rFonts w:ascii="Arial" w:hAnsi="Arial" w:eastAsia="Arial" w:cs="Arial"/>
      <w:i/>
      <w:iCs/>
      <w:sz w:val="21"/>
      <w:szCs w:val="21"/>
    </w:rPr>
  </w:style>
  <w:style w:type="paragraph" w:styleId="793">
    <w:name w:val="List Paragraph"/>
    <w:basedOn w:val="725"/>
    <w:uiPriority w:val="34"/>
    <w:qFormat/>
    <w:pPr>
      <w:contextualSpacing/>
      <w:ind w:left="720"/>
    </w:pPr>
  </w:style>
  <w:style w:type="paragraph" w:styleId="794">
    <w:name w:val="No Spacing"/>
    <w:uiPriority w:val="1"/>
    <w:qFormat/>
    <w:rPr>
      <w:rFonts w:ascii="Times New Roman" w:hAnsi="Times New Roman" w:eastAsia="宋体" w:cs="Times New Roman"/>
      <w:lang w:val="en-US" w:eastAsia="zh-CN" w:bidi="ar-SA"/>
    </w:rPr>
  </w:style>
  <w:style w:type="character" w:styleId="795" w:customStyle="1">
    <w:name w:val="标题 字符"/>
    <w:basedOn w:val="726"/>
    <w:link w:val="753"/>
    <w:uiPriority w:val="10"/>
    <w:qFormat/>
    <w:rPr>
      <w:sz w:val="48"/>
      <w:szCs w:val="48"/>
    </w:rPr>
  </w:style>
  <w:style w:type="character" w:styleId="796" w:customStyle="1">
    <w:name w:val="副标题 字符"/>
    <w:basedOn w:val="726"/>
    <w:link w:val="746"/>
    <w:uiPriority w:val="11"/>
    <w:qFormat/>
    <w:rPr>
      <w:sz w:val="24"/>
      <w:szCs w:val="24"/>
    </w:rPr>
  </w:style>
  <w:style w:type="paragraph" w:styleId="797">
    <w:name w:val="Quote"/>
    <w:basedOn w:val="725"/>
    <w:next w:val="725"/>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25"/>
    <w:next w:val="725"/>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Header Char"/>
    <w:basedOn w:val="726"/>
    <w:uiPriority w:val="99"/>
    <w:qFormat/>
  </w:style>
  <w:style w:type="character" w:styleId="802" w:customStyle="1">
    <w:name w:val="Footer Char"/>
    <w:basedOn w:val="726"/>
    <w:uiPriority w:val="99"/>
    <w:qFormat/>
  </w:style>
  <w:style w:type="paragraph" w:styleId="803" w:customStyle="1">
    <w:name w:val="题注1"/>
    <w:basedOn w:val="725"/>
    <w:next w:val="725"/>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804" w:customStyle="1">
    <w:name w:val="Caption Char"/>
    <w:uiPriority w:val="99"/>
    <w:qFormat/>
  </w:style>
  <w:style w:type="table" w:styleId="805"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6"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5"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4" w:customStyle="1">
    <w:name w:val="Grid Table 4 - Accent 2"/>
    <w:basedOn w:val="7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5" w:customStyle="1">
    <w:name w:val="Grid Table 4 - Accent 3"/>
    <w:basedOn w:val="7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6" w:customStyle="1">
    <w:name w:val="Grid Table 4 - Accent 4"/>
    <w:basedOn w:val="7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7" w:customStyle="1">
    <w:name w:val="Grid Table 4 - Accent 5"/>
    <w:basedOn w:val="7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8" w:customStyle="1">
    <w:name w:val="Grid Table 4 - Accent 6"/>
    <w:basedOn w:val="7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9"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1"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2"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3"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4"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5"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6"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0" w:customStyle="1">
    <w:name w:val="Grid Table 6 Colorful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2" w:customStyle="1">
    <w:name w:val="Grid Table 6 Colorful - Accent 6"/>
    <w:basedOn w:val="7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3"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basedOn w:val="7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7"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9" w:customStyle="1">
    <w:name w:val="List Table 2 - Accent 2"/>
    <w:basedOn w:val="7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0" w:customStyle="1">
    <w:name w:val="List Table 2 - Accent 3"/>
    <w:basedOn w:val="7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1" w:customStyle="1">
    <w:name w:val="List Table 2 - Accent 4"/>
    <w:basedOn w:val="7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2" w:customStyle="1">
    <w:name w:val="List Table 2 - Accent 5"/>
    <w:basedOn w:val="7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3"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4"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6" w:customStyle="1">
    <w:name w:val="List Table 3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1"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3"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4"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5" w:customStyle="1">
    <w:name w:val="List Table 4 - Accent 4"/>
    <w:basedOn w:val="7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6" w:customStyle="1">
    <w:name w:val="List Table 4 - Accent 5"/>
    <w:basedOn w:val="7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7" w:customStyle="1">
    <w:name w:val="List Table 4 - Accent 6"/>
    <w:basedOn w:val="7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8"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清单表 6 彩色1"/>
    <w:basedOn w:val="7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7" w:customStyle="1">
    <w:name w:val="List Table 6 Colorful - Accent 2"/>
    <w:basedOn w:val="7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8" w:customStyle="1">
    <w:name w:val="List Table 6 Colorful - Accent 3"/>
    <w:basedOn w:val="7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9" w:customStyle="1">
    <w:name w:val="List Table 6 Colorful - Accent 4"/>
    <w:basedOn w:val="7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0" w:customStyle="1">
    <w:name w:val="List Table 6 Colorful - Accent 5"/>
    <w:basedOn w:val="7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1" w:customStyle="1">
    <w:name w:val="List Table 6 Colorful - Accent 6"/>
    <w:basedOn w:val="7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2" w:customStyle="1">
    <w:name w:val="清单表 7 彩色1"/>
    <w:basedOn w:val="7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Lined - Accent 2"/>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Lined - Accent 3"/>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Lined - Accent 4"/>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Lined - Accent 5"/>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Lined - Accent 6"/>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8" w:customStyle="1">
    <w:name w:val="Bordered &amp; Lined - Accent 2"/>
    <w:basedOn w:val="7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Bordered &amp; Lined - Accent 3"/>
    <w:basedOn w:val="7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Bordered &amp; Lined - Accent 4"/>
    <w:basedOn w:val="7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Bordered &amp; Lined - Accent 5"/>
    <w:basedOn w:val="7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2" w:customStyle="1">
    <w:name w:val="Bordered &amp; Lined - Accent 6"/>
    <w:basedOn w:val="7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5"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6"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7" w:customStyle="1">
    <w:name w:val="Bordered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8" w:customStyle="1">
    <w:name w:val="Bordered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9"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0" w:customStyle="1">
    <w:name w:val="脚注文本 字符"/>
    <w:link w:val="747"/>
    <w:uiPriority w:val="99"/>
    <w:qFormat/>
    <w:rPr>
      <w:sz w:val="18"/>
    </w:rPr>
  </w:style>
  <w:style w:type="character" w:styleId="931" w:customStyle="1">
    <w:name w:val="尾注文本 字符"/>
    <w:link w:val="740"/>
    <w:uiPriority w:val="99"/>
    <w:qFormat/>
    <w:rPr>
      <w:sz w:val="20"/>
    </w:rPr>
  </w:style>
  <w:style w:type="paragraph" w:styleId="932" w:customStyle="1">
    <w:name w:val="TOC 标题11"/>
    <w:uiPriority w:val="39"/>
    <w:unhideWhenUsed/>
    <w:qFormat/>
    <w:rPr>
      <w:rFonts w:ascii="Times New Roman" w:hAnsi="Times New Roman" w:eastAsia="宋体" w:cs="Times New Roman"/>
      <w:lang w:val="en-US" w:eastAsia="zh-CN" w:bidi="ar-SA"/>
    </w:rPr>
  </w:style>
  <w:style w:type="paragraph" w:styleId="933" w:customStyle="1">
    <w:name w:val="Heading 21"/>
    <w:basedOn w:val="725"/>
    <w:next w:val="725"/>
    <w:link w:val="947"/>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934" w:customStyle="1">
    <w:name w:val="标题 31"/>
    <w:basedOn w:val="725"/>
    <w:next w:val="729"/>
    <w:link w:val="94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5" w:customStyle="1">
    <w:name w:val="Footer1"/>
    <w:basedOn w:val="725"/>
    <w:link w:val="938"/>
    <w:uiPriority w:val="99"/>
    <w:qFormat/>
    <w:pPr>
      <w:jc w:val="left"/>
      <w:tabs>
        <w:tab w:val="center" w:pos="4153" w:leader="none"/>
        <w:tab w:val="right" w:pos="8306" w:leader="none"/>
      </w:tabs>
    </w:pPr>
    <w:rPr>
      <w:sz w:val="18"/>
      <w:szCs w:val="18"/>
    </w:rPr>
  </w:style>
  <w:style w:type="paragraph" w:styleId="936" w:customStyle="1">
    <w:name w:val="Header1"/>
    <w:basedOn w:val="725"/>
    <w:link w:val="937"/>
    <w:uiPriority w:val="99"/>
    <w:qFormat/>
    <w:pPr>
      <w:jc w:val="center"/>
      <w:tabs>
        <w:tab w:val="center" w:pos="4153" w:leader="none"/>
        <w:tab w:val="right" w:pos="8306" w:leader="none"/>
      </w:tabs>
      <w:pBdr>
        <w:bottom w:val="single" w:color="auto" w:sz="6" w:space="1"/>
      </w:pBdr>
    </w:pPr>
    <w:rPr>
      <w:sz w:val="18"/>
      <w:szCs w:val="18"/>
    </w:rPr>
  </w:style>
  <w:style w:type="character" w:styleId="937" w:customStyle="1">
    <w:name w:val="页眉 Char"/>
    <w:basedOn w:val="726"/>
    <w:link w:val="936"/>
    <w:uiPriority w:val="99"/>
    <w:qFormat/>
    <w:rPr>
      <w:rFonts w:asciiTheme="minorHAnsi" w:hAnsiTheme="minorHAnsi" w:eastAsiaTheme="minorEastAsia" w:cstheme="minorBidi"/>
      <w:sz w:val="18"/>
      <w:szCs w:val="18"/>
    </w:rPr>
  </w:style>
  <w:style w:type="character" w:styleId="938" w:customStyle="1">
    <w:name w:val="页脚 Char"/>
    <w:basedOn w:val="726"/>
    <w:link w:val="935"/>
    <w:uiPriority w:val="99"/>
    <w:qFormat/>
    <w:rPr>
      <w:rFonts w:asciiTheme="minorHAnsi" w:hAnsiTheme="minorHAnsi" w:eastAsiaTheme="minorEastAsia" w:cstheme="minorBidi"/>
      <w:sz w:val="18"/>
      <w:szCs w:val="18"/>
    </w:rPr>
  </w:style>
  <w:style w:type="paragraph" w:styleId="939" w:customStyle="1">
    <w:name w:val="!BECC正文"/>
    <w:basedOn w:val="725"/>
    <w:uiPriority w:val="0"/>
    <w:qFormat/>
    <w:pPr>
      <w:contextualSpacing/>
      <w:ind w:firstLine="200"/>
      <w:spacing w:line="360" w:lineRule="auto"/>
      <w:tabs>
        <w:tab w:val="left" w:pos="0" w:leader="none"/>
      </w:tabs>
    </w:pPr>
    <w:rPr>
      <w:rFonts w:ascii="Times New Roman" w:hAnsi="Times New Roman" w:eastAsia="宋体" w:cs="Times New Roman"/>
      <w:sz w:val="24"/>
    </w:rPr>
  </w:style>
  <w:style w:type="character" w:styleId="940" w:customStyle="1">
    <w:name w:val="纯文本 字符"/>
    <w:basedOn w:val="726"/>
    <w:link w:val="738"/>
    <w:uiPriority w:val="0"/>
    <w:qFormat/>
    <w:rPr>
      <w:rFonts w:ascii="宋体" w:hAnsi="Courier New"/>
      <w:sz w:val="21"/>
      <w:szCs w:val="21"/>
    </w:rPr>
  </w:style>
  <w:style w:type="character" w:styleId="941" w:customStyle="1">
    <w:name w:val="正文缩进 字符"/>
    <w:link w:val="729"/>
    <w:uiPriority w:val="0"/>
    <w:qFormat/>
    <w:rPr>
      <w:rFonts w:ascii="Calibri" w:hAnsi="Calibri"/>
    </w:rPr>
  </w:style>
  <w:style w:type="character" w:styleId="942" w:customStyle="1">
    <w:name w:val="标题 3 Char1"/>
    <w:link w:val="934"/>
    <w:uiPriority w:val="0"/>
    <w:qFormat/>
    <w:rPr>
      <w:b/>
      <w:bCs/>
      <w:sz w:val="32"/>
      <w:szCs w:val="32"/>
    </w:rPr>
  </w:style>
  <w:style w:type="character" w:styleId="943" w:customStyle="1">
    <w:name w:val="正文文本 字符"/>
    <w:basedOn w:val="726"/>
    <w:link w:val="732"/>
    <w:uiPriority w:val="99"/>
    <w:qFormat/>
    <w:rPr>
      <w:rFonts w:ascii="楷体_GB2312" w:hAnsi="Arial" w:eastAsia="楷体_GB2312"/>
      <w:sz w:val="28"/>
      <w:szCs w:val="28"/>
    </w:rPr>
  </w:style>
  <w:style w:type="paragraph" w:styleId="944" w:customStyle="1">
    <w:name w:val="*正文"/>
    <w:basedOn w:val="725"/>
    <w:uiPriority w:val="0"/>
    <w:qFormat/>
    <w:pPr>
      <w:ind w:firstLine="480"/>
      <w:jc w:val="left"/>
      <w:spacing w:line="300" w:lineRule="auto"/>
      <w:widowControl/>
    </w:pPr>
    <w:rPr>
      <w:rFonts w:ascii="宋体" w:hAnsi="宋体" w:eastAsia="宋体" w:cs="Times New Roman"/>
      <w:sz w:val="20"/>
    </w:rPr>
  </w:style>
  <w:style w:type="character" w:styleId="945" w:customStyle="1">
    <w:name w:val="批注框文本 字符"/>
    <w:basedOn w:val="726"/>
    <w:link w:val="741"/>
    <w:uiPriority w:val="0"/>
    <w:qFormat/>
    <w:rPr>
      <w:rFonts w:asciiTheme="minorHAnsi" w:hAnsiTheme="minorHAnsi" w:eastAsiaTheme="minorEastAsia" w:cstheme="minorBidi"/>
      <w:sz w:val="18"/>
      <w:szCs w:val="18"/>
    </w:rPr>
  </w:style>
  <w:style w:type="paragraph" w:styleId="94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47" w:customStyle="1">
    <w:name w:val="标题 2 Char"/>
    <w:basedOn w:val="726"/>
    <w:link w:val="933"/>
    <w:uiPriority w:val="9"/>
    <w:qFormat/>
    <w:rPr>
      <w:rFonts w:ascii="宋体" w:hAnsi="宋体"/>
      <w:b/>
      <w:bCs/>
      <w:sz w:val="36"/>
      <w:szCs w:val="36"/>
    </w:rPr>
  </w:style>
  <w:style w:type="character" w:styleId="948" w:customStyle="1">
    <w:name w:val="页眉 Char1"/>
    <w:basedOn w:val="726"/>
    <w:link w:val="778"/>
    <w:uiPriority w:val="99"/>
    <w:semiHidden/>
    <w:qFormat/>
    <w:rPr>
      <w:rFonts w:asciiTheme="minorHAnsi" w:hAnsiTheme="minorHAnsi" w:eastAsiaTheme="minorEastAsia" w:cstheme="minorBidi"/>
      <w:sz w:val="18"/>
      <w:szCs w:val="18"/>
    </w:rPr>
  </w:style>
  <w:style w:type="character" w:styleId="949" w:customStyle="1">
    <w:name w:val="页脚 Char1"/>
    <w:basedOn w:val="726"/>
    <w:link w:val="777"/>
    <w:uiPriority w:val="99"/>
    <w:semiHidden/>
    <w:qFormat/>
    <w:rPr>
      <w:rFonts w:asciiTheme="minorHAnsi" w:hAnsiTheme="minorHAnsi" w:eastAsiaTheme="minorEastAsia" w:cstheme="minorBidi"/>
      <w:sz w:val="18"/>
      <w:szCs w:val="18"/>
    </w:rPr>
  </w:style>
  <w:style w:type="character" w:styleId="950" w:customStyle="1">
    <w:name w:val="标题 2 Char1"/>
    <w:basedOn w:val="726"/>
    <w:link w:val="776"/>
    <w:uiPriority w:val="9"/>
    <w:semiHidden/>
    <w:qFormat/>
    <w:rPr>
      <w:rFonts w:asciiTheme="majorHAnsi" w:hAnsiTheme="majorHAnsi" w:eastAsiaTheme="majorEastAsia" w:cstheme="majorBidi"/>
      <w:b/>
      <w:bCs/>
      <w:sz w:val="32"/>
      <w:szCs w:val="32"/>
    </w:rPr>
  </w:style>
  <w:style w:type="paragraph" w:styleId="951" w:customStyle="1">
    <w:name w:val="text"/>
    <w:basedOn w:val="725"/>
    <w:uiPriority w:val="0"/>
    <w:qFormat/>
    <w:pPr>
      <w:jc w:val="left"/>
      <w:spacing w:before="100" w:beforeAutospacing="1" w:after="100" w:afterAutospacing="1"/>
      <w:widowControl/>
    </w:pPr>
    <w:rPr>
      <w:rFonts w:ascii="宋体" w:hAnsi="宋体" w:eastAsia="宋体" w:cs="宋体"/>
      <w:sz w:val="24"/>
    </w:rPr>
  </w:style>
  <w:style w:type="paragraph" w:styleId="952" w:customStyle="1">
    <w:name w:val="正文首行缩进 21"/>
    <w:basedOn w:val="725"/>
    <w:uiPriority w:val="0"/>
    <w:qFormat/>
    <w:pPr>
      <w:ind w:left="420" w:firstLine="420"/>
      <w:spacing w:after="120"/>
    </w:pPr>
  </w:style>
  <w:style w:type="paragraph" w:styleId="953" w:customStyle="1">
    <w:name w:val="正文缩进1"/>
    <w:basedOn w:val="725"/>
    <w:uiPriority w:val="0"/>
    <w:qFormat/>
    <w:pPr>
      <w:ind w:firstLine="420"/>
      <w:jc w:val="left"/>
      <w:widowControl/>
    </w:pPr>
  </w:style>
  <w:style w:type="paragraph" w:styleId="954" w:customStyle="1">
    <w:name w:val="Default"/>
    <w:basedOn w:val="725"/>
    <w:uiPriority w:val="0"/>
    <w:semiHidden/>
    <w:qFormat/>
    <w:pPr>
      <w:jc w:val="left"/>
    </w:pPr>
    <w:rPr>
      <w:rFonts w:ascii="宋体" w:hAnsi="Calibri" w:cs="宋体"/>
      <w:color w:val="000000"/>
      <w:sz w:val="24"/>
    </w:rPr>
  </w:style>
  <w:style w:type="paragraph" w:styleId="955" w:customStyle="1">
    <w:name w:val="TOC 71"/>
    <w:next w:val="725"/>
    <w:uiPriority w:val="0"/>
    <w:qFormat/>
    <w:pPr>
      <w:ind w:left="2550"/>
      <w:jc w:val="both"/>
    </w:pPr>
    <w:rPr>
      <w:rFonts w:ascii="Times New Roman" w:hAnsi="Times New Roman" w:eastAsia="宋体" w:cs="Times New Roman"/>
      <w:sz w:val="21"/>
      <w:szCs w:val="22"/>
      <w:lang w:val="en-US" w:eastAsia="zh-CN" w:bidi="ar-SA"/>
    </w:rPr>
  </w:style>
  <w:style w:type="paragraph" w:styleId="956" w:customStyle="1">
    <w:name w:val="Table Text"/>
    <w:basedOn w:val="725"/>
    <w:uiPriority w:val="0"/>
    <w:semiHidden/>
    <w:qFormat/>
    <w:rPr>
      <w:rFonts w:ascii="宋体" w:hAnsi="宋体" w:eastAsia="宋体" w:cs="宋体"/>
      <w:sz w:val="24"/>
    </w:rPr>
  </w:style>
  <w:style w:type="table" w:styleId="957" w:customStyle="1">
    <w:name w:val="Table Normal"/>
    <w:uiPriority w:val="0"/>
    <w:unhideWhenUsed/>
    <w:qFormat/>
    <w:tblPr>
      <w:tblCellMar>
        <w:left w:w="0" w:type="dxa"/>
        <w:top w:w="0" w:type="dxa"/>
        <w:right w:w="0" w:type="dxa"/>
        <w:bottom w:w="0" w:type="dxa"/>
      </w:tblCellMar>
    </w:tblPr>
  </w:style>
  <w:style w:type="paragraph" w:styleId="958" w:customStyle="1">
    <w:name w:val="页眉12"/>
    <w:basedOn w:val="725"/>
    <w:uiPriority w:val="0"/>
    <w:qFormat/>
    <w:pPr>
      <w:jc w:val="center"/>
      <w:tabs>
        <w:tab w:val="center" w:pos="4153" w:leader="none"/>
        <w:tab w:val="right" w:pos="8306" w:leader="none"/>
      </w:tabs>
      <w:pBdr>
        <w:bottom w:val="single" w:color="000000" w:sz="6" w:space="1"/>
      </w:pBdr>
    </w:pPr>
    <w:rPr>
      <w:sz w:val="18"/>
      <w:szCs w:val="18"/>
    </w:rPr>
  </w:style>
  <w:style w:type="paragraph" w:styleId="959" w:customStyle="1">
    <w:name w:val="正文文本 2111"/>
    <w:basedOn w:val="725"/>
    <w:uiPriority w:val="99"/>
    <w:qFormat/>
    <w:pPr>
      <w:jc w:val="center"/>
    </w:pPr>
    <w:rPr>
      <w:b/>
      <w:bCs/>
      <w:sz w:val="20"/>
      <w:szCs w:val="20"/>
    </w:rPr>
  </w:style>
  <w:style w:type="paragraph" w:styleId="960" w:customStyle="1">
    <w:name w:val="普通正文"/>
    <w:basedOn w:val="725"/>
    <w:uiPriority w:val="0"/>
    <w:qFormat/>
    <w:pPr>
      <w:ind w:firstLine="480"/>
      <w:jc w:val="left"/>
      <w:spacing w:before="120" w:after="120" w:line="360" w:lineRule="auto"/>
    </w:pPr>
    <w:rPr>
      <w:rFonts w:ascii="Arial" w:hAnsi="Arial" w:eastAsia="等线" w:cs="Arial"/>
      <w:sz w:val="24"/>
    </w:rPr>
  </w:style>
  <w:style w:type="paragraph" w:styleId="961" w:customStyle="1">
    <w:name w:val="普通(网站)1"/>
    <w:basedOn w:val="725"/>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10</cp:revision>
  <dcterms:created xsi:type="dcterms:W3CDTF">2025-10-30T10:04:00Z</dcterms:created>
  <dcterms:modified xsi:type="dcterms:W3CDTF">2025-11-17T02:51:39Z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4CD09EDA286B4003BC284C2EAEF2EC3F_13</vt:lpwstr>
  </property>
  <property fmtid="{D5CDD505-2E9C-101B-9397-08002B2CF9AE}" pid="4" name="KSOTemplateDocerSaveRecord">
    <vt:lpwstr>eyJoZGlkIjoiODZkZDhiMGRhNjI0MjMyZGNiZjBmZTUwZmY4Yjk1MjEiLCJ1c2VySWQiOiIxNjcxNDc2OTEwIn0=</vt:lpwstr>
  </property>
</Properties>
</file>