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0"/>
        <w:rPr>
          <w:rFonts w:eastAsia="黑体"/>
          <w:b/>
          <w:bCs/>
          <w:sz w:val="84"/>
        </w:rPr>
      </w:pPr>
      <w:r>
        <w:rPr>
          <w:rFonts w:hint="eastAsia" w:eastAsia="黑体"/>
          <w:b/>
          <w:bCs/>
          <w:sz w:val="84"/>
        </w:rPr>
        <w:t xml:space="preserve">                    </w:t>
      </w:r>
      <w:r/>
    </w:p>
    <w:p>
      <w:pPr>
        <w:pStyle w:val="1032"/>
        <w:ind w:firstLine="0"/>
        <w:jc w:val="center"/>
        <w:rPr>
          <w:rFonts w:eastAsia="黑体"/>
          <w:b/>
          <w:bCs/>
          <w:sz w:val="84"/>
        </w:rPr>
      </w:pPr>
      <w:r>
        <w:rPr>
          <w:rFonts w:hint="eastAsia" w:eastAsia="黑体"/>
          <w:b/>
          <w:bCs/>
          <w:sz w:val="84"/>
        </w:rPr>
        <w:t xml:space="preserve">招　标　文　件</w:t>
      </w:r>
      <w:r/>
    </w:p>
    <w:p>
      <w:pPr>
        <w:pStyle w:val="1032"/>
        <w:ind w:firstLine="2249"/>
        <w:rPr>
          <w:b/>
          <w:bCs/>
          <w:sz w:val="32"/>
        </w:rPr>
      </w:pPr>
      <w:r>
        <w:rPr>
          <w:b/>
          <w:bCs/>
          <w:sz w:val="32"/>
        </w:rPr>
      </w:r>
      <w:r/>
    </w:p>
    <w:p>
      <w:pPr>
        <w:pStyle w:val="1032"/>
        <w:ind w:firstLine="2249"/>
        <w:rPr>
          <w:b/>
          <w:bCs/>
          <w:sz w:val="32"/>
        </w:rPr>
      </w:pPr>
      <w:r>
        <w:rPr>
          <w:b/>
          <w:bCs/>
          <w:sz w:val="32"/>
        </w:rPr>
      </w:r>
      <w:r/>
    </w:p>
    <w:p>
      <w:pPr>
        <w:pStyle w:val="1032"/>
        <w:ind w:firstLine="2249"/>
        <w:rPr>
          <w:b/>
          <w:bCs/>
          <w:sz w:val="32"/>
        </w:rPr>
      </w:pPr>
      <w:r>
        <w:rPr>
          <w:b/>
          <w:bCs/>
          <w:sz w:val="32"/>
        </w:rPr>
      </w:r>
      <w:r/>
    </w:p>
    <w:p>
      <w:pPr>
        <w:pStyle w:val="1032"/>
        <w:ind w:firstLine="2249"/>
        <w:rPr>
          <w:b/>
          <w:bCs/>
          <w:sz w:val="32"/>
        </w:rPr>
      </w:pPr>
      <w:r>
        <w:rPr>
          <w:b/>
          <w:bCs/>
          <w:sz w:val="32"/>
        </w:rPr>
      </w:r>
      <w:r/>
    </w:p>
    <w:p>
      <w:pPr>
        <w:pStyle w:val="1032"/>
        <w:ind w:firstLine="2249"/>
        <w:rPr>
          <w:b/>
          <w:bCs/>
          <w:sz w:val="32"/>
        </w:rPr>
      </w:pPr>
      <w:r>
        <w:rPr>
          <w:rFonts w:hint="eastAsia"/>
          <w:b/>
          <w:bCs/>
          <w:sz w:val="32"/>
        </w:rPr>
        <w:t xml:space="preserve">项目名称：</w:t>
      </w:r>
      <w:r>
        <w:rPr>
          <w:rFonts w:hint="eastAsia"/>
          <w:b/>
          <w:bCs/>
          <w:sz w:val="32"/>
        </w:rPr>
        <w:t xml:space="preserve">扬州市公路事业发展中心</w:t>
      </w:r>
      <w:r>
        <w:rPr>
          <w:rFonts w:hint="eastAsia"/>
          <w:b/>
          <w:bCs/>
          <w:sz w:val="32"/>
        </w:rPr>
        <w:t xml:space="preserve">2024</w:t>
      </w:r>
      <w:r>
        <w:rPr>
          <w:rFonts w:hint="eastAsia"/>
          <w:b/>
          <w:bCs/>
          <w:sz w:val="32"/>
        </w:rPr>
        <w:t xml:space="preserve">年</w:t>
      </w:r>
      <w:r>
        <w:rPr>
          <w:rFonts w:hint="eastAsia"/>
          <w:b/>
          <w:bCs/>
          <w:sz w:val="32"/>
        </w:rPr>
        <w:t xml:space="preserve">-2025</w:t>
      </w:r>
      <w:r>
        <w:rPr>
          <w:rFonts w:hint="eastAsia"/>
          <w:b/>
          <w:bCs/>
          <w:sz w:val="32"/>
        </w:rPr>
        <w:t xml:space="preserve">年信息化与路网指挥中心维护服务项目</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JSZC-321000-JZCG-G2024-</w:t>
      </w:r>
      <w:r>
        <w:rPr>
          <w:rFonts w:hint="eastAsia"/>
          <w:b/>
          <w:bCs/>
          <w:color w:val="ff0000"/>
          <w:sz w:val="32"/>
        </w:rPr>
        <w:t xml:space="preserve">0170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b/>
          <w:color w:val="ff0000"/>
          <w:sz w:val="30"/>
          <w:szCs w:val="30"/>
        </w:rPr>
      </w:pPr>
      <w:r>
        <w:rPr>
          <w:b/>
          <w:color w:val="ff0000"/>
          <w:sz w:val="30"/>
          <w:szCs w:val="30"/>
        </w:rPr>
      </w:r>
      <w:r/>
    </w:p>
    <w:p>
      <w:pPr>
        <w:pStyle w:val="1032"/>
        <w:ind w:firstLine="0"/>
        <w:spacing w:before="0" w:after="0"/>
        <w:rPr>
          <w:rFonts w:ascii="宋体" w:hAnsi="宋体"/>
        </w:rPr>
      </w:pPr>
      <w:r>
        <w:rPr>
          <w:rFonts w:ascii="宋体" w:hAnsi="宋体"/>
        </w:rPr>
      </w:r>
      <w:r/>
    </w:p>
    <w:p>
      <w:pPr>
        <w:pStyle w:val="1032"/>
        <w:ind w:firstLine="0"/>
        <w:spacing w:before="0" w:after="0"/>
        <w:rPr>
          <w:rFonts w:ascii="宋体" w:hAnsi="宋体"/>
        </w:rPr>
      </w:pPr>
      <w:r>
        <w:rPr>
          <w:rFonts w:ascii="宋体" w:hAnsi="宋体"/>
        </w:rPr>
      </w:r>
      <w:r/>
    </w:p>
    <w:p>
      <w:pPr>
        <w:pStyle w:val="1032"/>
        <w:ind w:firstLine="0"/>
        <w:spacing w:before="0" w:after="0"/>
        <w:rPr>
          <w:rFonts w:ascii="宋体" w:hAnsi="宋体"/>
        </w:rPr>
      </w:pPr>
      <w:r>
        <w:rPr>
          <w:rFonts w:ascii="宋体" w:hAnsi="宋体"/>
        </w:rPr>
      </w:r>
      <w:r/>
    </w:p>
    <w:p>
      <w:pPr>
        <w:pStyle w:val="1032"/>
        <w:ind w:firstLine="0"/>
        <w:spacing w:before="0" w:after="0"/>
        <w:rPr>
          <w:rFonts w:ascii="宋体" w:hAnsi="宋体"/>
        </w:rPr>
      </w:pPr>
      <w:r>
        <w:rPr>
          <w:rFonts w:ascii="宋体" w:hAnsi="宋体"/>
        </w:rPr>
      </w:r>
      <w:r/>
    </w:p>
    <w:p>
      <w:pPr>
        <w:pStyle w:val="1032"/>
        <w:ind w:firstLine="0"/>
        <w:spacing w:before="0" w:after="0"/>
        <w:rPr>
          <w:rFonts w:ascii="宋体" w:hAnsi="宋体"/>
        </w:rPr>
      </w:pPr>
      <w:r>
        <w:rPr>
          <w:rFonts w:ascii="宋体" w:hAnsi="宋体"/>
        </w:rPr>
      </w:r>
      <w:r/>
    </w:p>
    <w:p>
      <w:pPr>
        <w:pStyle w:val="1032"/>
        <w:ind w:firstLine="0"/>
        <w:spacing w:before="0" w:after="0"/>
        <w:rPr>
          <w:rFonts w:ascii="宋体" w:hAnsi="宋体"/>
        </w:rPr>
      </w:pPr>
      <w:r>
        <w:rPr>
          <w:rFonts w:ascii="宋体" w:hAnsi="宋体"/>
        </w:rPr>
      </w:r>
      <w:r/>
    </w:p>
    <w:p>
      <w:pPr>
        <w:pStyle w:val="1032"/>
        <w:ind w:firstLine="0"/>
        <w:spacing w:before="0" w:after="0"/>
        <w:rPr>
          <w:rFonts w:ascii="宋体" w:hAnsi="宋体"/>
        </w:rPr>
      </w:pPr>
      <w:r>
        <w:rPr>
          <w:rFonts w:ascii="宋体" w:hAnsi="宋体"/>
        </w:rPr>
      </w:r>
      <w:r/>
    </w:p>
    <w:p>
      <w:pPr>
        <w:pStyle w:val="1032"/>
        <w:ind w:firstLine="0"/>
        <w:jc w:val="center"/>
        <w:rPr>
          <w:b/>
          <w:bCs/>
          <w:sz w:val="32"/>
        </w:rPr>
      </w:pPr>
      <w:r>
        <w:rPr>
          <w:rFonts w:hint="eastAsia"/>
          <w:b/>
          <w:bCs/>
          <w:sz w:val="32"/>
        </w:rPr>
        <w:t xml:space="preserve">扬州市公共资源交易中心</w:t>
      </w:r>
      <w:r/>
    </w:p>
    <w:p>
      <w:pPr>
        <w:pStyle w:val="1032"/>
        <w:ind w:firstLine="0"/>
        <w:jc w:val="center"/>
        <w:rPr>
          <w:b/>
          <w:bCs/>
          <w:sz w:val="32"/>
        </w:rPr>
      </w:pPr>
      <w:r>
        <w:rPr>
          <w:b/>
          <w:bCs/>
          <w:sz w:val="32"/>
        </w:rPr>
        <w:t xml:space="preserve">2024</w:t>
      </w:r>
      <w:r>
        <w:rPr>
          <w:rFonts w:hint="eastAsia"/>
          <w:b/>
          <w:bCs/>
          <w:sz w:val="32"/>
        </w:rPr>
        <w:t xml:space="preserve">年</w:t>
      </w:r>
      <w:r>
        <w:rPr>
          <w:b/>
          <w:bCs/>
          <w:sz w:val="32"/>
        </w:rPr>
        <w:t xml:space="preserve">11</w:t>
      </w:r>
      <w:r>
        <w:rPr>
          <w:rFonts w:hint="eastAsia"/>
          <w:b/>
          <w:bCs/>
          <w:sz w:val="32"/>
        </w:rPr>
        <w:t xml:space="preserve">月</w:t>
      </w:r>
      <w:r/>
    </w:p>
    <w:p>
      <w:pPr>
        <w:pStyle w:val="1032"/>
        <w:ind w:firstLine="0"/>
        <w:jc w:val="center"/>
        <w:rPr>
          <w:b/>
          <w:bCs/>
          <w:sz w:val="32"/>
        </w:rPr>
      </w:pPr>
      <w:r>
        <w:rPr>
          <w:b/>
          <w:bCs/>
          <w:sz w:val="32"/>
        </w:rPr>
      </w:r>
      <w:r/>
    </w:p>
    <w:p>
      <w:pPr>
        <w:pStyle w:val="1032"/>
        <w:ind w:firstLine="0"/>
        <w:jc w:val="center"/>
        <w:rPr>
          <w:rFonts w:ascii="仿宋_GB2312" w:eastAsia="仿宋_GB2312"/>
          <w:b/>
          <w:sz w:val="28"/>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pStyle w:val="810"/>
        <w:tabs>
          <w:tab w:val="right" w:pos="8953" w:leader="dot"/>
        </w:tabs>
      </w:pPr>
      <w:r>
        <w:rPr>
          <w:rFonts w:hint="eastAsia"/>
        </w:rPr>
        <w:fldChar w:fldCharType="begin"/>
      </w:r>
      <w:r>
        <w:rPr>
          <w:rFonts w:hint="eastAsia"/>
        </w:rPr>
        <w:instrText xml:space="preserve">TOC \o "1-1" \h \u </w:instrText>
      </w:r>
      <w:r>
        <w:rPr>
          <w:rFonts w:hint="eastAsia"/>
        </w:rPr>
        <w:fldChar w:fldCharType="separate"/>
      </w:r>
      <w:hyperlink w:tooltip="#_Toc22326" w:anchor="_Toc22326" w:history="1">
        <w:r>
          <w:rPr>
            <w:rFonts w:hint="eastAsia"/>
            <w:bCs/>
          </w:rPr>
          <w:t xml:space="preserve">第一章  投标邀请</w:t>
        </w:r>
        <w:r>
          <w:tab/>
        </w:r>
        <w:r>
          <w:fldChar w:fldCharType="begin"/>
        </w:r>
        <w:r>
          <w:instrText xml:space="preserve">PAGEREF _Toc22326</w:instrText>
        </w:r>
        <w:r>
          <w:fldChar w:fldCharType="separate"/>
        </w:r>
        <w:r>
          <w:t xml:space="preserve">3</w:t>
        </w:r>
        <w:r>
          <w:fldChar w:fldCharType="end"/>
        </w:r>
      </w:hyperlink>
      <w:r/>
      <w:r/>
    </w:p>
    <w:p>
      <w:pPr>
        <w:pStyle w:val="810"/>
        <w:tabs>
          <w:tab w:val="right" w:pos="8953" w:leader="dot"/>
        </w:tabs>
      </w:pPr>
      <w:r/>
      <w:hyperlink w:tooltip="#_Toc20518" w:anchor="_Toc20518" w:history="1">
        <w:r>
          <w:rPr>
            <w:rFonts w:hint="eastAsia"/>
            <w:bCs/>
          </w:rPr>
          <w:t xml:space="preserve">第二章  投标人须知</w:t>
        </w:r>
        <w:r>
          <w:tab/>
        </w:r>
        <w:r>
          <w:fldChar w:fldCharType="begin"/>
        </w:r>
        <w:r>
          <w:instrText xml:space="preserve">PAGEREF _Toc20518</w:instrText>
        </w:r>
        <w:r>
          <w:fldChar w:fldCharType="separate"/>
        </w:r>
        <w:r>
          <w:t xml:space="preserve">6</w:t>
        </w:r>
        <w:r>
          <w:fldChar w:fldCharType="end"/>
        </w:r>
      </w:hyperlink>
      <w:r/>
      <w:r/>
    </w:p>
    <w:p>
      <w:pPr>
        <w:pStyle w:val="810"/>
        <w:tabs>
          <w:tab w:val="right" w:pos="8953" w:leader="dot"/>
        </w:tabs>
      </w:pPr>
      <w:r/>
      <w:hyperlink w:tooltip="#_Toc5617" w:anchor="_Toc5617" w:history="1">
        <w:r>
          <w:rPr>
            <w:rFonts w:hint="eastAsia"/>
            <w:bCs/>
          </w:rPr>
          <w:t xml:space="preserve">第三章  合同文本</w:t>
        </w:r>
        <w:r>
          <w:tab/>
        </w:r>
        <w:r>
          <w:fldChar w:fldCharType="begin"/>
        </w:r>
        <w:r>
          <w:instrText xml:space="preserve">PAGEREF _Toc5617</w:instrText>
        </w:r>
        <w:r>
          <w:fldChar w:fldCharType="separate"/>
        </w:r>
        <w:r>
          <w:t xml:space="preserve">16</w:t>
        </w:r>
        <w:r>
          <w:fldChar w:fldCharType="end"/>
        </w:r>
      </w:hyperlink>
      <w:r/>
      <w:r/>
    </w:p>
    <w:p>
      <w:pPr>
        <w:pStyle w:val="810"/>
        <w:tabs>
          <w:tab w:val="right" w:pos="8953" w:leader="dot"/>
        </w:tabs>
      </w:pPr>
      <w:r/>
      <w:hyperlink w:tooltip="#_Toc14893" w:anchor="_Toc14893" w:history="1">
        <w:r>
          <w:rPr>
            <w:rFonts w:hint="eastAsia"/>
            <w:bCs/>
          </w:rPr>
          <w:t xml:space="preserve">第四章 采购需求</w:t>
        </w:r>
        <w:r>
          <w:tab/>
        </w:r>
        <w:r>
          <w:fldChar w:fldCharType="begin"/>
        </w:r>
        <w:r>
          <w:instrText xml:space="preserve">PAGEREF _Toc14893</w:instrText>
        </w:r>
        <w:r>
          <w:fldChar w:fldCharType="separate"/>
        </w:r>
        <w:r>
          <w:t xml:space="preserve">19</w:t>
        </w:r>
        <w:r>
          <w:fldChar w:fldCharType="end"/>
        </w:r>
      </w:hyperlink>
      <w:r/>
      <w:r/>
    </w:p>
    <w:p>
      <w:pPr>
        <w:pStyle w:val="810"/>
        <w:tabs>
          <w:tab w:val="right" w:pos="8953" w:leader="dot"/>
        </w:tabs>
      </w:pPr>
      <w:r/>
      <w:hyperlink w:tooltip="#_Toc5710" w:anchor="_Toc5710" w:history="1">
        <w:r>
          <w:rPr>
            <w:rFonts w:hint="eastAsia"/>
            <w:bCs/>
          </w:rPr>
          <w:t xml:space="preserve">第五章  评标方法与评标标准</w:t>
        </w:r>
        <w:r>
          <w:tab/>
        </w:r>
        <w:r>
          <w:fldChar w:fldCharType="begin"/>
        </w:r>
        <w:r>
          <w:instrText xml:space="preserve">PAGEREF _Toc5710</w:instrText>
        </w:r>
        <w:r>
          <w:fldChar w:fldCharType="separate"/>
        </w:r>
        <w:r>
          <w:t xml:space="preserve">29</w:t>
        </w:r>
        <w:r>
          <w:fldChar w:fldCharType="end"/>
        </w:r>
      </w:hyperlink>
      <w:r/>
      <w:r/>
    </w:p>
    <w:p>
      <w:pPr>
        <w:pStyle w:val="810"/>
        <w:tabs>
          <w:tab w:val="right" w:pos="8953" w:leader="dot"/>
        </w:tabs>
      </w:pPr>
      <w:r/>
      <w:hyperlink w:tooltip="#_Toc27232" w:anchor="_Toc27232" w:history="1">
        <w:r>
          <w:rPr>
            <w:rFonts w:hint="eastAsia"/>
            <w:bCs/>
          </w:rPr>
          <w:t xml:space="preserve">第六章  投标文件格式</w:t>
        </w:r>
        <w:r>
          <w:tab/>
        </w:r>
        <w:r>
          <w:fldChar w:fldCharType="begin"/>
        </w:r>
        <w:r>
          <w:instrText xml:space="preserve">PAGEREF _Toc27232</w:instrText>
        </w:r>
        <w:r>
          <w:fldChar w:fldCharType="separate"/>
        </w:r>
        <w:r>
          <w:t xml:space="preserve">32</w:t>
        </w:r>
        <w:r>
          <w:fldChar w:fldCharType="end"/>
        </w:r>
      </w:hyperlink>
      <w:r/>
      <w:r/>
    </w:p>
    <w:p>
      <w:pPr>
        <w:jc w:val="left"/>
      </w:pPr>
      <w:r>
        <w:rPr>
          <w:rFonts w:hint="eastAsia"/>
        </w:rPr>
        <w:fldChar w:fldCharType="end"/>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1"/>
        <w:rPr>
          <w:b/>
          <w:bCs/>
        </w:rPr>
      </w:pPr>
      <w:r>
        <w:rPr>
          <w:rFonts w:hint="eastAsia"/>
        </w:rPr>
        <w:br w:type="page" w:clear="all"/>
      </w:r>
      <w:bookmarkStart w:id="6" w:name="_Toc669"/>
      <w:r/>
      <w:bookmarkStart w:id="7" w:name="_Toc22326"/>
      <w:r>
        <w:rPr>
          <w:rFonts w:hint="eastAsia"/>
          <w:b/>
          <w:bCs/>
        </w:rPr>
        <w:t xml:space="preserve">第一章</w:t>
      </w:r>
      <w:r>
        <w:rPr>
          <w:rFonts w:hint="eastAsia"/>
          <w:b/>
          <w:bCs/>
        </w:rPr>
        <w:t xml:space="preserve">  </w:t>
      </w:r>
      <w:bookmarkEnd w:id="0"/>
      <w:r>
        <w:rPr>
          <w:rFonts w:hint="eastAsia"/>
          <w:b/>
          <w:bCs/>
        </w:rPr>
        <w:t xml:space="preserve">投标邀请</w:t>
      </w:r>
      <w:bookmarkEnd w:id="6"/>
      <w:r/>
      <w:bookmarkEnd w:id="7"/>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扬州市公路事业发展中心</w:t>
      </w:r>
      <w:r>
        <w:rPr>
          <w:rFonts w:hint="eastAsia" w:ascii="宋体" w:hAnsi="宋体"/>
          <w:sz w:val="24"/>
          <w:szCs w:val="24"/>
        </w:rPr>
        <w:t xml:space="preserve">]的委托，扬州市公共资源交易中心就[</w:t>
      </w:r>
      <w:r>
        <w:rPr>
          <w:rFonts w:hint="eastAsia" w:ascii="宋体" w:hAnsi="宋体"/>
          <w:sz w:val="24"/>
          <w:szCs w:val="24"/>
        </w:rPr>
        <w:t xml:space="preserve">扬州市公路事业发展中心2024年-2025年信息化与路网指挥中心维护服务项目</w:t>
      </w:r>
      <w:r>
        <w:rPr>
          <w:rFonts w:hint="eastAsia" w:ascii="宋体" w:hAnsi="宋体"/>
          <w:sz w:val="24"/>
          <w:szCs w:val="24"/>
        </w:rPr>
        <w:t xml:space="preserve">](</w:t>
      </w:r>
      <w:r>
        <w:t xml:space="preserve"> </w:t>
      </w:r>
      <w:r>
        <w:rPr>
          <w:rFonts w:ascii="宋体" w:hAnsi="宋体"/>
          <w:sz w:val="24"/>
          <w:szCs w:val="24"/>
        </w:rPr>
        <w:t xml:space="preserve">JSZC-321000-JZCG-G2024-</w:t>
      </w:r>
      <w:r>
        <w:rPr>
          <w:rFonts w:ascii="宋体" w:hAnsi="宋体"/>
          <w:sz w:val="24"/>
          <w:szCs w:val="24"/>
        </w:rPr>
        <w:t xml:space="preserve">0170</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w:t>
      </w:r>
      <w:r>
        <w:rPr>
          <w:rFonts w:hint="eastAsia" w:ascii="宋体" w:hAnsi="宋体"/>
          <w:sz w:val="24"/>
          <w:szCs w:val="24"/>
        </w:rPr>
        <w:t xml:space="preserve">扬州市公路事业发展中心2024年-2025年信息化与路网指挥中心维护服务项目</w:t>
      </w:r>
      <w:r>
        <w:rPr>
          <w:rFonts w:ascii="宋体" w:hAnsi="宋体"/>
          <w:sz w:val="24"/>
          <w:szCs w:val="24"/>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ascii="宋体" w:hAnsi="宋体"/>
          <w:color w:val="ff0000"/>
          <w:sz w:val="24"/>
          <w:szCs w:val="24"/>
          <w:u w:val="single"/>
        </w:rPr>
        <w:t xml:space="preserve">2024</w:t>
      </w:r>
      <w:r>
        <w:rPr>
          <w:rFonts w:hint="eastAsia" w:ascii="宋体" w:hAnsi="宋体"/>
          <w:bCs/>
          <w:color w:val="ff0000"/>
          <w:sz w:val="24"/>
          <w:szCs w:val="24"/>
          <w:u w:val="single"/>
        </w:rPr>
        <w:t xml:space="preserve">年12月</w:t>
      </w:r>
      <w:r>
        <w:rPr>
          <w:rFonts w:ascii="宋体" w:hAnsi="宋体"/>
          <w:bCs/>
          <w:color w:val="ff0000"/>
          <w:sz w:val="24"/>
          <w:szCs w:val="24"/>
          <w:u w:val="single"/>
        </w:rPr>
        <w:t xml:space="preserve">17</w:t>
      </w:r>
      <w:r>
        <w:rPr>
          <w:rFonts w:hint="eastAsia" w:ascii="宋体" w:hAnsi="宋体"/>
          <w:bCs/>
          <w:color w:val="ff0000"/>
          <w:sz w:val="24"/>
          <w:szCs w:val="24"/>
          <w:u w:val="single"/>
        </w:rPr>
        <w:t xml:space="preserve">日9点30分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42"/>
        <w:ind w:firstLine="498"/>
        <w:spacing w:before="145" w:after="145" w:line="360" w:lineRule="auto"/>
      </w:pPr>
      <w:r/>
      <w:bookmarkStart w:id="8" w:name="_Toc38985263"/>
      <w:r/>
      <w:bookmarkStart w:id="9" w:name="_Toc28359079"/>
      <w:r/>
      <w:bookmarkStart w:id="10" w:name="_Toc28359002"/>
      <w:r/>
      <w:bookmarkStart w:id="11" w:name="_Toc35393621"/>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JSZC-321000-JZCG-G2024-</w:t>
      </w:r>
      <w:r>
        <w:rPr>
          <w:rFonts w:ascii="宋体" w:hAnsi="宋体"/>
          <w:sz w:val="24"/>
          <w:szCs w:val="24"/>
        </w:rPr>
        <w:t xml:space="preserve">0170</w:t>
      </w:r>
      <w:r/>
    </w:p>
    <w:p>
      <w:pPr>
        <w:ind w:firstLine="480"/>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扬州市公路事业发展中心2024年-2025年信息化与路网指挥中心维护服务项目</w:t>
      </w:r>
      <w:r/>
    </w:p>
    <w:p>
      <w:pPr>
        <w:ind w:firstLine="480"/>
        <w:rPr>
          <w:rFonts w:ascii="宋体" w:hAnsi="宋体"/>
          <w:sz w:val="24"/>
          <w:szCs w:val="24"/>
        </w:rPr>
      </w:pPr>
      <w:r>
        <w:rPr>
          <w:rFonts w:hint="eastAsia" w:ascii="宋体" w:hAnsi="宋体"/>
          <w:sz w:val="24"/>
          <w:szCs w:val="24"/>
        </w:rPr>
        <w:t xml:space="preserve">3.预算金额：</w:t>
      </w:r>
      <w:r>
        <w:rPr>
          <w:rFonts w:ascii="宋体" w:hAnsi="宋体" w:cs="宋体"/>
          <w:color w:val="000000"/>
          <w:sz w:val="24"/>
          <w:szCs w:val="24"/>
        </w:rPr>
        <w:t xml:space="preserve">95万元</w:t>
      </w:r>
      <w:r/>
    </w:p>
    <w:p>
      <w:pPr>
        <w:ind w:firstLine="480"/>
        <w:rPr>
          <w:rFonts w:ascii="宋体" w:hAnsi="宋体" w:cs="宋体"/>
          <w:color w:val="000000"/>
          <w:sz w:val="24"/>
          <w:szCs w:val="24"/>
        </w:rPr>
      </w:pPr>
      <w:r>
        <w:rPr>
          <w:rFonts w:hint="eastAsia" w:ascii="宋体" w:hAnsi="宋体"/>
          <w:sz w:val="24"/>
          <w:szCs w:val="24"/>
        </w:rPr>
        <w:t xml:space="preserve">4.本项目设定最高限价，最高限价为</w:t>
      </w:r>
      <w:r>
        <w:rPr>
          <w:rFonts w:ascii="宋体" w:hAnsi="宋体"/>
          <w:sz w:val="24"/>
          <w:szCs w:val="24"/>
        </w:rPr>
        <w:t xml:space="preserve">95</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原有的信息化维护服务将于2024年9月22日到期。原有路网指挥中心维护服务到期时间如下：市公路中心，仪征分中心、宝应分中心将于2025年7月22日到期。广陵分中心将于2024年9月30日到期，邗江分中心、江都分中心、高邮分中心将于2024年12月31日到期。为进一步整合扬州市公路事业发展中心信息化维护服务与路网指挥中心维护服务，更好地开展维护工作，现拟将两部分维护服务统一采购。</w:t>
      </w:r>
      <w:r/>
    </w:p>
    <w:p>
      <w:pPr>
        <w:ind w:firstLine="480"/>
        <w:rPr>
          <w:rFonts w:ascii="宋体" w:hAnsi="宋体"/>
          <w:sz w:val="24"/>
          <w:szCs w:val="24"/>
        </w:rPr>
      </w:pPr>
      <w:r>
        <w:rPr>
          <w:rFonts w:hint="eastAsia" w:ascii="宋体" w:hAnsi="宋体"/>
          <w:sz w:val="24"/>
          <w:szCs w:val="24"/>
        </w:rPr>
        <w:t xml:space="preserve">6.合同履行期限：</w:t>
      </w:r>
      <w:bookmarkStart w:id="14" w:name="_Toc28359080"/>
      <w:r/>
      <w:bookmarkStart w:id="15" w:name="_Toc38985264"/>
      <w:r/>
      <w:bookmarkStart w:id="16" w:name="_Toc35393622"/>
      <w:r/>
      <w:bookmarkStart w:id="17" w:name="_Toc28359003"/>
      <w:r/>
      <w:bookmarkStart w:id="18" w:name="_Toc35393791"/>
      <w:r>
        <w:rPr>
          <w:rFonts w:hint="eastAsia" w:ascii="宋体" w:hAnsi="宋体"/>
          <w:sz w:val="24"/>
          <w:szCs w:val="24"/>
        </w:rPr>
        <w:t xml:space="preserve">合同签订之日起15个月</w:t>
      </w:r>
      <w:r>
        <w:rPr>
          <w:rFonts w:hint="eastAsia" w:ascii="宋体" w:hAnsi="宋体"/>
          <w:sz w:val="24"/>
          <w:szCs w:val="24"/>
        </w:rPr>
        <w:t xml:space="preserve">（详细内容见本招标文件第四章）</w:t>
      </w:r>
      <w:r/>
    </w:p>
    <w:p>
      <w:pPr>
        <w:ind w:firstLine="480"/>
        <w:rPr>
          <w:sz w:val="24"/>
          <w:szCs w:val="24"/>
        </w:rPr>
      </w:pPr>
      <w:r>
        <w:rPr>
          <w:rFonts w:hint="eastAsia"/>
          <w:sz w:val="24"/>
          <w:szCs w:val="24"/>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19" w:name="_Toc28359004"/>
      <w:r/>
      <w:bookmarkStart w:id="20" w:name="_Toc35393623"/>
      <w:r/>
      <w:bookmarkStart w:id="21" w:name="_Toc38985265"/>
      <w:r/>
      <w:bookmarkStart w:id="22" w:name="_Toc35393792"/>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highlight w:val="yellow"/>
        </w:rPr>
      </w:pPr>
      <w:r>
        <w:rPr>
          <w:rFonts w:hint="eastAsia" w:ascii="宋体" w:hAnsi="宋体"/>
          <w:sz w:val="24"/>
          <w:szCs w:val="24"/>
        </w:rPr>
        <w:t xml:space="preserve">1.7若以联合体投标，上述1.1-1.6项联合体各方均需提供。联合体双方均须提供《联合体协议》。</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ascii="宋体" w:hAnsi="宋体"/>
          <w:color w:val="000000" w:themeColor="text1"/>
          <w:sz w:val="24"/>
          <w:szCs w:val="24"/>
        </w:rPr>
      </w:pPr>
      <w:r>
        <w:rPr>
          <w:rFonts w:hint="eastAsia" w:ascii="宋体" w:hAnsi="宋体"/>
          <w:sz w:val="24"/>
          <w:szCs w:val="24"/>
        </w:rPr>
        <w:t xml:space="preserve">3.落实政府采购政策需满足的资格要求</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若大企业参加投标，必须与中小企业组成联合体，其中投标总报价的40%以上（含）预留给该联合体成员。</w:t>
      </w:r>
      <w:r>
        <w:rPr>
          <w:rFonts w:hint="eastAsia" w:ascii="宋体" w:hAnsi="宋体"/>
          <w:color w:val="000000" w:themeColor="text1"/>
          <w:sz w:val="24"/>
          <w:szCs w:val="24"/>
        </w:rPr>
        <w:t xml:space="preserve">联合体成员</w:t>
      </w:r>
      <w:r>
        <w:rPr>
          <w:rFonts w:hint="eastAsia" w:ascii="宋体" w:hAnsi="宋体"/>
          <w:color w:val="000000" w:themeColor="text1"/>
          <w:sz w:val="24"/>
          <w:szCs w:val="24"/>
        </w:rPr>
        <w:t xml:space="preserve">须提供</w:t>
      </w:r>
      <w:r>
        <w:rPr>
          <w:rFonts w:hint="eastAsia" w:ascii="宋体" w:hAnsi="宋体"/>
          <w:color w:val="000000" w:themeColor="text1"/>
          <w:sz w:val="24"/>
          <w:szCs w:val="24"/>
        </w:rPr>
        <w:t xml:space="preserve">《中小企业声明函》</w:t>
      </w:r>
      <w:r>
        <w:rPr>
          <w:rFonts w:hint="eastAsia"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sz w:val="24"/>
          <w:szCs w:val="24"/>
        </w:rPr>
        <w:t xml:space="preserve">4.本项目</w:t>
      </w:r>
      <w:r>
        <w:rPr>
          <w:rFonts w:hint="eastAsia" w:ascii="宋体" w:hAnsi="宋体"/>
          <w:sz w:val="24"/>
          <w:szCs w:val="24"/>
          <w:u w:val="single"/>
        </w:rPr>
        <w:t xml:space="preserve">接受</w:t>
      </w:r>
      <w:r>
        <w:rPr>
          <w:rFonts w:hint="eastAsia" w:ascii="宋体" w:hAnsi="宋体"/>
          <w:sz w:val="24"/>
          <w:szCs w:val="24"/>
        </w:rPr>
        <w:t xml:space="preserve">联合体投标。</w:t>
      </w:r>
      <w:r>
        <w:rPr>
          <w:rFonts w:hint="eastAsia" w:ascii="宋体" w:hAnsi="宋体"/>
          <w:color w:val="000000" w:themeColor="text1"/>
          <w:sz w:val="24"/>
          <w:szCs w:val="24"/>
        </w:rPr>
        <w:t xml:space="preserve">若以联合体形</w:t>
      </w:r>
      <w:r>
        <w:rPr>
          <w:rFonts w:hint="eastAsia" w:ascii="宋体" w:hAnsi="宋体"/>
          <w:color w:val="000000" w:themeColor="text1"/>
          <w:sz w:val="24"/>
          <w:szCs w:val="24"/>
        </w:rPr>
        <w:t xml:space="preserve">式参加</w:t>
      </w:r>
      <w:r>
        <w:rPr>
          <w:rFonts w:hint="eastAsia" w:ascii="宋体" w:hAnsi="宋体"/>
          <w:color w:val="000000" w:themeColor="text1"/>
          <w:sz w:val="24"/>
          <w:szCs w:val="24"/>
        </w:rPr>
        <w:t xml:space="preserve">投标，联合体成员不得超过两家。</w:t>
      </w:r>
      <w:r>
        <w:rPr>
          <w:rFonts w:hint="eastAsia" w:ascii="宋体" w:hAnsi="宋体"/>
          <w:color w:val="000000" w:themeColor="text1"/>
          <w:sz w:val="24"/>
          <w:szCs w:val="24"/>
        </w:rPr>
      </w:r>
      <w:r/>
    </w:p>
    <w:p>
      <w:pPr>
        <w:ind w:firstLine="480"/>
        <w:spacing w:line="360" w:lineRule="auto"/>
        <w:rPr>
          <w:rFonts w:ascii="宋体" w:hAnsi="宋体"/>
          <w:sz w:val="24"/>
          <w:szCs w:val="24"/>
        </w:rPr>
      </w:pPr>
      <w:r>
        <w:rPr>
          <w:rFonts w:hint="eastAsia" w:ascii="宋体" w:hAnsi="宋体"/>
          <w:sz w:val="24"/>
          <w:szCs w:val="24"/>
        </w:rPr>
        <w:t xml:space="preserve">5.本项目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（二）本项目的特定资格要求：无</w:t>
      </w:r>
      <w:r/>
    </w:p>
    <w:p>
      <w:pPr>
        <w:pStyle w:val="1042"/>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540"/>
        <w:spacing w:line="360" w:lineRule="auto"/>
        <w:rPr>
          <w:rFonts w:ascii="宋体" w:hAnsi="宋体" w:cs="宋体"/>
          <w:sz w:val="24"/>
          <w:szCs w:val="24"/>
        </w:rPr>
      </w:pPr>
      <w:r/>
      <w:bookmarkStart w:id="24" w:name="_Toc28359005"/>
      <w:r/>
      <w:bookmarkStart w:id="25" w:name="_Toc28359082"/>
      <w:r/>
      <w:bookmarkStart w:id="26" w:name="_Toc35393624"/>
      <w:r/>
      <w:bookmarkStart w:id="27" w:name="_Toc35393793"/>
      <w:r/>
      <w:bookmarkStart w:id="28" w:name="_Toc38985266"/>
      <w:r>
        <w:rPr>
          <w:rFonts w:hint="eastAsia" w:ascii="宋体" w:hAnsi="宋体" w:cs="宋体"/>
          <w:sz w:val="24"/>
          <w:szCs w:val="24"/>
        </w:rPr>
        <w:t xml:space="preserve">1.时间：</w:t>
      </w:r>
      <w:r>
        <w:rPr>
          <w:rFonts w:hint="eastAsia" w:ascii="宋体" w:hAnsi="宋体" w:cs="宋体"/>
          <w:sz w:val="24"/>
          <w:szCs w:val="24"/>
        </w:rPr>
        <w:t xml:space="preserve">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rFonts w:ascii="宋体" w:hAnsi="宋体" w:cs="宋体"/>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p>
    <w:p>
      <w:pPr>
        <w:pStyle w:val="1042"/>
        <w:ind w:firstLine="498"/>
        <w:spacing w:before="145" w:after="145" w:line="360" w:lineRule="auto"/>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rPr>
          <w:rFonts w:ascii="宋体" w:hAnsi="宋体"/>
          <w:color w:val="000000" w:themeColor="text1"/>
          <w:sz w:val="24"/>
          <w:szCs w:val="24"/>
        </w:rPr>
      </w:pPr>
      <w:r>
        <w:rPr>
          <w:rFonts w:hint="eastAsia" w:ascii="宋体" w:hAnsi="宋体"/>
          <w:bCs/>
          <w:color w:val="000000" w:themeColor="text1"/>
          <w:sz w:val="24"/>
          <w:szCs w:val="24"/>
          <w:u w:val="single"/>
        </w:rPr>
        <w:t xml:space="preserve">1.</w:t>
      </w:r>
      <w:r>
        <w:rPr>
          <w:rFonts w:ascii="宋体" w:hAnsi="宋体"/>
          <w:bCs/>
          <w:color w:val="ff0000"/>
          <w:sz w:val="24"/>
          <w:szCs w:val="24"/>
          <w:u w:val="single"/>
        </w:rPr>
        <w:t xml:space="preserve">2024</w:t>
      </w:r>
      <w:r>
        <w:rPr>
          <w:rFonts w:hint="eastAsia" w:ascii="宋体" w:hAnsi="宋体"/>
          <w:bCs/>
          <w:color w:val="ff0000"/>
          <w:sz w:val="24"/>
          <w:szCs w:val="24"/>
          <w:u w:val="single"/>
        </w:rPr>
        <w:t xml:space="preserve">年12月</w:t>
      </w:r>
      <w:r>
        <w:rPr>
          <w:rFonts w:ascii="宋体" w:hAnsi="宋体"/>
          <w:bCs/>
          <w:color w:val="ff0000"/>
          <w:sz w:val="24"/>
          <w:szCs w:val="24"/>
          <w:u w:val="single"/>
        </w:rPr>
        <w:t xml:space="preserve">17</w:t>
      </w:r>
      <w:r>
        <w:rPr>
          <w:rFonts w:hint="eastAsia" w:ascii="宋体" w:hAnsi="宋体"/>
          <w:bCs/>
          <w:color w:val="ff0000"/>
          <w:sz w:val="24"/>
          <w:szCs w:val="24"/>
          <w:u w:val="single"/>
        </w:rPr>
        <w:t xml:space="preserve">日</w:t>
      </w:r>
      <w:r>
        <w:rPr>
          <w:rFonts w:ascii="宋体" w:hAnsi="宋体"/>
          <w:bCs/>
          <w:color w:val="ff0000"/>
          <w:sz w:val="24"/>
          <w:szCs w:val="24"/>
          <w:u w:val="single"/>
        </w:rPr>
        <w:t xml:space="preserve">09</w:t>
      </w:r>
      <w:r>
        <w:rPr>
          <w:rFonts w:hint="eastAsia" w:ascii="宋体" w:hAnsi="宋体"/>
          <w:bCs/>
          <w:color w:val="ff0000"/>
          <w:sz w:val="24"/>
          <w:szCs w:val="24"/>
          <w:u w:val="single"/>
        </w:rPr>
        <w:t xml:space="preserve">点</w:t>
      </w:r>
      <w:r>
        <w:rPr>
          <w:rFonts w:ascii="宋体" w:hAnsi="宋体"/>
          <w:bCs/>
          <w:color w:val="ff0000"/>
          <w:sz w:val="24"/>
          <w:szCs w:val="24"/>
          <w:u w:val="single"/>
        </w:rPr>
        <w:t xml:space="preserve">30</w:t>
      </w:r>
      <w:r>
        <w:rPr>
          <w:rFonts w:hint="eastAsia" w:ascii="宋体" w:hAnsi="宋体"/>
          <w:bCs/>
          <w:color w:val="ff0000"/>
          <w:sz w:val="24"/>
          <w:szCs w:val="24"/>
          <w:u w:val="single"/>
        </w:rPr>
        <w:t xml:space="preserve">分</w:t>
      </w:r>
      <w:r>
        <w:rPr>
          <w:rFonts w:hint="eastAsia" w:ascii="宋体" w:hAnsi="宋体"/>
          <w:bCs/>
          <w:color w:val="000000" w:themeColor="text1"/>
          <w:sz w:val="24"/>
          <w:szCs w:val="24"/>
        </w:rPr>
        <w:t xml:space="preserve">（北京时间）</w:t>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2.地点：“苏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w:t>
      </w:r>
      <w:r/>
    </w:p>
    <w:p>
      <w:pPr>
        <w:pStyle w:val="1042"/>
        <w:ind w:firstLine="498"/>
        <w:spacing w:before="145" w:after="145" w:line="360" w:lineRule="auto"/>
      </w:pPr>
      <w:r/>
      <w:bookmarkStart w:id="29" w:name="_Toc35393794"/>
      <w:r/>
      <w:bookmarkStart w:id="30" w:name="_Toc35393625"/>
      <w:r/>
      <w:bookmarkStart w:id="31" w:name="_Toc28359084"/>
      <w:r/>
      <w:bookmarkStart w:id="32" w:name="_Toc38985267"/>
      <w:r/>
      <w:bookmarkStart w:id="33" w:name="_Toc28359007"/>
      <w:r>
        <w:rPr>
          <w:rFonts w:hint="eastAsia"/>
        </w:rPr>
        <w:t xml:space="preserve">五、公告期限</w:t>
      </w:r>
      <w:bookmarkEnd w:id="29"/>
      <w:r/>
      <w:bookmarkEnd w:id="30"/>
      <w:r/>
      <w:bookmarkEnd w:id="31"/>
      <w:r/>
      <w:bookmarkEnd w:id="32"/>
      <w:r/>
      <w:bookmarkEnd w:id="33"/>
      <w:r/>
      <w:r/>
    </w:p>
    <w:p>
      <w:pPr>
        <w:ind w:firstLine="480"/>
        <w:rPr>
          <w:rFonts w:ascii="宋体" w:hAnsi="宋体" w:cs="宋体"/>
          <w:sz w:val="24"/>
          <w:szCs w:val="24"/>
        </w:rPr>
      </w:pPr>
      <w:r/>
      <w:bookmarkStart w:id="34" w:name="_Toc38985268"/>
      <w:r/>
      <w:bookmarkStart w:id="35" w:name="_Toc35393795"/>
      <w:r/>
      <w:bookmarkStart w:id="36" w:name="_Toc35393626"/>
      <w:r>
        <w:rPr>
          <w:rFonts w:hint="eastAsia" w:ascii="宋体" w:hAnsi="宋体" w:cs="宋体"/>
          <w:sz w:val="24"/>
          <w:szCs w:val="24"/>
        </w:rPr>
        <w:t xml:space="preserve">自本公告发布之日起5个工作日。</w:t>
      </w:r>
      <w:r/>
    </w:p>
    <w:p>
      <w:pPr>
        <w:pStyle w:val="1042"/>
        <w:ind w:firstLine="498"/>
        <w:spacing w:before="145" w:after="145" w:line="360" w:lineRule="auto"/>
      </w:pPr>
      <w:r>
        <w:rPr>
          <w:rFonts w:hint="eastAsia"/>
        </w:rPr>
        <w:t xml:space="preserve">六、其他补充事宜</w:t>
      </w:r>
      <w:bookmarkEnd w:id="34"/>
      <w:r/>
      <w:bookmarkEnd w:id="35"/>
      <w:r/>
      <w:bookmarkEnd w:id="36"/>
      <w:r/>
      <w:r/>
    </w:p>
    <w:p>
      <w:pPr>
        <w:ind w:firstLine="480"/>
        <w:rPr>
          <w:rFonts w:ascii="宋体" w:hAnsi="宋体" w:cs="宋体"/>
          <w:sz w:val="24"/>
          <w:szCs w:val="24"/>
        </w:rPr>
      </w:pPr>
      <w:r>
        <w:rPr>
          <w:rFonts w:hint="eastAsia" w:ascii="宋体" w:hAnsi="宋体" w:cs="宋体"/>
          <w:sz w:val="24"/>
          <w:szCs w:val="24"/>
        </w:rPr>
        <w:t xml:space="preserve">无</w:t>
      </w:r>
      <w:r/>
    </w:p>
    <w:p>
      <w:pPr>
        <w:pStyle w:val="1042"/>
        <w:ind w:firstLine="498"/>
        <w:spacing w:before="145" w:after="145" w:line="360" w:lineRule="auto"/>
      </w:pPr>
      <w:r/>
      <w:bookmarkStart w:id="37" w:name="_Toc38985269"/>
      <w:r/>
      <w:bookmarkStart w:id="38" w:name="_Toc28359008"/>
      <w:r/>
      <w:bookmarkStart w:id="39" w:name="_Toc35393796"/>
      <w:r/>
      <w:bookmarkStart w:id="40" w:name="_Toc28359085"/>
      <w:r/>
      <w:bookmarkStart w:id="41" w:name="_Toc35393627"/>
      <w:r>
        <w:rPr>
          <w:rFonts w:hint="eastAsia"/>
        </w:rPr>
        <w:t xml:space="preserve">七、本次招标联系方式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名称：</w:t>
      </w:r>
      <w:r>
        <w:rPr>
          <w:rFonts w:hint="eastAsia" w:ascii="宋体" w:hAnsi="宋体"/>
          <w:sz w:val="24"/>
          <w:szCs w:val="24"/>
        </w:rPr>
        <w:t xml:space="preserve">扬州市公路事业发展中心</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扬州市史可法路50号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联系人：刘先生</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42" w:name="_Toc28359086"/>
      <w:r/>
      <w:bookmarkStart w:id="43" w:name="_Toc28359009"/>
      <w:r>
        <w:rPr>
          <w:rFonts w:ascii="宋体" w:hAnsi="宋体"/>
          <w:sz w:val="24"/>
          <w:szCs w:val="24"/>
        </w:rPr>
        <w:t xml:space="preserve">13773589098</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bookmarkEnd w:id="42"/>
      <w:r/>
      <w:bookmarkEnd w:id="43"/>
      <w:r/>
      <w:r/>
    </w:p>
    <w:p>
      <w:pPr>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ascii="宋体" w:hAnsi="宋体"/>
          <w:sz w:val="24"/>
          <w:szCs w:val="24"/>
          <w:u w:val="single"/>
        </w:rPr>
        <w:t xml:space="preserve">30</w:t>
      </w:r>
      <w:r>
        <w:rPr>
          <w:rFonts w:hint="eastAsia" w:ascii="宋体" w:hAnsi="宋体"/>
          <w:sz w:val="24"/>
          <w:szCs w:val="24"/>
          <w:u w:val="single"/>
        </w:rPr>
        <w:t xml:space="preserve">室</w:t>
      </w:r>
      <w:r/>
    </w:p>
    <w:p>
      <w:pPr>
        <w:ind w:firstLine="720"/>
        <w:spacing w:line="360" w:lineRule="auto"/>
        <w:rPr>
          <w:rFonts w:ascii="宋体" w:hAnsi="宋体"/>
          <w:sz w:val="24"/>
          <w:szCs w:val="24"/>
        </w:rPr>
      </w:pPr>
      <w:r>
        <w:rPr>
          <w:rFonts w:hint="eastAsia" w:ascii="宋体" w:hAnsi="宋体"/>
          <w:sz w:val="24"/>
          <w:szCs w:val="24"/>
        </w:rPr>
        <w:t xml:space="preserve">联系人：章梦璐</w:t>
      </w:r>
      <w:r/>
    </w:p>
    <w:p>
      <w:pPr>
        <w:ind w:firstLine="720"/>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514-82087120</w:t>
      </w:r>
      <w:r/>
    </w:p>
    <w:p>
      <w:pPr>
        <w:pStyle w:val="1042"/>
        <w:numPr>
          <w:ilvl w:val="0"/>
          <w:numId w:val="26"/>
        </w:numPr>
        <w:ind w:firstLine="498"/>
        <w:spacing w:before="145" w:after="145" w:line="360" w:lineRule="auto"/>
      </w:pPr>
      <w:r>
        <w:rPr>
          <w:rFonts w:hint="eastAsia"/>
        </w:rPr>
        <w:t xml:space="preserve">其他</w:t>
      </w:r>
      <w:r/>
    </w:p>
    <w:p>
      <w:pPr>
        <w:ind w:firstLine="42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 根据省财政厅《关于更换全省政府采购交易系统CA数字证书和电子签章的通知》（</w:t>
      </w:r>
      <w:r>
        <w:rPr>
          <w:rFonts w:hint="eastAsia" w:asciiTheme="minorEastAsia" w:hAnsiTheme="minorEastAsia" w:eastAsiaTheme="minorEastAsia" w:cstheme="minorEastAsia"/>
          <w:b/>
          <w:bCs/>
          <w:sz w:val="24"/>
          <w:szCs w:val="24"/>
        </w:rPr>
        <w:t xml:space="preserve">苏财购〔2023〕</w:t>
      </w:r>
      <w:r>
        <w:rPr>
          <w:rFonts w:hint="eastAsia" w:asciiTheme="minorEastAsia" w:hAnsiTheme="minorEastAsia" w:eastAsiaTheme="minorEastAsia" w:cstheme="minorEastAsia"/>
          <w:b/>
          <w:bCs/>
          <w:sz w:val="24"/>
          <w:szCs w:val="24"/>
        </w:rPr>
        <w:t xml:space="preserve">101号），“苏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”政府采购交易系统（以下简称苏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系统）的CA数字证书、电子签章已更换为江苏省电子政务证书认证中心CA和方正国际软件（北京）有限公司电子签章。如果投标人通过苏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系统参与政府采购项目，需要更换CA数字证书和电子签章。具体办理指南和操作手册见链接：</w:t>
      </w:r>
      <w:r>
        <w:rPr>
          <w:rFonts w:asciiTheme="minorEastAsia" w:hAnsiTheme="minorEastAsia" w:eastAsiaTheme="minorEastAsia" w:cstheme="minorEastAsia"/>
          <w:b/>
          <w:bCs/>
          <w:sz w:val="24"/>
          <w:szCs w:val="24"/>
        </w:rPr>
        <w:t xml:space="preserve">http://zfcg.yangzhou.gov.cn/xzzx/index.html</w:t>
      </w:r>
      <w:r>
        <w:rPr>
          <w:rFonts w:hint="eastAsia" w:asciiTheme="minorEastAsia" w:hAnsiTheme="minorEastAsia" w:eastAsiaTheme="minorEastAsia" w:cstheme="minorEastAsia"/>
          <w:b/>
          <w:bCs/>
          <w:sz w:val="24"/>
          <w:szCs w:val="24"/>
        </w:rPr>
        <w:t xml:space="preserve">，请按《操作手册》要求制作、上传电子投标文件。</w:t>
      </w:r>
      <w:r/>
    </w:p>
    <w:p>
      <w:pPr>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right="840"/>
        <w:rPr>
          <w:rFonts w:ascii="宋体" w:hAnsi="宋体"/>
          <w:sz w:val="24"/>
          <w:szCs w:val="24"/>
        </w:rPr>
      </w:pPr>
      <w:r>
        <w:rPr>
          <w:rFonts w:ascii="宋体" w:hAnsi="宋体"/>
          <w:sz w:val="24"/>
          <w:szCs w:val="24"/>
        </w:rPr>
        <w:br w:type="page" w:clear="all"/>
      </w:r>
      <w:r/>
    </w:p>
    <w:p>
      <w:pPr>
        <w:pStyle w:val="751"/>
      </w:pPr>
      <w:r/>
      <w:bookmarkStart w:id="44" w:name="_Toc120614211"/>
      <w:r/>
      <w:bookmarkStart w:id="45" w:name="_Toc20518"/>
      <w:r/>
      <w:bookmarkStart w:id="46" w:name="_Toc13339"/>
      <w:r>
        <w:rPr>
          <w:rFonts w:hint="eastAsia"/>
          <w:b/>
          <w:bCs/>
        </w:rPr>
        <w:t xml:space="preserve">第二章</w:t>
      </w:r>
      <w:r>
        <w:rPr>
          <w:rFonts w:hint="eastAsia"/>
          <w:b/>
          <w:bCs/>
        </w:rPr>
        <w:t xml:space="preserve">  </w:t>
      </w:r>
      <w:bookmarkStart w:id="47" w:name="_Toc513029202"/>
      <w:r/>
      <w:bookmarkStart w:id="48" w:name="_Toc20823274"/>
      <w:r/>
      <w:bookmarkStart w:id="49" w:name="_Toc120614213"/>
      <w:r/>
      <w:bookmarkStart w:id="50" w:name="_Toc16938518"/>
      <w:r/>
      <w:bookmarkEnd w:id="1"/>
      <w:r/>
      <w:bookmarkEnd w:id="2"/>
      <w:r/>
      <w:bookmarkEnd w:id="3"/>
      <w:r/>
      <w:bookmarkEnd w:id="4"/>
      <w:r/>
      <w:bookmarkEnd w:id="5"/>
      <w:r/>
      <w:bookmarkEnd w:id="44"/>
      <w:r>
        <w:rPr>
          <w:rFonts w:hint="eastAsia"/>
          <w:b/>
          <w:bCs/>
        </w:rPr>
        <w:t xml:space="preserve">投标人须知</w:t>
      </w:r>
      <w:bookmarkEnd w:id="45"/>
      <w:r/>
      <w:bookmarkEnd w:id="46"/>
      <w:r/>
      <w:bookmarkEnd w:id="47"/>
      <w:r/>
      <w:bookmarkEnd w:id="48"/>
      <w:r/>
      <w:bookmarkEnd w:id="49"/>
      <w:r/>
      <w:bookmarkEnd w:id="50"/>
      <w:r/>
      <w:r/>
    </w:p>
    <w:p>
      <w:pPr>
        <w:pStyle w:val="1042"/>
        <w:ind w:firstLine="498"/>
        <w:spacing w:before="145" w:after="145" w:line="360" w:lineRule="auto"/>
      </w:pPr>
      <w:r/>
      <w:bookmarkStart w:id="51" w:name="_Toc16938558"/>
      <w:r/>
      <w:bookmarkStart w:id="52" w:name="_Toc20823314"/>
      <w:r/>
      <w:bookmarkStart w:id="53" w:name="_Toc513029242"/>
      <w:r/>
      <w:bookmarkStart w:id="54" w:name="_Toc479757207"/>
      <w:r/>
      <w:bookmarkStart w:id="55" w:name="_Toc120614221"/>
      <w:r>
        <w:rPr>
          <w:rFonts w:hint="eastAsia"/>
        </w:rPr>
        <w:t xml:space="preserve">一、总则</w:t>
      </w:r>
      <w:r/>
    </w:p>
    <w:p>
      <w:pPr>
        <w:pStyle w:val="1043"/>
        <w:ind w:firstLine="420"/>
        <w:spacing w:before="0" w:after="0" w:line="240" w:lineRule="auto"/>
        <w:rPr>
          <w:b w:val="0"/>
          <w:bCs w:val="0"/>
        </w:rPr>
      </w:pPr>
      <w:r>
        <w:rPr>
          <w:rFonts w:hint="eastAsia"/>
          <w:b w:val="0"/>
          <w:bCs w:val="0"/>
        </w:rPr>
        <w:t xml:space="preserve">1</w:t>
      </w:r>
      <w:r>
        <w:rPr>
          <w:rFonts w:hint="eastAsia"/>
          <w:b w:val="0"/>
          <w:bCs w:val="0"/>
        </w:rPr>
        <w:t xml:space="preserve">、招标方式</w:t>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1043"/>
        <w:ind w:firstLine="420"/>
        <w:spacing w:before="0" w:after="0" w:line="240" w:lineRule="auto"/>
        <w:rPr>
          <w:b w:val="0"/>
          <w:bCs w:val="0"/>
        </w:rPr>
      </w:pPr>
      <w:r>
        <w:rPr>
          <w:rFonts w:hint="eastAsia"/>
          <w:b w:val="0"/>
          <w:bCs w:val="0"/>
        </w:rPr>
        <w:t xml:space="preserve">2</w:t>
      </w:r>
      <w:r>
        <w:rPr>
          <w:rFonts w:hint="eastAsia"/>
          <w:b w:val="0"/>
          <w:bCs w:val="0"/>
        </w:rPr>
        <w:t xml:space="preserve">、合格的投标人</w:t>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1043"/>
        <w:ind w:firstLine="420"/>
        <w:spacing w:before="0" w:after="0" w:line="240" w:lineRule="auto"/>
        <w:rPr>
          <w:b w:val="0"/>
          <w:bCs w:val="0"/>
        </w:rPr>
      </w:pPr>
      <w:r>
        <w:rPr>
          <w:rFonts w:hint="eastAsia"/>
          <w:b w:val="0"/>
          <w:bCs w:val="0"/>
        </w:rPr>
        <w:t xml:space="preserve">3</w:t>
      </w:r>
      <w:r>
        <w:rPr>
          <w:rFonts w:hint="eastAsia"/>
          <w:b w:val="0"/>
          <w:bCs w:val="0"/>
        </w:rPr>
        <w:t xml:space="preserve">、适用法律</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43"/>
        <w:ind w:firstLine="420"/>
        <w:spacing w:before="0" w:after="0" w:line="240" w:lineRule="auto"/>
        <w:rPr>
          <w:b w:val="0"/>
          <w:bCs w:val="0"/>
        </w:rPr>
      </w:pPr>
      <w:r>
        <w:rPr>
          <w:rFonts w:hint="eastAsia"/>
          <w:b w:val="0"/>
          <w:bCs w:val="0"/>
        </w:rPr>
        <w:t xml:space="preserve">4</w:t>
      </w:r>
      <w:r>
        <w:rPr>
          <w:rFonts w:hint="eastAsia"/>
          <w:b w:val="0"/>
          <w:bCs w:val="0"/>
        </w:rPr>
        <w:t xml:space="preserve">、投标费用</w:t>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1043"/>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42"/>
        <w:ind w:firstLine="321"/>
        <w:spacing w:before="145" w:after="145" w:line="360" w:lineRule="auto"/>
      </w:pPr>
      <w:r>
        <w:rPr>
          <w:rFonts w:hint="eastAsia"/>
        </w:rPr>
        <w:t xml:space="preserve">二、招标文件</w:t>
      </w:r>
      <w:r/>
    </w:p>
    <w:p>
      <w:pPr>
        <w:pStyle w:val="1043"/>
        <w:ind w:firstLine="420"/>
        <w:spacing w:before="0" w:after="0" w:line="240" w:lineRule="auto"/>
        <w:rPr>
          <w:b w:val="0"/>
          <w:bCs w:val="0"/>
        </w:rPr>
      </w:pPr>
      <w:r>
        <w:rPr>
          <w:rFonts w:hint="eastAsia"/>
          <w:b w:val="0"/>
          <w:bCs w:val="0"/>
        </w:rPr>
        <w:t xml:space="preserve">6</w:t>
      </w:r>
      <w:r>
        <w:rPr>
          <w:rFonts w:hint="eastAsia"/>
          <w:b w:val="0"/>
          <w:bCs w:val="0"/>
        </w:rPr>
        <w:t xml:space="preserve">、招标文件构成</w:t>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043"/>
        <w:ind w:firstLine="560"/>
        <w:spacing w:before="0" w:after="0" w:line="240" w:lineRule="auto"/>
        <w:rPr>
          <w:b w:val="0"/>
          <w:bCs w:val="0"/>
        </w:rPr>
      </w:pPr>
      <w:r>
        <w:rPr>
          <w:rFonts w:hint="eastAsia"/>
          <w:b w:val="0"/>
          <w:bCs w:val="0"/>
        </w:rPr>
        <w:t xml:space="preserve">7</w:t>
      </w:r>
      <w:r>
        <w:rPr>
          <w:rFonts w:hint="eastAsia"/>
          <w:b w:val="0"/>
          <w:bCs w:val="0"/>
        </w:rPr>
        <w:t xml:space="preserve">、招标文件的澄清</w:t>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1043"/>
        <w:ind w:firstLine="560"/>
        <w:spacing w:before="0" w:after="0" w:line="240" w:lineRule="auto"/>
        <w:rPr>
          <w:b w:val="0"/>
          <w:bCs w:val="0"/>
        </w:rPr>
      </w:pPr>
      <w:r>
        <w:rPr>
          <w:rFonts w:hint="eastAsia"/>
          <w:b w:val="0"/>
          <w:bCs w:val="0"/>
        </w:rPr>
        <w:t xml:space="preserve">8</w:t>
      </w:r>
      <w:r>
        <w:rPr>
          <w:rFonts w:hint="eastAsia"/>
          <w:b w:val="0"/>
          <w:bCs w:val="0"/>
        </w:rPr>
        <w:t xml:space="preserve">、招标文件的修改</w:t>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42"/>
        <w:ind w:firstLine="482"/>
        <w:spacing w:before="145" w:after="145" w:line="360" w:lineRule="auto"/>
      </w:pPr>
      <w:r>
        <w:rPr>
          <w:rFonts w:hint="eastAsia"/>
        </w:rPr>
        <w:t xml:space="preserve">三、投标文件的编制</w:t>
      </w:r>
      <w:r/>
    </w:p>
    <w:p>
      <w:pPr>
        <w:pStyle w:val="1043"/>
        <w:ind w:firstLine="560"/>
        <w:spacing w:before="0" w:after="0" w:line="240" w:lineRule="auto"/>
        <w:rPr>
          <w:bCs w:val="0"/>
        </w:rPr>
      </w:pPr>
      <w:r>
        <w:rPr>
          <w:rFonts w:hint="eastAsia"/>
          <w:b w:val="0"/>
          <w:bCs w:val="0"/>
        </w:rPr>
        <w:t xml:space="preserve">9</w:t>
      </w:r>
      <w:r>
        <w:rPr>
          <w:rFonts w:hint="eastAsia"/>
          <w:b w:val="0"/>
          <w:bCs w:val="0"/>
        </w:rPr>
        <w:t xml:space="preserve">、投标文件的语言及度量衡单位</w:t>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043"/>
        <w:ind w:firstLine="420"/>
        <w:spacing w:before="0" w:after="0" w:line="240" w:lineRule="auto"/>
        <w:rPr>
          <w:b w:val="0"/>
          <w:bCs w:val="0"/>
        </w:rPr>
      </w:pPr>
      <w:r>
        <w:rPr>
          <w:rFonts w:hint="eastAsia"/>
          <w:b w:val="0"/>
          <w:bCs w:val="0"/>
        </w:rPr>
        <w:t xml:space="preserve">10</w:t>
      </w:r>
      <w:r>
        <w:rPr>
          <w:rFonts w:hint="eastAsia"/>
          <w:b w:val="0"/>
          <w:bCs w:val="0"/>
        </w:rPr>
        <w:t xml:space="preserve">、投标文件构成</w:t>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1043"/>
        <w:ind w:firstLine="420"/>
        <w:spacing w:before="0" w:after="0" w:line="240" w:lineRule="auto"/>
        <w:rPr>
          <w:b w:val="0"/>
          <w:bCs w:val="0"/>
        </w:rPr>
      </w:pPr>
      <w:r>
        <w:rPr>
          <w:rFonts w:hint="eastAsia"/>
          <w:b w:val="0"/>
          <w:bCs w:val="0"/>
        </w:rPr>
        <w:t xml:space="preserve">11</w:t>
      </w:r>
      <w:r>
        <w:rPr>
          <w:rFonts w:hint="eastAsia"/>
          <w:b w:val="0"/>
          <w:bCs w:val="0"/>
        </w:rPr>
        <w:t xml:space="preserve">、证明投标人及投标标的符合招标文件规定的文件</w:t>
      </w:r>
      <w:r/>
    </w:p>
    <w:p>
      <w:pPr>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43"/>
        <w:ind w:firstLine="420"/>
        <w:spacing w:before="0" w:after="0" w:line="240" w:lineRule="auto"/>
        <w:rPr>
          <w:b w:val="0"/>
          <w:bCs w:val="0"/>
        </w:rPr>
      </w:pPr>
      <w:r>
        <w:rPr>
          <w:rFonts w:hint="eastAsia"/>
          <w:b w:val="0"/>
          <w:bCs w:val="0"/>
        </w:rPr>
        <w:t xml:space="preserve">12</w:t>
      </w:r>
      <w:r>
        <w:rPr>
          <w:rFonts w:hint="eastAsia"/>
          <w:b w:val="0"/>
          <w:bCs w:val="0"/>
        </w:rPr>
        <w:t xml:space="preserve">、投标分项报价表</w:t>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43"/>
        <w:ind w:firstLine="420"/>
        <w:spacing w:before="0" w:after="0" w:line="240" w:lineRule="auto"/>
        <w:rPr>
          <w:b w:val="0"/>
          <w:bCs w:val="0"/>
        </w:rPr>
      </w:pPr>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480" w:lineRule="exact"/>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pStyle w:val="1043"/>
        <w:ind w:firstLine="420"/>
        <w:spacing w:before="0" w:after="0" w:line="240" w:lineRule="auto"/>
        <w:rPr>
          <w:b w:val="0"/>
          <w:bCs w:val="0"/>
        </w:rPr>
      </w:pPr>
      <w:r>
        <w:rPr>
          <w:rFonts w:hint="eastAsia"/>
          <w:b w:val="0"/>
          <w:bCs w:val="0"/>
        </w:rPr>
        <w:t xml:space="preserve">15</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43"/>
        <w:ind w:firstLine="420"/>
        <w:spacing w:before="0" w:after="0" w:line="240" w:lineRule="auto"/>
        <w:rPr>
          <w:b w:val="0"/>
          <w:bCs w:val="0"/>
        </w:rPr>
      </w:pPr>
      <w:r>
        <w:rPr>
          <w:rFonts w:hint="eastAsia"/>
          <w:b w:val="0"/>
          <w:bCs w:val="0"/>
        </w:rPr>
        <w:t xml:space="preserve">16</w:t>
      </w:r>
      <w:r>
        <w:rPr>
          <w:rFonts w:hint="eastAsia"/>
          <w:b w:val="0"/>
          <w:bCs w:val="0"/>
        </w:rPr>
        <w:t xml:space="preserve">、投标有效期</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43"/>
        <w:ind w:firstLine="420"/>
        <w:spacing w:before="0" w:after="0" w:line="240" w:lineRule="auto"/>
        <w:rPr>
          <w:b w:val="0"/>
          <w:bCs w:val="0"/>
        </w:rPr>
      </w:pPr>
      <w:r>
        <w:rPr>
          <w:rFonts w:hint="eastAsia"/>
          <w:b w:val="0"/>
          <w:bCs w:val="0"/>
        </w:rPr>
        <w:t xml:space="preserve">17</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42"/>
        <w:ind w:firstLine="482"/>
        <w:spacing w:before="145" w:after="145" w:line="360" w:lineRule="auto"/>
      </w:pPr>
      <w:r>
        <w:rPr>
          <w:rFonts w:hint="eastAsia"/>
        </w:rPr>
        <w:t xml:space="preserve">四、投标文件的递交</w:t>
      </w:r>
      <w:r/>
    </w:p>
    <w:p>
      <w:pPr>
        <w:pStyle w:val="1043"/>
        <w:ind w:firstLine="560"/>
        <w:spacing w:before="0" w:after="0" w:line="240" w:lineRule="auto"/>
        <w:rPr>
          <w:rFonts w:ascii="黑体"/>
          <w:b w:val="0"/>
          <w:bCs w:val="0"/>
        </w:rPr>
      </w:pPr>
      <w:r>
        <w:rPr>
          <w:rFonts w:hint="eastAsia"/>
          <w:b w:val="0"/>
          <w:bCs w:val="0"/>
        </w:rPr>
        <w:t xml:space="preserve">18</w:t>
      </w:r>
      <w:r>
        <w:rPr>
          <w:rFonts w:hint="eastAsia"/>
          <w:b w:val="0"/>
          <w:bCs w:val="0"/>
        </w:rPr>
        <w:t xml:space="preserve">、</w:t>
      </w:r>
      <w:r>
        <w:rPr>
          <w:rFonts w:hint="eastAsia" w:ascii="黑体"/>
          <w:b w:val="0"/>
          <w:bCs w:val="0"/>
        </w:rPr>
        <w:t xml:space="preserve">投标文件的递交</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1048"/>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r/>
    </w:p>
    <w:p>
      <w:pPr>
        <w:pStyle w:val="1043"/>
        <w:ind w:firstLine="420"/>
        <w:rPr>
          <w:b w:val="0"/>
        </w:rPr>
      </w:pPr>
      <w:r>
        <w:rPr>
          <w:rFonts w:hint="eastAsia"/>
          <w:b w:val="0"/>
        </w:rPr>
        <w:t xml:space="preserve">19</w:t>
      </w:r>
      <w:r>
        <w:rPr>
          <w:rFonts w:hint="eastAsia"/>
          <w:b w:val="0"/>
        </w:rPr>
        <w:t xml:space="preserve">、投标截止时间</w:t>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43"/>
        <w:ind w:firstLine="420"/>
        <w:spacing w:before="0" w:after="0" w:line="240" w:lineRule="auto"/>
        <w:rPr>
          <w:b w:val="0"/>
          <w:bCs w:val="0"/>
        </w:rPr>
      </w:pPr>
      <w:r>
        <w:rPr>
          <w:rFonts w:hint="eastAsia"/>
          <w:b w:val="0"/>
          <w:bCs w:val="0"/>
        </w:rPr>
        <w:t xml:space="preserve">20</w:t>
      </w:r>
      <w:r>
        <w:rPr>
          <w:rFonts w:hint="eastAsia"/>
          <w:b w:val="0"/>
          <w:bCs w:val="0"/>
        </w:rPr>
        <w:t xml:space="preserve">、投标文件的拒收</w:t>
      </w:r>
      <w:r/>
    </w:p>
    <w:p>
      <w:pPr>
        <w:ind w:firstLine="480"/>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交易中心拒绝接收在其规定的投标截止时间后上传的任何投标文件。</w:t>
      </w:r>
      <w:r/>
    </w:p>
    <w:p>
      <w:pPr>
        <w:pStyle w:val="1043"/>
        <w:ind w:firstLine="420"/>
        <w:spacing w:before="0" w:after="0" w:line="240" w:lineRule="auto"/>
        <w:rPr>
          <w:b w:val="0"/>
          <w:bCs w:val="0"/>
        </w:rPr>
      </w:pPr>
      <w:r>
        <w:rPr>
          <w:rFonts w:hint="eastAsia"/>
          <w:b w:val="0"/>
          <w:bCs w:val="0"/>
        </w:rPr>
        <w:t xml:space="preserve">21</w:t>
      </w:r>
      <w:r>
        <w:rPr>
          <w:rFonts w:hint="eastAsia"/>
          <w:b w:val="0"/>
          <w:bCs w:val="0"/>
        </w:rPr>
        <w:t xml:space="preserve">、投标文件的撤回和修改</w:t>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1042"/>
        <w:ind w:firstLine="482"/>
        <w:spacing w:before="145" w:after="145" w:line="360" w:lineRule="auto"/>
      </w:pPr>
      <w:r>
        <w:rPr>
          <w:rFonts w:hint="eastAsia"/>
        </w:rPr>
        <w:t xml:space="preserve">五、开标与评标</w:t>
      </w:r>
      <w:r/>
    </w:p>
    <w:p>
      <w:pPr>
        <w:pStyle w:val="1043"/>
        <w:ind w:firstLine="420"/>
        <w:spacing w:before="0" w:after="0" w:line="240" w:lineRule="auto"/>
        <w:rPr>
          <w:b w:val="0"/>
          <w:bCs w:val="0"/>
        </w:rPr>
      </w:pPr>
      <w:r>
        <w:rPr>
          <w:rFonts w:hint="eastAsia"/>
          <w:b w:val="0"/>
          <w:bCs w:val="0"/>
        </w:rPr>
        <w:t xml:space="preserve">22</w:t>
      </w:r>
      <w:r>
        <w:rPr>
          <w:rFonts w:hint="eastAsia"/>
          <w:b w:val="0"/>
          <w:bCs w:val="0"/>
        </w:rPr>
        <w:t xml:space="preserve">、开标</w:t>
      </w:r>
      <w:r/>
    </w:p>
    <w:p>
      <w:pPr>
        <w:ind w:firstLine="360"/>
      </w:pPr>
      <w:r>
        <w:rPr>
          <w:rFonts w:hint="eastAsia" w:ascii="宋体" w:hAnsi="宋体"/>
          <w:sz w:val="24"/>
        </w:rPr>
        <w:t xml:space="preserve">22.1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1043"/>
        <w:ind w:firstLine="420"/>
        <w:spacing w:before="0" w:after="0" w:line="240" w:lineRule="auto"/>
        <w:rPr>
          <w:b w:val="0"/>
          <w:bCs w:val="0"/>
        </w:rPr>
      </w:pPr>
      <w:r>
        <w:rPr>
          <w:rFonts w:hint="eastAsia"/>
          <w:b w:val="0"/>
          <w:bCs w:val="0"/>
        </w:rPr>
        <w:t xml:space="preserve">23</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43"/>
        <w:ind w:firstLine="420"/>
        <w:spacing w:before="0" w:after="0" w:line="240" w:lineRule="auto"/>
        <w:rPr>
          <w:rFonts w:ascii="黑体"/>
          <w:b w:val="0"/>
          <w:bCs w:val="0"/>
        </w:rPr>
      </w:pPr>
      <w:r>
        <w:rPr>
          <w:rFonts w:hint="eastAsia" w:ascii="黑体"/>
          <w:b w:val="0"/>
          <w:bCs w:val="0"/>
        </w:rPr>
        <w:t xml:space="preserve">24、评标过程的保密与公正</w:t>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43"/>
        <w:ind w:firstLine="420"/>
        <w:spacing w:before="0" w:after="0" w:line="240" w:lineRule="auto"/>
        <w:rPr>
          <w:b w:val="0"/>
          <w:bCs w:val="0"/>
        </w:rPr>
      </w:pPr>
      <w:r>
        <w:rPr>
          <w:rFonts w:hint="eastAsia"/>
          <w:b w:val="0"/>
          <w:bCs w:val="0"/>
        </w:rPr>
        <w:t xml:space="preserve">25</w:t>
      </w:r>
      <w:r>
        <w:rPr>
          <w:rFonts w:hint="eastAsia"/>
          <w:b w:val="0"/>
          <w:bCs w:val="0"/>
        </w:rPr>
        <w:t xml:space="preserve">、投标文件的澄清</w:t>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25.3 接到评委会澄清、说明和补正要求的投标人如未按规定做出澄清、说明和</w:t>
      </w:r>
      <w:r>
        <w:rPr>
          <w:rFonts w:hint="eastAsia" w:ascii="宋体" w:hAnsi="宋体"/>
          <w:sz w:val="24"/>
          <w:szCs w:val="24"/>
        </w:rPr>
        <w:t xml:space="preserve">补正，其风险由投标人自行承担。</w:t>
      </w:r>
      <w:r/>
    </w:p>
    <w:p>
      <w:pPr>
        <w:pStyle w:val="1043"/>
        <w:ind w:firstLine="420"/>
        <w:spacing w:before="0" w:after="0" w:line="240" w:lineRule="auto"/>
        <w:rPr>
          <w:b w:val="0"/>
          <w:bCs w:val="0"/>
        </w:rPr>
      </w:pPr>
      <w:r>
        <w:rPr>
          <w:rFonts w:hint="eastAsia"/>
          <w:b w:val="0"/>
          <w:bCs w:val="0"/>
        </w:rPr>
        <w:t xml:space="preserve">26</w:t>
      </w:r>
      <w:r>
        <w:rPr>
          <w:rFonts w:hint="eastAsia"/>
          <w:b w:val="0"/>
          <w:bCs w:val="0"/>
        </w:rPr>
        <w:t xml:space="preserve">、对投标文件的初审</w:t>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w:t>
      </w:r>
      <w:r>
        <w:rPr>
          <w:rFonts w:hint="eastAsia" w:ascii="宋体" w:hAnsi="宋体"/>
          <w:bCs/>
          <w:sz w:val="24"/>
        </w:rPr>
        <w:t xml:space="preserve">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1043"/>
        <w:ind w:firstLine="420"/>
        <w:spacing w:before="0" w:after="0" w:line="240" w:lineRule="auto"/>
        <w:rPr>
          <w:b w:val="0"/>
          <w:bCs w:val="0"/>
        </w:rPr>
      </w:pPr>
      <w:r>
        <w:rPr>
          <w:rFonts w:hint="eastAsia"/>
          <w:b w:val="0"/>
          <w:bCs w:val="0"/>
        </w:rPr>
        <w:t xml:space="preserve">27</w:t>
      </w:r>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rPr>
          <w:rFonts w:hint="eastAsia" w:ascii="宋体" w:hAnsi="宋体"/>
          <w:bCs/>
          <w:sz w:val="24"/>
        </w:rPr>
        <w:t xml:space="preserve">27.1无效投标条款</w:t>
      </w:r>
      <w:r/>
    </w:p>
    <w:p>
      <w:pPr>
        <w:ind w:firstLine="480"/>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27.2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1042"/>
        <w:ind w:firstLine="482"/>
        <w:spacing w:before="145" w:after="145" w:line="360" w:lineRule="auto"/>
      </w:pPr>
      <w:r>
        <w:rPr>
          <w:rFonts w:hint="eastAsia"/>
        </w:rPr>
        <w:t xml:space="preserve">六、定标</w:t>
      </w:r>
      <w:r/>
    </w:p>
    <w:p>
      <w:pPr>
        <w:pStyle w:val="10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10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w:t>
      </w:r>
      <w:r>
        <w:rPr>
          <w:rFonts w:hint="eastAsia" w:ascii="宋体" w:hAnsi="宋体"/>
          <w:sz w:val="24"/>
          <w:szCs w:val="24"/>
        </w:rPr>
        <w:t xml:space="preserve">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42"/>
        <w:spacing w:before="145" w:after="145" w:line="360" w:lineRule="auto"/>
      </w:pPr>
      <w:r>
        <w:rPr>
          <w:rFonts w:hint="eastAsia"/>
        </w:rPr>
        <w:t xml:space="preserve">七、授予合同</w:t>
      </w:r>
      <w:r/>
    </w:p>
    <w:p>
      <w:pPr>
        <w:pStyle w:val="10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0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1044"/>
      </w:pPr>
      <w:r>
        <w:rPr>
          <w:rFonts w:hint="eastAsia" w:ascii="宋体" w:hAnsi="宋体"/>
          <w:bCs/>
          <w:sz w:val="24"/>
        </w:rPr>
        <w:t xml:space="preserve">中标人可凭政府采购合同办理融资贷款，详情请见江苏政府采购网、扬州市政府采购网“政采贷”专栏。</w:t>
      </w:r>
      <w:r/>
    </w:p>
    <w:p>
      <w:pPr>
        <w:ind w:firstLine="602"/>
        <w:rPr>
          <w:rFonts w:asciiTheme="majorEastAsia" w:hAnsiTheme="majorEastAsia" w:eastAsiaTheme="majorEastAsia"/>
          <w:b/>
          <w:sz w:val="30"/>
          <w:szCs w:val="30"/>
        </w:rPr>
      </w:pPr>
      <w:r>
        <w:rPr>
          <w:rFonts w:hint="eastAsia" w:asciiTheme="majorEastAsia" w:hAnsiTheme="majorEastAsia" w:eastAsiaTheme="majorEastAsia"/>
          <w:b/>
          <w:sz w:val="30"/>
          <w:szCs w:val="30"/>
        </w:rPr>
        <w:t xml:space="preserve">3</w:t>
      </w:r>
      <w:r>
        <w:rPr>
          <w:rFonts w:asciiTheme="majorEastAsia" w:hAnsiTheme="majorEastAsia" w:eastAsiaTheme="majorEastAsia"/>
          <w:b/>
          <w:sz w:val="30"/>
          <w:szCs w:val="30"/>
        </w:rPr>
        <w:t xml:space="preserve">3</w:t>
      </w:r>
      <w:r>
        <w:rPr>
          <w:rFonts w:hint="eastAsia" w:asciiTheme="majorEastAsia" w:hAnsiTheme="majorEastAsia" w:eastAsiaTheme="majorEastAsia"/>
          <w:b/>
          <w:sz w:val="30"/>
          <w:szCs w:val="30"/>
        </w:rPr>
        <w:t xml:space="preserve">、联合投标</w:t>
      </w:r>
      <w:r/>
    </w:p>
    <w:p>
      <w:pPr>
        <w:ind w:firstLine="600"/>
        <w:spacing w:line="480" w:lineRule="exact"/>
        <w:rPr>
          <w:rFonts w:ascii="宋体" w:hAnsi="宋体"/>
          <w:sz w:val="24"/>
          <w:szCs w:val="24"/>
        </w:rPr>
      </w:pPr>
      <w:r>
        <w:rPr>
          <w:rFonts w:hint="eastAsia" w:ascii="宋体" w:hAnsi="宋体"/>
          <w:sz w:val="24"/>
          <w:szCs w:val="24"/>
        </w:rPr>
        <w:t xml:space="preserve">两个以上自然人、法人或者其他组织可以组成一个联合体，以一个投标人的身份共同参加政府采购活动。</w:t>
      </w:r>
      <w:r/>
    </w:p>
    <w:p>
      <w:pPr>
        <w:ind w:firstLine="600"/>
        <w:spacing w:line="480" w:lineRule="exact"/>
        <w:rPr>
          <w:rFonts w:ascii="宋体" w:hAnsi="宋体"/>
          <w:sz w:val="24"/>
          <w:szCs w:val="24"/>
        </w:rPr>
      </w:pPr>
      <w:r>
        <w:rPr>
          <w:rFonts w:hint="eastAsia" w:ascii="宋体" w:hAnsi="宋体"/>
          <w:sz w:val="24"/>
          <w:szCs w:val="24"/>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firstLine="600"/>
        <w:spacing w:line="480" w:lineRule="exact"/>
        <w:rPr>
          <w:rFonts w:ascii="宋体" w:hAnsi="宋体"/>
          <w:sz w:val="24"/>
          <w:szCs w:val="24"/>
        </w:rPr>
      </w:pPr>
      <w:r>
        <w:rPr>
          <w:rFonts w:hint="eastAsia" w:ascii="宋体" w:hAnsi="宋体"/>
          <w:sz w:val="24"/>
          <w:szCs w:val="24"/>
        </w:rPr>
        <w:t xml:space="preserve">联合体中有同类资质的供应</w:t>
      </w:r>
      <w:r>
        <w:rPr>
          <w:rFonts w:hint="eastAsia" w:ascii="宋体" w:hAnsi="宋体"/>
          <w:sz w:val="24"/>
          <w:szCs w:val="24"/>
        </w:rPr>
        <w:t xml:space="preserve">商按照</w:t>
      </w:r>
      <w:r>
        <w:rPr>
          <w:rFonts w:hint="eastAsia" w:ascii="宋体" w:hAnsi="宋体"/>
          <w:sz w:val="24"/>
          <w:szCs w:val="24"/>
        </w:rPr>
        <w:t xml:space="preserve">联合体分工承担相同工作的，应当按照资质等级较低的供应商确定资质等级。</w:t>
      </w:r>
      <w:r/>
    </w:p>
    <w:p>
      <w:pPr>
        <w:ind w:firstLine="600"/>
        <w:spacing w:line="480" w:lineRule="exact"/>
        <w:rPr>
          <w:rFonts w:ascii="宋体" w:hAnsi="宋体"/>
          <w:sz w:val="24"/>
          <w:szCs w:val="24"/>
        </w:rPr>
      </w:pPr>
      <w:r>
        <w:rPr>
          <w:rFonts w:hint="eastAsia" w:ascii="宋体" w:hAnsi="宋体"/>
          <w:sz w:val="24"/>
          <w:szCs w:val="24"/>
        </w:rPr>
        <w:t xml:space="preserve">以联合体形</w:t>
      </w:r>
      <w:r>
        <w:rPr>
          <w:rFonts w:hint="eastAsia" w:ascii="宋体" w:hAnsi="宋体"/>
          <w:sz w:val="24"/>
          <w:szCs w:val="24"/>
        </w:rPr>
        <w:t xml:space="preserve">式参加</w:t>
      </w:r>
      <w:r>
        <w:rPr>
          <w:rFonts w:hint="eastAsia" w:ascii="宋体" w:hAnsi="宋体"/>
          <w:sz w:val="24"/>
          <w:szCs w:val="24"/>
        </w:rPr>
        <w:t xml:space="preserve">政府采购活动的，联合体各方不得再单独参加或者与其</w:t>
      </w:r>
      <w:r>
        <w:rPr>
          <w:rFonts w:hint="eastAsia" w:ascii="宋体" w:hAnsi="宋体"/>
          <w:sz w:val="24"/>
          <w:szCs w:val="24"/>
        </w:rPr>
        <w:t xml:space="preserve">他供应</w:t>
      </w:r>
      <w:r>
        <w:rPr>
          <w:rFonts w:hint="eastAsia" w:ascii="宋体" w:hAnsi="宋体"/>
          <w:sz w:val="24"/>
          <w:szCs w:val="24"/>
        </w:rPr>
        <w:t xml:space="preserve">商另外组成联合体参加同一合同项下的政府采购活动。</w:t>
      </w:r>
      <w:r/>
    </w:p>
    <w:p>
      <w:r/>
      <w:r/>
    </w:p>
    <w:p>
      <w:r/>
      <w:r/>
    </w:p>
    <w:p>
      <w:r/>
      <w:r/>
    </w:p>
    <w:p>
      <w:r/>
      <w:r/>
    </w:p>
    <w:p>
      <w:r/>
      <w:r/>
    </w:p>
    <w:p>
      <w:pPr>
        <w:jc w:val="center"/>
        <w:rPr>
          <w:rStyle w:val="993"/>
          <w:rFonts w:ascii="Times New Roman" w:hAnsi="Times New Roman" w:eastAsia="宋体"/>
          <w:sz w:val="21"/>
          <w:szCs w:val="21"/>
        </w:rPr>
      </w:pPr>
      <w:r>
        <w:rPr>
          <w:rStyle w:val="993"/>
          <w:rFonts w:hint="eastAsia"/>
        </w:rPr>
        <w:br w:type="page" w:clear="all"/>
      </w:r>
      <w:bookmarkStart w:id="56" w:name="_Toc11104"/>
      <w:r/>
      <w:bookmarkStart w:id="57" w:name="_Toc5617"/>
      <w:r>
        <w:rPr>
          <w:rStyle w:val="993"/>
          <w:rFonts w:hint="eastAsia"/>
          <w:b/>
          <w:bCs/>
        </w:rPr>
        <w:t xml:space="preserve">第三章</w:t>
      </w:r>
      <w:r>
        <w:rPr>
          <w:rStyle w:val="993"/>
          <w:rFonts w:hint="eastAsia"/>
          <w:b/>
          <w:bCs/>
        </w:rPr>
        <w:t xml:space="preserve">  </w:t>
      </w:r>
      <w:r>
        <w:rPr>
          <w:rStyle w:val="993"/>
          <w:rFonts w:hint="eastAsia"/>
          <w:b/>
          <w:bCs/>
        </w:rPr>
        <w:t xml:space="preserve">合同</w:t>
      </w:r>
      <w:bookmarkEnd w:id="51"/>
      <w:r/>
      <w:bookmarkEnd w:id="52"/>
      <w:r/>
      <w:bookmarkEnd w:id="53"/>
      <w:r/>
      <w:bookmarkEnd w:id="54"/>
      <w:r/>
      <w:bookmarkEnd w:id="55"/>
      <w:r>
        <w:rPr>
          <w:rStyle w:val="993"/>
          <w:rFonts w:hint="eastAsia"/>
          <w:b/>
          <w:bCs/>
        </w:rPr>
        <w:t xml:space="preserve">文本</w:t>
      </w:r>
      <w:bookmarkEnd w:id="56"/>
      <w:r/>
      <w:bookmarkEnd w:id="57"/>
      <w:r/>
      <w:r/>
    </w:p>
    <w:p>
      <w:pPr>
        <w:ind w:firstLine="480"/>
        <w:spacing w:line="500" w:lineRule="exact"/>
        <w:rPr>
          <w:rFonts w:ascii="宋体" w:hAnsi="宋体"/>
          <w:bCs/>
          <w:sz w:val="24"/>
        </w:rPr>
      </w:pPr>
      <w:r/>
      <w:bookmarkStart w:id="58" w:name="_Toc20823315"/>
      <w:r/>
      <w:bookmarkStart w:id="59" w:name="_Toc16938559"/>
      <w:r/>
      <w:bookmarkStart w:id="60"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spacing w:line="500" w:lineRule="exact"/>
        <w:rPr>
          <w:rFonts w:ascii="宋体" w:hAnsi="宋体"/>
          <w:bCs/>
          <w:sz w:val="32"/>
          <w:szCs w:val="32"/>
          <w:highlight w:val="yellow"/>
        </w:rPr>
      </w:pPr>
      <w:r>
        <w:rPr>
          <w:rFonts w:ascii="宋体" w:hAnsi="宋体"/>
          <w:bCs/>
          <w:sz w:val="32"/>
          <w:szCs w:val="32"/>
          <w:highlight w:val="yellow"/>
        </w:rPr>
      </w:r>
      <w:r/>
    </w:p>
    <w:p>
      <w:pPr>
        <w:ind w:firstLine="640"/>
        <w:spacing w:line="500" w:lineRule="exact"/>
        <w:rPr>
          <w:rFonts w:ascii="宋体" w:hAnsi="宋体"/>
          <w:bCs/>
          <w:sz w:val="32"/>
          <w:szCs w:val="32"/>
          <w:highlight w:val="yellow"/>
        </w:rPr>
      </w:pPr>
      <w:r>
        <w:rPr>
          <w:rFonts w:ascii="宋体" w:hAnsi="宋体"/>
          <w:bCs/>
          <w:sz w:val="32"/>
          <w:szCs w:val="32"/>
          <w:highlight w:val="yellow"/>
        </w:rPr>
      </w:r>
      <w:r/>
    </w:p>
    <w:p>
      <w:pPr>
        <w:jc w:val="center"/>
        <w:rPr>
          <w:b/>
          <w:bCs/>
          <w:sz w:val="30"/>
          <w:szCs w:val="30"/>
        </w:rPr>
      </w:pPr>
      <w:r>
        <w:rPr>
          <w:rFonts w:hint="eastAsia"/>
          <w:b/>
          <w:bCs/>
          <w:sz w:val="30"/>
          <w:szCs w:val="30"/>
        </w:rPr>
        <w:t xml:space="preserve">江苏省政府采购合同（服务）（合同编号）</w:t>
      </w:r>
      <w:r/>
    </w:p>
    <w:p>
      <w:pPr>
        <w:pStyle w:val="802"/>
        <w:spacing w:before="120" w:after="120"/>
        <w:rPr>
          <w:rFonts w:hAnsi="宋体"/>
          <w:sz w:val="24"/>
          <w:szCs w:val="24"/>
        </w:rPr>
      </w:pPr>
      <w:r>
        <w:rPr>
          <w:rFonts w:hAnsi="宋体"/>
          <w:sz w:val="24"/>
          <w:szCs w:val="24"/>
        </w:rPr>
        <w:t xml:space="preserve">项目名称：                                       项目编号：</w:t>
      </w:r>
      <w:r/>
    </w:p>
    <w:p>
      <w:pPr>
        <w:pStyle w:val="802"/>
        <w:spacing w:before="120" w:after="120"/>
        <w:rPr>
          <w:rFonts w:hAnsi="宋体"/>
          <w:sz w:val="24"/>
          <w:szCs w:val="24"/>
        </w:rPr>
      </w:pPr>
      <w:r>
        <w:rPr>
          <w:rFonts w:hAnsi="宋体"/>
          <w:sz w:val="24"/>
          <w:szCs w:val="24"/>
        </w:rPr>
        <w:t xml:space="preserve">甲方：（买方）_________</w:t>
      </w:r>
      <w:r/>
    </w:p>
    <w:p>
      <w:pPr>
        <w:pStyle w:val="802"/>
        <w:spacing w:before="120" w:after="120"/>
        <w:rPr>
          <w:rFonts w:hAnsi="宋体"/>
          <w:sz w:val="24"/>
          <w:szCs w:val="24"/>
        </w:rPr>
      </w:pPr>
      <w:r>
        <w:rPr>
          <w:rFonts w:hAnsi="宋体"/>
          <w:sz w:val="24"/>
          <w:szCs w:val="24"/>
        </w:rPr>
        <w:t xml:space="preserve">乙方：（卖方）_________</w:t>
      </w:r>
      <w:r/>
    </w:p>
    <w:p>
      <w:pPr>
        <w:pStyle w:val="80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80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0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02"/>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802"/>
        <w:spacing w:before="120" w:after="120"/>
        <w:rPr>
          <w:rFonts w:hAnsi="宋体"/>
          <w:sz w:val="24"/>
          <w:szCs w:val="24"/>
        </w:rPr>
      </w:pPr>
      <w:r>
        <w:rPr>
          <w:rFonts w:hint="eastAsia" w:hAnsi="宋体"/>
          <w:sz w:val="24"/>
          <w:szCs w:val="24"/>
        </w:rPr>
        <w:t xml:space="preserve">1.3 标的数量（规模）：</w:t>
      </w:r>
      <w:r/>
    </w:p>
    <w:p>
      <w:pPr>
        <w:pStyle w:val="802"/>
        <w:spacing w:before="120" w:after="120"/>
        <w:rPr>
          <w:rFonts w:hAnsi="宋体"/>
          <w:sz w:val="24"/>
          <w:szCs w:val="24"/>
        </w:rPr>
      </w:pPr>
      <w:r>
        <w:rPr>
          <w:rFonts w:hint="eastAsia" w:hAnsi="宋体"/>
          <w:sz w:val="24"/>
          <w:szCs w:val="24"/>
        </w:rPr>
        <w:t xml:space="preserve">1.4 履行时间（期限）：</w:t>
      </w:r>
      <w:r/>
    </w:p>
    <w:p>
      <w:pPr>
        <w:pStyle w:val="802"/>
        <w:spacing w:before="120" w:after="120"/>
        <w:rPr>
          <w:rFonts w:hAnsi="宋体"/>
          <w:sz w:val="24"/>
          <w:szCs w:val="24"/>
        </w:rPr>
      </w:pPr>
      <w:r>
        <w:rPr>
          <w:rFonts w:hint="eastAsia" w:hAnsi="宋体"/>
          <w:sz w:val="24"/>
          <w:szCs w:val="24"/>
        </w:rPr>
        <w:t xml:space="preserve">1.5 履行地点：</w:t>
      </w:r>
      <w:r/>
    </w:p>
    <w:p>
      <w:pPr>
        <w:pStyle w:val="80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02"/>
        <w:spacing w:before="120" w:after="120"/>
        <w:rPr>
          <w:rFonts w:hAnsi="宋体"/>
          <w:b/>
          <w:sz w:val="24"/>
          <w:szCs w:val="24"/>
        </w:rPr>
      </w:pPr>
      <w:r>
        <w:rPr>
          <w:rFonts w:hAnsi="宋体"/>
          <w:b/>
          <w:sz w:val="24"/>
          <w:szCs w:val="24"/>
        </w:rPr>
        <w:t xml:space="preserve">二、合同金额</w:t>
      </w:r>
      <w:r/>
    </w:p>
    <w:p>
      <w:pPr>
        <w:pStyle w:val="80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02"/>
        <w:spacing w:before="120" w:after="120"/>
        <w:rPr>
          <w:rFonts w:hAnsi="宋体"/>
          <w:b/>
          <w:sz w:val="24"/>
          <w:szCs w:val="24"/>
        </w:rPr>
      </w:pPr>
      <w:r>
        <w:rPr>
          <w:rFonts w:hAnsi="宋体"/>
          <w:b/>
          <w:sz w:val="24"/>
          <w:szCs w:val="24"/>
        </w:rPr>
        <w:t xml:space="preserve">三、技术资料</w:t>
      </w:r>
      <w:r/>
    </w:p>
    <w:p>
      <w:pPr>
        <w:pStyle w:val="802"/>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0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802"/>
        <w:ind w:left="412" w:hanging="412"/>
        <w:spacing w:before="120" w:after="120"/>
        <w:rPr>
          <w:rFonts w:hAnsi="宋体"/>
          <w:b/>
          <w:sz w:val="24"/>
          <w:szCs w:val="24"/>
        </w:rPr>
      </w:pPr>
      <w:r>
        <w:rPr>
          <w:rFonts w:hAnsi="宋体"/>
          <w:b/>
          <w:sz w:val="24"/>
          <w:szCs w:val="24"/>
        </w:rPr>
        <w:t xml:space="preserve">四、知识产权</w:t>
      </w:r>
      <w:r/>
    </w:p>
    <w:p>
      <w:pPr>
        <w:pStyle w:val="802"/>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02"/>
        <w:spacing w:before="120" w:after="120"/>
        <w:rPr>
          <w:rFonts w:hAnsi="宋体"/>
          <w:sz w:val="24"/>
          <w:szCs w:val="24"/>
          <w:u w:val="single"/>
        </w:rPr>
      </w:pPr>
      <w:r>
        <w:rPr>
          <w:rFonts w:hAnsi="宋体"/>
          <w:b/>
          <w:sz w:val="24"/>
          <w:szCs w:val="24"/>
        </w:rPr>
        <w:t xml:space="preserve">五、产权担保</w:t>
      </w:r>
      <w:r/>
    </w:p>
    <w:p>
      <w:pPr>
        <w:pStyle w:val="80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802"/>
        <w:ind w:left="410" w:hanging="410"/>
        <w:spacing w:before="120" w:after="120"/>
        <w:rPr>
          <w:rFonts w:hAnsi="宋体"/>
          <w:b/>
          <w:color w:val="0000ff"/>
          <w:sz w:val="24"/>
          <w:szCs w:val="24"/>
        </w:rPr>
      </w:pPr>
      <w:r>
        <w:rPr>
          <w:rFonts w:hAnsi="宋体"/>
          <w:b/>
          <w:sz w:val="24"/>
          <w:szCs w:val="24"/>
        </w:rPr>
        <w:t xml:space="preserve">六、履约保证金</w:t>
      </w:r>
      <w:r/>
    </w:p>
    <w:p>
      <w:pPr>
        <w:pStyle w:val="802"/>
        <w:ind w:left="408" w:hanging="408"/>
        <w:spacing w:before="120" w:after="120"/>
        <w:rPr>
          <w:rFonts w:hAnsi="宋体"/>
          <w:sz w:val="24"/>
          <w:szCs w:val="24"/>
        </w:rPr>
      </w:pPr>
      <w:r>
        <w:rPr>
          <w:rFonts w:hAnsi="宋体"/>
          <w:sz w:val="24"/>
          <w:szCs w:val="24"/>
        </w:rPr>
        <w:t xml:space="preserve">6.1 乙方交纳人民币___</w:t>
      </w:r>
      <w:r>
        <w:rPr>
          <w:rFonts w:hint="eastAsia" w:hAnsi="宋体"/>
          <w:color w:val="0000ff"/>
          <w:sz w:val="24"/>
          <w:szCs w:val="24"/>
          <w:u w:val="single"/>
        </w:rPr>
        <w:t xml:space="preserve">零</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80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802"/>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color w:val="0000ff"/>
          <w:sz w:val="24"/>
          <w:szCs w:val="24"/>
        </w:rPr>
        <w:t xml:space="preserve">无</w:t>
      </w:r>
      <w:r/>
    </w:p>
    <w:p>
      <w:pPr>
        <w:pStyle w:val="802"/>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color w:val="0000ff"/>
          <w:sz w:val="24"/>
          <w:szCs w:val="24"/>
        </w:rPr>
        <w:t xml:space="preserve">无</w:t>
      </w:r>
      <w:r/>
    </w:p>
    <w:p>
      <w:pPr>
        <w:pStyle w:val="802"/>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color w:val="0000ff"/>
          <w:sz w:val="24"/>
          <w:szCs w:val="24"/>
        </w:rPr>
        <w:t xml:space="preserve">无</w:t>
      </w:r>
      <w:r/>
    </w:p>
    <w:p>
      <w:pPr>
        <w:pStyle w:val="802"/>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color w:val="0000ff"/>
          <w:sz w:val="24"/>
          <w:szCs w:val="24"/>
        </w:rPr>
        <w:t xml:space="preserve">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0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02"/>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spacing w:before="145" w:after="145"/>
        <w:rPr>
          <w:rFonts w:ascii="宋体" w:hAnsi="宋体" w:cs="Courier New"/>
          <w:bCs/>
          <w:sz w:val="24"/>
          <w:szCs w:val="24"/>
        </w:rPr>
      </w:pPr>
      <w:r>
        <w:rPr>
          <w:rFonts w:hint="eastAsia" w:ascii="宋体" w:hAnsi="宋体" w:cs="Courier New"/>
          <w:bCs/>
          <w:sz w:val="24"/>
          <w:szCs w:val="24"/>
        </w:rPr>
        <w:t xml:space="preserve">合同签订，甲方自收到发票之日起10个工作日内，支付合同金额30%的预付款；</w:t>
      </w:r>
      <w:r>
        <w:rPr>
          <w:rFonts w:hint="eastAsia" w:ascii="宋体" w:hAnsi="宋体" w:cs="Courier New"/>
          <w:bCs/>
          <w:sz w:val="24"/>
          <w:szCs w:val="24"/>
        </w:rPr>
        <w:t xml:space="preserve">维护服务</w:t>
      </w:r>
      <w:r>
        <w:rPr>
          <w:rFonts w:hint="eastAsia" w:ascii="宋体" w:hAnsi="宋体" w:cs="Courier New"/>
          <w:bCs/>
          <w:sz w:val="24"/>
          <w:szCs w:val="24"/>
        </w:rPr>
        <w:t xml:space="preserve">满6个月，甲方自收到发票之日起10个工作日内，付至50％；项目完成并验收合格后,甲方收到发票之日起10个工作日内支付余款。</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0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02"/>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802"/>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2"/>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802"/>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802"/>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802"/>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的违法违规情形的,甲方将及时报告本级财政部门。</w:t>
      </w:r>
      <w:r/>
    </w:p>
    <w:p>
      <w:pPr>
        <w:pStyle w:val="80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0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0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0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0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0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02"/>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0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0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0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0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02"/>
        <w:ind w:left="480" w:hanging="480"/>
        <w:spacing w:before="120" w:after="120" w:line="0" w:lineRule="atLeast"/>
        <w:rPr>
          <w:rFonts w:hAnsi="宋体"/>
          <w:sz w:val="24"/>
          <w:szCs w:val="24"/>
        </w:rPr>
      </w:pPr>
      <w:r>
        <w:rPr>
          <w:rFonts w:hAnsi="宋体"/>
          <w:sz w:val="24"/>
          <w:szCs w:val="24"/>
        </w:rPr>
        <w:t xml:space="preserve">  甲方：                        乙方： </w:t>
      </w:r>
      <w:r/>
    </w:p>
    <w:p>
      <w:pPr>
        <w:pStyle w:val="80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0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02"/>
        <w:ind w:firstLine="240"/>
        <w:spacing w:before="120" w:after="120" w:line="0" w:lineRule="atLeast"/>
      </w:pPr>
      <w:r>
        <w:rPr>
          <w:rFonts w:hint="eastAsia" w:hAnsi="宋体"/>
          <w:sz w:val="24"/>
          <w:szCs w:val="24"/>
        </w:rPr>
        <w:t xml:space="preserve">联系电话：                    联系电话：          </w:t>
      </w:r>
      <w:r/>
    </w:p>
    <w:p>
      <w:pPr>
        <w:pStyle w:val="80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61" w:name="_Hlt16619369"/>
      <w:r/>
      <w:bookmarkStart w:id="62" w:name="_Hlt16619350"/>
      <w:r/>
      <w:bookmarkStart w:id="63" w:name="_Toc16938590"/>
      <w:r/>
      <w:bookmarkStart w:id="64" w:name="_Toc120614244"/>
      <w:r/>
      <w:bookmarkStart w:id="65" w:name="_Toc20823346"/>
      <w:r/>
      <w:bookmarkStart w:id="66" w:name="_Toc479757211"/>
      <w:r/>
      <w:bookmarkStart w:id="67" w:name="_Toc462564139"/>
      <w:r/>
      <w:bookmarkEnd w:id="58"/>
      <w:r/>
      <w:bookmarkEnd w:id="59"/>
      <w:r/>
      <w:bookmarkEnd w:id="60"/>
      <w:r/>
      <w:bookmarkEnd w:id="61"/>
      <w:r/>
      <w:r/>
    </w:p>
    <w:p>
      <w:pPr>
        <w:pStyle w:val="751"/>
        <w:rPr>
          <w:rFonts w:hAnsi="宋体"/>
          <w:sz w:val="24"/>
          <w:szCs w:val="24"/>
        </w:rPr>
      </w:pPr>
      <w:r>
        <w:br w:type="page" w:clear="all"/>
      </w:r>
      <w:bookmarkStart w:id="68" w:name="_Toc14893"/>
      <w:r/>
      <w:bookmarkStart w:id="69" w:name="_Toc6785"/>
      <w:r>
        <w:rPr>
          <w:rStyle w:val="993"/>
          <w:rFonts w:hint="eastAsia"/>
          <w:b/>
          <w:bCs/>
        </w:rPr>
        <w:t xml:space="preserve">第</w:t>
      </w:r>
      <w:bookmarkEnd w:id="62"/>
      <w:r>
        <w:rPr>
          <w:rStyle w:val="993"/>
          <w:rFonts w:hint="eastAsia"/>
          <w:b/>
          <w:bCs/>
        </w:rPr>
        <w:t xml:space="preserve">四章</w:t>
      </w:r>
      <w:r>
        <w:rPr>
          <w:rStyle w:val="993"/>
          <w:rFonts w:hint="eastAsia"/>
          <w:b/>
          <w:bCs/>
        </w:rPr>
        <w:t xml:space="preserve"> </w:t>
      </w:r>
      <w:r>
        <w:rPr>
          <w:rStyle w:val="993"/>
          <w:rFonts w:hint="eastAsia"/>
          <w:b/>
          <w:bCs/>
        </w:rPr>
        <w:t xml:space="preserve">采购需求</w:t>
      </w:r>
      <w:bookmarkEnd w:id="63"/>
      <w:r/>
      <w:bookmarkEnd w:id="64"/>
      <w:r/>
      <w:bookmarkEnd w:id="65"/>
      <w:r/>
      <w:bookmarkEnd w:id="68"/>
      <w:r/>
      <w:bookmarkEnd w:id="69"/>
      <w:r/>
      <w:r/>
    </w:p>
    <w:p>
      <w:pPr>
        <w:spacing w:line="0" w:lineRule="atLeast"/>
        <w:rPr>
          <w:rFonts w:ascii="宋体" w:hAnsi="宋体"/>
          <w:color w:val="000000"/>
          <w:sz w:val="24"/>
          <w:szCs w:val="24"/>
        </w:rPr>
      </w:pPr>
      <w:r/>
      <w:bookmarkStart w:id="70" w:name="_Toc49090575"/>
      <w:r/>
      <w:bookmarkStart w:id="71" w:name="_Toc26554093"/>
      <w:r/>
      <w:r/>
    </w:p>
    <w:p>
      <w:pPr>
        <w:spacing w:line="0" w:lineRule="atLeast"/>
        <w:rPr>
          <w:rFonts w:ascii="宋体" w:hAnsi="宋体"/>
          <w:color w:val="000000"/>
          <w:sz w:val="24"/>
          <w:szCs w:val="24"/>
          <w:highlight w:val="yellow"/>
        </w:rPr>
      </w:pPr>
      <w:r>
        <w:rPr>
          <w:rFonts w:hint="eastAsia" w:ascii="宋体" w:hAnsi="宋体"/>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tbl>
      <w:tblPr>
        <w:tblStyle w:val="826"/>
        <w:tblW w:w="0" w:type="auto"/>
        <w:tblLook w:val="04A0" w:firstRow="1" w:lastRow="0" w:firstColumn="1" w:lastColumn="0" w:noHBand="0" w:noVBand="1"/>
      </w:tblPr>
      <w:tblGrid>
        <w:gridCol w:w="4261"/>
        <w:gridCol w:w="4261"/>
      </w:tblGrid>
      <w:t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spacing w:line="360" w:lineRule="auto"/>
              <w:rPr>
                <w:bCs/>
                <w:iCs/>
                <w:sz w:val="24"/>
                <w:szCs w:val="24"/>
              </w:rPr>
            </w:pPr>
            <w:r>
              <w:rPr>
                <w:rFonts w:hint="eastAsia"/>
                <w:bCs/>
                <w:iCs/>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spacing w:line="360" w:lineRule="auto"/>
              <w:rPr>
                <w:bCs/>
                <w:iCs/>
                <w:sz w:val="24"/>
                <w:szCs w:val="24"/>
              </w:rPr>
            </w:pPr>
            <w:r>
              <w:rPr>
                <w:rFonts w:hint="eastAsia"/>
                <w:bCs/>
                <w:iCs/>
                <w:sz w:val="24"/>
                <w:szCs w:val="24"/>
              </w:rPr>
              <w:t xml:space="preserve">对应中小企业划分标准所属行业</w:t>
            </w:r>
            <w:r/>
          </w:p>
        </w:tc>
      </w:tr>
      <w:t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spacing w:line="360" w:lineRule="auto"/>
              <w:rPr>
                <w:bCs/>
                <w:iCs/>
                <w:sz w:val="24"/>
                <w:szCs w:val="24"/>
              </w:rPr>
            </w:pPr>
            <w:r>
              <w:rPr>
                <w:rFonts w:hint="eastAsia"/>
                <w:bCs/>
                <w:iCs/>
                <w:sz w:val="24"/>
                <w:szCs w:val="24"/>
              </w:rPr>
              <w:t xml:space="preserve">扬州市公路事业发展中心</w:t>
            </w:r>
            <w:r>
              <w:rPr>
                <w:rFonts w:hint="eastAsia"/>
                <w:bCs/>
                <w:iCs/>
                <w:sz w:val="24"/>
                <w:szCs w:val="24"/>
              </w:rPr>
              <w:t xml:space="preserve">2024</w:t>
            </w:r>
            <w:r>
              <w:rPr>
                <w:rFonts w:hint="eastAsia"/>
                <w:bCs/>
                <w:iCs/>
                <w:sz w:val="24"/>
                <w:szCs w:val="24"/>
              </w:rPr>
              <w:t xml:space="preserve">年</w:t>
            </w:r>
            <w:r>
              <w:rPr>
                <w:rFonts w:hint="eastAsia"/>
                <w:bCs/>
                <w:iCs/>
                <w:sz w:val="24"/>
                <w:szCs w:val="24"/>
              </w:rPr>
              <w:t xml:space="preserve">-2025</w:t>
            </w:r>
            <w:r>
              <w:rPr>
                <w:rFonts w:hint="eastAsia"/>
                <w:bCs/>
                <w:iCs/>
                <w:sz w:val="24"/>
                <w:szCs w:val="24"/>
              </w:rPr>
              <w:t xml:space="preserve">年信息化与路网指挥中心维护服务项目</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spacing w:line="360" w:lineRule="auto"/>
              <w:rPr>
                <w:bCs/>
                <w:iCs/>
                <w:sz w:val="24"/>
                <w:szCs w:val="24"/>
              </w:rPr>
            </w:pPr>
            <w:r>
              <w:rPr>
                <w:rFonts w:hint="eastAsia"/>
                <w:bCs/>
                <w:iCs/>
                <w:sz w:val="24"/>
                <w:szCs w:val="24"/>
              </w:rPr>
              <w:t xml:space="preserve">软件和信息技术服务业</w:t>
            </w:r>
            <w:r/>
          </w:p>
        </w:tc>
      </w:tr>
    </w:tbl>
    <w:p>
      <w:pPr>
        <w:spacing w:line="0" w:lineRule="atLeast"/>
        <w:rPr>
          <w:rFonts w:ascii="宋体" w:hAnsi="宋体"/>
          <w:bCs/>
          <w:sz w:val="24"/>
          <w:szCs w:val="24"/>
        </w:rPr>
      </w:pPr>
      <w:r>
        <w:rPr>
          <w:rFonts w:ascii="宋体" w:hAnsi="宋体"/>
          <w:bCs/>
          <w:sz w:val="24"/>
          <w:szCs w:val="24"/>
        </w:rPr>
      </w:r>
      <w:r/>
    </w:p>
    <w:p>
      <w:pPr>
        <w:pStyle w:val="1050"/>
        <w:numPr>
          <w:ilvl w:val="0"/>
          <w:numId w:val="27"/>
        </w:numPr>
        <w:spacing w:line="360" w:lineRule="auto"/>
        <w:rPr>
          <w:rFonts w:ascii="宋体" w:hAnsi="宋体" w:cs="宋体"/>
          <w:b/>
          <w:bCs/>
          <w:sz w:val="24"/>
          <w:szCs w:val="24"/>
        </w:rPr>
      </w:pPr>
      <w:r>
        <w:rPr>
          <w:rFonts w:hint="eastAsia" w:ascii="宋体" w:hAnsi="宋体" w:cs="宋体"/>
          <w:b/>
          <w:bCs/>
          <w:sz w:val="24"/>
          <w:szCs w:val="24"/>
        </w:rPr>
        <w:t xml:space="preserve">建设背景</w:t>
      </w:r>
      <w:r/>
    </w:p>
    <w:p>
      <w:pPr>
        <w:ind w:firstLine="480"/>
        <w:spacing w:line="360" w:lineRule="auto"/>
        <w:rPr>
          <w:bCs/>
          <w:iCs/>
          <w:sz w:val="24"/>
          <w:szCs w:val="24"/>
        </w:rPr>
      </w:pPr>
      <w:r>
        <w:rPr>
          <w:rFonts w:hint="eastAsia" w:ascii="宋体" w:hAnsi="宋体" w:cs="宋体"/>
          <w:sz w:val="24"/>
          <w:szCs w:val="24"/>
        </w:rPr>
        <w:t xml:space="preserve">原有的信息化维护服务将于2024年9月22日到期。原有路网指挥中心维护服务到期时间如下：市公路中心，仪征分中心、宝应分中心将于2025年7月22日到期。广陵分中心将于2024年9月30日到期，邗江分中心、江都分中心、高邮分中心将于2024年12月31日到期。为进一步整合扬州市公路事业发展中心信息化维护服务与路网指挥中心维护服务，更好地开展维护工作，现拟将两部分维护服务统一采购。</w:t>
      </w:r>
      <w:r/>
    </w:p>
    <w:p>
      <w:pPr>
        <w:pStyle w:val="1050"/>
      </w:pPr>
      <w:r/>
      <w:r/>
    </w:p>
    <w:p>
      <w:pPr>
        <w:pStyle w:val="1050"/>
        <w:numPr>
          <w:ilvl w:val="0"/>
          <w:numId w:val="27"/>
        </w:numPr>
        <w:spacing w:line="360" w:lineRule="auto"/>
        <w:rPr>
          <w:rFonts w:ascii="宋体" w:hAnsi="宋体" w:cs="宋体"/>
          <w:b/>
          <w:bCs/>
          <w:sz w:val="24"/>
          <w:szCs w:val="24"/>
        </w:rPr>
      </w:pPr>
      <w:r>
        <w:rPr>
          <w:rFonts w:hint="eastAsia" w:ascii="宋体" w:hAnsi="宋体" w:cs="宋体"/>
          <w:b/>
          <w:bCs/>
          <w:sz w:val="24"/>
          <w:szCs w:val="24"/>
        </w:rPr>
        <w:t xml:space="preserve">需求分析</w:t>
      </w:r>
      <w:r/>
    </w:p>
    <w:p>
      <w:pPr>
        <w:ind w:firstLine="482"/>
        <w:jc w:val="left"/>
        <w:spacing w:line="360" w:lineRule="auto"/>
        <w:widowControl/>
        <w:rPr>
          <w:rFonts w:ascii="宋体" w:hAnsi="宋体" w:cs="宋体"/>
          <w:b/>
          <w:iCs/>
          <w:sz w:val="24"/>
          <w:szCs w:val="24"/>
        </w:rPr>
      </w:pPr>
      <w:r>
        <w:rPr>
          <w:rFonts w:hint="eastAsia" w:ascii="宋体" w:hAnsi="宋体" w:cs="宋体"/>
          <w:b/>
          <w:iCs/>
          <w:sz w:val="24"/>
          <w:szCs w:val="24"/>
        </w:rPr>
        <w:t xml:space="preserve">（一）</w:t>
      </w:r>
      <w:r>
        <w:rPr>
          <w:rFonts w:hint="eastAsia" w:ascii="宋体" w:hAnsi="宋体" w:cs="宋体"/>
          <w:b/>
          <w:bCs/>
          <w:sz w:val="24"/>
          <w:szCs w:val="24"/>
        </w:rPr>
        <w:t xml:space="preserve">市公路中心24小时保障服务</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1、按照国家法定工作日要求全</w:t>
      </w:r>
      <w:r>
        <w:rPr>
          <w:rFonts w:hint="eastAsia" w:ascii="宋体" w:hAnsi="宋体" w:cs="宋体"/>
          <w:sz w:val="24"/>
          <w:szCs w:val="24"/>
        </w:rPr>
        <w:t xml:space="preserve">职提供</w:t>
      </w:r>
      <w:r>
        <w:rPr>
          <w:rFonts w:hint="eastAsia" w:ascii="宋体" w:hAnsi="宋体" w:cs="宋体"/>
          <w:sz w:val="24"/>
          <w:szCs w:val="24"/>
        </w:rPr>
        <w:t xml:space="preserve">服务（7*24小时响应）</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2、负责巡逻南四</w:t>
      </w:r>
      <w:r>
        <w:rPr>
          <w:rFonts w:hint="eastAsia" w:ascii="宋体" w:hAnsi="宋体" w:cs="宋体"/>
          <w:sz w:val="24"/>
          <w:szCs w:val="24"/>
        </w:rPr>
        <w:t xml:space="preserve">楼数据</w:t>
      </w:r>
      <w:r>
        <w:rPr>
          <w:rFonts w:hint="eastAsia" w:ascii="宋体" w:hAnsi="宋体" w:cs="宋体"/>
          <w:sz w:val="24"/>
          <w:szCs w:val="24"/>
        </w:rPr>
        <w:t xml:space="preserve">信息中心、西二楼和北四楼机房（空调设备、消防设</w:t>
      </w:r>
      <w:r>
        <w:rPr>
          <w:rFonts w:hint="eastAsia" w:ascii="宋体" w:hAnsi="宋体" w:cs="宋体"/>
          <w:sz w:val="24"/>
          <w:szCs w:val="24"/>
        </w:rPr>
        <w:t xml:space="preserve">备、服务器设备、网络设备）运行状况，发现情况立马上报。</w:t>
      </w:r>
      <w:r/>
    </w:p>
    <w:p>
      <w:pPr>
        <w:pStyle w:val="1051"/>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服务器设备清单：</w:t>
      </w:r>
      <w:r/>
    </w:p>
    <w:tbl>
      <w:tblPr>
        <w:tblW w:w="6360" w:type="dxa"/>
        <w:tblLook w:val="04A0" w:firstRow="1" w:lastRow="0" w:firstColumn="1" w:lastColumn="0" w:noHBand="0" w:noVBand="1"/>
      </w:tblPr>
      <w:tblGrid>
        <w:gridCol w:w="780"/>
        <w:gridCol w:w="1360"/>
        <w:gridCol w:w="1360"/>
        <w:gridCol w:w="2080"/>
        <w:gridCol w:w="780"/>
      </w:tblGrid>
      <w:tr>
        <w:trPr>
          <w:trHeight w:val="360"/>
        </w:trPr>
        <w:tc>
          <w:tcPr>
            <w:shd w:val="clear" w:color="000000" w:fill="d9d9d9"/>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w:t>
            </w:r>
            <w:r/>
          </w:p>
        </w:tc>
        <w:tc>
          <w:tcPr>
            <w:shd w:val="clear" w:color="000000" w:fill="d9d9d9"/>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设备类型</w:t>
            </w:r>
            <w:r/>
          </w:p>
        </w:tc>
        <w:tc>
          <w:tcPr>
            <w:shd w:val="clear" w:color="000000" w:fill="d9d9d9"/>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品牌型号</w:t>
            </w:r>
            <w:r/>
          </w:p>
        </w:tc>
        <w:tc>
          <w:tcPr>
            <w:shd w:val="clear" w:color="000000" w:fill="d9d9d9"/>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设备名称</w:t>
            </w:r>
            <w:r/>
          </w:p>
        </w:tc>
        <w:tc>
          <w:tcPr>
            <w:shd w:val="clear" w:color="000000" w:fill="d9d9d9"/>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数量</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财务服务器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HP</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财务服务器1</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视频服务器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清华同方</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清华同方视频分析平台</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视频服务器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大华</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流媒体设备</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视频服务器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大华</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w:t>
            </w:r>
            <w:r>
              <w:rPr>
                <w:rFonts w:hint="eastAsia" w:cs="宋体" w:asciiTheme="minorEastAsia" w:hAnsiTheme="minorEastAsia" w:eastAsiaTheme="minorEastAsia"/>
                <w:sz w:val="24"/>
                <w:szCs w:val="24"/>
              </w:rPr>
              <w:t xml:space="preserve">华设备</w:t>
            </w:r>
            <w:r>
              <w:rPr>
                <w:rFonts w:hint="eastAsia" w:cs="宋体" w:asciiTheme="minorEastAsia" w:hAnsiTheme="minorEastAsia" w:eastAsiaTheme="minorEastAsia"/>
                <w:sz w:val="24"/>
                <w:szCs w:val="24"/>
              </w:rPr>
              <w:t xml:space="preserve">网关</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物理服务器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H3C</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江苏公路GPS地图</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物理服务器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长天智远</w:t>
            </w:r>
            <w:r/>
          </w:p>
        </w:tc>
        <w:tc>
          <w:tcPr>
            <w:shd w:val="clear" w:color="auto" w:fill="auto"/>
            <w:tcBorders>
              <w:top w:val="none" w:color="000000" w:sz="4" w:space="0"/>
              <w:left w:val="none" w:color="000000" w:sz="4" w:space="0"/>
              <w:bottom w:val="none" w:color="000000"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农</w:t>
            </w:r>
            <w:r>
              <w:rPr>
                <w:rFonts w:hint="eastAsia" w:cs="宋体" w:asciiTheme="minorEastAsia" w:hAnsiTheme="minorEastAsia" w:eastAsiaTheme="minorEastAsia"/>
                <w:sz w:val="24"/>
                <w:szCs w:val="24"/>
              </w:rPr>
              <w:t xml:space="preserve">路系统</w:t>
            </w:r>
            <w:r>
              <w:rPr>
                <w:rFonts w:hint="eastAsia" w:cs="宋体" w:asciiTheme="minorEastAsia" w:hAnsiTheme="minorEastAsia" w:eastAsiaTheme="minorEastAsia"/>
                <w:sz w:val="24"/>
                <w:szCs w:val="24"/>
              </w:rPr>
              <w:t xml:space="preserve">平台</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存储服务器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H3C</w:t>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华三存储</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存储服务器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中科曙光</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曙光存储1</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运维服务器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深信服</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桌面云</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运</w:t>
            </w:r>
            <w:r>
              <w:rPr>
                <w:rFonts w:hint="eastAsia" w:cs="宋体" w:asciiTheme="minorEastAsia" w:hAnsiTheme="minorEastAsia" w:eastAsiaTheme="minorEastAsia"/>
                <w:sz w:val="24"/>
                <w:szCs w:val="24"/>
              </w:rPr>
              <w:t xml:space="preserve">维设备</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长天智远</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路网可变情报板系统</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运维服务器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长天智远</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扬州感知公路视频服务器</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运维服务器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长亭科技</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移动OA办公、探针平台、漏扫</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无线AP主机</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扬州厂商</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公路处无线AP覆盖</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运维服务器</w:t>
            </w:r>
            <w:r/>
          </w:p>
        </w:tc>
        <w:tc>
          <w:tcPr>
            <w:shd w:val="clear" w:color="auto" w:fill="auto"/>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长天智远</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公路自动巡查</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bl>
    <w:p>
      <w:pPr>
        <w:pStyle w:val="1051"/>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网络设备清单：</w:t>
      </w:r>
      <w:r/>
    </w:p>
    <w:tbl>
      <w:tblPr>
        <w:tblW w:w="7540" w:type="dxa"/>
        <w:tblLook w:val="04A0" w:firstRow="1" w:lastRow="0" w:firstColumn="1" w:lastColumn="0" w:noHBand="0" w:noVBand="1"/>
      </w:tblPr>
      <w:tblGrid>
        <w:gridCol w:w="780"/>
        <w:gridCol w:w="860"/>
        <w:gridCol w:w="3220"/>
        <w:gridCol w:w="1720"/>
        <w:gridCol w:w="960"/>
      </w:tblGrid>
      <w:tr>
        <w:trPr>
          <w:trHeight w:val="700"/>
        </w:trPr>
        <w:tc>
          <w:tcPr>
            <w:shd w:val="clear" w:color="000000" w:fill="d9d9d9"/>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w:t>
            </w:r>
            <w:r/>
          </w:p>
        </w:tc>
        <w:tc>
          <w:tcPr>
            <w:shd w:val="clear" w:color="000000" w:fill="d9d9d9"/>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设备类型</w:t>
            </w:r>
            <w:r/>
          </w:p>
        </w:tc>
        <w:tc>
          <w:tcPr>
            <w:shd w:val="clear" w:color="000000" w:fill="d9d9d9"/>
            <w:tcBorders>
              <w:top w:val="single" w:color="auto" w:sz="4" w:space="0"/>
              <w:left w:val="none" w:color="000000" w:sz="4" w:space="0"/>
              <w:bottom w:val="single" w:color="auto" w:sz="4" w:space="0"/>
              <w:right w:val="single" w:color="auto" w:sz="4" w:space="0"/>
            </w:tcBorders>
            <w:tcW w:w="322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品牌型号</w:t>
            </w:r>
            <w:r/>
          </w:p>
        </w:tc>
        <w:tc>
          <w:tcPr>
            <w:shd w:val="clear" w:color="000000" w:fill="d9d9d9"/>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设备名称</w:t>
            </w:r>
            <w:r/>
          </w:p>
        </w:tc>
        <w:tc>
          <w:tcPr>
            <w:shd w:val="clear" w:color="000000" w:fill="d9d9d9"/>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数量</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22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华为 S5720-36C-EI</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内网36C交换机</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22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华为 AR3200-S</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核心路由器</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22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华为 S5720-32X-EI-24S-AC</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光纤交换机</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22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华为S5720-32P-EI-AC</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内网交换机1</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322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S5720S-28P-SI-AC</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外网交换机1</w:t>
            </w:r>
            <w:r/>
          </w:p>
        </w:tc>
        <w:tc>
          <w:tcPr>
            <w:shd w:val="clear" w:color="auto" w:fill="auto"/>
            <w:tcBorders>
              <w:top w:val="none" w:color="000000" w:sz="4" w:space="0"/>
              <w:left w:val="none" w:color="000000" w:sz="4" w:space="0"/>
              <w:bottom w:val="single" w:color="auto" w:sz="4" w:space="0"/>
              <w:right w:val="single" w:color="auto" w:sz="4" w:space="0"/>
            </w:tcBorders>
            <w:tcW w:w="960" w:type="dxa"/>
            <w:vAlign w:val="center"/>
            <w:textDirection w:val="lrTb"/>
            <w:noWrap/>
          </w:tcPr>
          <w:p>
            <w:pPr>
              <w:jc w:val="righ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r>
    </w:tbl>
    <w:p>
      <w:pPr>
        <w:pStyle w:val="1051"/>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网络安全设备清单：</w:t>
      </w:r>
      <w:r/>
    </w:p>
    <w:tbl>
      <w:tblPr>
        <w:tblW w:w="8880" w:type="dxa"/>
        <w:tblLook w:val="04A0" w:firstRow="1" w:lastRow="0" w:firstColumn="1" w:lastColumn="0" w:noHBand="0" w:noVBand="1"/>
      </w:tblPr>
      <w:tblGrid>
        <w:gridCol w:w="780"/>
        <w:gridCol w:w="1560"/>
        <w:gridCol w:w="3480"/>
        <w:gridCol w:w="3060"/>
      </w:tblGrid>
      <w:tr>
        <w:trPr>
          <w:trHeight w:val="350"/>
        </w:trPr>
        <w:tc>
          <w:tcPr>
            <w:shd w:val="clear" w:color="000000" w:fill="d9d9d9"/>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w:t>
            </w:r>
            <w:r/>
          </w:p>
        </w:tc>
        <w:tc>
          <w:tcPr>
            <w:shd w:val="clear" w:color="000000" w:fill="d9d9d9"/>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设备类型</w:t>
            </w:r>
            <w:r/>
          </w:p>
        </w:tc>
        <w:tc>
          <w:tcPr>
            <w:shd w:val="clear" w:color="000000" w:fill="d9d9d9"/>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品牌型号</w:t>
            </w:r>
            <w:r/>
          </w:p>
        </w:tc>
        <w:tc>
          <w:tcPr>
            <w:shd w:val="clear" w:color="000000" w:fill="d9d9d9"/>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设备名称</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天融信</w:t>
            </w:r>
            <w:r>
              <w:rPr>
                <w:rFonts w:hint="eastAsia" w:cs="宋体" w:asciiTheme="minorEastAsia" w:hAnsiTheme="minorEastAsia" w:eastAsiaTheme="minorEastAsia"/>
                <w:color w:val="000000"/>
                <w:sz w:val="24"/>
                <w:szCs w:val="24"/>
              </w:rPr>
              <w:t xml:space="preserve"> NGFW4000(TG-B2106)</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天融信内</w:t>
            </w:r>
            <w:r>
              <w:rPr>
                <w:rFonts w:hint="eastAsia" w:cs="宋体" w:asciiTheme="minorEastAsia" w:hAnsiTheme="minorEastAsia" w:eastAsiaTheme="minorEastAsia"/>
                <w:color w:val="000000"/>
                <w:sz w:val="24"/>
                <w:szCs w:val="24"/>
              </w:rPr>
              <w:t xml:space="preserve">网防火墙</w:t>
            </w:r>
            <w:r>
              <w:rPr>
                <w:rFonts w:hint="eastAsia" w:cs="宋体" w:asciiTheme="minorEastAsia" w:hAnsiTheme="minorEastAsia" w:eastAsiaTheme="minorEastAsia"/>
                <w:color w:val="000000"/>
                <w:sz w:val="24"/>
                <w:szCs w:val="24"/>
              </w:rPr>
              <w:t xml:space="preserve">横向网</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H3C SecPath F1000-AK141</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H3C内网防火墙</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堡垒机</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H3C SecPath A2000-AK620</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堡垒机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日志审计</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H3C CSAP-SA-AK640</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日志审计服务器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流量分析</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长亭 基础版本</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长亭高级威胁分析预警系统</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网闸</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天融信</w:t>
            </w:r>
            <w:r>
              <w:rPr>
                <w:rFonts w:hint="eastAsia" w:cs="宋体" w:asciiTheme="minorEastAsia" w:hAnsiTheme="minorEastAsia" w:eastAsiaTheme="minorEastAsia"/>
                <w:color w:val="000000"/>
                <w:sz w:val="24"/>
                <w:szCs w:val="24"/>
              </w:rPr>
              <w:t xml:space="preserve"> TopRules7000</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网闸</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WAF</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天融信</w:t>
            </w:r>
            <w:r>
              <w:rPr>
                <w:rFonts w:hint="eastAsia" w:cs="宋体" w:asciiTheme="minorEastAsia" w:hAnsiTheme="minorEastAsia" w:eastAsiaTheme="minorEastAsia"/>
                <w:color w:val="000000"/>
                <w:sz w:val="24"/>
                <w:szCs w:val="24"/>
              </w:rPr>
              <w:t xml:space="preserve"> TopWAF(TWF-62138)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WEB应用防护系统</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穿越服务器</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旭顶</w:t>
            </w:r>
            <w:r>
              <w:rPr>
                <w:rFonts w:hint="eastAsia" w:cs="宋体" w:asciiTheme="minorEastAsia" w:hAnsiTheme="minorEastAsia" w:eastAsiaTheme="minorEastAsia"/>
                <w:color w:val="000000"/>
                <w:sz w:val="24"/>
                <w:szCs w:val="24"/>
              </w:rPr>
              <w:t xml:space="preserve"> SGK-1000</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穿越服务器</w:t>
            </w:r>
            <w:r/>
          </w:p>
        </w:tc>
      </w:tr>
      <w:tr>
        <w:trPr>
          <w:trHeight w:val="280"/>
        </w:trPr>
        <w:tc>
          <w:tcPr>
            <w:gridSpan w:val="4"/>
            <w:shd w:val="clear" w:color="000000" w:fill="ebf1de"/>
            <w:tcBorders>
              <w:top w:val="single" w:color="auto" w:sz="4" w:space="0"/>
              <w:left w:val="single" w:color="auto" w:sz="4" w:space="0"/>
              <w:bottom w:val="single" w:color="auto" w:sz="4" w:space="0"/>
              <w:right w:val="none" w:color="000000" w:sz="4" w:space="0"/>
            </w:tcBorders>
            <w:tcW w:w="88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外网安全设备</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防火墙</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天融信</w:t>
            </w:r>
            <w:r>
              <w:rPr>
                <w:rFonts w:hint="eastAsia" w:cs="宋体" w:asciiTheme="minorEastAsia" w:hAnsiTheme="minorEastAsia" w:eastAsiaTheme="minorEastAsia"/>
                <w:color w:val="000000"/>
                <w:sz w:val="24"/>
                <w:szCs w:val="24"/>
              </w:rPr>
              <w:t xml:space="preserve"> NGFW4000-UF TG-8862</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外网防火墙</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IPS</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天融信</w:t>
            </w:r>
            <w:r>
              <w:rPr>
                <w:rFonts w:hint="eastAsia" w:cs="宋体" w:asciiTheme="minorEastAsia" w:hAnsiTheme="minorEastAsia" w:eastAsiaTheme="minorEastAsia"/>
                <w:color w:val="000000"/>
                <w:sz w:val="24"/>
                <w:szCs w:val="24"/>
              </w:rPr>
              <w:t xml:space="preserve"> TI-626A</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入侵防御系统</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上网行为管理</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安恒</w:t>
            </w:r>
            <w:r>
              <w:rPr>
                <w:rFonts w:hint="eastAsia" w:cs="宋体" w:asciiTheme="minorEastAsia" w:hAnsiTheme="minorEastAsia" w:eastAsiaTheme="minorEastAsia"/>
                <w:color w:val="000000"/>
                <w:sz w:val="24"/>
                <w:szCs w:val="24"/>
              </w:rPr>
              <w:t xml:space="preserve"> NI3200-30</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上网行为管理</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远程桌面</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深信服</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VDI内网客户端</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日志采集探针</w:t>
            </w:r>
            <w:r/>
          </w:p>
        </w:tc>
        <w:tc>
          <w:tcPr>
            <w:shd w:val="clear" w:color="auto" w:fill="auto"/>
            <w:tcBorders>
              <w:top w:val="none" w:color="000000" w:sz="4" w:space="0"/>
              <w:left w:val="none" w:color="000000" w:sz="4" w:space="0"/>
              <w:bottom w:val="single" w:color="auto" w:sz="4" w:space="0"/>
              <w:right w:val="single" w:color="auto" w:sz="4" w:space="0"/>
            </w:tcBorders>
            <w:tcW w:w="348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长亭科技</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bl>
    <w:p>
      <w:pPr>
        <w:pStyle w:val="1051"/>
        <w:ind w:firstLine="480"/>
        <w:spacing w:line="360" w:lineRule="auto"/>
        <w:rPr>
          <w:rFonts w:ascii="宋体" w:hAnsi="宋体" w:cs="宋体"/>
          <w:sz w:val="24"/>
          <w:szCs w:val="24"/>
        </w:rPr>
      </w:pPr>
      <w:r>
        <w:rPr>
          <w:rFonts w:ascii="宋体" w:hAnsi="宋体" w:cs="宋体"/>
          <w:sz w:val="24"/>
          <w:szCs w:val="24"/>
        </w:rPr>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3、负责扬州市公路事业发展中心外网、内网网络、电话通讯稳定运行。</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4、负责扬州市公路事业发展中心计算机、打印机等办公设备的一般故障维修。</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5、负责扬州公路数据中心各系统设备日常维护（包括交换机、路由器、防火墙、UPS、配电设备、配线架、网线、接插件等设备和设施），及时排除各类故障，确保数据中心正常、稳定，安全运行。</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6、负责扬州市公路事业发展中心数据中心网络、服务器、数据库更新、系统漏洞和安全防护工作、每周定时升级病毒库，确保网络畅通、稳定、数据安全。</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7、负责扬州市公路事业发展中心内网门户网站维护，OA办公系统的正常运行。</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8、负责投影、视频会议室的日常会议召开。</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9、负责管理扬州市公路事业发展中心计算机、服务器网络设备的账号、密码、IP地址等统计整理工作，发现问题能及时准确处置，加强网络安全保护工作。</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10、负责扬州市公路事业发展中心大院及楼道环境监控系统，及时关注和调用网络资源。</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11、及时完成科室领导和单位领导交办的其他工作。</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12、服务期：自合同签订之日起15个月</w:t>
      </w:r>
      <w:r/>
    </w:p>
    <w:p>
      <w:pPr>
        <w:pStyle w:val="1051"/>
        <w:ind w:firstLine="480"/>
        <w:spacing w:line="360" w:lineRule="auto"/>
        <w:rPr>
          <w:rFonts w:ascii="宋体" w:hAnsi="宋体" w:cs="宋体"/>
          <w:sz w:val="24"/>
          <w:szCs w:val="24"/>
        </w:rPr>
      </w:pPr>
      <w:r>
        <w:rPr>
          <w:rFonts w:ascii="宋体" w:hAnsi="宋体" w:cs="宋体"/>
          <w:sz w:val="24"/>
          <w:szCs w:val="24"/>
        </w:rPr>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（二）云桌面及网络设备维护</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1、保证</w:t>
      </w:r>
      <w:r>
        <w:rPr>
          <w:rFonts w:hint="eastAsia" w:ascii="宋体" w:hAnsi="宋体" w:cs="宋体"/>
          <w:sz w:val="24"/>
          <w:szCs w:val="24"/>
        </w:rPr>
        <w:t xml:space="preserve">整个云</w:t>
      </w:r>
      <w:r>
        <w:rPr>
          <w:rFonts w:hint="eastAsia" w:ascii="宋体" w:hAnsi="宋体" w:cs="宋体"/>
          <w:sz w:val="24"/>
          <w:szCs w:val="24"/>
        </w:rPr>
        <w:t xml:space="preserve">桌面系统的正常运行；</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2、深信服VDI免费一年软件版本升级，打补丁，修复漏洞、BUG等）；</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3、深信服VDS-3550免费一年硬件延保（含配件与人工）；</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4、深信服VDS-3550免费一年软件版本升级，打补丁，修复漏洞、BUG等）；</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5、为用户提供7*24小时电话支持和网络支持服务，必要时提供现场服务；</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6、每半年对各服务器的CPU利用率、内存利用率、磁盘利用率、端口流量、报警信息等关键工作指标进行巡检，并提供巡检报告；</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7、故障报修响应时间在30分钟以内；上门服务时间不大于2小时；</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8、故障解决时限在24小时以内，如为硬件问题，超过24小时应提供备机备件；</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9、每年对云桌面系统进行系统安全评估，并承诺由具有专业安全服务资质的专业机构出具安全评估报告。</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10、需进行维护的云桌面及网络设备清单如下：</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11、服务期：自合同签订之日起15个月</w:t>
      </w:r>
      <w:r/>
    </w:p>
    <w:p>
      <w:pPr>
        <w:spacing w:line="360" w:lineRule="auto"/>
        <w:rPr>
          <w:rFonts w:ascii="宋体" w:hAnsi="宋体" w:cs="宋体"/>
          <w:b/>
          <w:bCs/>
          <w:sz w:val="28"/>
          <w:szCs w:val="28"/>
        </w:rPr>
      </w:pPr>
      <w:r>
        <w:rPr>
          <w:rFonts w:ascii="宋体" w:hAnsi="宋体" w:cs="宋体"/>
          <w:b/>
          <w:bCs/>
          <w:sz w:val="28"/>
          <w:szCs w:val="28"/>
        </w:rPr>
      </w:r>
      <w:r/>
    </w:p>
    <w:p>
      <w:pPr>
        <w:ind w:firstLine="3092"/>
        <w:spacing w:line="360" w:lineRule="auto"/>
        <w:rPr>
          <w:rFonts w:ascii="宋体" w:hAnsi="宋体" w:cs="宋体"/>
          <w:sz w:val="24"/>
          <w:szCs w:val="24"/>
        </w:rPr>
      </w:pPr>
      <w:r>
        <w:rPr>
          <w:rFonts w:hint="eastAsia" w:ascii="宋体" w:hAnsi="宋体" w:cs="宋体"/>
          <w:b/>
          <w:bCs/>
          <w:sz w:val="28"/>
          <w:szCs w:val="28"/>
        </w:rPr>
        <w:t xml:space="preserve">云桌面及网络设备清单</w:t>
      </w:r>
      <w:r/>
    </w:p>
    <w:tbl>
      <w:tblPr>
        <w:tblpPr w:horzAnchor="margin" w:tblpX="462" w:vertAnchor="text" w:tblpY="186" w:leftFromText="180" w:topFromText="0" w:rightFromText="180" w:bottomFromText="0"/>
        <w:tblW w:w="44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1027"/>
        <w:gridCol w:w="4884"/>
        <w:gridCol w:w="2125"/>
      </w:tblGrid>
      <w:tr>
        <w:trPr>
          <w:trHeight w:val="413"/>
          <w:tblHeader/>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3038"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产品名称</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数量</w:t>
            </w:r>
            <w:r/>
          </w:p>
        </w:tc>
      </w:tr>
      <w:tr>
        <w:trPr>
          <w:trHeight w:val="432"/>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3038"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深信服VDI软件升级（终端授权）</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320个</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深信服VDS-3550 （服务器）软件升级</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15台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云桌面系统运</w:t>
            </w:r>
            <w:r>
              <w:rPr>
                <w:rFonts w:hint="eastAsia" w:ascii="宋体" w:hAnsi="宋体" w:cs="宋体"/>
                <w:sz w:val="24"/>
                <w:szCs w:val="24"/>
              </w:rPr>
              <w:t xml:space="preserve">维保障</w:t>
            </w:r>
            <w:r>
              <w:rPr>
                <w:rFonts w:hint="eastAsia" w:ascii="宋体" w:hAnsi="宋体" w:cs="宋体"/>
                <w:sz w:val="24"/>
                <w:szCs w:val="24"/>
              </w:rPr>
              <w:t xml:space="preserve">服务</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1年</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HP服务器</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H3C服务器</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EMC虚拟机</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防火墙、</w:t>
            </w:r>
            <w:r>
              <w:rPr>
                <w:rFonts w:hint="eastAsia" w:ascii="宋体" w:hAnsi="宋体" w:cs="宋体"/>
                <w:sz w:val="24"/>
                <w:szCs w:val="24"/>
              </w:rPr>
              <w:t xml:space="preserve">网闸等</w:t>
            </w:r>
            <w:r>
              <w:rPr>
                <w:rFonts w:hint="eastAsia" w:ascii="宋体" w:hAnsi="宋体" w:cs="宋体"/>
                <w:sz w:val="24"/>
                <w:szCs w:val="24"/>
              </w:rPr>
              <w:t xml:space="preserve">网络安全设备</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H3C堡垒机、日志审计</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华为核心交换机、路由器</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曙光服务器</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6台</w:t>
            </w:r>
            <w:r/>
          </w:p>
        </w:tc>
      </w:tr>
      <w:tr>
        <w:trPr>
          <w:trHeight w:val="426"/>
        </w:trPr>
        <w:tc>
          <w:tcPr>
            <w:shd w:val="clear" w:color="auto" w:fill="ffffff"/>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038" w:type="pct"/>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视频会议设备</w:t>
            </w:r>
            <w:r/>
          </w:p>
        </w:tc>
        <w:tc>
          <w:tcPr>
            <w:shd w:val="clear" w:color="auto" w:fill="ffffff"/>
            <w:tcBorders>
              <w:top w:val="single" w:color="auto" w:sz="4" w:space="0"/>
              <w:left w:val="single" w:color="auto" w:sz="4" w:space="0"/>
              <w:bottom w:val="single" w:color="auto" w:sz="4" w:space="0"/>
              <w:right w:val="single" w:color="auto" w:sz="4" w:space="0"/>
            </w:tcBorders>
            <w:tcW w:w="1321"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1套</w:t>
            </w:r>
            <w:r/>
          </w:p>
        </w:tc>
      </w:tr>
    </w:tbl>
    <w:p>
      <w:pPr>
        <w:spacing w:line="360" w:lineRule="auto"/>
        <w:rPr>
          <w:rFonts w:ascii="仿宋" w:hAnsi="仿宋" w:eastAsia="仿宋" w:cs="仿宋"/>
          <w:b/>
          <w:bCs/>
          <w:sz w:val="24"/>
          <w:szCs w:val="24"/>
        </w:rPr>
      </w:pPr>
      <w:r>
        <w:rPr>
          <w:rFonts w:ascii="仿宋" w:hAnsi="仿宋" w:eastAsia="仿宋" w:cs="仿宋"/>
          <w:b/>
          <w:bCs/>
          <w:sz w:val="24"/>
          <w:szCs w:val="24"/>
        </w:rPr>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（三）精密空调维护（含设备风险）</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提供市</w:t>
      </w:r>
      <w:r>
        <w:rPr>
          <w:rFonts w:hint="eastAsia" w:ascii="宋体" w:hAnsi="宋体" w:cs="宋体"/>
          <w:sz w:val="24"/>
          <w:szCs w:val="24"/>
        </w:rPr>
        <w:t xml:space="preserve">公路中心及分中心机房精密空调的维修及日常养护服务，包括：</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1、提供2次全面检修维护，不定期巡检及7*24小时应急维修服务。</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2、提供4次清洗室外冷凝器散热翅片，4次清洗室内加湿水盘及给排水通路。</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3、每季度更换空调过滤网。</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4、节假日前夕，根据情况进行空调巡检。</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5、定期检查空氟利昂压力，及时加氟。</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6、清单如下:</w:t>
      </w:r>
      <w:r/>
    </w:p>
    <w:tbl>
      <w:tblPr>
        <w:tblW w:w="7120" w:type="dxa"/>
        <w:tblLook w:val="04A0" w:firstRow="1" w:lastRow="0" w:firstColumn="1" w:lastColumn="0" w:noHBand="0" w:noVBand="1"/>
      </w:tblPr>
      <w:tblGrid>
        <w:gridCol w:w="4060"/>
        <w:gridCol w:w="2380"/>
        <w:gridCol w:w="680"/>
      </w:tblGrid>
      <w:tr>
        <w:trPr>
          <w:trHeight w:val="385"/>
        </w:trPr>
        <w:tc>
          <w:tcPr>
            <w:shd w:val="clear" w:color="auto" w:fill="auto"/>
            <w:tcBorders>
              <w:top w:val="single" w:color="auto"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安装地址</w:t>
            </w:r>
            <w:r/>
          </w:p>
        </w:tc>
        <w:tc>
          <w:tcPr>
            <w:shd w:val="clear" w:color="auto" w:fill="auto"/>
            <w:tcBorders>
              <w:top w:val="single" w:color="auto" w:sz="4" w:space="0"/>
              <w:left w:val="none" w:color="000000" w:sz="4" w:space="0"/>
              <w:bottom w:val="single" w:color="auto" w:sz="4" w:space="0"/>
              <w:right w:val="single" w:color="auto" w:sz="4" w:space="0"/>
            </w:tcBorders>
            <w:tcW w:w="23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设备型号</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数量</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w:t>
            </w:r>
            <w:r>
              <w:rPr>
                <w:rFonts w:cs="Arial" w:asciiTheme="minorEastAsia" w:hAnsiTheme="minorEastAsia" w:eastAsiaTheme="minorEastAsia"/>
                <w:sz w:val="24"/>
                <w:szCs w:val="24"/>
              </w:rPr>
              <w:t xml:space="preserve">中心中心</w:t>
            </w:r>
            <w:r>
              <w:rPr>
                <w:rFonts w:cs="Arial" w:asciiTheme="minorEastAsia" w:hAnsiTheme="minorEastAsia" w:eastAsiaTheme="minorEastAsia"/>
                <w:sz w:val="24"/>
                <w:szCs w:val="24"/>
              </w:rPr>
              <w:t xml:space="preserve">机房</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施耐德(TUAR0922A)</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扬州公路事业发展中心西二楼机房</w:t>
            </w:r>
            <w:r/>
          </w:p>
        </w:tc>
        <w:tc>
          <w:tcPr>
            <w:shd w:val="clear" w:color="auto" w:fill="auto"/>
            <w:tcBorders>
              <w:top w:val="none" w:color="000000" w:sz="4" w:space="0"/>
              <w:left w:val="single" w:color="auto" w:sz="4" w:space="0"/>
              <w:bottom w:val="single" w:color="auto" w:sz="4" w:space="0"/>
              <w:right w:val="single" w:color="auto" w:sz="4" w:space="0"/>
            </w:tcBorders>
            <w:tcW w:w="2380" w:type="dxa"/>
            <w:vAlign w:val="center"/>
            <w:vMerge w:val="restart"/>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维</w:t>
            </w:r>
            <w:r>
              <w:rPr>
                <w:rFonts w:cs="Arial" w:asciiTheme="minorEastAsia" w:hAnsiTheme="minorEastAsia" w:eastAsiaTheme="minorEastAsia"/>
                <w:sz w:val="24"/>
                <w:szCs w:val="24"/>
              </w:rPr>
              <w:t xml:space="preserve">谛</w:t>
            </w:r>
            <w:r>
              <w:rPr>
                <w:rFonts w:cs="Arial" w:asciiTheme="minorEastAsia" w:hAnsiTheme="minorEastAsia" w:eastAsiaTheme="minorEastAsia"/>
                <w:sz w:val="24"/>
                <w:szCs w:val="24"/>
              </w:rPr>
              <w:t xml:space="preserve">(DEMO7MCP5)</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扬州公路事业发展中心北四楼机房</w:t>
            </w:r>
            <w:r/>
          </w:p>
        </w:tc>
        <w:tc>
          <w:tcPr>
            <w:tcBorders>
              <w:top w:val="none" w:color="000000" w:sz="4" w:space="0"/>
              <w:left w:val="single" w:color="auto" w:sz="4" w:space="0"/>
              <w:bottom w:val="single" w:color="auto" w:sz="4" w:space="0"/>
              <w:right w:val="single" w:color="auto" w:sz="4" w:space="0"/>
            </w:tcBorders>
            <w:tcW w:w="2380" w:type="dxa"/>
            <w:vAlign w:val="center"/>
            <w:vMerge w:val="continue"/>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扬州公路事业发展中心宝应分中心机房</w:t>
            </w:r>
            <w:r/>
          </w:p>
        </w:tc>
        <w:tc>
          <w:tcPr>
            <w:tcBorders>
              <w:top w:val="none" w:color="000000" w:sz="4" w:space="0"/>
              <w:left w:val="single" w:color="auto" w:sz="4" w:space="0"/>
              <w:bottom w:val="single" w:color="auto" w:sz="4" w:space="0"/>
              <w:right w:val="single" w:color="auto" w:sz="4" w:space="0"/>
            </w:tcBorders>
            <w:tcW w:w="2380" w:type="dxa"/>
            <w:vAlign w:val="center"/>
            <w:vMerge w:val="continue"/>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扬州公路事业发展中心江都分中心机房</w:t>
            </w:r>
            <w:r/>
          </w:p>
        </w:tc>
        <w:tc>
          <w:tcPr>
            <w:shd w:val="clear" w:color="auto" w:fill="auto"/>
            <w:tcBorders>
              <w:top w:val="none" w:color="000000" w:sz="4" w:space="0"/>
              <w:left w:val="single" w:color="auto" w:sz="4" w:space="0"/>
              <w:bottom w:val="single" w:color="auto" w:sz="4" w:space="0"/>
              <w:right w:val="single" w:color="auto" w:sz="4" w:space="0"/>
            </w:tcBorders>
            <w:tcW w:w="2380" w:type="dxa"/>
            <w:vAlign w:val="center"/>
            <w:vMerge w:val="restart"/>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维</w:t>
            </w:r>
            <w:r>
              <w:rPr>
                <w:rFonts w:cs="Arial" w:asciiTheme="minorEastAsia" w:hAnsiTheme="minorEastAsia" w:eastAsiaTheme="minorEastAsia"/>
                <w:sz w:val="24"/>
                <w:szCs w:val="24"/>
              </w:rPr>
              <w:t xml:space="preserve">谛</w:t>
            </w:r>
            <w:r>
              <w:rPr>
                <w:rFonts w:cs="Arial" w:asciiTheme="minorEastAsia" w:hAnsiTheme="minorEastAsia" w:eastAsiaTheme="minorEastAsia"/>
                <w:sz w:val="24"/>
                <w:szCs w:val="24"/>
              </w:rPr>
              <w:t xml:space="preserve">(DEMO7MCSUP1)</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扬州公路事业发展中心邢江分中心机房</w:t>
            </w:r>
            <w:r/>
          </w:p>
        </w:tc>
        <w:tc>
          <w:tcPr>
            <w:tcBorders>
              <w:top w:val="none" w:color="000000" w:sz="4" w:space="0"/>
              <w:left w:val="single" w:color="auto" w:sz="4" w:space="0"/>
              <w:bottom w:val="single" w:color="auto" w:sz="4" w:space="0"/>
              <w:right w:val="single" w:color="auto" w:sz="4" w:space="0"/>
            </w:tcBorders>
            <w:tcW w:w="2380" w:type="dxa"/>
            <w:vAlign w:val="center"/>
            <w:vMerge w:val="continue"/>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406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扬州公路事业发展中心仪征分中心机房</w:t>
            </w:r>
            <w:r/>
          </w:p>
        </w:tc>
        <w:tc>
          <w:tcPr>
            <w:tcBorders>
              <w:top w:val="none" w:color="000000" w:sz="4" w:space="0"/>
              <w:left w:val="single" w:color="auto" w:sz="4" w:space="0"/>
              <w:bottom w:val="single" w:color="auto" w:sz="4" w:space="0"/>
              <w:right w:val="single" w:color="auto" w:sz="4" w:space="0"/>
            </w:tcBorders>
            <w:tcW w:w="2380" w:type="dxa"/>
            <w:vAlign w:val="center"/>
            <w:vMerge w:val="continue"/>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left"/>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1台</w:t>
            </w:r>
            <w:r/>
          </w:p>
        </w:tc>
      </w:tr>
    </w:tbl>
    <w:p>
      <w:pPr>
        <w:pStyle w:val="1051"/>
        <w:ind w:firstLine="480"/>
        <w:spacing w:line="360" w:lineRule="auto"/>
        <w:rPr>
          <w:rFonts w:ascii="宋体" w:hAnsi="宋体" w:cs="宋体"/>
          <w:sz w:val="24"/>
          <w:szCs w:val="24"/>
        </w:rPr>
      </w:pPr>
      <w:r>
        <w:rPr>
          <w:rFonts w:ascii="宋体" w:hAnsi="宋体" w:cs="宋体"/>
          <w:sz w:val="24"/>
          <w:szCs w:val="24"/>
        </w:rPr>
      </w:r>
      <w:r/>
    </w:p>
    <w:p>
      <w:pPr>
        <w:pStyle w:val="1051"/>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、详细</w:t>
      </w:r>
      <w:r>
        <w:rPr>
          <w:rFonts w:hint="eastAsia" w:ascii="宋体" w:hAnsi="宋体" w:cs="宋体"/>
          <w:sz w:val="24"/>
          <w:szCs w:val="24"/>
        </w:rPr>
        <w:t xml:space="preserve">维保内容</w:t>
      </w:r>
      <w:r>
        <w:rPr>
          <w:rFonts w:hint="eastAsia" w:ascii="宋体" w:hAnsi="宋体" w:cs="宋体"/>
          <w:sz w:val="24"/>
          <w:szCs w:val="24"/>
        </w:rPr>
        <w:t xml:space="preserve">见下表</w:t>
      </w:r>
      <w:r/>
    </w:p>
    <w:tbl>
      <w:tblPr>
        <w:tblW w:w="508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636"/>
        <w:gridCol w:w="5829"/>
        <w:gridCol w:w="930"/>
      </w:tblGrid>
      <w:tr>
        <w:trPr>
          <w:trHeight w:val="45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维保内容</w:t>
            </w:r>
            <w:r>
              <w:rPr>
                <w:rFonts w:hint="eastAsia" w:ascii="宋体" w:hAnsi="宋体" w:cs="宋体"/>
                <w:sz w:val="24"/>
                <w:szCs w:val="24"/>
              </w:rPr>
              <w:t xml:space="preserve">及周期表</w:t>
            </w:r>
            <w:r/>
          </w:p>
        </w:tc>
      </w:tr>
      <w:tr>
        <w:trPr>
          <w:trHeight w:val="45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维护项目</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维护内容</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周期</w:t>
            </w:r>
            <w:r/>
          </w:p>
        </w:tc>
      </w:tr>
      <w:tr>
        <w:trPr>
          <w:trHeight w:val="454"/>
        </w:trPr>
        <w:tc>
          <w:tcPr>
            <w:tcBorders>
              <w:top w:val="none" w:color="000000" w:sz="4" w:space="0"/>
              <w:left w:val="single" w:color="auto" w:sz="4" w:space="0"/>
              <w:bottom w:val="single" w:color="auto" w:sz="4" w:space="0"/>
              <w:right w:val="single" w:color="auto" w:sz="4" w:space="0"/>
            </w:tcBorders>
            <w:tcW w:w="387"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auto" w:sz="4" w:space="0"/>
              <w:bottom w:val="single" w:color="auto" w:sz="4" w:space="0"/>
              <w:right w:val="single" w:color="auto" w:sz="4" w:space="0"/>
            </w:tcBorders>
            <w:tcW w:w="89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控制系统</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检查报警器声、光告警，接触器、熔断器是否正常</w:t>
            </w:r>
            <w:r/>
          </w:p>
        </w:tc>
        <w:tc>
          <w:tcPr>
            <w:tcBorders>
              <w:top w:val="none" w:color="000000" w:sz="4" w:space="0"/>
              <w:left w:val="single" w:color="auto" w:sz="4" w:space="0"/>
              <w:bottom w:val="single" w:color="auto" w:sz="4" w:space="0"/>
              <w:right w:val="single" w:color="auto" w:sz="4" w:space="0"/>
            </w:tcBorders>
            <w:tcW w:w="50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检查所有电器触点和电气元件</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检查空调系统的各项功能及参数是否正常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检查温度、湿度传感器的工作状态是否正常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测量电机负载电流、压缩机电流、风机电流是否正常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检查水浸情况、水浸告警系统是否正常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387"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auto" w:sz="4" w:space="0"/>
              <w:bottom w:val="single" w:color="auto" w:sz="4" w:space="0"/>
              <w:right w:val="single" w:color="auto" w:sz="4" w:space="0"/>
            </w:tcBorders>
            <w:tcW w:w="89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压缩机部分</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检测压缩机表面温度有无过冷、过热现象</w:t>
            </w:r>
            <w:r/>
          </w:p>
        </w:tc>
        <w:tc>
          <w:tcPr>
            <w:tcBorders>
              <w:top w:val="none" w:color="000000" w:sz="4" w:space="0"/>
              <w:left w:val="single" w:color="auto" w:sz="4" w:space="0"/>
              <w:bottom w:val="single" w:color="auto" w:sz="4" w:space="0"/>
              <w:right w:val="single" w:color="auto" w:sz="4" w:space="0"/>
            </w:tcBorders>
            <w:tcW w:w="50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测试高</w:t>
            </w:r>
            <w:r>
              <w:rPr>
                <w:rFonts w:hint="eastAsia" w:ascii="宋体" w:hAnsi="宋体" w:cs="宋体"/>
                <w:sz w:val="24"/>
                <w:szCs w:val="24"/>
              </w:rPr>
              <w:t xml:space="preserve">低压保护装置</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压缩机运行声音是否正常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测试压缩机运行电流及吸、排气压力</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387"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auto" w:sz="4" w:space="0"/>
              <w:bottom w:val="single" w:color="auto" w:sz="4" w:space="0"/>
              <w:right w:val="single" w:color="auto" w:sz="4" w:space="0"/>
            </w:tcBorders>
            <w:tcW w:w="89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室外冷凝器</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检查风机的转动、轴承、底座、电机等</w:t>
            </w:r>
            <w:r/>
          </w:p>
        </w:tc>
        <w:tc>
          <w:tcPr>
            <w:tcBorders>
              <w:top w:val="none" w:color="000000" w:sz="4" w:space="0"/>
              <w:left w:val="single" w:color="auto" w:sz="4" w:space="0"/>
              <w:bottom w:val="single" w:color="auto" w:sz="4" w:space="0"/>
              <w:right w:val="single" w:color="auto" w:sz="4" w:space="0"/>
            </w:tcBorders>
            <w:tcW w:w="50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清洁或更换过滤器</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检查和清洁翅片</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检查冷凝器固定是否有松动</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检查冷媒管线有无破损及保温情况</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检查冷凝器工作时的工作电流是否正常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清洁设备表面</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测试风机工作电流，检查风扇调速状况、风扇支座</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检查电机轴承</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检查、清洁风扇</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检查、清洁冷凝器翅片</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387"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auto" w:sz="4" w:space="0"/>
              <w:bottom w:val="single" w:color="auto" w:sz="4" w:space="0"/>
              <w:right w:val="single" w:color="auto" w:sz="4" w:space="0"/>
            </w:tcBorders>
            <w:tcW w:w="89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加湿器部分</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检查加湿器远红外管是否正常</w:t>
            </w:r>
            <w:r/>
          </w:p>
        </w:tc>
        <w:tc>
          <w:tcPr>
            <w:tcBorders>
              <w:top w:val="none" w:color="000000" w:sz="4" w:space="0"/>
              <w:left w:val="single" w:color="auto" w:sz="4" w:space="0"/>
              <w:bottom w:val="single" w:color="auto" w:sz="4" w:space="0"/>
              <w:right w:val="single" w:color="auto" w:sz="4" w:space="0"/>
            </w:tcBorders>
            <w:tcW w:w="50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保持加湿水盘的清洁，清除水垢</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检查上水和排水电磁阀的工作情况是否正常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检查给、</w:t>
            </w:r>
            <w:r>
              <w:rPr>
                <w:rFonts w:hint="eastAsia" w:ascii="宋体" w:hAnsi="宋体" w:cs="宋体"/>
                <w:sz w:val="24"/>
                <w:szCs w:val="24"/>
              </w:rPr>
              <w:t xml:space="preserve">排水路是否</w:t>
            </w:r>
            <w:r>
              <w:rPr>
                <w:rFonts w:hint="eastAsia" w:ascii="宋体" w:hAnsi="宋体" w:cs="宋体"/>
                <w:sz w:val="24"/>
                <w:szCs w:val="24"/>
              </w:rPr>
              <w:t xml:space="preserve">畅通</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检查加湿器负荷电流和加湿器控制运行情况</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387"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89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冷却系统</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测量出风口风速及温差</w:t>
            </w:r>
            <w:r/>
          </w:p>
        </w:tc>
        <w:tc>
          <w:tcPr>
            <w:tcBorders>
              <w:top w:val="none" w:color="000000" w:sz="4" w:space="0"/>
              <w:left w:val="single" w:color="auto" w:sz="4" w:space="0"/>
              <w:bottom w:val="single" w:color="auto" w:sz="4" w:space="0"/>
              <w:right w:val="single" w:color="auto" w:sz="4" w:space="0"/>
            </w:tcBorders>
            <w:tcW w:w="50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测试回风温度、相对湿度并校正温度、湿度传感器</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检查制冷剂管道固定情况</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检查并修补制冷剂管道保温层</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检查冷却风机是否正常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通过视</w:t>
            </w:r>
            <w:r>
              <w:rPr>
                <w:rFonts w:hint="eastAsia" w:ascii="宋体" w:hAnsi="宋体" w:cs="宋体"/>
                <w:sz w:val="24"/>
                <w:szCs w:val="24"/>
              </w:rPr>
              <w:t xml:space="preserve">镜检查并确定</w:t>
            </w:r>
            <w:r>
              <w:rPr>
                <w:rFonts w:hint="eastAsia" w:ascii="宋体" w:hAnsi="宋体" w:cs="宋体"/>
                <w:sz w:val="24"/>
                <w:szCs w:val="24"/>
              </w:rPr>
              <w:t xml:space="preserve">制冷剂情况是否正常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加热部分</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ind w:right="-895"/>
              <w:spacing w:line="360" w:lineRule="auto"/>
              <w:rPr>
                <w:rFonts w:ascii="宋体" w:hAnsi="宋体" w:cs="宋体"/>
                <w:sz w:val="24"/>
                <w:szCs w:val="24"/>
              </w:rPr>
            </w:pPr>
            <w:r>
              <w:rPr>
                <w:rFonts w:hint="eastAsia" w:ascii="宋体" w:hAnsi="宋体" w:cs="宋体"/>
                <w:sz w:val="24"/>
                <w:szCs w:val="24"/>
              </w:rPr>
              <w:t xml:space="preserve">检查电加热器的可靠性</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387"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7</w:t>
            </w:r>
            <w:r/>
          </w:p>
        </w:tc>
        <w:tc>
          <w:tcPr>
            <w:tcBorders>
              <w:top w:val="none" w:color="000000" w:sz="4" w:space="0"/>
              <w:left w:val="single" w:color="auto" w:sz="4" w:space="0"/>
              <w:bottom w:val="single" w:color="auto" w:sz="4" w:space="0"/>
              <w:right w:val="single" w:color="auto" w:sz="4" w:space="0"/>
            </w:tcBorders>
            <w:tcW w:w="89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空气循环系</w:t>
            </w:r>
            <w:r>
              <w:rPr>
                <w:rFonts w:hint="eastAsia" w:ascii="宋体" w:hAnsi="宋体" w:cs="宋体"/>
                <w:sz w:val="24"/>
                <w:szCs w:val="24"/>
              </w:rPr>
              <w:t xml:space="preserve">统</w:t>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检查空调过滤器是否干净，如脏了就应及时更换或清</w:t>
            </w:r>
            <w:r>
              <w:rPr>
                <w:rFonts w:hint="eastAsia" w:ascii="宋体" w:hAnsi="宋体" w:cs="宋体"/>
                <w:sz w:val="24"/>
                <w:szCs w:val="24"/>
              </w:rPr>
              <w:t xml:space="preserve">洗</w:t>
            </w:r>
            <w:r/>
          </w:p>
        </w:tc>
        <w:tc>
          <w:tcPr>
            <w:tcBorders>
              <w:top w:val="none" w:color="000000" w:sz="4" w:space="0"/>
              <w:left w:val="single" w:color="auto" w:sz="4" w:space="0"/>
              <w:bottom w:val="single" w:color="auto" w:sz="4" w:space="0"/>
              <w:right w:val="single" w:color="auto" w:sz="4" w:space="0"/>
            </w:tcBorders>
            <w:tcW w:w="509" w:type="pct"/>
            <w:vAlign w:val="center"/>
            <w:vMerge w:val="restar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3个月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检查风机的运行状况是否正常</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03"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检查是否有气流短路情况</w:t>
            </w:r>
            <w:r/>
          </w:p>
        </w:tc>
        <w:tc>
          <w:tcPr>
            <w:tcBorders>
              <w:top w:val="none" w:color="000000" w:sz="4" w:space="0"/>
              <w:left w:val="single" w:color="auto" w:sz="4" w:space="0"/>
              <w:bottom w:val="single" w:color="auto" w:sz="4" w:space="0"/>
              <w:right w:val="single" w:color="auto" w:sz="4" w:space="0"/>
            </w:tcBorders>
            <w:tcW w:w="509" w:type="pct"/>
            <w:vAlign w:val="center"/>
            <w:vMerge w:val="continue"/>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bl>
    <w:p>
      <w:pPr>
        <w:pStyle w:val="1051"/>
        <w:ind w:firstLine="480"/>
        <w:spacing w:line="360" w:lineRule="auto"/>
        <w:rPr>
          <w:rFonts w:ascii="宋体" w:hAnsi="宋体" w:cs="宋体"/>
          <w:sz w:val="24"/>
          <w:szCs w:val="24"/>
        </w:rPr>
      </w:pPr>
      <w:r>
        <w:rPr>
          <w:rFonts w:ascii="宋体" w:hAnsi="宋体" w:cs="宋体"/>
          <w:sz w:val="24"/>
          <w:szCs w:val="24"/>
        </w:rPr>
      </w:r>
      <w:r/>
    </w:p>
    <w:p>
      <w:pPr>
        <w:pStyle w:val="1051"/>
        <w:spacing w:line="360" w:lineRule="auto"/>
        <w:rPr>
          <w:rFonts w:ascii="宋体" w:hAnsi="宋体" w:cs="宋体"/>
          <w:b/>
          <w:bCs/>
          <w:i/>
          <w:sz w:val="24"/>
          <w:szCs w:val="24"/>
          <w:u w:val="single"/>
        </w:rPr>
      </w:pPr>
      <w:r>
        <w:rPr>
          <w:rFonts w:ascii="宋体" w:hAnsi="宋体" w:cs="宋体"/>
          <w:b/>
          <w:bCs/>
          <w:iCs/>
          <w:sz w:val="24"/>
          <w:szCs w:val="24"/>
        </w:rPr>
        <w:t xml:space="preserve">8</w:t>
      </w:r>
      <w:r>
        <w:rPr>
          <w:rFonts w:hint="eastAsia" w:ascii="宋体" w:hAnsi="宋体" w:cs="宋体"/>
          <w:b/>
          <w:bCs/>
          <w:iCs/>
          <w:sz w:val="24"/>
          <w:szCs w:val="24"/>
        </w:rPr>
        <w:t xml:space="preserve">、</w:t>
      </w:r>
      <w:r>
        <w:rPr>
          <w:rFonts w:hint="eastAsia" w:ascii="宋体" w:hAnsi="宋体" w:cs="宋体"/>
          <w:b/>
          <w:bCs/>
          <w:i/>
          <w:sz w:val="24"/>
          <w:szCs w:val="24"/>
          <w:u w:val="single"/>
        </w:rPr>
        <w:t xml:space="preserve">空调发生故障后由原厂进行维修，投标人承诺中标后购买原厂质保。(提供承诺函）。</w:t>
      </w:r>
      <w:r/>
    </w:p>
    <w:p>
      <w:pPr>
        <w:pStyle w:val="1051"/>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、服务期：自合同签订之日起15个月</w:t>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(四)各类视频会议系统维护服务</w:t>
      </w:r>
      <w:r/>
    </w:p>
    <w:p>
      <w:pPr>
        <w:numPr>
          <w:ilvl w:val="0"/>
          <w:numId w:val="34"/>
        </w:numPr>
        <w:spacing w:line="360" w:lineRule="auto"/>
        <w:rPr>
          <w:rFonts w:ascii="宋体" w:hAnsi="宋体" w:cs="宋体"/>
          <w:b/>
          <w:bCs/>
          <w:sz w:val="24"/>
          <w:szCs w:val="24"/>
        </w:rPr>
      </w:pPr>
      <w:r>
        <w:rPr>
          <w:rFonts w:hint="eastAsia" w:ascii="宋体" w:hAnsi="宋体" w:cs="宋体"/>
          <w:b/>
          <w:bCs/>
          <w:sz w:val="24"/>
          <w:szCs w:val="24"/>
        </w:rPr>
        <w:t xml:space="preserve">视频会议系统技术支持服务</w:t>
      </w:r>
      <w:r/>
    </w:p>
    <w:p>
      <w:pPr>
        <w:pStyle w:val="1051"/>
        <w:numPr>
          <w:ilvl w:val="0"/>
          <w:numId w:val="35"/>
        </w:numPr>
        <w:spacing w:after="160" w:line="360" w:lineRule="auto"/>
        <w:rPr>
          <w:rFonts w:ascii="宋体" w:hAnsi="宋体" w:cs="宋体"/>
          <w:sz w:val="24"/>
          <w:szCs w:val="24"/>
        </w:rPr>
      </w:pPr>
      <w:r>
        <w:rPr>
          <w:rFonts w:hint="eastAsia" w:ascii="宋体" w:hAnsi="宋体" w:cs="宋体"/>
          <w:sz w:val="24"/>
          <w:szCs w:val="24"/>
        </w:rPr>
        <w:t xml:space="preserve">视频会议RMX1800电话支持服务；</w:t>
      </w:r>
      <w:r/>
    </w:p>
    <w:p>
      <w:pPr>
        <w:pStyle w:val="1051"/>
        <w:numPr>
          <w:ilvl w:val="0"/>
          <w:numId w:val="35"/>
        </w:numPr>
        <w:spacing w:after="160" w:line="360" w:lineRule="auto"/>
        <w:rPr>
          <w:rFonts w:ascii="宋体" w:hAnsi="宋体" w:cs="宋体"/>
          <w:sz w:val="24"/>
          <w:szCs w:val="24"/>
        </w:rPr>
      </w:pPr>
      <w:r>
        <w:rPr>
          <w:rFonts w:hint="eastAsia" w:ascii="宋体" w:hAnsi="宋体" w:cs="宋体"/>
          <w:sz w:val="24"/>
          <w:szCs w:val="24"/>
        </w:rPr>
        <w:t xml:space="preserve">视频会议防火墙穿越服务器电话支持服务；</w:t>
      </w:r>
      <w:r/>
    </w:p>
    <w:p>
      <w:pPr>
        <w:pStyle w:val="1051"/>
        <w:numPr>
          <w:ilvl w:val="0"/>
          <w:numId w:val="35"/>
        </w:numPr>
        <w:spacing w:after="160" w:line="360" w:lineRule="auto"/>
        <w:rPr>
          <w:rFonts w:ascii="宋体" w:hAnsi="宋体" w:cs="宋体"/>
          <w:sz w:val="24"/>
          <w:szCs w:val="24"/>
        </w:rPr>
      </w:pPr>
      <w:r>
        <w:rPr>
          <w:rFonts w:hint="eastAsia" w:ascii="宋体" w:hAnsi="宋体" w:cs="宋体"/>
          <w:sz w:val="24"/>
          <w:szCs w:val="24"/>
        </w:rPr>
        <w:t xml:space="preserve">视频会议录播服务器电话支持服务；</w:t>
      </w:r>
      <w:r/>
    </w:p>
    <w:p>
      <w:pPr>
        <w:pStyle w:val="1051"/>
        <w:numPr>
          <w:ilvl w:val="0"/>
          <w:numId w:val="35"/>
        </w:numPr>
        <w:spacing w:after="160" w:line="360" w:lineRule="auto"/>
        <w:rPr>
          <w:rFonts w:ascii="宋体" w:hAnsi="宋体" w:cs="宋体"/>
          <w:sz w:val="24"/>
          <w:szCs w:val="24"/>
        </w:rPr>
      </w:pPr>
      <w:r>
        <w:rPr>
          <w:rFonts w:hint="eastAsia" w:ascii="宋体" w:hAnsi="宋体" w:cs="宋体"/>
          <w:sz w:val="24"/>
          <w:szCs w:val="24"/>
        </w:rPr>
        <w:t xml:space="preserve">视频会议终端GROUP550电话支持服务。</w:t>
      </w:r>
      <w:r/>
    </w:p>
    <w:p>
      <w:pPr>
        <w:pStyle w:val="1051"/>
        <w:numPr>
          <w:ilvl w:val="0"/>
          <w:numId w:val="35"/>
        </w:numPr>
        <w:spacing w:after="160" w:line="360" w:lineRule="auto"/>
        <w:rPr>
          <w:rFonts w:ascii="宋体" w:hAnsi="宋体" w:cs="宋体"/>
          <w:sz w:val="24"/>
          <w:szCs w:val="24"/>
        </w:rPr>
      </w:pPr>
      <w:r>
        <w:rPr>
          <w:rFonts w:hint="eastAsia" w:ascii="宋体" w:hAnsi="宋体" w:cs="宋体"/>
          <w:sz w:val="24"/>
          <w:szCs w:val="24"/>
        </w:rPr>
        <w:t xml:space="preserve">服务期：自合同签订之日起15个月</w:t>
      </w:r>
      <w:r/>
    </w:p>
    <w:p>
      <w:pPr>
        <w:spacing w:line="360" w:lineRule="auto"/>
        <w:rPr>
          <w:rFonts w:ascii="宋体" w:hAnsi="宋体" w:cs="宋体"/>
          <w:b/>
          <w:bCs/>
          <w:sz w:val="24"/>
          <w:szCs w:val="24"/>
        </w:rPr>
      </w:pPr>
      <w:r>
        <w:rPr>
          <w:rFonts w:ascii="宋体" w:hAnsi="宋体" w:cs="宋体"/>
          <w:b/>
          <w:bCs/>
          <w:sz w:val="24"/>
          <w:szCs w:val="24"/>
        </w:rPr>
      </w:r>
      <w:r/>
    </w:p>
    <w:p>
      <w:pPr>
        <w:numPr>
          <w:ilvl w:val="0"/>
          <w:numId w:val="34"/>
        </w:numPr>
        <w:spacing w:line="360" w:lineRule="auto"/>
        <w:rPr>
          <w:rFonts w:ascii="宋体" w:hAnsi="宋体" w:cs="宋体"/>
          <w:b/>
          <w:bCs/>
          <w:sz w:val="24"/>
          <w:szCs w:val="24"/>
        </w:rPr>
      </w:pPr>
      <w:r>
        <w:rPr>
          <w:rFonts w:hint="eastAsia" w:ascii="宋体" w:hAnsi="宋体" w:cs="宋体"/>
          <w:b/>
          <w:bCs/>
          <w:sz w:val="24"/>
          <w:szCs w:val="24"/>
        </w:rPr>
        <w:t xml:space="preserve">市公路中心视频会议室设备日常巡检及维护（含设备风险）</w:t>
      </w:r>
      <w:r/>
    </w:p>
    <w:p>
      <w:pPr>
        <w:spacing w:line="360" w:lineRule="auto"/>
        <w:rPr>
          <w:b/>
          <w:i/>
          <w:color w:val="000000" w:themeColor="text1"/>
          <w:sz w:val="24"/>
          <w:szCs w:val="24"/>
          <w:u w:val="single"/>
          <w:lang w:bidi="ar"/>
        </w:rPr>
      </w:pPr>
      <w:r>
        <w:rPr>
          <w:rFonts w:hint="eastAsia" w:ascii="宋体" w:hAnsi="宋体" w:cs="宋体"/>
          <w:b/>
          <w:bCs/>
          <w:sz w:val="24"/>
          <w:szCs w:val="24"/>
        </w:rPr>
        <w:t xml:space="preserve">    </w:t>
      </w:r>
      <w:r>
        <w:rPr>
          <w:rFonts w:hint="eastAsia"/>
          <w:color w:val="000000" w:themeColor="text1"/>
          <w:sz w:val="24"/>
          <w:szCs w:val="24"/>
          <w:lang w:bidi="ar"/>
        </w:rPr>
        <w:t xml:space="preserve">设备主要包括：</w:t>
      </w:r>
      <w:r>
        <w:rPr>
          <w:rFonts w:hint="eastAsia"/>
          <w:color w:val="000000" w:themeColor="text1"/>
          <w:sz w:val="24"/>
          <w:szCs w:val="24"/>
          <w:lang w:bidi="ar"/>
        </w:rPr>
        <w:t xml:space="preserve">LED</w:t>
      </w:r>
      <w:r>
        <w:rPr>
          <w:rFonts w:hint="eastAsia"/>
          <w:color w:val="000000" w:themeColor="text1"/>
          <w:sz w:val="24"/>
          <w:szCs w:val="24"/>
          <w:lang w:bidi="ar"/>
        </w:rPr>
        <w:t xml:space="preserve">大屏系统、视频会议终端、中控系统、扩声系统、会议摄像头、桌面式会议系统、音视频主机、信号切换管理系统、时序电源、桌插、机柜、配电箱、电缆电线、接地等。</w:t>
      </w:r>
      <w:r>
        <w:rPr>
          <w:rFonts w:hint="eastAsia"/>
          <w:b/>
          <w:i/>
          <w:color w:val="000000" w:themeColor="text1"/>
          <w:sz w:val="24"/>
          <w:szCs w:val="24"/>
          <w:u w:val="single"/>
          <w:lang w:bidi="ar"/>
        </w:rPr>
        <w:t xml:space="preserve">为保障上述设备在发生故障时由原厂进行维修，投标人承诺中标后购买大屏显示系统、视频会议终端、信号切换管理系统、中控系统的原厂质保。</w:t>
      </w:r>
      <w:r>
        <w:rPr>
          <w:rFonts w:hint="eastAsia"/>
          <w:b/>
          <w:i/>
          <w:color w:val="000000" w:themeColor="text1"/>
          <w:sz w:val="24"/>
          <w:szCs w:val="24"/>
          <w:u w:val="single"/>
          <w:lang w:bidi="ar"/>
        </w:rPr>
        <w:t xml:space="preserve">(</w:t>
      </w:r>
      <w:r>
        <w:rPr>
          <w:rFonts w:hint="eastAsia"/>
          <w:b/>
          <w:i/>
          <w:color w:val="000000" w:themeColor="text1"/>
          <w:sz w:val="24"/>
          <w:szCs w:val="24"/>
          <w:u w:val="single"/>
          <w:lang w:bidi="ar"/>
        </w:rPr>
        <w:t xml:space="preserve">提供承诺函）</w:t>
      </w:r>
      <w:r/>
    </w:p>
    <w:p>
      <w:pPr>
        <w:spacing w:line="360" w:lineRule="auto"/>
        <w:rPr>
          <w:color w:val="000000" w:themeColor="text1"/>
          <w:sz w:val="24"/>
          <w:szCs w:val="24"/>
          <w:lang w:bidi="ar"/>
        </w:rPr>
      </w:pPr>
      <w:r>
        <w:rPr>
          <w:rFonts w:hint="eastAsia"/>
          <w:color w:val="000000" w:themeColor="text1"/>
          <w:sz w:val="24"/>
          <w:szCs w:val="24"/>
          <w:lang w:bidi="ar"/>
        </w:rPr>
        <w:t xml:space="preserve">     </w:t>
      </w:r>
      <w:r>
        <w:rPr>
          <w:rFonts w:hint="eastAsia"/>
          <w:color w:val="000000" w:themeColor="text1"/>
          <w:sz w:val="24"/>
          <w:szCs w:val="24"/>
          <w:lang w:bidi="ar"/>
        </w:rPr>
        <w:t xml:space="preserve">服务期：</w:t>
      </w:r>
      <w:r>
        <w:rPr>
          <w:rFonts w:hint="eastAsia"/>
          <w:color w:val="000000" w:themeColor="text1"/>
          <w:sz w:val="24"/>
          <w:szCs w:val="24"/>
          <w:lang w:bidi="ar"/>
        </w:rPr>
        <w:t xml:space="preserve">2025</w:t>
      </w:r>
      <w:r>
        <w:rPr>
          <w:rFonts w:hint="eastAsia"/>
          <w:color w:val="000000" w:themeColor="text1"/>
          <w:sz w:val="24"/>
          <w:szCs w:val="24"/>
          <w:lang w:bidi="ar"/>
        </w:rPr>
        <w:t xml:space="preserve">年</w:t>
      </w:r>
      <w:r>
        <w:rPr>
          <w:rFonts w:hint="eastAsia"/>
          <w:color w:val="000000" w:themeColor="text1"/>
          <w:sz w:val="24"/>
          <w:szCs w:val="24"/>
          <w:lang w:bidi="ar"/>
        </w:rPr>
        <w:t xml:space="preserve">7</w:t>
      </w:r>
      <w:r>
        <w:rPr>
          <w:rFonts w:hint="eastAsia"/>
          <w:color w:val="000000" w:themeColor="text1"/>
          <w:sz w:val="24"/>
          <w:szCs w:val="24"/>
          <w:lang w:bidi="ar"/>
        </w:rPr>
        <w:t xml:space="preserve">月</w:t>
      </w:r>
      <w:r>
        <w:rPr>
          <w:rFonts w:hint="eastAsia"/>
          <w:color w:val="000000" w:themeColor="text1"/>
          <w:sz w:val="24"/>
          <w:szCs w:val="24"/>
          <w:lang w:bidi="ar"/>
        </w:rPr>
        <w:t xml:space="preserve">23</w:t>
      </w:r>
      <w:r>
        <w:rPr>
          <w:rFonts w:hint="eastAsia"/>
          <w:color w:val="000000" w:themeColor="text1"/>
          <w:sz w:val="24"/>
          <w:szCs w:val="24"/>
          <w:lang w:bidi="ar"/>
        </w:rPr>
        <w:t xml:space="preserve">日</w:t>
      </w:r>
      <w:r>
        <w:rPr>
          <w:rFonts w:hint="eastAsia"/>
          <w:color w:val="000000" w:themeColor="text1"/>
          <w:sz w:val="24"/>
          <w:szCs w:val="24"/>
          <w:lang w:bidi="ar"/>
        </w:rPr>
        <w:t xml:space="preserve">-</w:t>
      </w:r>
      <w:r>
        <w:rPr>
          <w:rFonts w:hint="eastAsia"/>
          <w:color w:val="000000" w:themeColor="text1"/>
          <w:sz w:val="24"/>
          <w:szCs w:val="24"/>
          <w:lang w:bidi="ar"/>
        </w:rPr>
        <w:t xml:space="preserve">合同期满</w:t>
      </w:r>
      <w:r/>
    </w:p>
    <w:p>
      <w:pPr>
        <w:pStyle w:val="1049"/>
        <w:rPr>
          <w:rFonts w:ascii="仿宋" w:hAnsi="仿宋" w:eastAsia="仿宋" w:cs="仿宋"/>
          <w:color w:val="auto"/>
        </w:rPr>
      </w:pPr>
      <w:r>
        <w:rPr>
          <w:rFonts w:ascii="仿宋" w:hAnsi="仿宋" w:eastAsia="仿宋" w:cs="仿宋"/>
          <w:color w:val="auto"/>
        </w:rPr>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（五）分中心信息化维护</w:t>
      </w:r>
      <w:r/>
    </w:p>
    <w:p>
      <w:pPr>
        <w:ind w:firstLine="480"/>
        <w:spacing w:line="360" w:lineRule="auto"/>
        <w:rPr>
          <w:rFonts w:ascii="宋体" w:hAnsi="宋体" w:cs="宋体"/>
          <w:sz w:val="24"/>
          <w:szCs w:val="24"/>
        </w:rPr>
      </w:pPr>
      <w:r>
        <w:rPr>
          <w:rFonts w:hint="eastAsia" w:ascii="宋体" w:hAnsi="宋体" w:cs="宋体"/>
          <w:sz w:val="24"/>
          <w:szCs w:val="24"/>
        </w:rPr>
        <w:t xml:space="preserve">扬州市公路事业发展中心主要网络设备统一部署市中心机房，各分中心仅留存传输设备。涉及分中心维护内容如下：</w:t>
      </w:r>
      <w:r/>
    </w:p>
    <w:p>
      <w:pPr>
        <w:ind w:firstLine="480"/>
        <w:spacing w:line="360" w:lineRule="auto"/>
        <w:rPr>
          <w:rFonts w:ascii="宋体" w:hAnsi="宋体" w:cs="宋体"/>
          <w:sz w:val="24"/>
          <w:szCs w:val="24"/>
        </w:rPr>
      </w:pPr>
      <w:r>
        <w:rPr>
          <w:rFonts w:hint="eastAsia" w:ascii="宋体" w:hAnsi="宋体" w:cs="宋体"/>
          <w:sz w:val="24"/>
          <w:szCs w:val="24"/>
        </w:rPr>
        <w:t xml:space="preserve">1、各分中心的机房、办公楼、服务区、停车区、养护工区、应急基地的24小时保障服务。</w:t>
      </w:r>
      <w:r/>
    </w:p>
    <w:p>
      <w:pPr>
        <w:ind w:firstLine="480"/>
        <w:spacing w:line="360" w:lineRule="auto"/>
        <w:rPr>
          <w:rFonts w:ascii="宋体" w:hAnsi="宋体" w:cs="宋体"/>
          <w:sz w:val="24"/>
          <w:szCs w:val="24"/>
        </w:rPr>
      </w:pPr>
      <w:r>
        <w:rPr>
          <w:rFonts w:hint="eastAsia" w:ascii="宋体" w:hAnsi="宋体" w:cs="宋体"/>
          <w:sz w:val="24"/>
          <w:szCs w:val="24"/>
        </w:rPr>
        <w:t xml:space="preserve">2、服务内容为保障分中心机</w:t>
      </w:r>
      <w:r>
        <w:rPr>
          <w:rFonts w:hint="eastAsia" w:ascii="宋体" w:hAnsi="宋体" w:cs="宋体"/>
          <w:sz w:val="24"/>
          <w:szCs w:val="24"/>
        </w:rPr>
        <w:t xml:space="preserve">房的网络与各种设备运行稳定；保障分中心内外网、电话线路运行稳定。</w:t>
      </w:r>
      <w:r/>
    </w:p>
    <w:p>
      <w:pPr>
        <w:pStyle w:val="1049"/>
      </w:pPr>
      <w:r>
        <w:rPr>
          <w:rFonts w:hint="eastAsia"/>
        </w:rPr>
        <w:t xml:space="preserve">附机房设备清单及维护内容：</w:t>
      </w:r>
      <w:r/>
    </w:p>
    <w:tbl>
      <w:tblPr>
        <w:tblW w:w="9620" w:type="dxa"/>
        <w:tblLook w:val="04A0" w:firstRow="1" w:lastRow="0" w:firstColumn="1" w:lastColumn="0" w:noHBand="0" w:noVBand="1"/>
      </w:tblPr>
      <w:tblGrid>
        <w:gridCol w:w="1560"/>
        <w:gridCol w:w="8060"/>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设备类型</w:t>
            </w:r>
            <w:r/>
          </w:p>
        </w:tc>
        <w:tc>
          <w:tcPr>
            <w:shd w:val="clear" w:color="auto" w:fill="auto"/>
            <w:tcBorders>
              <w:top w:val="single" w:color="auto" w:sz="4" w:space="0"/>
              <w:left w:val="none" w:color="000000" w:sz="4" w:space="0"/>
              <w:bottom w:val="single" w:color="auto" w:sz="4" w:space="0"/>
              <w:right w:val="single" w:color="auto" w:sz="4" w:space="0"/>
            </w:tcBorders>
            <w:tcW w:w="80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服务内容</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摄像头</w:t>
            </w:r>
            <w:r/>
          </w:p>
        </w:tc>
        <w:tc>
          <w:tcPr>
            <w:shd w:val="clear" w:color="auto" w:fill="auto"/>
            <w:tcBorders>
              <w:top w:val="none" w:color="000000" w:sz="4" w:space="0"/>
              <w:left w:val="none" w:color="000000" w:sz="4" w:space="0"/>
              <w:bottom w:val="single" w:color="auto" w:sz="4" w:space="0"/>
              <w:right w:val="single" w:color="auto" w:sz="4" w:space="0"/>
            </w:tcBorders>
            <w:tcW w:w="80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采集机房中的活动图像，可实时采集大门、机房通道、机柜等现场图像。</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环境监控设备</w:t>
            </w:r>
            <w:r/>
          </w:p>
        </w:tc>
        <w:tc>
          <w:tcPr>
            <w:shd w:val="clear" w:color="auto" w:fill="auto"/>
            <w:tcBorders>
              <w:top w:val="none" w:color="000000" w:sz="4" w:space="0"/>
              <w:left w:val="none" w:color="000000" w:sz="4" w:space="0"/>
              <w:bottom w:val="single" w:color="auto" w:sz="4" w:space="0"/>
              <w:right w:val="single" w:color="auto" w:sz="4" w:space="0"/>
            </w:tcBorders>
            <w:tcW w:w="8060"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监控室内温湿度变化、有无烟雾/火灾、漏水情况等。常用设备有空气温湿度传感器、水浸报警传感器等，支持对监测参数设置报警上下限，一旦触发自动报警。</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配电动力设备</w:t>
            </w:r>
            <w:r/>
          </w:p>
        </w:tc>
        <w:tc>
          <w:tcPr>
            <w:shd w:val="clear" w:color="auto" w:fill="auto"/>
            <w:tcBorders>
              <w:top w:val="none" w:color="000000" w:sz="4" w:space="0"/>
              <w:left w:val="none" w:color="000000" w:sz="4" w:space="0"/>
              <w:bottom w:val="single" w:color="auto" w:sz="4" w:space="0"/>
              <w:right w:val="single" w:color="auto" w:sz="4" w:space="0"/>
            </w:tcBorders>
            <w:tcW w:w="80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负责整个系统的电力供应，保证系统的持续运行。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消防监测设备</w:t>
            </w:r>
            <w:r/>
          </w:p>
        </w:tc>
        <w:tc>
          <w:tcPr>
            <w:shd w:val="clear" w:color="auto" w:fill="auto"/>
            <w:tcBorders>
              <w:top w:val="none" w:color="000000" w:sz="4" w:space="0"/>
              <w:left w:val="none" w:color="000000" w:sz="4" w:space="0"/>
              <w:bottom w:val="single" w:color="auto" w:sz="4" w:space="0"/>
              <w:right w:val="single" w:color="auto" w:sz="4" w:space="0"/>
            </w:tcBorders>
            <w:tcW w:w="80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烟雾报警器配合报警主机，一旦发生高浓度烟雾、火情时，联动进行报警提示。</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1560"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网络传输设备</w:t>
            </w:r>
            <w:r/>
          </w:p>
        </w:tc>
        <w:tc>
          <w:tcPr>
            <w:shd w:val="clear" w:color="auto" w:fill="auto"/>
            <w:tcBorders>
              <w:top w:val="none" w:color="000000" w:sz="4" w:space="0"/>
              <w:left w:val="none" w:color="000000" w:sz="4" w:space="0"/>
              <w:bottom w:val="single" w:color="auto" w:sz="4" w:space="0"/>
              <w:right w:val="single" w:color="auto" w:sz="4" w:space="0"/>
            </w:tcBorders>
            <w:tcW w:w="8060"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包括路由器、交换机、硬件网关、硬件防火墙、网线、水晶头、标签等网络设备，以及网络机柜、服务器机柜、监控功放通信设备交换机柜、弱电箱机房等设备机柜。</w:t>
            </w:r>
            <w:r/>
          </w:p>
        </w:tc>
      </w:tr>
    </w:tbl>
    <w:p>
      <w:pPr>
        <w:pStyle w:val="789"/>
      </w:pPr>
      <w:r/>
      <w:r/>
    </w:p>
    <w:p>
      <w:pPr>
        <w:ind w:firstLine="480"/>
        <w:spacing w:line="360" w:lineRule="auto"/>
        <w:rPr>
          <w:rFonts w:ascii="宋体" w:hAnsi="宋体" w:cs="宋体"/>
          <w:sz w:val="24"/>
          <w:szCs w:val="24"/>
        </w:rPr>
      </w:pPr>
      <w:r>
        <w:rPr>
          <w:rFonts w:hint="eastAsia" w:ascii="宋体" w:hAnsi="宋体" w:cs="宋体"/>
          <w:sz w:val="24"/>
          <w:szCs w:val="24"/>
        </w:rPr>
        <w:t xml:space="preserve">3、保障分中心电脑、打印机、传真机、网络设备、杀毒软件、视频会议室等的日常维护。</w:t>
      </w:r>
      <w:r/>
    </w:p>
    <w:p>
      <w:pPr>
        <w:spacing w:line="360" w:lineRule="auto"/>
        <w:rPr>
          <w:rFonts w:ascii="宋体" w:hAnsi="宋体" w:cs="宋体"/>
          <w:sz w:val="24"/>
          <w:szCs w:val="24"/>
        </w:rPr>
      </w:pPr>
      <w:r>
        <w:rPr>
          <w:rFonts w:hint="eastAsia" w:ascii="宋体" w:hAnsi="宋体" w:cs="宋体"/>
          <w:sz w:val="24"/>
          <w:szCs w:val="24"/>
        </w:rPr>
        <w:t xml:space="preserve">服务期：自合同签订之日起15个月</w:t>
      </w:r>
      <w:r/>
    </w:p>
    <w:p>
      <w:pPr>
        <w:spacing w:line="360" w:lineRule="auto"/>
        <w:rPr>
          <w:rFonts w:ascii="宋体" w:hAnsi="宋体" w:cs="宋体"/>
          <w:b/>
          <w:bCs/>
          <w:sz w:val="24"/>
          <w:szCs w:val="24"/>
        </w:rPr>
      </w:pPr>
      <w:r>
        <w:rPr>
          <w:rFonts w:ascii="宋体" w:hAnsi="宋体" w:cs="宋体"/>
          <w:b/>
          <w:bCs/>
          <w:sz w:val="24"/>
          <w:szCs w:val="24"/>
        </w:rPr>
      </w:r>
      <w:r/>
    </w:p>
    <w:p>
      <w:pPr>
        <w:ind w:firstLine="241"/>
        <w:spacing w:line="360" w:lineRule="auto"/>
        <w:rPr>
          <w:rFonts w:ascii="宋体" w:hAnsi="宋体" w:cs="宋体"/>
          <w:b/>
          <w:bCs/>
          <w:sz w:val="24"/>
          <w:szCs w:val="24"/>
        </w:rPr>
      </w:pPr>
      <w:r>
        <w:rPr>
          <w:rFonts w:hint="eastAsia" w:ascii="宋体" w:hAnsi="宋体" w:cs="宋体"/>
          <w:b/>
          <w:bCs/>
          <w:sz w:val="24"/>
          <w:szCs w:val="24"/>
        </w:rPr>
        <w:t xml:space="preserve">（六）路网指挥中心维护</w:t>
      </w:r>
      <w:r/>
    </w:p>
    <w:p>
      <w:pPr>
        <w:ind w:firstLine="480"/>
        <w:jc w:val="left"/>
        <w:spacing w:after="160" w:line="360" w:lineRule="auto"/>
        <w:tabs>
          <w:tab w:val="center" w:pos="4153" w:leader="none"/>
          <w:tab w:val="right" w:pos="8306" w:leader="none"/>
        </w:tabs>
        <w:rPr>
          <w:sz w:val="24"/>
          <w:szCs w:val="24"/>
        </w:rPr>
      </w:pPr>
      <w:r>
        <w:rPr>
          <w:rFonts w:hint="eastAsia"/>
          <w:sz w:val="24"/>
          <w:szCs w:val="24"/>
        </w:rPr>
        <w:t xml:space="preserve">维护方式：乙方工程技术人员上门服务。</w:t>
      </w:r>
      <w:r/>
    </w:p>
    <w:p>
      <w:pPr>
        <w:ind w:firstLine="480"/>
        <w:jc w:val="left"/>
        <w:spacing w:after="160" w:line="360" w:lineRule="auto"/>
        <w:tabs>
          <w:tab w:val="center" w:pos="4153" w:leader="none"/>
          <w:tab w:val="right" w:pos="8306" w:leader="none"/>
        </w:tabs>
        <w:rPr>
          <w:sz w:val="24"/>
          <w:szCs w:val="24"/>
        </w:rPr>
      </w:pPr>
      <w:r>
        <w:rPr>
          <w:rFonts w:hint="eastAsia"/>
          <w:sz w:val="24"/>
          <w:szCs w:val="24"/>
        </w:rPr>
        <w:t xml:space="preserve">调度系统维护内容：</w:t>
      </w:r>
      <w:r>
        <w:rPr>
          <w:rFonts w:hint="eastAsia"/>
          <w:sz w:val="24"/>
          <w:szCs w:val="24"/>
        </w:rPr>
        <w:t xml:space="preserve">1</w:t>
      </w:r>
      <w:r>
        <w:rPr>
          <w:rFonts w:hint="eastAsia"/>
          <w:sz w:val="24"/>
          <w:szCs w:val="24"/>
        </w:rPr>
        <w:t xml:space="preserve">）全区路网指挥调度中心及平台设备日常巡检及维护，负责除不可抗力因素之外的维修更换工作；</w:t>
      </w:r>
      <w:r>
        <w:rPr>
          <w:rFonts w:hint="eastAsia"/>
          <w:sz w:val="24"/>
          <w:szCs w:val="24"/>
        </w:rPr>
        <w:t xml:space="preserve">2</w:t>
      </w:r>
      <w:r>
        <w:rPr>
          <w:rFonts w:hint="eastAsia"/>
          <w:sz w:val="24"/>
          <w:szCs w:val="24"/>
        </w:rPr>
        <w:t xml:space="preserve">）路网指挥调度中心视频</w:t>
      </w:r>
      <w:r>
        <w:rPr>
          <w:rFonts w:hint="eastAsia"/>
          <w:sz w:val="24"/>
          <w:szCs w:val="24"/>
        </w:rPr>
        <w:t xml:space="preserve">点调保障</w:t>
      </w:r>
      <w:r>
        <w:rPr>
          <w:rFonts w:hint="eastAsia"/>
          <w:sz w:val="24"/>
          <w:szCs w:val="24"/>
        </w:rPr>
        <w:t xml:space="preserve">工作。</w:t>
      </w:r>
      <w:r/>
    </w:p>
    <w:p>
      <w:pPr>
        <w:ind w:firstLine="480"/>
        <w:jc w:val="left"/>
        <w:spacing w:after="160" w:line="360" w:lineRule="auto"/>
        <w:tabs>
          <w:tab w:val="center" w:pos="4153" w:leader="none"/>
          <w:tab w:val="right" w:pos="8306" w:leader="none"/>
        </w:tabs>
        <w:rPr>
          <w:b/>
          <w:bCs/>
          <w:i/>
          <w:sz w:val="24"/>
          <w:szCs w:val="24"/>
          <w:u w:val="single"/>
        </w:rPr>
      </w:pPr>
      <w:r>
        <w:rPr>
          <w:rFonts w:hint="eastAsia"/>
          <w:sz w:val="24"/>
          <w:szCs w:val="24"/>
        </w:rPr>
        <w:t xml:space="preserve">设备日常巡检及维护内容（含设备风险）：包括路网监测接入配套设备设施，如计算机系统、大屏显示系统、信息发布系统、视频会议终端、中控系统、发言讨论及扩声系统、</w:t>
      </w:r>
      <w:r>
        <w:rPr>
          <w:rFonts w:hint="eastAsia"/>
          <w:sz w:val="24"/>
          <w:szCs w:val="24"/>
        </w:rPr>
        <w:t xml:space="preserve">电子桌牌系统</w:t>
      </w:r>
      <w:r>
        <w:rPr>
          <w:rFonts w:hint="eastAsia"/>
          <w:sz w:val="24"/>
          <w:szCs w:val="24"/>
        </w:rPr>
        <w:t xml:space="preserve">、</w:t>
      </w:r>
      <w:r>
        <w:rPr>
          <w:rFonts w:hint="eastAsia"/>
          <w:sz w:val="24"/>
          <w:szCs w:val="24"/>
        </w:rPr>
        <w:t xml:space="preserve">NVR</w:t>
      </w:r>
      <w:r>
        <w:rPr>
          <w:rFonts w:hint="eastAsia"/>
          <w:sz w:val="24"/>
          <w:szCs w:val="24"/>
        </w:rPr>
        <w:t xml:space="preserve">、交换机、会议摄像头、音视频主机、时序电源、</w:t>
      </w:r>
      <w:r>
        <w:rPr>
          <w:rFonts w:hint="eastAsia"/>
          <w:sz w:val="24"/>
          <w:szCs w:val="24"/>
        </w:rPr>
        <w:t xml:space="preserve">排插电源</w:t>
      </w:r>
      <w:r>
        <w:rPr>
          <w:rFonts w:hint="eastAsia"/>
          <w:sz w:val="24"/>
          <w:szCs w:val="24"/>
        </w:rPr>
        <w:t xml:space="preserve">、机柜、配电箱、电缆电线、接地等，乙方负责维修更换工作</w:t>
      </w:r>
      <w:r>
        <w:rPr>
          <w:rFonts w:hint="eastAsia"/>
          <w:color w:val="000000" w:themeColor="text1"/>
          <w:sz w:val="24"/>
          <w:szCs w:val="24"/>
        </w:rPr>
        <w:t xml:space="preserve">频</w:t>
      </w:r>
      <w:r>
        <w:rPr>
          <w:rFonts w:hint="eastAsia"/>
          <w:color w:val="000000" w:themeColor="text1"/>
          <w:sz w:val="24"/>
          <w:szCs w:val="24"/>
        </w:rPr>
        <w:t xml:space="preserve">主机、</w:t>
      </w:r>
      <w:r>
        <w:rPr>
          <w:rFonts w:hint="eastAsia"/>
          <w:color w:val="000000" w:themeColor="text1"/>
          <w:sz w:val="24"/>
          <w:szCs w:val="24"/>
          <w:lang w:bidi="ar"/>
        </w:rPr>
        <w:t xml:space="preserve">信号切换管理系统、</w:t>
      </w:r>
      <w:r>
        <w:rPr>
          <w:rFonts w:hint="eastAsia"/>
          <w:color w:val="000000" w:themeColor="text1"/>
          <w:sz w:val="24"/>
          <w:szCs w:val="24"/>
        </w:rPr>
        <w:t xml:space="preserve">时序电源、桌插、机柜、配电箱、电缆电线、接地等。</w:t>
      </w:r>
      <w:r>
        <w:rPr>
          <w:rFonts w:hint="eastAsia" w:ascii="宋体" w:hAnsi="宋体" w:cs="宋体"/>
          <w:b/>
          <w:i/>
          <w:color w:val="000000" w:themeColor="text1"/>
          <w:sz w:val="24"/>
          <w:szCs w:val="24"/>
          <w:u w:val="single"/>
        </w:rPr>
        <w:t xml:space="preserve">为保障在发生故障时由原厂进行维修，投标人承诺中标后购买</w:t>
      </w:r>
      <w:r>
        <w:rPr>
          <w:rFonts w:hint="eastAsia"/>
          <w:b/>
          <w:i/>
          <w:color w:val="000000" w:themeColor="text1"/>
          <w:sz w:val="24"/>
          <w:szCs w:val="24"/>
          <w:u w:val="single"/>
        </w:rPr>
        <w:t xml:space="preserve">大屏显示系统、视频会议终端的</w:t>
      </w:r>
      <w:r>
        <w:rPr>
          <w:rFonts w:hint="eastAsia" w:ascii="宋体" w:hAnsi="宋体" w:cs="宋体"/>
          <w:b/>
          <w:i/>
          <w:color w:val="000000" w:themeColor="text1"/>
          <w:sz w:val="24"/>
          <w:szCs w:val="24"/>
          <w:u w:val="single"/>
        </w:rPr>
        <w:t xml:space="preserve">原厂质保。</w:t>
      </w:r>
      <w:r>
        <w:rPr>
          <w:rFonts w:hint="eastAsia" w:ascii="宋体" w:hAnsi="宋体" w:cs="宋体"/>
          <w:b/>
          <w:i/>
          <w:sz w:val="24"/>
          <w:szCs w:val="24"/>
          <w:u w:val="single"/>
        </w:rPr>
        <w:t xml:space="preserve">(提供承诺函</w:t>
      </w:r>
      <w:r>
        <w:rPr>
          <w:rFonts w:hint="eastAsia"/>
          <w:b/>
          <w:i/>
          <w:sz w:val="24"/>
          <w:szCs w:val="24"/>
          <w:u w:val="single"/>
        </w:rPr>
        <w:t xml:space="preserve">）</w:t>
      </w:r>
      <w:r/>
    </w:p>
    <w:p>
      <w:pPr>
        <w:ind w:firstLine="480"/>
        <w:jc w:val="left"/>
        <w:spacing w:after="160" w:line="360" w:lineRule="auto"/>
        <w:tabs>
          <w:tab w:val="center" w:pos="4153" w:leader="none"/>
          <w:tab w:val="right" w:pos="8306" w:leader="none"/>
        </w:tabs>
        <w:rPr>
          <w:sz w:val="24"/>
          <w:szCs w:val="24"/>
        </w:rPr>
      </w:pPr>
      <w:r>
        <w:rPr>
          <w:rFonts w:hint="eastAsia"/>
          <w:sz w:val="24"/>
          <w:szCs w:val="24"/>
        </w:rPr>
        <w:t xml:space="preserve">UPS</w:t>
      </w:r>
      <w:r>
        <w:rPr>
          <w:rFonts w:hint="eastAsia"/>
          <w:sz w:val="24"/>
          <w:szCs w:val="24"/>
        </w:rPr>
        <w:t xml:space="preserve">电源维护内容：每周检查一次路网指挥调度中心设备系统及硬件运行情况。</w:t>
      </w:r>
      <w:r/>
    </w:p>
    <w:p>
      <w:pPr>
        <w:pStyle w:val="1051"/>
        <w:ind w:firstLine="480"/>
        <w:spacing w:line="360" w:lineRule="auto"/>
        <w:rPr>
          <w:sz w:val="24"/>
          <w:szCs w:val="24"/>
        </w:rPr>
      </w:pPr>
      <w:r>
        <w:rPr>
          <w:rFonts w:hint="eastAsia"/>
          <w:sz w:val="24"/>
          <w:szCs w:val="24"/>
        </w:rPr>
        <w:t xml:space="preserve">服务期如下：</w:t>
      </w:r>
      <w:r/>
    </w:p>
    <w:p>
      <w:pPr>
        <w:pStyle w:val="1051"/>
        <w:ind w:firstLine="480"/>
        <w:spacing w:line="360" w:lineRule="auto"/>
        <w:rPr>
          <w:rFonts w:ascii="宋体" w:hAnsi="宋体" w:cs="宋体"/>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）广陵分中心：</w:t>
      </w:r>
      <w:r>
        <w:rPr>
          <w:rFonts w:hint="eastAsia" w:ascii="宋体" w:hAnsi="宋体" w:cs="宋体"/>
          <w:sz w:val="24"/>
          <w:szCs w:val="24"/>
        </w:rPr>
        <w:t xml:space="preserve">自合同签订之日起15个月</w:t>
      </w:r>
      <w:r/>
    </w:p>
    <w:p>
      <w:pPr>
        <w:pStyle w:val="1051"/>
        <w:numPr>
          <w:ilvl w:val="255"/>
          <w:numId w:val="0"/>
        </w:numPr>
        <w:ind w:firstLine="480"/>
        <w:spacing w:line="360" w:lineRule="auto"/>
        <w:rPr>
          <w:color w:val="000000" w:themeColor="text1"/>
          <w:sz w:val="24"/>
          <w:szCs w:val="24"/>
        </w:rPr>
      </w:pPr>
      <w:r>
        <w:rPr>
          <w:rFonts w:hint="eastAsia" w:ascii="宋体" w:hAnsi="宋体" w:cs="宋体"/>
          <w:sz w:val="24"/>
          <w:szCs w:val="24"/>
        </w:rPr>
        <w:t xml:space="preserve">（2）</w:t>
      </w:r>
      <w:r>
        <w:rPr>
          <w:rFonts w:hint="eastAsia" w:ascii="宋体" w:hAnsi="宋体" w:cs="宋体"/>
          <w:sz w:val="24"/>
          <w:szCs w:val="24"/>
        </w:rPr>
        <w:t xml:space="preserve">市公路中心，仪征分中心、宝应分中心：2025年7月23日</w:t>
      </w:r>
      <w:r>
        <w:rPr>
          <w:rFonts w:hint="eastAsia" w:ascii="宋体" w:hAnsi="宋体" w:cs="宋体"/>
          <w:sz w:val="24"/>
          <w:szCs w:val="24"/>
        </w:rPr>
        <w:t xml:space="preserve"> -</w:t>
      </w:r>
      <w:r>
        <w:rPr>
          <w:rFonts w:hint="eastAsia"/>
          <w:color w:val="000000" w:themeColor="text1"/>
          <w:sz w:val="24"/>
          <w:szCs w:val="24"/>
        </w:rPr>
        <w:t xml:space="preserve">合同期满</w:t>
      </w:r>
      <w:r/>
    </w:p>
    <w:p>
      <w:pPr>
        <w:pStyle w:val="1051"/>
        <w:numPr>
          <w:ilvl w:val="255"/>
          <w:numId w:val="0"/>
        </w:numPr>
        <w:ind w:firstLine="480"/>
        <w:spacing w:line="360" w:lineRule="auto"/>
        <w:rPr>
          <w:color w:val="000000" w:themeColor="text1"/>
          <w:sz w:val="24"/>
          <w:szCs w:val="24"/>
        </w:rPr>
      </w:pPr>
      <w:r>
        <w:rPr>
          <w:rFonts w:hint="eastAsia" w:ascii="宋体" w:hAnsi="宋体" w:cs="宋体"/>
          <w:sz w:val="24"/>
          <w:szCs w:val="24"/>
        </w:rPr>
        <w:t xml:space="preserve">（3）</w:t>
      </w:r>
      <w:r>
        <w:rPr>
          <w:rFonts w:hint="eastAsia" w:ascii="宋体" w:hAnsi="宋体" w:cs="宋体"/>
          <w:sz w:val="24"/>
          <w:szCs w:val="24"/>
        </w:rPr>
        <w:t xml:space="preserve">邗江分中心、江都分中心、高邮分中心：2025年1月1日-</w:t>
      </w:r>
      <w:r>
        <w:rPr>
          <w:rFonts w:hint="eastAsia"/>
          <w:color w:val="000000" w:themeColor="text1"/>
          <w:sz w:val="24"/>
          <w:szCs w:val="24"/>
        </w:rPr>
        <w:t xml:space="preserve">合同期满</w:t>
      </w:r>
      <w:r/>
    </w:p>
    <w:p>
      <w:pPr>
        <w:pStyle w:val="1051"/>
        <w:spacing w:line="360" w:lineRule="auto"/>
        <w:rPr>
          <w:rFonts w:ascii="宋体" w:hAnsi="宋体" w:cs="宋体"/>
          <w:sz w:val="24"/>
          <w:szCs w:val="24"/>
        </w:rPr>
      </w:pPr>
      <w:r>
        <w:rPr>
          <w:rFonts w:ascii="宋体" w:hAnsi="宋体" w:cs="宋体"/>
          <w:sz w:val="24"/>
          <w:szCs w:val="24"/>
        </w:rPr>
      </w:r>
      <w:r/>
    </w:p>
    <w:p>
      <w:pPr>
        <w:numPr>
          <w:ilvl w:val="0"/>
          <w:numId w:val="32"/>
        </w:numPr>
        <w:spacing w:line="360" w:lineRule="auto"/>
        <w:rPr>
          <w:rFonts w:ascii="宋体" w:hAnsi="宋体" w:cs="宋体"/>
          <w:b/>
          <w:bCs/>
          <w:sz w:val="24"/>
          <w:szCs w:val="24"/>
        </w:rPr>
      </w:pPr>
      <w:r>
        <w:rPr>
          <w:rFonts w:hint="eastAsia" w:ascii="宋体" w:hAnsi="宋体" w:cs="宋体"/>
          <w:b/>
          <w:bCs/>
          <w:sz w:val="24"/>
          <w:szCs w:val="24"/>
        </w:rPr>
        <w:t xml:space="preserve">新增</w:t>
      </w:r>
      <w:r>
        <w:rPr>
          <w:rFonts w:hint="eastAsia" w:ascii="宋体" w:hAnsi="宋体" w:cs="宋体"/>
          <w:b/>
          <w:bCs/>
          <w:sz w:val="24"/>
          <w:szCs w:val="24"/>
        </w:rPr>
        <w:t xml:space="preserve">内外网防火墙参数</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内外网防火墙各一台。含基本网络防火墙功能、访问控制功能、攻击防护、Web防护、用户认证功能、链路负载均衡功能、流量控制、资产识别、IPSec VPN等功能。开启防病毒、入侵防御、威胁情报模块，提供防病毒、入侵防御、威胁情报三年特征库升级服务。</w:t>
      </w:r>
      <w:r/>
    </w:p>
    <w:p>
      <w:pPr>
        <w:pStyle w:val="1051"/>
        <w:ind w:firstLine="480"/>
        <w:spacing w:line="360" w:lineRule="auto"/>
        <w:rPr>
          <w:rFonts w:ascii="宋体" w:hAnsi="宋体" w:cs="宋体"/>
          <w:sz w:val="24"/>
          <w:szCs w:val="24"/>
        </w:rPr>
      </w:pPr>
      <w:r>
        <w:rPr>
          <w:rFonts w:hint="eastAsia" w:ascii="宋体" w:hAnsi="宋体" w:cs="宋体"/>
          <w:sz w:val="24"/>
          <w:szCs w:val="24"/>
        </w:rPr>
        <w:t xml:space="preserve">整机吞吐</w:t>
      </w:r>
      <w:bookmarkStart w:id="72" w:name="OLE_LINK26"/>
      <w:r>
        <w:rPr>
          <w:rFonts w:hint="eastAsia" w:ascii="宋体" w:hAnsi="宋体" w:cs="宋体"/>
          <w:sz w:val="24"/>
          <w:szCs w:val="24"/>
        </w:rPr>
        <w:t xml:space="preserve">10</w:t>
      </w:r>
      <w:bookmarkEnd w:id="72"/>
      <w:r>
        <w:rPr>
          <w:rFonts w:hint="eastAsia" w:ascii="宋体" w:hAnsi="宋体" w:cs="宋体"/>
          <w:sz w:val="24"/>
          <w:szCs w:val="24"/>
        </w:rPr>
        <w:t xml:space="preserve">Gbps；最大并发数</w:t>
      </w:r>
      <w:bookmarkStart w:id="73" w:name="OLE_LINK14"/>
      <w:r>
        <w:rPr>
          <w:rFonts w:hint="eastAsia" w:ascii="宋体" w:hAnsi="宋体" w:cs="宋体"/>
          <w:sz w:val="24"/>
          <w:szCs w:val="24"/>
        </w:rPr>
        <w:t xml:space="preserve">不少于</w:t>
      </w:r>
      <w:bookmarkEnd w:id="73"/>
      <w:r>
        <w:rPr>
          <w:rFonts w:hint="eastAsia" w:ascii="宋体" w:hAnsi="宋体" w:cs="宋体"/>
          <w:sz w:val="24"/>
          <w:szCs w:val="24"/>
        </w:rPr>
        <w:t xml:space="preserve">400万；最大</w:t>
      </w:r>
      <w:r>
        <w:rPr>
          <w:rFonts w:hint="eastAsia" w:ascii="宋体" w:hAnsi="宋体" w:cs="宋体"/>
          <w:sz w:val="24"/>
          <w:szCs w:val="24"/>
        </w:rPr>
        <w:t xml:space="preserve">新建数</w:t>
      </w:r>
      <w:r>
        <w:rPr>
          <w:rFonts w:hint="eastAsia" w:ascii="宋体" w:hAnsi="宋体" w:cs="宋体"/>
          <w:sz w:val="24"/>
          <w:szCs w:val="24"/>
        </w:rPr>
        <w:t xml:space="preserve">不少于10万/秒；1、软硬一体产品。2、</w:t>
      </w:r>
      <w:bookmarkStart w:id="74" w:name="OLE_LINK16"/>
      <w:r>
        <w:rPr>
          <w:rFonts w:hint="eastAsia" w:ascii="宋体" w:hAnsi="宋体" w:cs="宋体"/>
          <w:sz w:val="24"/>
          <w:szCs w:val="24"/>
        </w:rPr>
        <w:t xml:space="preserve">标准</w:t>
      </w:r>
      <w:bookmarkEnd w:id="74"/>
      <w:r>
        <w:rPr>
          <w:rFonts w:hint="eastAsia" w:ascii="宋体" w:hAnsi="宋体" w:cs="宋体"/>
          <w:sz w:val="24"/>
          <w:szCs w:val="24"/>
        </w:rPr>
        <w:t xml:space="preserve">机架式，</w:t>
      </w:r>
      <w:bookmarkStart w:id="75" w:name="OLE_LINK13"/>
      <w:r>
        <w:rPr>
          <w:rFonts w:hint="eastAsia" w:ascii="宋体" w:hAnsi="宋体" w:cs="宋体"/>
          <w:sz w:val="24"/>
          <w:szCs w:val="24"/>
        </w:rPr>
        <w:t xml:space="preserve">国产</w:t>
      </w:r>
      <w:bookmarkEnd w:id="75"/>
      <w:r>
        <w:rPr>
          <w:rFonts w:hint="eastAsia" w:ascii="宋体" w:hAnsi="宋体" w:cs="宋体"/>
          <w:sz w:val="24"/>
          <w:szCs w:val="24"/>
        </w:rPr>
        <w:t xml:space="preserve">CPU，内存不少于16GB，硬盘不少于2TB HDD，电源规格：双电源</w:t>
      </w:r>
      <w:bookmarkStart w:id="76" w:name="OLE_LINK17"/>
      <w:r>
        <w:rPr>
          <w:rFonts w:hint="eastAsia" w:ascii="宋体" w:hAnsi="宋体" w:cs="宋体"/>
          <w:sz w:val="24"/>
          <w:szCs w:val="24"/>
        </w:rPr>
        <w:t xml:space="preserve">（额定功率75W）</w:t>
      </w:r>
      <w:bookmarkEnd w:id="76"/>
      <w:r>
        <w:rPr>
          <w:rFonts w:hint="eastAsia" w:ascii="宋体" w:hAnsi="宋体" w:cs="宋体"/>
          <w:sz w:val="24"/>
          <w:szCs w:val="24"/>
        </w:rPr>
        <w:t xml:space="preserve">。网络接口：</w:t>
      </w:r>
      <w:r>
        <w:rPr>
          <w:rFonts w:hint="eastAsia" w:ascii="宋体" w:hAnsi="宋体" w:cs="宋体"/>
          <w:sz w:val="24"/>
          <w:szCs w:val="24"/>
        </w:rPr>
        <w:t xml:space="preserve">千兆电口</w:t>
      </w:r>
      <w:bookmarkStart w:id="77" w:name="OLE_LINK20"/>
      <w:r>
        <w:rPr>
          <w:rFonts w:hint="eastAsia" w:ascii="宋体" w:hAnsi="宋体" w:cs="宋体"/>
          <w:sz w:val="24"/>
          <w:szCs w:val="24"/>
        </w:rPr>
        <w:t xml:space="preserve">=</w:t>
      </w:r>
      <w:bookmarkStart w:id="78" w:name="OLE_LINK28"/>
      <w:r/>
      <w:bookmarkEnd w:id="77"/>
      <w:r>
        <w:rPr>
          <w:rFonts w:hint="eastAsia" w:ascii="宋体" w:hAnsi="宋体" w:cs="宋体"/>
          <w:sz w:val="24"/>
          <w:szCs w:val="24"/>
        </w:rPr>
        <w:t xml:space="preserve">8</w:t>
      </w:r>
      <w:bookmarkEnd w:id="78"/>
      <w:r>
        <w:rPr>
          <w:rFonts w:hint="eastAsia" w:ascii="宋体" w:hAnsi="宋体" w:cs="宋体"/>
          <w:sz w:val="24"/>
          <w:szCs w:val="24"/>
        </w:rPr>
        <w:t xml:space="preserve">个（含2组电Bypass），</w:t>
      </w:r>
      <w:r>
        <w:rPr>
          <w:rFonts w:hint="eastAsia" w:ascii="宋体" w:hAnsi="宋体" w:cs="宋体"/>
          <w:sz w:val="24"/>
          <w:szCs w:val="24"/>
        </w:rPr>
        <w:t xml:space="preserve">千兆光口</w:t>
      </w:r>
      <w:r>
        <w:rPr>
          <w:rFonts w:hint="eastAsia" w:ascii="宋体" w:hAnsi="宋体" w:cs="宋体"/>
          <w:sz w:val="24"/>
          <w:szCs w:val="24"/>
        </w:rPr>
        <w:t xml:space="preserve">=4个，接口扩展槽：2个。</w:t>
      </w:r>
      <w:bookmarkStart w:id="79" w:name="OLE_LINK22"/>
      <w:r>
        <w:rPr>
          <w:rFonts w:hint="eastAsia" w:ascii="宋体" w:hAnsi="宋体" w:cs="宋体"/>
          <w:sz w:val="24"/>
          <w:szCs w:val="24"/>
        </w:rPr>
        <w:t xml:space="preserve">国产</w:t>
      </w:r>
      <w:bookmarkEnd w:id="79"/>
      <w:r>
        <w:rPr>
          <w:rFonts w:hint="eastAsia" w:ascii="宋体" w:hAnsi="宋体" w:cs="宋体"/>
          <w:sz w:val="24"/>
          <w:szCs w:val="24"/>
        </w:rPr>
        <w:t xml:space="preserve">操作系统；</w:t>
      </w:r>
      <w:r/>
    </w:p>
    <w:tbl>
      <w:tblPr>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75"/>
        <w:gridCol w:w="7030"/>
      </w:tblGrid>
      <w:tr>
        <w:trPr>
          <w:jc w:val="center"/>
          <w:trHeight w:val="280"/>
        </w:trPr>
        <w:tc>
          <w:tcPr>
            <w:shd w:val="clear" w:color="000000" w:fill="bfbfbf"/>
            <w:tcW w:w="962"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指标项</w:t>
            </w:r>
            <w:r/>
          </w:p>
        </w:tc>
        <w:tc>
          <w:tcPr>
            <w:shd w:val="clear" w:color="auto" w:fill="bfbfbf"/>
            <w:tcW w:w="4038"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技术参数</w:t>
            </w:r>
            <w:r/>
          </w:p>
        </w:tc>
      </w:tr>
      <w:tr>
        <w:trPr>
          <w:jc w:val="center"/>
          <w:trHeight w:val="28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bCs/>
                <w:color w:val="000000"/>
                <w:sz w:val="24"/>
                <w:szCs w:val="24"/>
              </w:rPr>
            </w:pPr>
            <w:r>
              <w:rPr>
                <w:rFonts w:hint="eastAsia" w:cs="等线" w:asciiTheme="minorEastAsia" w:hAnsiTheme="minorEastAsia" w:eastAsiaTheme="minorEastAsia"/>
                <w:bCs/>
                <w:color w:val="000000"/>
                <w:sz w:val="24"/>
                <w:szCs w:val="24"/>
              </w:rPr>
              <w:t xml:space="preserve">性能要求</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sz w:val="24"/>
                <w:szCs w:val="24"/>
                <w:lang w:eastAsia="zh-Hans"/>
              </w:rPr>
            </w:pPr>
            <w:r>
              <w:rPr>
                <w:rFonts w:hint="eastAsia" w:cs="等线" w:asciiTheme="minorEastAsia" w:hAnsiTheme="minorEastAsia" w:eastAsiaTheme="minorEastAsia"/>
                <w:sz w:val="24"/>
                <w:szCs w:val="24"/>
                <w:lang w:eastAsia="zh-Hans"/>
              </w:rPr>
              <w:t xml:space="preserve">设备最大吞吐量≥</w:t>
            </w:r>
            <w:r>
              <w:rPr>
                <w:rFonts w:cs="等线" w:asciiTheme="minorEastAsia" w:hAnsiTheme="minorEastAsia" w:eastAsiaTheme="minorEastAsia"/>
                <w:sz w:val="24"/>
                <w:szCs w:val="24"/>
                <w:lang w:eastAsia="zh-Hans"/>
              </w:rPr>
              <w:t xml:space="preserve">10Gbps，最大并发连接数≥400万，每秒新建连接数≥10万，提供产品白皮书或彩页。</w:t>
            </w:r>
            <w:r/>
          </w:p>
        </w:tc>
      </w:tr>
      <w:tr>
        <w:trPr>
          <w:jc w:val="center"/>
          <w:trHeight w:val="28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bCs/>
                <w:color w:val="000000"/>
                <w:sz w:val="24"/>
                <w:szCs w:val="24"/>
              </w:rPr>
            </w:pPr>
            <w:r>
              <w:rPr>
                <w:rFonts w:hint="eastAsia" w:cs="等线" w:asciiTheme="minorEastAsia" w:hAnsiTheme="minorEastAsia" w:eastAsiaTheme="minorEastAsia"/>
                <w:bCs/>
                <w:color w:val="000000"/>
                <w:sz w:val="24"/>
                <w:szCs w:val="24"/>
              </w:rPr>
              <w:t xml:space="preserve">硬件要求</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sz w:val="24"/>
                <w:szCs w:val="24"/>
                <w:lang w:eastAsia="zh-Hans"/>
              </w:rPr>
            </w:pPr>
            <w:r>
              <w:rPr>
                <w:rFonts w:hint="eastAsia" w:cs="等线" w:asciiTheme="minorEastAsia" w:hAnsiTheme="minorEastAsia" w:eastAsiaTheme="minorEastAsia"/>
                <w:sz w:val="24"/>
                <w:szCs w:val="24"/>
                <w:lang w:eastAsia="zh-Hans"/>
              </w:rPr>
              <w:t xml:space="preserve">防火墙，双电源，国产操作系统，国产</w:t>
            </w:r>
            <w:r>
              <w:rPr>
                <w:rFonts w:cs="等线" w:asciiTheme="minorEastAsia" w:hAnsiTheme="minorEastAsia" w:eastAsiaTheme="minorEastAsia"/>
                <w:sz w:val="24"/>
                <w:szCs w:val="24"/>
                <w:lang w:eastAsia="zh-Hans"/>
              </w:rPr>
              <w:t xml:space="preserve">CPU，内存≥16GB，硬盘≥2TB HDD。标配8个千兆电口(含2组电口Bypass），4个千兆光口，2个接口扩展槽，提供产品白皮书或彩页。</w:t>
            </w:r>
            <w:r/>
          </w:p>
        </w:tc>
      </w:tr>
      <w:tr>
        <w:trPr>
          <w:jc w:val="center"/>
          <w:trHeight w:val="48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部署模式</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支持路由模式、交换模式、旁路模式、虚拟网线工作模式；部署模式切换无需重</w:t>
            </w:r>
            <w:r>
              <w:rPr>
                <w:rFonts w:hint="eastAsia" w:cs="等线" w:asciiTheme="minorEastAsia" w:hAnsiTheme="minorEastAsia" w:eastAsiaTheme="minorEastAsia"/>
                <w:color w:val="000000"/>
                <w:sz w:val="24"/>
                <w:szCs w:val="24"/>
                <w:lang w:bidi="ar"/>
              </w:rPr>
              <w:t xml:space="preserve">启设备</w:t>
            </w:r>
            <w:r/>
          </w:p>
        </w:tc>
      </w:tr>
      <w:tr>
        <w:trPr>
          <w:jc w:val="center"/>
          <w:trHeight w:val="48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端口镜像</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支持端口镜像功能；支持入流量、出流量和双向流量等维度镜像</w:t>
            </w:r>
            <w:r/>
          </w:p>
        </w:tc>
      </w:tr>
      <w:tr>
        <w:trPr>
          <w:jc w:val="center"/>
          <w:trHeight w:val="48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NAT</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支持IPv4/IPv6双</w:t>
            </w:r>
            <w:r>
              <w:rPr>
                <w:rFonts w:hint="eastAsia" w:cs="等线" w:asciiTheme="minorEastAsia" w:hAnsiTheme="minorEastAsia" w:eastAsiaTheme="minorEastAsia"/>
                <w:color w:val="000000"/>
                <w:sz w:val="24"/>
                <w:szCs w:val="24"/>
                <w:lang w:bidi="ar"/>
              </w:rPr>
              <w:t xml:space="preserve">栈</w:t>
            </w:r>
            <w:r>
              <w:rPr>
                <w:rFonts w:hint="eastAsia" w:cs="等线" w:asciiTheme="minorEastAsia" w:hAnsiTheme="minorEastAsia" w:eastAsiaTheme="minorEastAsia"/>
                <w:color w:val="000000"/>
                <w:sz w:val="24"/>
                <w:szCs w:val="24"/>
                <w:lang w:bidi="ar"/>
              </w:rPr>
              <w:t xml:space="preserve">协议的源地址转换、目的地址转换、双向NAT、NAT64等地址转换</w:t>
            </w:r>
            <w:r/>
          </w:p>
        </w:tc>
      </w:tr>
      <w:tr>
        <w:trPr>
          <w:jc w:val="center"/>
          <w:trHeight w:val="631"/>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路由支持</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支持静态路由、动态路由、ISP路由；支持基于入接口、源地址、目的地址、服务的策略路由</w:t>
            </w:r>
            <w:r/>
          </w:p>
        </w:tc>
      </w:tr>
      <w:tr>
        <w:trPr>
          <w:jc w:val="center"/>
          <w:trHeight w:val="733"/>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DNS</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支持DNS代理功能。支持DNS解析动态缓存，缓存信息包括但不限于域名、CName、IP和TTL</w:t>
            </w:r>
            <w:r/>
          </w:p>
        </w:tc>
      </w:tr>
      <w:tr>
        <w:trPr>
          <w:jc w:val="center"/>
          <w:trHeight w:val="777"/>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IPv6</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支持IPv6/IPv4双</w:t>
            </w:r>
            <w:r>
              <w:rPr>
                <w:rFonts w:hint="eastAsia" w:cs="等线" w:asciiTheme="minorEastAsia" w:hAnsiTheme="minorEastAsia" w:eastAsiaTheme="minorEastAsia"/>
                <w:color w:val="000000"/>
                <w:sz w:val="24"/>
                <w:szCs w:val="24"/>
                <w:lang w:bidi="ar"/>
              </w:rPr>
              <w:t xml:space="preserve">栈</w:t>
            </w:r>
            <w:r>
              <w:rPr>
                <w:rFonts w:hint="eastAsia" w:cs="等线" w:asciiTheme="minorEastAsia" w:hAnsiTheme="minorEastAsia" w:eastAsiaTheme="minorEastAsia"/>
                <w:color w:val="000000"/>
                <w:sz w:val="24"/>
                <w:szCs w:val="24"/>
                <w:lang w:bidi="ar"/>
              </w:rPr>
              <w:t xml:space="preserve">；支持IPv6安全策略，包括访问控制策略、NAT策略、流量控制策略、黑名单、白名单、认证策略等</w:t>
            </w:r>
            <w:r/>
          </w:p>
        </w:tc>
      </w:tr>
      <w:tr>
        <w:trPr>
          <w:jc w:val="center"/>
          <w:trHeight w:val="463"/>
        </w:trPr>
        <w:tc>
          <w:tcPr>
            <w:shd w:val="clear" w:color="auto" w:fill="auto"/>
            <w:tcW w:w="962" w:type="pct"/>
            <w:vAlign w:val="center"/>
            <w:textDirection w:val="lrTb"/>
            <w:noWrap w:val="false"/>
          </w:tcPr>
          <w:p>
            <w:pPr>
              <w:jc w:val="center"/>
              <w:widowControl/>
              <w:rPr>
                <w:rFonts w:cs="等线" w:asciiTheme="minorEastAsia" w:hAnsiTheme="minorEastAsia" w:eastAsiaTheme="minorEastAsia"/>
                <w:sz w:val="24"/>
                <w:szCs w:val="24"/>
              </w:rPr>
            </w:pPr>
            <w:r>
              <w:rPr>
                <w:rFonts w:hint="eastAsia" w:cs="等线" w:asciiTheme="minorEastAsia" w:hAnsiTheme="minorEastAsia" w:eastAsiaTheme="minorEastAsia"/>
                <w:sz w:val="24"/>
                <w:szCs w:val="24"/>
              </w:rPr>
              <w:t xml:space="preserve">IPSec VPN</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sz w:val="24"/>
                <w:szCs w:val="24"/>
              </w:rPr>
              <w:t xml:space="preserve">支持IPSec VPN的协商方式为IKEv1和IKEv2</w:t>
            </w:r>
            <w:r>
              <w:rPr>
                <w:rFonts w:hint="eastAsia" w:cs="等线" w:asciiTheme="minorEastAsia" w:hAnsiTheme="minorEastAsia" w:eastAsiaTheme="minorEastAsia"/>
                <w:color w:val="000000"/>
                <w:sz w:val="24"/>
                <w:szCs w:val="24"/>
                <w:lang w:bidi="ar"/>
              </w:rPr>
              <w:t xml:space="preserve">。</w:t>
            </w:r>
            <w:r/>
          </w:p>
        </w:tc>
      </w:tr>
      <w:tr>
        <w:trPr>
          <w:jc w:val="center"/>
          <w:trHeight w:val="69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SSL VPN</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支持SSL VPN功能。SSL VPN的PC客户端支持Windows、macOS</w:t>
            </w:r>
            <w:r>
              <w:rPr>
                <w:rFonts w:hint="eastAsia" w:cs="等线" w:asciiTheme="minorEastAsia" w:hAnsiTheme="minorEastAsia" w:eastAsiaTheme="minorEastAsia"/>
                <w:color w:val="000000"/>
                <w:sz w:val="24"/>
                <w:szCs w:val="24"/>
                <w:lang w:eastAsia="zh-Hans" w:bidi="ar"/>
              </w:rPr>
              <w:t xml:space="preserve">等</w:t>
            </w:r>
            <w:r>
              <w:rPr>
                <w:rFonts w:hint="eastAsia" w:cs="等线" w:asciiTheme="minorEastAsia" w:hAnsiTheme="minorEastAsia" w:eastAsiaTheme="minorEastAsia"/>
                <w:color w:val="000000"/>
                <w:sz w:val="24"/>
                <w:szCs w:val="24"/>
                <w:lang w:bidi="ar"/>
              </w:rPr>
              <w:t xml:space="preserve">操作系统。</w:t>
            </w:r>
            <w:r/>
          </w:p>
        </w:tc>
      </w:tr>
      <w:tr>
        <w:trPr>
          <w:jc w:val="center"/>
          <w:trHeight w:val="943"/>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资产管理</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sz w:val="24"/>
                <w:szCs w:val="24"/>
                <w:lang w:eastAsia="zh-Hans"/>
              </w:rPr>
              <w:t xml:space="preserve">★支持资产梳理、漏洞扫描、弱密码扫描的场景化配置模板可应用到多级部门组织架构。</w:t>
            </w:r>
            <w:r>
              <w:rPr>
                <w:rFonts w:hint="eastAsia" w:cs="等线" w:asciiTheme="minorEastAsia" w:hAnsiTheme="minorEastAsia" w:eastAsiaTheme="minorEastAsia"/>
                <w:color w:val="ff0000"/>
                <w:sz w:val="24"/>
                <w:szCs w:val="24"/>
                <w:lang w:eastAsia="zh-Hans"/>
              </w:rPr>
              <w:t xml:space="preserve">（需提供产品功能证明截图）</w:t>
            </w:r>
            <w:r/>
          </w:p>
        </w:tc>
      </w:tr>
      <w:tr>
        <w:trPr>
          <w:jc w:val="center"/>
          <w:trHeight w:val="1711"/>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资产扫描</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sz w:val="24"/>
                <w:szCs w:val="24"/>
                <w:lang w:eastAsia="zh-Hans"/>
              </w:rPr>
              <w:t xml:space="preserve">★支持基于主机、软件维度的资产发现，可识别资产所属厂商、IPv4地址、IPv6地址、MAC地址、资产类型、操作系统、用户、位置、价值、风险、弱密码、软件等信息；可识别软件IP地址、软件类型、软件名称、版本、Banner、协议、端口、用户等信息。</w:t>
            </w:r>
            <w:r>
              <w:rPr>
                <w:rFonts w:hint="eastAsia" w:cs="等线" w:asciiTheme="minorEastAsia" w:hAnsiTheme="minorEastAsia" w:eastAsiaTheme="minorEastAsia"/>
                <w:color w:val="ff0000"/>
                <w:sz w:val="24"/>
                <w:szCs w:val="24"/>
                <w:lang w:eastAsia="zh-Hans"/>
              </w:rPr>
              <w:t xml:space="preserve">（需提供产品功能证明截图）</w:t>
            </w:r>
            <w:r/>
          </w:p>
        </w:tc>
      </w:tr>
      <w:tr>
        <w:trPr>
          <w:jc w:val="center"/>
          <w:trHeight w:val="1348"/>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漏洞扫描</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171a1d"/>
                <w:sz w:val="24"/>
                <w:szCs w:val="24"/>
                <w:shd w:val="clear" w:color="auto" w:fill="ffffff"/>
              </w:rPr>
              <w:t xml:space="preserve">漏洞扫描支持产品内置的默认模板以及自定义模板进行漏洞扫描，可扫描出漏洞名称、漏洞级别、漏洞描述、CVE-ID、CNNVD-ID等信息；</w:t>
            </w:r>
            <w:r>
              <w:rPr>
                <w:rFonts w:hint="eastAsia" w:cs="等线" w:asciiTheme="minorEastAsia" w:hAnsiTheme="minorEastAsia" w:eastAsiaTheme="minorEastAsia"/>
                <w:color w:val="000000"/>
                <w:sz w:val="24"/>
                <w:szCs w:val="24"/>
                <w:lang w:bidi="ar"/>
              </w:rPr>
              <w:t xml:space="preserve">支持查看资产关联的漏洞信息，并跳转到详情。</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356"/>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弱密码扫描</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000000"/>
                <w:sz w:val="24"/>
                <w:szCs w:val="24"/>
                <w:lang w:bidi="ar"/>
              </w:rPr>
              <w:t xml:space="preserve">支持对SSH、FTP等协议的弱密码扫描，扫描使用的密码表支持系统预置的完整表，常用表以及自定义表，可扫描IP地址、端口、服务、用户名、弱密码、风险等级等信息。</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633"/>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访问控制</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000000"/>
                <w:sz w:val="24"/>
                <w:szCs w:val="24"/>
                <w:lang w:bidi="ar"/>
              </w:rPr>
              <w:t xml:space="preserve">支持一体化安全策略：可基于安全域、MAC地址、IP地址、服务、时间、用户、应用等属性，配置防病毒、入侵防御、内容过滤、URL过滤、文件过滤、Web防护、SSL解密、弱密码防护、防暴力破解、会话老化时间等高级访问控制功能；支持图形化整体策略展示效果。</w:t>
            </w:r>
            <w:r>
              <w:rPr>
                <w:rFonts w:hint="eastAsia" w:cs="等线" w:asciiTheme="minorEastAsia" w:hAnsiTheme="minorEastAsia" w:eastAsiaTheme="minorEastAsia"/>
                <w:color w:val="ff0000"/>
                <w:sz w:val="24"/>
                <w:szCs w:val="24"/>
              </w:rPr>
              <w:t xml:space="preserve">（需提供产品功能证明）</w:t>
            </w:r>
            <w:r/>
          </w:p>
        </w:tc>
      </w:tr>
      <w:tr>
        <w:trPr>
          <w:jc w:val="center"/>
          <w:trHeight w:val="342"/>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入侵防御</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000000"/>
                <w:sz w:val="24"/>
                <w:szCs w:val="24"/>
                <w:lang w:bidi="ar"/>
              </w:rPr>
              <w:t xml:space="preserve">系统预定</w:t>
            </w:r>
            <w:r>
              <w:rPr>
                <w:rFonts w:hint="eastAsia" w:cs="等线" w:asciiTheme="minorEastAsia" w:hAnsiTheme="minorEastAsia" w:eastAsiaTheme="minorEastAsia"/>
                <w:color w:val="000000"/>
                <w:sz w:val="24"/>
                <w:szCs w:val="24"/>
                <w:lang w:bidi="ar"/>
              </w:rPr>
              <w:t xml:space="preserve">义超过</w:t>
            </w:r>
            <w:r>
              <w:rPr>
                <w:rFonts w:hint="eastAsia" w:cs="等线" w:asciiTheme="minorEastAsia" w:hAnsiTheme="minorEastAsia" w:eastAsiaTheme="minorEastAsia"/>
                <w:color w:val="000000"/>
                <w:sz w:val="24"/>
                <w:szCs w:val="24"/>
                <w:lang w:bidi="ar"/>
              </w:rPr>
              <w:t xml:space="preserve">11000条主流攻击规则，包含对应IPS规则的级别、防护对象、操作系统、CVE编号等详细信息。</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775"/>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病毒防护</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000000"/>
                <w:sz w:val="24"/>
                <w:szCs w:val="24"/>
                <w:lang w:bidi="ar"/>
              </w:rPr>
              <w:t xml:space="preserve">系统定义最大超过800万条主流病毒检测规则。</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2023"/>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Web防护</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000000"/>
                <w:sz w:val="24"/>
                <w:szCs w:val="24"/>
                <w:lang w:bidi="ar"/>
              </w:rPr>
              <w:t xml:space="preserve">支持独立的Web防护模块，系统定义超过4500条WAF规则防护功能，支持常规HTTP漏洞、SQL注入、组件、CMS、WebShell和XSS等类型的Web防护；支持HTTP协议的URL、Method、Referer、User-Agent、Cookie、URL-args等字段的等于、不等于、包含、不包含、正则等多种匹配方式的访问控制。</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602"/>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威胁情报</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color w:val="000000"/>
                <w:sz w:val="24"/>
                <w:szCs w:val="24"/>
                <w:lang w:bidi="ar"/>
              </w:rPr>
              <w:t xml:space="preserve">热点威胁资讯：支持查看最近的热点威胁资讯，包含热点威胁咨询的名称、详细信息、作者、时间、关联域名、IP、文件HASH；支持针对威胁资讯进行防护，并在界面展示已防护的</w:t>
            </w:r>
            <w:r>
              <w:rPr>
                <w:rFonts w:hint="eastAsia" w:cs="等线" w:asciiTheme="minorEastAsia" w:hAnsiTheme="minorEastAsia" w:eastAsiaTheme="minorEastAsia"/>
                <w:color w:val="000000"/>
                <w:sz w:val="24"/>
                <w:szCs w:val="24"/>
                <w:lang w:eastAsia="zh-Hans" w:bidi="ar"/>
              </w:rPr>
              <w:t xml:space="preserve">威胁</w:t>
            </w:r>
            <w:r>
              <w:rPr>
                <w:rFonts w:hint="eastAsia" w:cs="等线" w:asciiTheme="minorEastAsia" w:hAnsiTheme="minorEastAsia" w:eastAsiaTheme="minorEastAsia"/>
                <w:color w:val="000000"/>
                <w:sz w:val="24"/>
                <w:szCs w:val="24"/>
                <w:lang w:bidi="ar"/>
              </w:rPr>
              <w:t xml:space="preserve">资讯。</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90"/>
        </w:trPr>
        <w:tc>
          <w:tcPr>
            <w:shd w:val="clear" w:color="auto" w:fill="auto"/>
            <w:tcW w:w="962" w:type="pct"/>
            <w:vAlign w:val="center"/>
            <w:textDirection w:val="lrTb"/>
            <w:noWrap w:val="false"/>
          </w:tcPr>
          <w:p>
            <w:pPr>
              <w:jc w:val="center"/>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应用识别</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sz w:val="24"/>
                <w:szCs w:val="24"/>
              </w:rPr>
            </w:pPr>
            <w:r>
              <w:rPr>
                <w:rFonts w:hint="eastAsia" w:cs="等线" w:asciiTheme="minorEastAsia" w:hAnsiTheme="minorEastAsia" w:eastAsiaTheme="minorEastAsia"/>
                <w:color w:val="000000"/>
                <w:sz w:val="24"/>
                <w:szCs w:val="24"/>
                <w:lang w:bidi="ar"/>
              </w:rPr>
              <w:t xml:space="preserve">系统定义最大超过6000种主流应用，支持识别多种主流应用</w:t>
            </w:r>
            <w:r>
              <w:rPr>
                <w:rFonts w:hint="eastAsia" w:cs="等线" w:asciiTheme="minorEastAsia" w:hAnsiTheme="minorEastAsia" w:eastAsiaTheme="minorEastAsia"/>
                <w:sz w:val="24"/>
                <w:szCs w:val="24"/>
              </w:rPr>
              <w:t xml:space="preserve">，支持应用自定义并对自定义的应用进行分组，支持根据标签选择应用，支持自定义应用的导入和导出；支持通过</w:t>
            </w:r>
            <w:r>
              <w:rPr>
                <w:rFonts w:hint="eastAsia" w:cs="等线" w:asciiTheme="minorEastAsia" w:hAnsiTheme="minorEastAsia" w:eastAsiaTheme="minorEastAsia"/>
                <w:sz w:val="24"/>
                <w:szCs w:val="24"/>
                <w:lang w:eastAsia="zh-Hans"/>
              </w:rPr>
              <w:t xml:space="preserve">立即升级</w:t>
            </w:r>
            <w:r>
              <w:rPr>
                <w:rFonts w:hint="eastAsia" w:cs="等线" w:asciiTheme="minorEastAsia" w:hAnsiTheme="minorEastAsia" w:eastAsiaTheme="minorEastAsia"/>
                <w:sz w:val="24"/>
                <w:szCs w:val="24"/>
              </w:rPr>
              <w:t xml:space="preserve">、定时</w:t>
            </w:r>
            <w:r>
              <w:rPr>
                <w:rFonts w:hint="eastAsia" w:cs="等线" w:asciiTheme="minorEastAsia" w:hAnsiTheme="minorEastAsia" w:eastAsiaTheme="minorEastAsia"/>
                <w:sz w:val="24"/>
                <w:szCs w:val="24"/>
                <w:lang w:eastAsia="zh-Hans"/>
              </w:rPr>
              <w:t xml:space="preserve">升级</w:t>
            </w:r>
            <w:r>
              <w:rPr>
                <w:rFonts w:hint="eastAsia" w:cs="等线" w:asciiTheme="minorEastAsia" w:hAnsiTheme="minorEastAsia" w:eastAsiaTheme="minorEastAsia"/>
                <w:sz w:val="24"/>
                <w:szCs w:val="24"/>
              </w:rPr>
              <w:t xml:space="preserve">、</w:t>
            </w:r>
            <w:r>
              <w:rPr>
                <w:rFonts w:hint="eastAsia" w:cs="等线" w:asciiTheme="minorEastAsia" w:hAnsiTheme="minorEastAsia" w:eastAsiaTheme="minorEastAsia"/>
                <w:sz w:val="24"/>
                <w:szCs w:val="24"/>
                <w:lang w:eastAsia="zh-Hans"/>
              </w:rPr>
              <w:t xml:space="preserve">手动</w:t>
            </w:r>
            <w:r>
              <w:rPr>
                <w:rFonts w:hint="eastAsia" w:cs="等线" w:asciiTheme="minorEastAsia" w:hAnsiTheme="minorEastAsia" w:eastAsiaTheme="minorEastAsia"/>
                <w:sz w:val="24"/>
                <w:szCs w:val="24"/>
              </w:rPr>
              <w:t xml:space="preserve">上</w:t>
            </w:r>
            <w:r>
              <w:rPr>
                <w:rFonts w:hint="eastAsia" w:cs="等线" w:asciiTheme="minorEastAsia" w:hAnsiTheme="minorEastAsia" w:eastAsiaTheme="minorEastAsia"/>
                <w:sz w:val="24"/>
                <w:szCs w:val="24"/>
              </w:rPr>
              <w:t xml:space="preserve">传文件三种方式升级应用特征库，支持显示升级历史和升级结果</w:t>
            </w:r>
            <w:r/>
          </w:p>
        </w:tc>
      </w:tr>
      <w:tr>
        <w:trPr>
          <w:jc w:val="center"/>
          <w:trHeight w:val="423"/>
        </w:trPr>
        <w:tc>
          <w:tcPr>
            <w:shd w:val="clear" w:color="auto" w:fill="auto"/>
            <w:tcW w:w="962" w:type="pct"/>
            <w:vAlign w:val="center"/>
            <w:textDirection w:val="lrTb"/>
            <w:noWrap w:val="false"/>
          </w:tcPr>
          <w:p>
            <w:pPr>
              <w:jc w:val="center"/>
              <w:widowControl/>
              <w:rPr>
                <w:rFonts w:cs="等线" w:asciiTheme="minorEastAsia" w:hAnsiTheme="minorEastAsia" w:eastAsiaTheme="minorEastAsia"/>
                <w:sz w:val="24"/>
                <w:szCs w:val="24"/>
              </w:rPr>
            </w:pPr>
            <w:r>
              <w:rPr>
                <w:rFonts w:hint="eastAsia" w:cs="等线" w:asciiTheme="minorEastAsia" w:hAnsiTheme="minorEastAsia" w:eastAsiaTheme="minorEastAsia"/>
                <w:sz w:val="24"/>
                <w:szCs w:val="24"/>
              </w:rPr>
              <w:t xml:space="preserve">策略分析</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★提供对控制策略、上网认证策略、带宽策略、策略路由、源NAT等策略的策略分析，可分析并展示问题策略数量以及所占百分比、问题策略详情、策略宽松度分布情况，简化运维工作。</w:t>
            </w:r>
            <w:r>
              <w:rPr>
                <w:rFonts w:hint="eastAsia" w:cs="等线" w:asciiTheme="minorEastAsia" w:hAnsiTheme="minorEastAsia" w:eastAsiaTheme="minorEastAsia"/>
                <w:color w:val="ff0000"/>
                <w:sz w:val="24"/>
                <w:szCs w:val="24"/>
                <w:lang w:bidi="ar"/>
              </w:rPr>
              <w:t xml:space="preserve">（需提供产品功能证明截图）</w:t>
            </w:r>
            <w:r/>
          </w:p>
        </w:tc>
      </w:tr>
      <w:tr>
        <w:trPr>
          <w:jc w:val="center"/>
          <w:trHeight w:val="1248"/>
        </w:trPr>
        <w:tc>
          <w:tcPr>
            <w:shd w:val="clear" w:color="auto" w:fill="auto"/>
            <w:tcW w:w="962" w:type="pct"/>
            <w:vAlign w:val="center"/>
            <w:textDirection w:val="lrTb"/>
            <w:noWrap w:val="false"/>
          </w:tcPr>
          <w:p>
            <w:pPr>
              <w:jc w:val="center"/>
              <w:widowControl/>
              <w:rPr>
                <w:rFonts w:cs="等线" w:asciiTheme="minorEastAsia" w:hAnsiTheme="minorEastAsia" w:eastAsiaTheme="minorEastAsia"/>
                <w:sz w:val="24"/>
                <w:szCs w:val="24"/>
                <w:lang w:eastAsia="zh-Hans"/>
              </w:rPr>
            </w:pPr>
            <w:r>
              <w:rPr>
                <w:rFonts w:hint="eastAsia" w:cs="等线" w:asciiTheme="minorEastAsia" w:hAnsiTheme="minorEastAsia" w:eastAsiaTheme="minorEastAsia"/>
                <w:sz w:val="24"/>
                <w:szCs w:val="24"/>
                <w:lang w:eastAsia="zh-Hans"/>
              </w:rPr>
              <w:t xml:space="preserve">智能模式</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color w:val="000000"/>
                <w:sz w:val="24"/>
                <w:szCs w:val="24"/>
                <w:lang w:bidi="ar"/>
              </w:rPr>
            </w:pPr>
            <w:r>
              <w:rPr>
                <w:rFonts w:hint="eastAsia" w:cs="等线" w:asciiTheme="minorEastAsia" w:hAnsiTheme="minorEastAsia" w:eastAsiaTheme="minorEastAsia"/>
                <w:color w:val="000000"/>
                <w:sz w:val="24"/>
                <w:szCs w:val="24"/>
                <w:lang w:bidi="ar"/>
              </w:rPr>
              <w:t xml:space="preserve">★安全模式支持智能模式和普通模式。在普通模式下，安全引擎处理网络报文遇到资源不足时会将报文直接丢弃，会影响网络转发；在智能模式下，安全引擎将尽可能的处理网络报文，但不影响网络转发。</w:t>
            </w:r>
            <w:r>
              <w:rPr>
                <w:rFonts w:hint="eastAsia" w:cs="等线" w:asciiTheme="minorEastAsia" w:hAnsiTheme="minorEastAsia" w:eastAsiaTheme="minorEastAsia"/>
                <w:color w:val="ff0000"/>
                <w:sz w:val="24"/>
                <w:szCs w:val="24"/>
              </w:rPr>
              <w:t xml:space="preserve">（需提供产品功能证明截图）</w:t>
            </w:r>
            <w:r/>
          </w:p>
        </w:tc>
      </w:tr>
      <w:tr>
        <w:trPr>
          <w:jc w:val="center"/>
          <w:trHeight w:val="1248"/>
        </w:trPr>
        <w:tc>
          <w:tcPr>
            <w:shd w:val="clear" w:color="auto" w:fill="auto"/>
            <w:tcW w:w="962" w:type="pct"/>
            <w:vAlign w:val="center"/>
            <w:textDirection w:val="lrTb"/>
            <w:noWrap w:val="false"/>
          </w:tcPr>
          <w:p>
            <w:pPr>
              <w:jc w:val="center"/>
              <w:widowControl/>
              <w:rPr>
                <w:rFonts w:cs="等线" w:asciiTheme="minorEastAsia" w:hAnsiTheme="minorEastAsia" w:eastAsiaTheme="minorEastAsia"/>
                <w:sz w:val="24"/>
                <w:szCs w:val="24"/>
              </w:rPr>
            </w:pPr>
            <w:r>
              <w:rPr>
                <w:rFonts w:hint="eastAsia" w:cs="等线" w:asciiTheme="minorEastAsia" w:hAnsiTheme="minorEastAsia" w:eastAsiaTheme="minorEastAsia"/>
                <w:sz w:val="24"/>
                <w:szCs w:val="24"/>
                <w:lang w:eastAsia="zh-Hans"/>
              </w:rPr>
              <w:t xml:space="preserve">AI客服助手</w:t>
            </w:r>
            <w:r/>
          </w:p>
        </w:tc>
        <w:tc>
          <w:tcPr>
            <w:shd w:val="clear" w:color="auto" w:fill="auto"/>
            <w:tcW w:w="4038" w:type="pct"/>
            <w:vAlign w:val="center"/>
            <w:textDirection w:val="lrTb"/>
            <w:noWrap w:val="false"/>
          </w:tcPr>
          <w:p>
            <w:pPr>
              <w:jc w:val="left"/>
              <w:widowControl/>
              <w:rPr>
                <w:rFonts w:cs="等线" w:asciiTheme="minorEastAsia" w:hAnsiTheme="minorEastAsia" w:eastAsiaTheme="minorEastAsia"/>
                <w:sz w:val="24"/>
                <w:szCs w:val="24"/>
                <w:lang w:eastAsia="zh-Hans"/>
              </w:rPr>
            </w:pPr>
            <w:r>
              <w:rPr>
                <w:rFonts w:hint="eastAsia" w:cs="等线" w:asciiTheme="minorEastAsia" w:hAnsiTheme="minorEastAsia" w:eastAsiaTheme="minorEastAsia"/>
                <w:color w:val="000000"/>
                <w:sz w:val="24"/>
                <w:szCs w:val="24"/>
                <w:lang w:bidi="ar"/>
              </w:rPr>
              <w:t xml:space="preserve">★</w:t>
            </w:r>
            <w:r>
              <w:rPr>
                <w:rFonts w:hint="eastAsia" w:cs="等线" w:asciiTheme="minorEastAsia" w:hAnsiTheme="minorEastAsia" w:eastAsiaTheme="minorEastAsia"/>
                <w:sz w:val="24"/>
                <w:szCs w:val="24"/>
                <w:lang w:eastAsia="zh-Hans"/>
              </w:rPr>
              <w:t xml:space="preserve">支持内嵌AI客服助手，通过AI客服助手为客户提供在线知识检索、恶意代码检测、威胁情报分析、安全教育的能力，协助用户完成异常事件解读、告警深度分析、策略分析等工作。</w:t>
            </w:r>
            <w:r>
              <w:rPr>
                <w:rFonts w:hint="eastAsia" w:cs="等线" w:asciiTheme="minorEastAsia" w:hAnsiTheme="minorEastAsia" w:eastAsiaTheme="minorEastAsia"/>
                <w:color w:val="ff0000"/>
                <w:sz w:val="24"/>
                <w:szCs w:val="24"/>
              </w:rPr>
              <w:t xml:space="preserve">（需提供产品功能证明截图）</w:t>
            </w:r>
            <w:r/>
          </w:p>
        </w:tc>
      </w:tr>
    </w:tbl>
    <w:p>
      <w:pPr>
        <w:pStyle w:val="1051"/>
        <w:ind w:firstLine="480"/>
        <w:spacing w:line="360" w:lineRule="auto"/>
        <w:rPr>
          <w:rFonts w:ascii="宋体" w:hAnsi="宋体" w:cs="宋体"/>
          <w:sz w:val="24"/>
          <w:szCs w:val="24"/>
        </w:rPr>
      </w:pPr>
      <w:r>
        <w:rPr>
          <w:rFonts w:ascii="宋体" w:hAnsi="宋体" w:cs="宋体"/>
          <w:sz w:val="24"/>
          <w:szCs w:val="24"/>
        </w:rPr>
      </w:r>
      <w:r/>
    </w:p>
    <w:p>
      <w:pPr>
        <w:pStyle w:val="1049"/>
        <w:ind w:firstLine="480"/>
      </w:pPr>
      <w:r>
        <w:rPr>
          <w:rFonts w:hint="eastAsia"/>
        </w:rPr>
        <w:t xml:space="preserve">防火墙技术参数</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1、防火墙必须满足【财库〔2023〕7号】财政部 生态环境部 工业和信息化部关于印发《绿色数据中心政府采购需求标准（试行）》的通知中的防火墙设备政府采购需求标准；【投标人需按技术参数要求内容填写《技术参数响应及偏离表》并提供承诺函，加盖公章扫描上传】</w:t>
      </w:r>
      <w:r/>
    </w:p>
    <w:p>
      <w:pPr>
        <w:pStyle w:val="802"/>
        <w:ind w:firstLine="480"/>
        <w:spacing w:line="360" w:lineRule="auto"/>
      </w:pPr>
      <w:r>
        <w:rPr>
          <w:rFonts w:hint="eastAsia" w:hAnsi="宋体" w:cs="宋体"/>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center"/>
        <w:spacing w:after="120"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网络防火墙技术指标要求</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6"/>
        <w:gridCol w:w="1220"/>
        <w:gridCol w:w="1843"/>
        <w:gridCol w:w="1418"/>
        <w:gridCol w:w="1405"/>
        <w:gridCol w:w="2138"/>
      </w:tblGrid>
      <w:tr>
        <w:trPr/>
        <w:tc>
          <w:tcPr>
            <w:shd w:val="clear" w:color="auto" w:fill="auto"/>
            <w:tcW w:w="476" w:type="dxa"/>
            <w:vAlign w:val="center"/>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3"/>
            <w:shd w:val="clear" w:color="auto" w:fill="d8d8d8"/>
            <w:tcW w:w="4481"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指标</w:t>
            </w:r>
            <w:r/>
          </w:p>
        </w:tc>
        <w:tc>
          <w:tcPr>
            <w:shd w:val="clear" w:color="auto" w:fill="d8d8d8"/>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限制值</w:t>
            </w:r>
            <w:r/>
          </w:p>
        </w:tc>
        <w:tc>
          <w:tcPr>
            <w:shd w:val="clear" w:color="auto" w:fill="d8d8d8"/>
            <w:tcW w:w="2138"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判定依据</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方法</w:t>
            </w:r>
            <w:r/>
          </w:p>
        </w:tc>
      </w:tr>
      <w:tr>
        <w:trPr/>
        <w:tc>
          <w:tcPr>
            <w:shd w:val="clear" w:color="auto" w:fill="auto"/>
            <w:tcW w:w="476"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shd w:val="clear" w:color="auto" w:fill="auto"/>
            <w:tcW w:w="1220" w:type="dxa"/>
            <w:vAlign w:val="center"/>
            <w:vMerge w:val="restart"/>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固定端口防火墙产品轻量化指标要求</w:t>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吞吐量档位40G以上</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36 dm</w:t>
            </w:r>
            <w:r>
              <w:rPr>
                <w:rFonts w:asciiTheme="minorEastAsia" w:hAnsiTheme="minorEastAsia" w:eastAsiaTheme="minorEastAsia"/>
                <w:sz w:val="24"/>
                <w:szCs w:val="24"/>
                <w:vertAlign w:val="superscript"/>
              </w:rPr>
              <w:t xml:space="preserve">3</w:t>
            </w:r>
            <w:r/>
          </w:p>
        </w:tc>
        <w:tc>
          <w:tcPr>
            <w:shd w:val="clear" w:color="auto" w:fill="auto"/>
            <w:tcW w:w="2138"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1．体积指产品长*高*深（不含挂耳、走线齿）</w:t>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2．吞吐量采用IPV4协议类型</w:t>
            </w:r>
            <w:r/>
          </w:p>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 附录F要求</w:t>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功耗</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5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吞吐量档位30G以上~40G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18 dm</w:t>
            </w:r>
            <w:r>
              <w:rPr>
                <w:rFonts w:asciiTheme="minorEastAsia" w:hAnsiTheme="minorEastAsia" w:eastAsiaTheme="minorEastAsia"/>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功耗</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6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吞吐量档位20G以上~30G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18 dm</w:t>
            </w:r>
            <w:r>
              <w:rPr>
                <w:rFonts w:asciiTheme="minorEastAsia" w:hAnsiTheme="minorEastAsia" w:eastAsiaTheme="minorEastAsia"/>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功耗</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16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吞吐量档位10G以上~20G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12 dm</w:t>
            </w:r>
            <w:r>
              <w:rPr>
                <w:rFonts w:asciiTheme="minorEastAsia" w:hAnsiTheme="minorEastAsia" w:eastAsiaTheme="minorEastAsia"/>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36"/>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功耗</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23</w:t>
            </w:r>
            <w:r>
              <w:rPr>
                <w:rFonts w:asciiTheme="minorEastAsia" w:hAnsiTheme="minorEastAsia" w:eastAsiaTheme="minorEastAsia"/>
                <w:sz w:val="24"/>
                <w:szCs w:val="24"/>
              </w:rPr>
              <w:t xml:space="preserve">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吞吐量档位1G</w:t>
            </w:r>
            <w:r>
              <w:rPr>
                <w:rFonts w:asciiTheme="minorEastAsia" w:hAnsiTheme="minorEastAsia" w:eastAsiaTheme="minorEastAsia"/>
                <w:sz w:val="24"/>
                <w:szCs w:val="24"/>
              </w:rPr>
              <w:t xml:space="preserve">以上~10G</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12 dm</w:t>
            </w:r>
            <w:r>
              <w:rPr>
                <w:rFonts w:asciiTheme="minorEastAsia" w:hAnsiTheme="minorEastAsia" w:eastAsiaTheme="minorEastAsia"/>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功耗</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25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吞吐量档位1G及以下</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体积上限</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10 dm</w:t>
            </w:r>
            <w:r>
              <w:rPr>
                <w:rFonts w:asciiTheme="minorEastAsia" w:hAnsiTheme="minorEastAsia" w:eastAsiaTheme="minorEastAsia"/>
                <w:sz w:val="24"/>
                <w:szCs w:val="24"/>
                <w:vertAlign w:val="superscript"/>
              </w:rPr>
              <w:t xml:space="preserve">3</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220"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功耗</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吞吐量</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65</w:t>
            </w:r>
            <w:r>
              <w:rPr>
                <w:rFonts w:asciiTheme="minorEastAsia" w:hAnsiTheme="minorEastAsia" w:eastAsiaTheme="minorEastAsia"/>
                <w:sz w:val="24"/>
                <w:szCs w:val="24"/>
              </w:rPr>
              <w:t xml:space="preserve"> W/Gbps</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gridSpan w:val="2"/>
            <w:shd w:val="clear" w:color="auto" w:fill="auto"/>
            <w:tcW w:w="3063"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固定端口防火墙外部电源</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能耗</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GB20943</w:t>
            </w:r>
            <w:r>
              <w:rPr>
                <w:rFonts w:hint="eastAsia" w:asciiTheme="minorEastAsia" w:hAnsiTheme="minorEastAsia" w:eastAsiaTheme="minorEastAsia"/>
                <w:sz w:val="24"/>
                <w:szCs w:val="24"/>
              </w:rPr>
              <w:t xml:space="preserve">的节能评价值</w:t>
            </w:r>
            <w:r/>
          </w:p>
        </w:tc>
        <w:tc>
          <w:tcPr>
            <w:shd w:val="clear" w:color="auto" w:fill="auto"/>
            <w:tcW w:w="2138" w:type="dxa"/>
            <w:vAlign w:val="center"/>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检测方法依据</w:t>
            </w:r>
            <w:r>
              <w:rPr>
                <w:rFonts w:asciiTheme="minorEastAsia" w:hAnsiTheme="minorEastAsia" w:eastAsiaTheme="minorEastAsia"/>
                <w:sz w:val="24"/>
                <w:szCs w:val="24"/>
              </w:rPr>
              <w:t xml:space="preserve">GB 20943</w:t>
            </w:r>
            <w:r>
              <w:rPr>
                <w:rFonts w:hint="eastAsia" w:asciiTheme="minorEastAsia" w:hAnsiTheme="minorEastAsia" w:eastAsiaTheme="minorEastAsia"/>
                <w:sz w:val="24"/>
                <w:szCs w:val="24"/>
              </w:rPr>
              <w:t xml:space="preserve">要求执行</w:t>
            </w:r>
            <w:r/>
          </w:p>
        </w:tc>
      </w:tr>
      <w:tr>
        <w:trPr/>
        <w:tc>
          <w:tcPr>
            <w:shd w:val="clear" w:color="auto" w:fill="auto"/>
            <w:tcW w:w="476" w:type="dxa"/>
            <w:vAlign w:val="center"/>
            <w:vMerge w:val="restart"/>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gridSpan w:val="2"/>
            <w:shd w:val="clear" w:color="auto" w:fill="auto"/>
            <w:tcW w:w="3063" w:type="dxa"/>
            <w:vAlign w:val="center"/>
            <w:vMerge w:val="restart"/>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内部电源输出效率</w:t>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20%负载</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85%</w:t>
            </w:r>
            <w:r/>
          </w:p>
        </w:tc>
        <w:tc>
          <w:tcPr>
            <w:shd w:val="clear" w:color="auto" w:fill="auto"/>
            <w:tcW w:w="2138" w:type="dxa"/>
            <w:vAlign w:val="center"/>
            <w:vMerge w:val="restart"/>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检测方法依据</w:t>
            </w:r>
            <w:r>
              <w:rPr>
                <w:rFonts w:asciiTheme="minorEastAsia" w:hAnsiTheme="minorEastAsia" w:eastAsiaTheme="minorEastAsia"/>
                <w:sz w:val="24"/>
                <w:szCs w:val="24"/>
              </w:rPr>
              <w:t xml:space="preserve">HJ 2507</w:t>
            </w:r>
            <w:r>
              <w:rPr>
                <w:rFonts w:hint="eastAsia" w:asciiTheme="minorEastAsia" w:hAnsiTheme="minorEastAsia" w:eastAsiaTheme="minorEastAsia"/>
                <w:sz w:val="24"/>
                <w:szCs w:val="24"/>
              </w:rPr>
              <w:t xml:space="preserve">附录</w:t>
            </w:r>
            <w:r>
              <w:rPr>
                <w:rFonts w:asciiTheme="minorEastAsia" w:hAnsiTheme="minorEastAsia" w:eastAsiaTheme="minorEastAsia"/>
                <w:sz w:val="24"/>
                <w:szCs w:val="24"/>
              </w:rPr>
              <w:t xml:space="preserve">B</w:t>
            </w:r>
            <w:r>
              <w:rPr>
                <w:rFonts w:hint="eastAsia" w:asciiTheme="minorEastAsia" w:hAnsiTheme="minorEastAsia" w:eastAsiaTheme="minorEastAsia"/>
                <w:sz w:val="24"/>
                <w:szCs w:val="24"/>
              </w:rPr>
              <w:t xml:space="preserve">要求执行</w:t>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shd w:val="clear" w:color="auto" w:fill="auto"/>
            <w:tcW w:w="306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50%负载</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89%</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gridSpan w:val="2"/>
            <w:shd w:val="clear" w:color="auto" w:fill="auto"/>
            <w:tcW w:w="3063"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418" w:type="dxa"/>
            <w:vAlign w:val="center"/>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100%负载</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85%</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c>
          <w:tcPr>
            <w:shd w:val="clear" w:color="auto" w:fill="auto"/>
            <w:tcW w:w="476" w:type="dxa"/>
            <w:vAlign w:val="center"/>
            <w:textDirection w:val="lrTb"/>
            <w:noWrap w:val="false"/>
          </w:tcPr>
          <w:p>
            <w:pPr>
              <w:pStyle w:val="842"/>
              <w:ind w:left="0"/>
              <w:spacing w:line="276" w:lineRule="auto"/>
              <w:rPr>
                <w:rFonts w:asciiTheme="minorEastAsia" w:hAnsiTheme="minorEastAsia" w:eastAsiaTheme="minorEastAsia"/>
              </w:rPr>
            </w:pPr>
            <w:r>
              <w:rPr>
                <w:rFonts w:asciiTheme="minorEastAsia" w:hAnsiTheme="minorEastAsia" w:eastAsiaTheme="minorEastAsia"/>
              </w:rPr>
              <w:t xml:space="preserve">4</w:t>
            </w:r>
            <w:r/>
          </w:p>
        </w:tc>
        <w:tc>
          <w:tcPr>
            <w:gridSpan w:val="3"/>
            <w:shd w:val="clear" w:color="auto" w:fill="auto"/>
            <w:tcW w:w="4481" w:type="dxa"/>
            <w:vAlign w:val="center"/>
            <w:textDirection w:val="lrTb"/>
            <w:noWrap w:val="false"/>
          </w:tcPr>
          <w:p>
            <w:pPr>
              <w:pStyle w:val="842"/>
              <w:ind w:left="0"/>
              <w:spacing w:line="276" w:lineRule="auto"/>
              <w:rPr>
                <w:rFonts w:asciiTheme="minorEastAsia" w:hAnsiTheme="minorEastAsia" w:eastAsiaTheme="minorEastAsia"/>
                <w:lang w:eastAsia="zh-CN"/>
              </w:rPr>
            </w:pPr>
            <w:r>
              <w:rPr>
                <w:rFonts w:hint="eastAsia" w:asciiTheme="minorEastAsia" w:hAnsiTheme="minorEastAsia" w:eastAsiaTheme="minorEastAsia"/>
                <w:lang w:eastAsia="zh-CN"/>
              </w:rPr>
              <w:t xml:space="preserve">单路电源最低功率因数</w:t>
            </w:r>
            <w:r>
              <w:rPr>
                <w:rFonts w:asciiTheme="minorEastAsia" w:hAnsiTheme="minorEastAsia" w:eastAsiaTheme="minorEastAsia"/>
                <w:lang w:eastAsia="zh-CN"/>
              </w:rPr>
              <w:t xml:space="preserve">(50%</w:t>
            </w:r>
            <w:r>
              <w:rPr>
                <w:rFonts w:hint="eastAsia" w:asciiTheme="minorEastAsia" w:hAnsiTheme="minorEastAsia" w:eastAsiaTheme="minorEastAsia"/>
                <w:lang w:eastAsia="zh-CN"/>
              </w:rPr>
              <w:t xml:space="preserve">负载下的</w:t>
            </w:r>
            <w:r>
              <w:rPr>
                <w:rFonts w:asciiTheme="minorEastAsia" w:hAnsiTheme="minorEastAsia" w:eastAsiaTheme="minorEastAsia"/>
                <w:lang w:eastAsia="zh-CN"/>
              </w:rPr>
              <w:t xml:space="preserve">)</w:t>
            </w:r>
            <w:r>
              <w:rPr>
                <w:rFonts w:asciiTheme="minorEastAsia" w:hAnsiTheme="minorEastAsia" w:eastAsiaTheme="minorEastAsia"/>
                <w:lang w:eastAsia="zh-CN"/>
              </w:rPr>
              <w:t xml:space="preserve">     </w:t>
            </w:r>
            <w:r/>
          </w:p>
        </w:tc>
        <w:tc>
          <w:tcPr>
            <w:shd w:val="clear" w:color="auto" w:fill="auto"/>
            <w:tcW w:w="1405" w:type="dxa"/>
            <w:vAlign w:val="center"/>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0.90</w:t>
            </w:r>
            <w:r/>
          </w:p>
        </w:tc>
        <w:tc>
          <w:tcPr>
            <w:shd w:val="clear" w:color="auto" w:fill="auto"/>
            <w:tcW w:w="2138" w:type="dxa"/>
            <w:vAlign w:val="center"/>
            <w:vMerge w:val="continue"/>
            <w:textDirection w:val="lrTb"/>
            <w:noWrap w:val="false"/>
          </w:tcPr>
          <w:p>
            <w:pPr>
              <w:spacing w:line="276"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358"/>
        </w:trPr>
        <w:tc>
          <w:tcPr>
            <w:shd w:val="clear" w:color="auto" w:fill="auto"/>
            <w:tcW w:w="476" w:type="dxa"/>
            <w:vAlign w:val="center"/>
            <w:vMerge w:val="restart"/>
            <w:textDirection w:val="lrTb"/>
            <w:noWrap w:val="false"/>
          </w:tcPr>
          <w:p>
            <w:pPr>
              <w:pStyle w:val="842"/>
              <w:ind w:left="0"/>
              <w:spacing w:line="276" w:lineRule="auto"/>
              <w:rPr>
                <w:rFonts w:asciiTheme="minorEastAsia" w:hAnsiTheme="minorEastAsia" w:eastAsiaTheme="minorEastAsia"/>
              </w:rPr>
            </w:pPr>
            <w:r>
              <w:rPr>
                <w:rFonts w:asciiTheme="minorEastAsia" w:hAnsiTheme="minorEastAsia" w:eastAsiaTheme="minorEastAsia"/>
              </w:rPr>
              <w:t xml:space="preserve">5</w:t>
            </w:r>
            <w:r/>
          </w:p>
        </w:tc>
        <w:tc>
          <w:tcPr>
            <w:gridSpan w:val="2"/>
            <w:shd w:val="clear" w:color="auto" w:fill="auto"/>
            <w:tcW w:w="3063" w:type="dxa"/>
            <w:vAlign w:val="center"/>
            <w:vMerge w:val="restart"/>
            <w:textDirection w:val="lrTb"/>
            <w:noWrap w:val="false"/>
          </w:tcPr>
          <w:p>
            <w:pPr>
              <w:pStyle w:val="842"/>
              <w:ind w:left="0"/>
              <w:spacing w:line="276" w:lineRule="auto"/>
              <w:rPr>
                <w:rFonts w:asciiTheme="minorEastAsia" w:hAnsiTheme="minorEastAsia" w:eastAsiaTheme="minorEastAsia"/>
              </w:rPr>
            </w:pPr>
            <w:r>
              <w:rPr>
                <w:rFonts w:hint="eastAsia" w:asciiTheme="minorEastAsia" w:hAnsiTheme="minorEastAsia" w:eastAsiaTheme="minorEastAsia"/>
              </w:rPr>
              <w:t xml:space="preserve">噪声发射</w:t>
            </w:r>
            <w:r/>
          </w:p>
        </w:tc>
        <w:tc>
          <w:tcPr>
            <w:shd w:val="clear" w:color="auto" w:fill="auto"/>
            <w:tcW w:w="1418" w:type="dxa"/>
            <w:vAlign w:val="center"/>
            <w:textDirection w:val="lrTb"/>
            <w:noWrap w:val="false"/>
          </w:tcPr>
          <w:p>
            <w:pPr>
              <w:pStyle w:val="842"/>
              <w:ind w:left="0" w:right="153"/>
              <w:spacing w:line="276" w:lineRule="auto"/>
              <w:rPr>
                <w:rFonts w:asciiTheme="minorEastAsia" w:hAnsiTheme="minorEastAsia" w:eastAsiaTheme="minorEastAsia"/>
              </w:rPr>
            </w:pPr>
            <w:r>
              <w:rPr>
                <w:rFonts w:hint="eastAsia" w:asciiTheme="minorEastAsia" w:hAnsiTheme="minorEastAsia" w:eastAsiaTheme="minorEastAsia"/>
              </w:rPr>
              <w:t xml:space="preserve">有人值守</w:t>
            </w:r>
            <w:r/>
          </w:p>
        </w:tc>
        <w:tc>
          <w:tcPr>
            <w:shd w:val="clear" w:color="auto" w:fill="auto"/>
            <w:tcW w:w="1405" w:type="dxa"/>
            <w:vAlign w:val="center"/>
            <w:textDirection w:val="lrTb"/>
            <w:noWrap w:val="false"/>
          </w:tcPr>
          <w:p>
            <w:pPr>
              <w:pStyle w:val="842"/>
              <w:ind w:left="0" w:right="153"/>
              <w:jc w:val="center"/>
              <w:spacing w:line="276" w:lineRule="auto"/>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7.6 Bels</w:t>
            </w:r>
            <w:r/>
          </w:p>
        </w:tc>
        <w:tc>
          <w:tcPr>
            <w:shd w:val="clear" w:color="auto" w:fill="auto"/>
            <w:tcW w:w="2138" w:type="dxa"/>
            <w:vAlign w:val="center"/>
            <w:vMerge w:val="restart"/>
            <w:textDirection w:val="lrTb"/>
            <w:noWrap w:val="false"/>
          </w:tcPr>
          <w:p>
            <w:pP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检测方法依据</w:t>
            </w:r>
            <w:r>
              <w:rPr>
                <w:rFonts w:asciiTheme="minorEastAsia" w:hAnsiTheme="minorEastAsia" w:eastAsiaTheme="minorEastAsia"/>
                <w:sz w:val="24"/>
                <w:szCs w:val="24"/>
              </w:rPr>
              <w:t xml:space="preserve">YD/T 1816</w:t>
            </w:r>
            <w:r>
              <w:rPr>
                <w:rFonts w:hint="eastAsia" w:asciiTheme="minorEastAsia" w:hAnsiTheme="minorEastAsia" w:eastAsiaTheme="minorEastAsia"/>
                <w:sz w:val="24"/>
                <w:szCs w:val="24"/>
              </w:rPr>
              <w:t xml:space="preserve">要求执行</w:t>
            </w:r>
            <w:r/>
          </w:p>
        </w:tc>
      </w:tr>
      <w:tr>
        <w:trPr>
          <w:trHeight w:val="358"/>
        </w:trPr>
        <w:tc>
          <w:tcPr>
            <w:shd w:val="clear" w:color="auto" w:fill="auto"/>
            <w:tcW w:w="476" w:type="dxa"/>
            <w:vAlign w:val="center"/>
            <w:vMerge w:val="continue"/>
            <w:textDirection w:val="lrTb"/>
            <w:noWrap w:val="false"/>
          </w:tcPr>
          <w:p>
            <w:pPr>
              <w:pStyle w:val="842"/>
              <w:ind w:left="0"/>
              <w:spacing w:line="276" w:lineRule="auto"/>
              <w:rPr>
                <w:rFonts w:asciiTheme="minorEastAsia" w:hAnsiTheme="minorEastAsia" w:eastAsiaTheme="minorEastAsia"/>
                <w:lang w:eastAsia="zh-CN"/>
              </w:rPr>
            </w:pPr>
            <w:r>
              <w:rPr>
                <w:rFonts w:asciiTheme="minorEastAsia" w:hAnsiTheme="minorEastAsia" w:eastAsiaTheme="minorEastAsia"/>
                <w:lang w:eastAsia="zh-CN"/>
              </w:rPr>
            </w:r>
            <w:r/>
          </w:p>
        </w:tc>
        <w:tc>
          <w:tcPr>
            <w:gridSpan w:val="2"/>
            <w:shd w:val="clear" w:color="auto" w:fill="auto"/>
            <w:tcW w:w="3063" w:type="dxa"/>
            <w:vAlign w:val="center"/>
            <w:vMerge w:val="continue"/>
            <w:textDirection w:val="lrTb"/>
            <w:noWrap w:val="false"/>
          </w:tcPr>
          <w:p>
            <w:pPr>
              <w:pStyle w:val="842"/>
              <w:ind w:left="0"/>
              <w:spacing w:line="276" w:lineRule="auto"/>
              <w:rPr>
                <w:rFonts w:asciiTheme="minorEastAsia" w:hAnsiTheme="minorEastAsia" w:eastAsiaTheme="minorEastAsia"/>
                <w:lang w:eastAsia="zh-CN"/>
              </w:rPr>
            </w:pPr>
            <w:r>
              <w:rPr>
                <w:rFonts w:asciiTheme="minorEastAsia" w:hAnsiTheme="minorEastAsia" w:eastAsiaTheme="minorEastAsia"/>
                <w:lang w:eastAsia="zh-CN"/>
              </w:rPr>
            </w:r>
            <w:r/>
          </w:p>
        </w:tc>
        <w:tc>
          <w:tcPr>
            <w:shd w:val="clear" w:color="auto" w:fill="auto"/>
            <w:tcW w:w="1418" w:type="dxa"/>
            <w:vAlign w:val="center"/>
            <w:textDirection w:val="lrTb"/>
            <w:noWrap w:val="false"/>
          </w:tcPr>
          <w:p>
            <w:pPr>
              <w:pStyle w:val="842"/>
              <w:ind w:left="0" w:right="153"/>
              <w:spacing w:line="276" w:lineRule="auto"/>
              <w:rPr>
                <w:rFonts w:asciiTheme="minorEastAsia" w:hAnsiTheme="minorEastAsia" w:eastAsiaTheme="minorEastAsia"/>
              </w:rPr>
            </w:pPr>
            <w:r>
              <w:rPr>
                <w:rFonts w:hint="eastAsia" w:asciiTheme="minorEastAsia" w:hAnsiTheme="minorEastAsia" w:eastAsiaTheme="minorEastAsia"/>
              </w:rPr>
              <w:t xml:space="preserve">无人值守</w:t>
            </w:r>
            <w:r/>
          </w:p>
        </w:tc>
        <w:tc>
          <w:tcPr>
            <w:shd w:val="clear" w:color="auto" w:fill="auto"/>
            <w:tcW w:w="1405" w:type="dxa"/>
            <w:vAlign w:val="center"/>
            <w:textDirection w:val="lrTb"/>
            <w:noWrap w:val="false"/>
          </w:tcPr>
          <w:p>
            <w:pPr>
              <w:pStyle w:val="842"/>
              <w:ind w:left="0" w:right="153"/>
              <w:jc w:val="center"/>
              <w:spacing w:line="276" w:lineRule="auto"/>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8.1 Bels</w:t>
            </w:r>
            <w:r/>
          </w:p>
        </w:tc>
        <w:tc>
          <w:tcPr>
            <w:shd w:val="clear" w:color="auto" w:fill="auto"/>
            <w:tcW w:w="2138" w:type="dxa"/>
            <w:vAlign w:val="center"/>
            <w:vMerge w:val="continue"/>
            <w:textDirection w:val="lrTb"/>
            <w:noWrap w:val="false"/>
          </w:tcPr>
          <w:p>
            <w:pPr>
              <w:pStyle w:val="842"/>
              <w:ind w:left="0"/>
              <w:spacing w:line="276" w:lineRule="auto"/>
              <w:rPr>
                <w:rFonts w:asciiTheme="minorEastAsia" w:hAnsiTheme="minorEastAsia" w:eastAsiaTheme="minorEastAsia"/>
              </w:rPr>
            </w:pPr>
            <w:r>
              <w:rPr>
                <w:rFonts w:asciiTheme="minorEastAsia" w:hAnsiTheme="minorEastAsia" w:eastAsiaTheme="minorEastAsia"/>
              </w:rPr>
            </w:r>
            <w:r/>
          </w:p>
        </w:tc>
      </w:tr>
    </w:tbl>
    <w:p>
      <w:pPr>
        <w:pStyle w:val="1051"/>
        <w:spacing w:line="360" w:lineRule="auto"/>
        <w:rPr>
          <w:sz w:val="24"/>
          <w:szCs w:val="24"/>
        </w:rPr>
      </w:pPr>
      <w:r>
        <w:rPr>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（九）WAF</w:t>
      </w:r>
      <w:r>
        <w:rPr>
          <w:rFonts w:hint="eastAsia" w:ascii="宋体" w:hAnsi="宋体" w:cs="宋体"/>
          <w:b/>
          <w:bCs/>
          <w:sz w:val="24"/>
          <w:szCs w:val="24"/>
        </w:rPr>
        <w:t xml:space="preserve">及网闸续保</w:t>
      </w:r>
      <w:r/>
    </w:p>
    <w:tbl>
      <w:tblPr>
        <w:tblW w:w="8867"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80"/>
        <w:gridCol w:w="2179"/>
        <w:gridCol w:w="3865"/>
        <w:gridCol w:w="663"/>
        <w:gridCol w:w="1080"/>
      </w:tblGrid>
      <w:tr>
        <w:trPr>
          <w:trHeight w:val="948"/>
        </w:trPr>
        <w:tc>
          <w:tcPr>
            <w:shd w:val="clear" w:color="auto" w:fill="auto"/>
            <w:tcW w:w="1080"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序号</w:t>
            </w:r>
            <w:r/>
          </w:p>
        </w:tc>
        <w:tc>
          <w:tcPr>
            <w:shd w:val="clear" w:color="auto" w:fill="auto"/>
            <w:tcW w:w="2179"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产品名称</w:t>
            </w:r>
            <w:r/>
          </w:p>
        </w:tc>
        <w:tc>
          <w:tcPr>
            <w:shd w:val="clear" w:color="auto" w:fill="auto"/>
            <w:tcW w:w="3865"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描述</w:t>
            </w:r>
            <w:r/>
          </w:p>
        </w:tc>
        <w:tc>
          <w:tcPr>
            <w:shd w:val="clear" w:color="auto" w:fill="auto"/>
            <w:tcW w:w="663"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数量</w:t>
            </w:r>
            <w:r/>
          </w:p>
        </w:tc>
        <w:tc>
          <w:tcPr>
            <w:shd w:val="clear" w:color="auto" w:fill="auto"/>
            <w:tcW w:w="1080"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单位</w:t>
            </w:r>
            <w:r/>
          </w:p>
        </w:tc>
      </w:tr>
      <w:tr>
        <w:trPr>
          <w:trHeight w:val="1620"/>
        </w:trPr>
        <w:tc>
          <w:tcPr>
            <w:shd w:val="clear" w:color="auto" w:fill="auto"/>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2179"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WAF特征库升级</w:t>
            </w:r>
            <w:r/>
          </w:p>
        </w:tc>
        <w:tc>
          <w:tcPr>
            <w:shd w:val="clear" w:color="auto" w:fill="auto"/>
            <w:tcW w:w="386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WAF产品特征库15个月升级License（自合同签订之日起算）</w:t>
            </w:r>
            <w:r/>
          </w:p>
        </w:tc>
        <w:tc>
          <w:tcPr>
            <w:shd w:val="clear" w:color="auto" w:fill="auto"/>
            <w:tcW w:w="66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1380"/>
        </w:trPr>
        <w:tc>
          <w:tcPr>
            <w:shd w:val="clear" w:color="auto" w:fill="auto"/>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2179"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网闸维保</w:t>
            </w:r>
            <w:r>
              <w:rPr>
                <w:rFonts w:hint="eastAsia" w:ascii="宋体" w:hAnsi="宋体" w:cs="宋体"/>
                <w:color w:val="000000"/>
                <w:sz w:val="24"/>
                <w:szCs w:val="24"/>
                <w:lang w:bidi="ar"/>
              </w:rPr>
              <w:t xml:space="preserve">授权</w:t>
            </w:r>
            <w:r/>
          </w:p>
        </w:tc>
        <w:tc>
          <w:tcPr>
            <w:shd w:val="clear" w:color="auto" w:fill="auto"/>
            <w:tcW w:w="386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TopRules NR-72116 15个月保修服务（自合同签订之日起算）</w:t>
            </w:r>
            <w:r/>
          </w:p>
        </w:tc>
        <w:tc>
          <w:tcPr>
            <w:shd w:val="clear" w:color="auto" w:fill="auto"/>
            <w:tcW w:w="66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bl>
    <w:p>
      <w:pPr>
        <w:pStyle w:val="842"/>
        <w:contextualSpacing w:val="0"/>
        <w:ind w:left="0"/>
        <w:spacing w:line="360" w:lineRule="auto"/>
        <w:rPr>
          <w:rFonts w:ascii="宋体" w:hAnsi="宋体" w:cs="宋体"/>
          <w:b/>
          <w:bCs/>
          <w:i/>
          <w:iCs/>
          <w:highlight w:val="yellow"/>
          <w:u w:val="single"/>
          <w:lang w:eastAsia="zh-CN"/>
        </w:rPr>
        <w:outlineLvl w:val="2"/>
      </w:pPr>
      <w:r>
        <w:rPr>
          <w:rFonts w:ascii="宋体" w:hAnsi="宋体" w:cs="宋体"/>
          <w:b/>
          <w:bCs/>
          <w:i/>
          <w:iCs/>
          <w:highlight w:val="yellow"/>
          <w:u w:val="single"/>
          <w:lang w:eastAsia="zh-CN"/>
        </w:rPr>
      </w:r>
      <w:r/>
    </w:p>
    <w:p>
      <w:pPr>
        <w:ind w:firstLine="482"/>
        <w:spacing w:line="560" w:lineRule="exact"/>
        <w:rPr>
          <w:rFonts w:ascii="宋体" w:hAnsi="宋体" w:cs="宋体"/>
          <w:b/>
          <w:sz w:val="24"/>
          <w:szCs w:val="24"/>
        </w:rPr>
      </w:pPr>
      <w:r>
        <w:rPr>
          <w:rFonts w:hint="eastAsia" w:ascii="宋体" w:hAnsi="宋体" w:cs="宋体"/>
          <w:b/>
          <w:sz w:val="24"/>
          <w:szCs w:val="24"/>
        </w:rPr>
        <w:t xml:space="preserve">三、</w:t>
      </w:r>
      <w:r>
        <w:rPr>
          <w:rFonts w:hint="eastAsia" w:ascii="宋体" w:hAnsi="宋体" w:cs="宋体"/>
          <w:b/>
          <w:sz w:val="24"/>
          <w:szCs w:val="24"/>
        </w:rPr>
        <w:t xml:space="preserve">服务保障要求</w:t>
      </w:r>
      <w:r/>
    </w:p>
    <w:p>
      <w:pPr>
        <w:ind w:firstLine="480"/>
        <w:spacing w:line="560" w:lineRule="exact"/>
        <w:rPr>
          <w:rFonts w:ascii="宋体" w:hAnsi="宋体" w:cs="宋体"/>
          <w:sz w:val="24"/>
          <w:szCs w:val="24"/>
        </w:rPr>
      </w:pPr>
      <w:r>
        <w:rPr>
          <w:rFonts w:hint="eastAsia" w:ascii="宋体" w:hAnsi="宋体" w:cs="宋体"/>
          <w:sz w:val="24"/>
          <w:szCs w:val="24"/>
        </w:rPr>
        <w:t xml:space="preserve">（1）云</w:t>
      </w:r>
      <w:r>
        <w:rPr>
          <w:rFonts w:hint="eastAsia" w:ascii="宋体" w:hAnsi="宋体" w:cs="宋体"/>
          <w:sz w:val="24"/>
          <w:szCs w:val="24"/>
        </w:rPr>
        <w:t xml:space="preserve">桌面维保要求</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检查设备是否正常运行，是否有指示硬件故障报警；检查操作系统，通过查看系统日志等方式分析判断系统的运行状况；检查CPU、内存、磁盘、网络等使用情况，记录异常信息；检查</w:t>
      </w:r>
      <w:r>
        <w:rPr>
          <w:rFonts w:hint="eastAsia" w:ascii="宋体" w:hAnsi="宋体" w:cs="宋体"/>
          <w:sz w:val="24"/>
          <w:szCs w:val="24"/>
        </w:rPr>
        <w:t xml:space="preserve">设备卷组信息</w:t>
      </w:r>
      <w:r>
        <w:rPr>
          <w:rFonts w:hint="eastAsia" w:ascii="宋体" w:hAnsi="宋体" w:cs="宋体"/>
          <w:sz w:val="24"/>
          <w:szCs w:val="24"/>
        </w:rPr>
        <w:t xml:space="preserve">、文件系统、日志状态；检查内存交换区、CPU、</w:t>
      </w:r>
      <w:r>
        <w:rPr>
          <w:rFonts w:hint="eastAsia" w:ascii="宋体" w:hAnsi="宋体" w:cs="宋体"/>
          <w:sz w:val="24"/>
          <w:szCs w:val="24"/>
        </w:rPr>
        <w:t xml:space="preserve">硬盘I/O；检查AMS及USPV磁盘阵列状况，有异常情况（如风扇异常声音，硬盘故障灯亮起等）；检查光纤交换机工作是否正常 （telnet 查看端口状态）；定期更改所有主机存储及密码，以保证系统安全稳定运行；在不影响设备及系统正常运行的前提下，清理磁盘的系统垃圾文件；分析判断服务器可能存在的故障隐患及原因，第一时间提出修复、改善建议；微码升级；扫描系统漏洞，在得到许可的情况下，更新操作系统补丁；进行日常系统管理，安全保障，性能优化，应用安装调整，系统部署测试，系统资源规划等维护操作。</w:t>
      </w:r>
      <w:r/>
    </w:p>
    <w:p>
      <w:pPr>
        <w:ind w:firstLine="480"/>
        <w:spacing w:line="560" w:lineRule="exact"/>
        <w:rPr>
          <w:rFonts w:ascii="宋体" w:hAnsi="宋体" w:cs="宋体"/>
          <w:sz w:val="24"/>
          <w:szCs w:val="24"/>
        </w:rPr>
      </w:pPr>
      <w:r>
        <w:rPr>
          <w:rFonts w:hint="eastAsia" w:ascii="宋体" w:hAnsi="宋体" w:cs="宋体"/>
          <w:sz w:val="24"/>
          <w:szCs w:val="24"/>
        </w:rPr>
        <w:t xml:space="preserve">（2）网络</w:t>
      </w:r>
      <w:r>
        <w:rPr>
          <w:rFonts w:hint="eastAsia" w:ascii="宋体" w:hAnsi="宋体" w:cs="宋体"/>
          <w:sz w:val="24"/>
          <w:szCs w:val="24"/>
        </w:rPr>
        <w:t xml:space="preserve">设备维保要求</w:t>
      </w:r>
      <w:r/>
    </w:p>
    <w:p>
      <w:pPr>
        <w:ind w:firstLine="480"/>
        <w:spacing w:line="560" w:lineRule="exact"/>
        <w:rPr>
          <w:rFonts w:ascii="宋体" w:hAnsi="宋体" w:cs="宋体"/>
          <w:sz w:val="24"/>
          <w:szCs w:val="24"/>
        </w:rPr>
      </w:pPr>
      <w:r>
        <w:rPr>
          <w:rFonts w:hint="eastAsia" w:ascii="宋体" w:hAnsi="宋体" w:cs="宋体"/>
          <w:sz w:val="24"/>
          <w:szCs w:val="24"/>
        </w:rPr>
        <w:t xml:space="preserve">对网络设备进行日常运维，包括网络设备的配置变更操作，网络设备状态的巡查，网络设备的状态监控，提供运维方案。</w:t>
      </w:r>
      <w:r/>
    </w:p>
    <w:p>
      <w:pPr>
        <w:ind w:firstLine="480"/>
        <w:spacing w:line="560" w:lineRule="exact"/>
        <w:rPr>
          <w:rFonts w:ascii="宋体" w:hAnsi="宋体" w:cs="宋体"/>
          <w:sz w:val="24"/>
          <w:szCs w:val="24"/>
        </w:rPr>
      </w:pPr>
      <w:r>
        <w:rPr>
          <w:rFonts w:hint="eastAsia" w:ascii="宋体" w:hAnsi="宋体" w:cs="宋体"/>
          <w:sz w:val="24"/>
          <w:szCs w:val="24"/>
        </w:rPr>
        <w:t xml:space="preserve">对网络设备的软硬件故障进行处理，提供故障处理方案。</w:t>
      </w:r>
      <w:r/>
    </w:p>
    <w:p>
      <w:pPr>
        <w:ind w:firstLine="480"/>
        <w:spacing w:line="560" w:lineRule="exact"/>
        <w:rPr>
          <w:rFonts w:ascii="宋体" w:hAnsi="宋体" w:cs="宋体"/>
          <w:sz w:val="24"/>
          <w:szCs w:val="24"/>
        </w:rPr>
      </w:pPr>
      <w:r>
        <w:rPr>
          <w:rFonts w:hint="eastAsia" w:ascii="宋体" w:hAnsi="宋体" w:cs="宋体"/>
          <w:sz w:val="24"/>
          <w:szCs w:val="24"/>
        </w:rPr>
        <w:t xml:space="preserve">当发生造成机房网络中断，影响到现有业务系统的运行的突发故障时，按照应急方案，进行紧急故障处理，提供应急方案。</w:t>
      </w:r>
      <w:r/>
    </w:p>
    <w:p>
      <w:pPr>
        <w:ind w:firstLine="480"/>
        <w:spacing w:line="560" w:lineRule="exact"/>
        <w:rPr>
          <w:rFonts w:ascii="宋体" w:hAnsi="宋体" w:cs="宋体"/>
          <w:sz w:val="24"/>
          <w:szCs w:val="24"/>
        </w:rPr>
      </w:pPr>
      <w:r>
        <w:rPr>
          <w:rFonts w:hint="eastAsia" w:ascii="宋体" w:hAnsi="宋体" w:cs="宋体"/>
          <w:sz w:val="24"/>
          <w:szCs w:val="24"/>
        </w:rPr>
        <w:t xml:space="preserve">熟悉网络设备配置，能够第一时间根据现场设备上自制线缆标签，查找并定位线路故障。在网络资源（IP地址）合理利用的基础上，能够最大程度上有效规划。</w:t>
      </w:r>
      <w:r/>
    </w:p>
    <w:p>
      <w:pPr>
        <w:ind w:firstLine="480"/>
        <w:spacing w:line="5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服务器维保要求</w:t>
      </w:r>
      <w:r/>
    </w:p>
    <w:p>
      <w:pPr>
        <w:ind w:firstLine="480"/>
        <w:spacing w:line="560" w:lineRule="exact"/>
        <w:rPr>
          <w:rFonts w:ascii="宋体" w:hAnsi="宋体" w:cs="宋体"/>
          <w:sz w:val="24"/>
          <w:szCs w:val="24"/>
        </w:rPr>
      </w:pPr>
      <w:r>
        <w:rPr>
          <w:rFonts w:hint="eastAsia" w:ascii="宋体" w:hAnsi="宋体" w:cs="宋体"/>
          <w:sz w:val="24"/>
          <w:szCs w:val="24"/>
        </w:rPr>
        <w:t xml:space="preserve">检查服务器是否正常运行，是否有指示硬件故障报警；检查操作系统，通过查看系统日志等方式分析判断系统的运行状况；检查CPU、内存、磁盘、网络等的使用情况，记录异常信息；在不影响设备及系统正常运行的前提下，清理磁盘的系统垃圾文件；分析判断服务器可能存在的故障隐患及原因，第一时间提出修复、改善建议；微码升级；扫描系统漏洞，在经许可的情况下，更新操作系统补丁。</w:t>
      </w:r>
      <w:r/>
    </w:p>
    <w:p>
      <w:pPr>
        <w:ind w:firstLine="480"/>
        <w:spacing w:line="560" w:lineRule="exact"/>
        <w:rPr>
          <w:rFonts w:ascii="宋体" w:hAnsi="宋体" w:cs="宋体"/>
          <w:sz w:val="24"/>
          <w:szCs w:val="24"/>
        </w:rPr>
      </w:pPr>
      <w:r>
        <w:rPr>
          <w:rFonts w:hint="eastAsia" w:ascii="宋体" w:hAnsi="宋体" w:cs="宋体"/>
          <w:sz w:val="24"/>
          <w:szCs w:val="24"/>
        </w:rPr>
        <w:t xml:space="preserve">（4）精密</w:t>
      </w:r>
      <w:r>
        <w:rPr>
          <w:rFonts w:hint="eastAsia" w:ascii="宋体" w:hAnsi="宋体" w:cs="宋体"/>
          <w:sz w:val="24"/>
          <w:szCs w:val="24"/>
        </w:rPr>
        <w:t xml:space="preserve">空调维保要求</w:t>
      </w:r>
      <w:r/>
    </w:p>
    <w:p>
      <w:pPr>
        <w:ind w:firstLine="480"/>
        <w:spacing w:line="560" w:lineRule="exact"/>
        <w:rPr>
          <w:rFonts w:ascii="宋体" w:hAnsi="宋体" w:cs="宋体"/>
          <w:sz w:val="24"/>
          <w:szCs w:val="24"/>
        </w:rPr>
      </w:pPr>
      <w:r>
        <w:rPr>
          <w:rFonts w:hint="eastAsia" w:ascii="宋体" w:hAnsi="宋体" w:cs="宋体"/>
          <w:sz w:val="24"/>
          <w:szCs w:val="24"/>
        </w:rPr>
        <w:t xml:space="preserve">检查报警器声、光告警，接触器、熔断器是否正常；检查所有电器触点和电气元件；检查空调系统的各项功能及参数是否正常；检查温度、湿度传感器的工作状态是否正常；测量电机负载电流、压缩机电流、风机电流是否正常；检查水浸情况、水浸</w:t>
      </w:r>
      <w:r>
        <w:rPr>
          <w:rFonts w:hint="eastAsia" w:ascii="宋体" w:hAnsi="宋体" w:cs="宋体"/>
          <w:sz w:val="24"/>
          <w:szCs w:val="24"/>
        </w:rPr>
        <w:t xml:space="preserve">告警系统是否正常；检测压缩机表面温度有无过冷、过热现象。</w:t>
      </w:r>
      <w:r/>
    </w:p>
    <w:p>
      <w:pPr>
        <w:ind w:firstLine="480"/>
        <w:spacing w:line="560" w:lineRule="exact"/>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测试高</w:t>
      </w:r>
      <w:r>
        <w:rPr>
          <w:rFonts w:hint="eastAsia" w:ascii="宋体" w:hAnsi="宋体" w:cs="宋体"/>
          <w:sz w:val="24"/>
          <w:szCs w:val="24"/>
        </w:rPr>
        <w:t xml:space="preserve">低压保护装置；压缩机运行声音是否正常；测试压缩机运行电流及吸、排气压力。</w:t>
      </w:r>
      <w:r/>
    </w:p>
    <w:p>
      <w:pPr>
        <w:ind w:firstLine="480"/>
        <w:spacing w:line="560" w:lineRule="exact"/>
        <w:rPr>
          <w:rFonts w:ascii="宋体" w:hAnsi="宋体" w:cs="宋体"/>
          <w:sz w:val="24"/>
          <w:szCs w:val="24"/>
        </w:rPr>
      </w:pPr>
      <w:r>
        <w:rPr>
          <w:rFonts w:hint="eastAsia" w:ascii="宋体" w:hAnsi="宋体" w:cs="宋体"/>
          <w:sz w:val="24"/>
          <w:szCs w:val="24"/>
        </w:rPr>
        <w:t xml:space="preserve">检查风机的转动、轴承、底座、电机等；清洁或更换过滤器；检查和清洁翅片；检查冷凝器固定是否有松动；检查冷媒管线有无破损及保温情况；检查冷凝器工作时的工作电流是否正常；清洁设备表面；测试风机工作电流，检查风扇调速状况、风扇支座；检查电机轴承；检查、清洁风扇；检查、清洁冷凝器翅片</w:t>
      </w:r>
      <w:r/>
    </w:p>
    <w:p>
      <w:pPr>
        <w:ind w:firstLine="480"/>
        <w:spacing w:line="560" w:lineRule="exact"/>
        <w:rPr>
          <w:rFonts w:ascii="宋体" w:hAnsi="宋体" w:cs="宋体"/>
          <w:sz w:val="24"/>
          <w:szCs w:val="24"/>
        </w:rPr>
      </w:pPr>
      <w:r>
        <w:rPr>
          <w:rFonts w:hint="eastAsia" w:ascii="宋体" w:hAnsi="宋体" w:cs="宋体"/>
          <w:sz w:val="24"/>
          <w:szCs w:val="24"/>
        </w:rPr>
        <w:t xml:space="preserve">检查加湿器远红外管是否正常；保持加湿水盘的清洁，清除水垢；检查上水和排水电磁阀的工作情况是否正常；检查给、</w:t>
      </w:r>
      <w:r>
        <w:rPr>
          <w:rFonts w:hint="eastAsia" w:ascii="宋体" w:hAnsi="宋体" w:cs="宋体"/>
          <w:sz w:val="24"/>
          <w:szCs w:val="24"/>
        </w:rPr>
        <w:t xml:space="preserve">排水路是否</w:t>
      </w:r>
      <w:r>
        <w:rPr>
          <w:rFonts w:hint="eastAsia" w:ascii="宋体" w:hAnsi="宋体" w:cs="宋体"/>
          <w:sz w:val="24"/>
          <w:szCs w:val="24"/>
        </w:rPr>
        <w:t xml:space="preserve">畅通；检查加湿器负荷电流和加湿器控制运行情况。</w:t>
      </w:r>
      <w:r/>
    </w:p>
    <w:p>
      <w:pPr>
        <w:ind w:firstLine="480"/>
        <w:spacing w:line="560" w:lineRule="exact"/>
        <w:rPr>
          <w:rFonts w:ascii="宋体" w:hAnsi="宋体" w:cs="宋体"/>
          <w:bCs/>
          <w:sz w:val="24"/>
          <w:szCs w:val="24"/>
        </w:rPr>
      </w:pPr>
      <w:r>
        <w:rPr>
          <w:rFonts w:hint="eastAsia" w:ascii="宋体" w:hAnsi="宋体" w:cs="宋体"/>
          <w:sz w:val="24"/>
          <w:szCs w:val="24"/>
        </w:rPr>
        <w:t xml:space="preserve">（5）应急方案</w:t>
      </w:r>
      <w:r/>
    </w:p>
    <w:p>
      <w:pPr>
        <w:ind w:firstLine="480"/>
        <w:spacing w:line="560" w:lineRule="exact"/>
        <w:rPr>
          <w:rFonts w:ascii="宋体" w:hAnsi="宋体" w:cs="宋体"/>
          <w:sz w:val="24"/>
          <w:szCs w:val="24"/>
        </w:rPr>
      </w:pPr>
      <w:r>
        <w:rPr>
          <w:rFonts w:hint="eastAsia" w:ascii="宋体" w:hAnsi="宋体" w:cs="宋体"/>
          <w:sz w:val="24"/>
          <w:szCs w:val="24"/>
        </w:rPr>
        <w:t xml:space="preserve">投标人需根据本项目</w:t>
      </w:r>
      <w:r>
        <w:rPr>
          <w:rFonts w:hint="eastAsia" w:ascii="宋体" w:hAnsi="宋体" w:cs="宋体"/>
          <w:sz w:val="24"/>
          <w:szCs w:val="24"/>
        </w:rPr>
        <w:t xml:space="preserve">的维保服务</w:t>
      </w:r>
      <w:r>
        <w:rPr>
          <w:rFonts w:hint="eastAsia" w:ascii="宋体" w:hAnsi="宋体" w:cs="宋体"/>
          <w:sz w:val="24"/>
          <w:szCs w:val="24"/>
        </w:rPr>
        <w:t xml:space="preserve">内容，为本项目提供的可行的应急预案。预案中需提供能够处理运行维护服务实施过程中可能面临的各种突发问题（如硬件故障、网络瘫痪、病毒爆发、机房断电、重大活动保障等）的应急预案。</w:t>
      </w:r>
      <w:r>
        <w:rPr>
          <w:rFonts w:hint="eastAsia" w:ascii="宋体" w:hAnsi="宋体" w:cs="宋体"/>
          <w:sz w:val="24"/>
          <w:szCs w:val="24"/>
        </w:rPr>
        <w:t xml:space="preserve">需包括且</w:t>
      </w:r>
      <w:r>
        <w:rPr>
          <w:rFonts w:hint="eastAsia" w:ascii="宋体" w:hAnsi="宋体" w:cs="宋体"/>
          <w:sz w:val="24"/>
          <w:szCs w:val="24"/>
        </w:rPr>
        <w:t xml:space="preserve">不限于以下内容：</w:t>
      </w:r>
      <w:r/>
    </w:p>
    <w:p>
      <w:pPr>
        <w:ind w:firstLine="480"/>
        <w:spacing w:line="560" w:lineRule="exact"/>
        <w:rPr>
          <w:rFonts w:ascii="宋体" w:hAnsi="宋体" w:cs="宋体"/>
          <w:sz w:val="24"/>
          <w:szCs w:val="24"/>
        </w:rPr>
      </w:pPr>
      <w:r>
        <w:rPr>
          <w:rFonts w:hint="eastAsia" w:ascii="宋体" w:hAnsi="宋体" w:cs="宋体"/>
          <w:sz w:val="24"/>
          <w:szCs w:val="24"/>
        </w:rPr>
        <w:t xml:space="preserve">1）消防应急响应措施及预案；</w:t>
      </w:r>
      <w:r/>
    </w:p>
    <w:p>
      <w:pPr>
        <w:ind w:firstLine="480"/>
        <w:spacing w:line="560" w:lineRule="exact"/>
        <w:rPr>
          <w:rFonts w:ascii="宋体" w:hAnsi="宋体" w:cs="宋体"/>
          <w:sz w:val="24"/>
          <w:szCs w:val="24"/>
        </w:rPr>
      </w:pPr>
      <w:r>
        <w:rPr>
          <w:rFonts w:hint="eastAsia" w:ascii="宋体" w:hAnsi="宋体" w:cs="宋体"/>
          <w:sz w:val="24"/>
          <w:szCs w:val="24"/>
        </w:rPr>
        <w:t xml:space="preserve">2）突然应急响应措施及预案；</w:t>
      </w:r>
      <w:r/>
    </w:p>
    <w:p>
      <w:pPr>
        <w:ind w:firstLine="480"/>
        <w:spacing w:line="560" w:lineRule="exact"/>
        <w:rPr>
          <w:rFonts w:ascii="宋体" w:hAnsi="宋体" w:cs="宋体"/>
          <w:sz w:val="24"/>
          <w:szCs w:val="24"/>
        </w:rPr>
      </w:pPr>
      <w:r>
        <w:rPr>
          <w:rFonts w:hint="eastAsia" w:ascii="宋体" w:hAnsi="宋体" w:cs="宋体"/>
          <w:sz w:val="24"/>
          <w:szCs w:val="24"/>
        </w:rPr>
        <w:t xml:space="preserve">3）公共卫生应急响应措施及预案；</w:t>
      </w:r>
      <w:r/>
    </w:p>
    <w:p>
      <w:pPr>
        <w:ind w:firstLine="480"/>
        <w:spacing w:line="560" w:lineRule="exact"/>
        <w:rPr>
          <w:rFonts w:ascii="宋体" w:hAnsi="宋体" w:cs="宋体"/>
          <w:sz w:val="24"/>
          <w:szCs w:val="24"/>
        </w:rPr>
      </w:pPr>
      <w:r>
        <w:rPr>
          <w:rFonts w:hint="eastAsia" w:ascii="宋体" w:hAnsi="宋体" w:cs="宋体"/>
          <w:sz w:val="24"/>
          <w:szCs w:val="24"/>
        </w:rPr>
        <w:t xml:space="preserve">4）其他紧急情况的应急处理；</w:t>
      </w:r>
      <w:r/>
    </w:p>
    <w:p>
      <w:pPr>
        <w:ind w:firstLine="480"/>
        <w:spacing w:line="560" w:lineRule="exact"/>
        <w:rPr>
          <w:rFonts w:ascii="宋体" w:hAnsi="宋体" w:cs="宋体"/>
          <w:sz w:val="24"/>
          <w:szCs w:val="24"/>
        </w:rPr>
      </w:pPr>
      <w:r>
        <w:rPr>
          <w:rFonts w:hint="eastAsia" w:ascii="宋体" w:hAnsi="宋体" w:cs="宋体"/>
          <w:sz w:val="24"/>
          <w:szCs w:val="24"/>
        </w:rPr>
        <w:t xml:space="preserve">5）其他抵抗风险的应急响应措施及预案等；</w:t>
      </w:r>
      <w:r/>
    </w:p>
    <w:p>
      <w:pPr>
        <w:ind w:firstLine="480"/>
        <w:spacing w:line="560" w:lineRule="exact"/>
        <w:rPr>
          <w:rFonts w:ascii="宋体" w:hAnsi="宋体" w:cs="宋体"/>
          <w:sz w:val="24"/>
          <w:szCs w:val="24"/>
        </w:rPr>
      </w:pPr>
      <w:r>
        <w:rPr>
          <w:rFonts w:hint="eastAsia" w:ascii="宋体" w:hAnsi="宋体" w:cs="宋体"/>
          <w:sz w:val="24"/>
          <w:szCs w:val="24"/>
        </w:rPr>
        <w:t xml:space="preserve">为确保本项目在出现硬件故障后能及时恢复，投标人所有备件能充分满足本项目各类硬件设备的更换需求。</w:t>
      </w:r>
      <w:r/>
    </w:p>
    <w:p>
      <w:pPr>
        <w:ind w:firstLine="480"/>
        <w:spacing w:line="560" w:lineRule="exact"/>
        <w:rPr>
          <w:rFonts w:ascii="宋体" w:hAnsi="宋体" w:cs="宋体"/>
          <w:sz w:val="24"/>
          <w:szCs w:val="24"/>
        </w:rPr>
      </w:pPr>
      <w:r>
        <w:rPr>
          <w:rFonts w:hint="eastAsia" w:ascii="宋体" w:hAnsi="宋体" w:cs="宋体"/>
          <w:sz w:val="24"/>
          <w:szCs w:val="24"/>
        </w:rPr>
        <w:t xml:space="preserve">（6）视频会议终端维护要求</w:t>
      </w:r>
      <w:r/>
    </w:p>
    <w:p>
      <w:pPr>
        <w:ind w:firstLine="480"/>
        <w:spacing w:line="560" w:lineRule="exact"/>
        <w:rPr>
          <w:rFonts w:ascii="宋体" w:hAnsi="宋体" w:cs="宋体"/>
          <w:sz w:val="24"/>
          <w:szCs w:val="24"/>
        </w:rPr>
      </w:pPr>
      <w:r>
        <w:rPr>
          <w:rFonts w:hint="eastAsia" w:ascii="宋体" w:hAnsi="宋体" w:cs="宋体"/>
          <w:sz w:val="24"/>
          <w:szCs w:val="24"/>
        </w:rPr>
        <w:t xml:space="preserve">提供系统管理维护服务：定期对视频会议终端及其相关设备进行巡检，预防可能出现的问题。当设备出现故障时，及时进行修复，确保系统的正常运行。定期对系统</w:t>
      </w:r>
      <w:r>
        <w:rPr>
          <w:rFonts w:hint="eastAsia" w:ascii="宋体" w:hAnsi="宋体" w:cs="宋体"/>
          <w:sz w:val="24"/>
          <w:szCs w:val="24"/>
        </w:rPr>
        <w:t xml:space="preserve">进行升级和优化，以提高其性能和安全性。</w:t>
      </w:r>
      <w:r/>
    </w:p>
    <w:p>
      <w:pPr>
        <w:ind w:firstLine="480"/>
        <w:spacing w:line="560" w:lineRule="exact"/>
        <w:rPr>
          <w:rFonts w:ascii="宋体" w:hAnsi="宋体" w:cs="宋体"/>
          <w:sz w:val="24"/>
          <w:szCs w:val="24"/>
        </w:rPr>
      </w:pPr>
      <w:r>
        <w:rPr>
          <w:rFonts w:hint="eastAsia" w:ascii="宋体" w:hAnsi="宋体" w:cs="宋体"/>
          <w:sz w:val="24"/>
          <w:szCs w:val="24"/>
        </w:rPr>
        <w:t xml:space="preserve">提供会议保障服务：在会议开始前，对系统进行调试，确保会议的顺利进行。在会议过程中，提供必要的技术支持，解决可能出现的问题。确保会场设备、网络等各方面的正常运行，为会议提供稳定的环境。</w:t>
      </w:r>
      <w:r/>
    </w:p>
    <w:p>
      <w:pPr>
        <w:ind w:firstLine="480"/>
        <w:spacing w:line="560" w:lineRule="exact"/>
        <w:rPr>
          <w:rFonts w:ascii="宋体" w:hAnsi="宋体" w:cs="宋体"/>
          <w:sz w:val="24"/>
          <w:szCs w:val="24"/>
        </w:rPr>
      </w:pPr>
      <w:r>
        <w:rPr>
          <w:rFonts w:hint="eastAsia" w:ascii="宋体" w:hAnsi="宋体" w:cs="宋体"/>
          <w:sz w:val="24"/>
          <w:szCs w:val="24"/>
        </w:rPr>
        <w:t xml:space="preserve">周期性设备维护服务：定期检查终端的工作环境、线缆连接、通信网络连接和</w:t>
      </w:r>
      <w:r>
        <w:rPr>
          <w:rFonts w:hint="eastAsia" w:ascii="宋体" w:hAnsi="宋体" w:cs="宋体"/>
          <w:sz w:val="24"/>
          <w:szCs w:val="24"/>
        </w:rPr>
        <w:t xml:space="preserve">视音频</w:t>
      </w:r>
      <w:r>
        <w:rPr>
          <w:rFonts w:hint="eastAsia" w:ascii="宋体" w:hAnsi="宋体" w:cs="宋体"/>
          <w:sz w:val="24"/>
          <w:szCs w:val="24"/>
        </w:rPr>
        <w:t xml:space="preserve">输入输出等情况，确保终端及其外围设备组成的终端系统能正常运行。定期检查设备指示灯，通过检查终端前面板的指示灯状态，可以初步定位终端的运行状态，以便及时发现并排除终端异常。</w:t>
      </w:r>
      <w:r/>
    </w:p>
    <w:p>
      <w:pPr>
        <w:spacing w:line="400" w:lineRule="exact"/>
        <w:rPr>
          <w:rFonts w:ascii="宋体" w:hAnsi="宋体" w:cs="宋体"/>
          <w:b/>
          <w:sz w:val="24"/>
          <w:szCs w:val="24"/>
        </w:rPr>
        <w:outlineLvl w:val="1"/>
      </w:pPr>
      <w:r>
        <w:rPr>
          <w:rFonts w:ascii="宋体" w:hAnsi="宋体" w:cs="宋体"/>
          <w:b/>
          <w:sz w:val="24"/>
          <w:szCs w:val="24"/>
        </w:rPr>
      </w:r>
      <w:r/>
    </w:p>
    <w:p>
      <w:pPr>
        <w:numPr>
          <w:ilvl w:val="0"/>
          <w:numId w:val="30"/>
        </w:numPr>
        <w:spacing w:line="360" w:lineRule="exact"/>
        <w:rPr>
          <w:rFonts w:ascii="宋体" w:hAnsi="宋体" w:cs="宋体"/>
          <w:b/>
          <w:sz w:val="24"/>
          <w:szCs w:val="24"/>
        </w:rPr>
      </w:pPr>
      <w:r>
        <w:rPr>
          <w:rFonts w:hint="eastAsia" w:ascii="宋体" w:hAnsi="宋体" w:cs="宋体"/>
          <w:b/>
          <w:sz w:val="24"/>
          <w:szCs w:val="24"/>
        </w:rPr>
        <w:t xml:space="preserve">拟投入本项目人员要求</w:t>
      </w:r>
      <w:r/>
    </w:p>
    <w:p>
      <w:pPr>
        <w:ind w:firstLine="480"/>
        <w:spacing w:line="560" w:lineRule="exact"/>
        <w:rPr>
          <w:rFonts w:ascii="宋体" w:hAnsi="宋体" w:cs="宋体"/>
          <w:sz w:val="24"/>
          <w:szCs w:val="24"/>
        </w:rPr>
      </w:pPr>
      <w:r>
        <w:rPr>
          <w:rFonts w:hint="eastAsia" w:ascii="宋体" w:hAnsi="宋体" w:cs="宋体"/>
          <w:sz w:val="24"/>
          <w:szCs w:val="24"/>
        </w:rPr>
        <w:t xml:space="preserve">拟投入本项目的项目团队成员不得少于5人，</w:t>
      </w:r>
      <w:r>
        <w:rPr>
          <w:rFonts w:ascii="宋体" w:hAnsi="宋体" w:cs="宋体"/>
          <w:sz w:val="24"/>
          <w:szCs w:val="24"/>
        </w:rPr>
        <w:t xml:space="preserve">项目负责人具有</w:t>
      </w:r>
      <w:r>
        <w:rPr>
          <w:rFonts w:hint="eastAsia" w:ascii="宋体" w:hAnsi="宋体" w:cs="宋体"/>
          <w:sz w:val="24"/>
          <w:szCs w:val="24"/>
        </w:rPr>
        <w:t xml:space="preserve">注册信息安全工程师</w:t>
      </w:r>
      <w:r>
        <w:rPr>
          <w:rFonts w:ascii="宋体" w:hAnsi="宋体" w:cs="宋体"/>
          <w:sz w:val="24"/>
          <w:szCs w:val="24"/>
        </w:rPr>
        <w:t xml:space="preserve">证书、</w:t>
      </w:r>
      <w:r>
        <w:rPr>
          <w:rFonts w:hint="eastAsia" w:ascii="宋体" w:hAnsi="宋体" w:cs="宋体"/>
          <w:sz w:val="24"/>
          <w:szCs w:val="24"/>
        </w:rPr>
        <w:t xml:space="preserve">高级智能化系统项目经理</w:t>
      </w:r>
      <w:r>
        <w:rPr>
          <w:rFonts w:ascii="宋体" w:hAnsi="宋体" w:cs="宋体"/>
          <w:sz w:val="24"/>
          <w:szCs w:val="24"/>
        </w:rPr>
        <w:t xml:space="preserve">证书</w:t>
      </w:r>
      <w:r>
        <w:rPr>
          <w:rFonts w:hint="eastAsia" w:ascii="宋体" w:hAnsi="宋体" w:cs="宋体"/>
          <w:sz w:val="24"/>
          <w:szCs w:val="24"/>
        </w:rPr>
        <w:t xml:space="preserve">、高级数据库系统工程师</w:t>
      </w:r>
      <w:r>
        <w:rPr>
          <w:rFonts w:ascii="宋体" w:hAnsi="宋体" w:cs="宋体"/>
          <w:sz w:val="24"/>
          <w:szCs w:val="24"/>
        </w:rPr>
        <w:t xml:space="preserve">证书。项目组成员中（</w:t>
      </w:r>
      <w:r>
        <w:rPr>
          <w:rFonts w:ascii="宋体" w:hAnsi="宋体" w:cs="宋体"/>
          <w:sz w:val="24"/>
          <w:szCs w:val="24"/>
        </w:rPr>
        <w:t xml:space="preserve">除项目</w:t>
      </w:r>
      <w:r>
        <w:rPr>
          <w:rFonts w:ascii="宋体" w:hAnsi="宋体" w:cs="宋体"/>
          <w:sz w:val="24"/>
          <w:szCs w:val="24"/>
        </w:rPr>
        <w:t xml:space="preserve">负责人外）具有</w:t>
      </w:r>
      <w:r>
        <w:rPr>
          <w:rFonts w:hint="eastAsia" w:ascii="宋体" w:hAnsi="宋体" w:cs="宋体"/>
          <w:sz w:val="24"/>
          <w:szCs w:val="24"/>
        </w:rPr>
        <w:t xml:space="preserve">国家互联网应急中心发放的CCSC网络安全能力认证</w:t>
      </w:r>
      <w:r>
        <w:rPr>
          <w:rFonts w:ascii="宋体" w:hAnsi="宋体" w:cs="宋体"/>
          <w:sz w:val="24"/>
          <w:szCs w:val="24"/>
        </w:rPr>
        <w:t xml:space="preserve">证书</w:t>
      </w:r>
      <w:r>
        <w:rPr>
          <w:rFonts w:hint="eastAsia" w:ascii="宋体" w:hAnsi="宋体" w:cs="宋体"/>
          <w:sz w:val="24"/>
          <w:szCs w:val="24"/>
        </w:rPr>
        <w:t xml:space="preserve">，</w:t>
      </w:r>
      <w:r>
        <w:rPr>
          <w:rFonts w:hint="eastAsia" w:ascii="宋体" w:hAnsi="宋体" w:cs="宋体"/>
          <w:sz w:val="24"/>
          <w:szCs w:val="24"/>
        </w:rPr>
        <w:t xml:space="preserve">中华人民共和国人力资源和社会保障</w:t>
      </w:r>
      <w:r>
        <w:rPr>
          <w:rFonts w:hint="eastAsia" w:ascii="宋体" w:hAnsi="宋体" w:cs="宋体"/>
          <w:sz w:val="24"/>
          <w:szCs w:val="24"/>
        </w:rPr>
        <w:t xml:space="preserve">部网络</w:t>
      </w:r>
      <w:r>
        <w:rPr>
          <w:rFonts w:hint="eastAsia" w:ascii="宋体" w:hAnsi="宋体" w:cs="宋体"/>
          <w:sz w:val="24"/>
          <w:szCs w:val="24"/>
        </w:rPr>
        <w:t xml:space="preserve">工程师证书，负责相关网络服务支撑</w:t>
      </w:r>
      <w:r>
        <w:rPr>
          <w:rFonts w:ascii="宋体" w:hAnsi="宋体" w:cs="宋体"/>
          <w:sz w:val="24"/>
          <w:szCs w:val="24"/>
        </w:rPr>
        <w:t xml:space="preserve">及</w:t>
      </w:r>
      <w:r>
        <w:rPr>
          <w:rFonts w:hint="eastAsia" w:ascii="宋体" w:hAnsi="宋体" w:cs="宋体"/>
          <w:sz w:val="24"/>
          <w:szCs w:val="24"/>
        </w:rPr>
        <w:t xml:space="preserve">安全相关</w:t>
      </w:r>
      <w:r>
        <w:rPr>
          <w:rFonts w:ascii="宋体" w:hAnsi="宋体" w:cs="宋体"/>
          <w:sz w:val="24"/>
          <w:szCs w:val="24"/>
        </w:rPr>
        <w:t xml:space="preserve">技术支持。</w:t>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ind w:firstLine="0"/>
      </w:pPr>
      <w:r/>
      <w:r/>
    </w:p>
    <w:p>
      <w:pPr>
        <w:pStyle w:val="751"/>
        <w:rPr>
          <w:b/>
          <w:bCs/>
        </w:rPr>
      </w:pPr>
      <w:r/>
      <w:bookmarkStart w:id="80" w:name="_Toc9666"/>
      <w:r/>
      <w:bookmarkStart w:id="81" w:name="_Toc5710"/>
      <w:r/>
      <w:bookmarkStart w:id="82" w:name="_Toc120614281"/>
      <w:r>
        <w:rPr>
          <w:rFonts w:hint="eastAsia"/>
          <w:b/>
          <w:bCs/>
        </w:rPr>
        <w:t xml:space="preserve"> </w:t>
      </w:r>
      <w:r>
        <w:rPr>
          <w:rFonts w:hint="eastAsia"/>
          <w:b/>
          <w:bCs/>
        </w:rPr>
        <w:t xml:space="preserve">第五章</w:t>
      </w:r>
      <w:r>
        <w:rPr>
          <w:rFonts w:hint="eastAsia"/>
          <w:b/>
          <w:bCs/>
        </w:rPr>
        <w:t xml:space="preserve">  </w:t>
      </w:r>
      <w:r>
        <w:rPr>
          <w:rFonts w:hint="eastAsia"/>
          <w:b/>
          <w:bCs/>
        </w:rPr>
        <w:t xml:space="preserve">评标方法与评标标准</w:t>
      </w:r>
      <w:bookmarkEnd w:id="80"/>
      <w:r/>
      <w:bookmarkEnd w:id="81"/>
      <w:r/>
      <w:r/>
    </w:p>
    <w:p>
      <w:r/>
      <w:r/>
    </w:p>
    <w:p>
      <w:pPr>
        <w:pStyle w:val="1032"/>
        <w:ind w:firstLine="439"/>
        <w:rPr>
          <w:rFonts w:cs="Arial"/>
          <w:color w:val="0000ff"/>
        </w:rPr>
      </w:pPr>
      <w:r>
        <w:rPr>
          <w:rFonts w:cs="Arial"/>
        </w:rPr>
        <w:t xml:space="preserve">采用综合评分法的，评标结果按评审后得分由高到低顺序排列。得分相同的，按</w:t>
      </w:r>
      <w:r>
        <w:rPr>
          <w:rFonts w:cs="Arial"/>
        </w:rPr>
        <w:t xml:space="preserve">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。本项目推荐中标候选人</w:t>
      </w:r>
      <w:r>
        <w:rPr>
          <w:rFonts w:hint="eastAsia" w:cs="Arial"/>
        </w:rPr>
        <w:t xml:space="preserve">3</w:t>
      </w:r>
      <w:r>
        <w:rPr>
          <w:rFonts w:hint="eastAsia" w:cs="Arial"/>
        </w:rPr>
        <w:t xml:space="preserve">家。</w:t>
      </w:r>
      <w:r/>
    </w:p>
    <w:p>
      <w:pPr>
        <w:pStyle w:val="1032"/>
        <w:ind w:firstLine="441"/>
        <w:rPr>
          <w:rFonts w:ascii="宋体" w:hAnsi="宋体"/>
          <w:b/>
        </w:rPr>
      </w:pPr>
      <w:r>
        <w:rPr>
          <w:rFonts w:hint="eastAsia" w:ascii="宋体" w:hAnsi="宋体"/>
          <w:b/>
        </w:rPr>
        <w:t xml:space="preserve">政府采购政策功能落实</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1、小微型企业价格扣除</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（1）对小型和微型企业提供的服务给予20%的扣除价格，用扣除后的价格参与评审。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2、残疾人福利单位价格扣除</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（1）对残疾人福利性单位视同小型、微型企业，给予20%的价格扣除，用扣除后的价格参与评审。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（1）对监狱和戒毒企业（简称监狱企业）视同小型、微型企业，给予20%的价格扣除，用扣除后的价格参与评审。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w:t>
      </w:r>
      <w:r>
        <w:rPr>
          <w:rFonts w:hint="eastAsia" w:ascii="宋体" w:hAnsi="宋体"/>
          <w:sz w:val="24"/>
          <w:szCs w:val="24"/>
        </w:rPr>
        <w:t xml:space="preserve">份额占到合同总金额30%以上的，给予联合体或者大中型企业6%的价格扣除，用扣除后的价格参与评审。</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6、联合体各方均为小型、微型企业（残疾人福利单位、监狱企业）的，联合体享受20%价格扣除，用扣除后的价格参与评审。</w:t>
      </w:r>
      <w:r/>
    </w:p>
    <w:p>
      <w:pPr>
        <w:pStyle w:val="1032"/>
        <w:ind w:firstLine="482"/>
        <w:spacing w:line="0" w:lineRule="atLeast"/>
        <w:rPr>
          <w:rFonts w:ascii="宋体" w:hAnsi="宋体"/>
          <w:b/>
          <w:highlight w:val="yellow"/>
        </w:rPr>
      </w:pPr>
      <w:r>
        <w:rPr>
          <w:rFonts w:hint="eastAsia" w:ascii="宋体" w:hAnsi="宋体"/>
          <w:b/>
        </w:rPr>
        <w:t xml:space="preserve">评标方法与评标标准</w:t>
      </w:r>
      <w:r/>
    </w:p>
    <w:tbl>
      <w:tblPr>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02"/>
        <w:gridCol w:w="7567"/>
      </w:tblGrid>
      <w:tr>
        <w:trPr>
          <w:jc w:val="center"/>
        </w:trPr>
        <w:tc>
          <w:tcPr>
            <w:tcW w:w="669" w:type="dxa"/>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序号</w:t>
            </w:r>
            <w:r/>
          </w:p>
        </w:tc>
        <w:tc>
          <w:tcPr>
            <w:tcW w:w="1402" w:type="dxa"/>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评审项目</w:t>
            </w:r>
            <w:r/>
          </w:p>
        </w:tc>
        <w:tc>
          <w:tcPr>
            <w:tcW w:w="7567" w:type="dxa"/>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评分要求</w:t>
            </w:r>
            <w:r/>
          </w:p>
        </w:tc>
      </w:tr>
      <w:tr>
        <w:trPr>
          <w:jc w:val="center"/>
        </w:trPr>
        <w:tc>
          <w:tcPr>
            <w:tcW w:w="669"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W w:w="1402"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报价</w:t>
            </w:r>
            <w:r/>
          </w:p>
          <w:p>
            <w:pPr>
              <w:jc w:val="center"/>
              <w:spacing w:line="360" w:lineRule="exact"/>
              <w:rPr>
                <w:rFonts w:ascii="宋体" w:hAnsi="宋体" w:cs="宋体"/>
                <w:bCs/>
                <w:sz w:val="24"/>
                <w:szCs w:val="24"/>
              </w:rPr>
            </w:pPr>
            <w:r>
              <w:rPr>
                <w:rFonts w:hint="eastAsia" w:ascii="宋体" w:hAnsi="宋体" w:cs="宋体"/>
                <w:bCs/>
                <w:sz w:val="24"/>
                <w:szCs w:val="24"/>
              </w:rPr>
              <w:t xml:space="preserve">（10分）</w:t>
            </w:r>
            <w:r/>
          </w:p>
        </w:tc>
        <w:tc>
          <w:tcPr>
            <w:tcW w:w="7567"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以满足招标文件要求的最低投标报价为评标基准价，得满分10分，其他投标报价得分=(评标基准价／其他投标报价)×10×100%。</w:t>
            </w:r>
            <w:r/>
          </w:p>
        </w:tc>
      </w:tr>
      <w:tr>
        <w:trPr>
          <w:jc w:val="center"/>
        </w:trPr>
        <w:tc>
          <w:tcPr>
            <w:tcW w:w="669"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2</w:t>
            </w:r>
            <w:r/>
          </w:p>
        </w:tc>
        <w:tc>
          <w:tcPr>
            <w:tcW w:w="1402"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技术响应</w:t>
            </w:r>
            <w:r/>
          </w:p>
          <w:p>
            <w:pPr>
              <w:jc w:val="center"/>
              <w:spacing w:line="360" w:lineRule="exact"/>
              <w:rPr>
                <w:rFonts w:ascii="宋体" w:hAnsi="宋体" w:cs="宋体"/>
                <w:bCs/>
                <w:sz w:val="24"/>
                <w:szCs w:val="24"/>
              </w:rPr>
            </w:pPr>
            <w:r>
              <w:rPr>
                <w:rFonts w:hint="eastAsia" w:ascii="宋体" w:hAnsi="宋体" w:cs="宋体"/>
                <w:bCs/>
                <w:sz w:val="24"/>
                <w:szCs w:val="24"/>
              </w:rPr>
              <w:t xml:space="preserve">（24分）</w:t>
            </w:r>
            <w:r/>
          </w:p>
        </w:tc>
        <w:tc>
          <w:tcPr>
            <w:tcW w:w="7567" w:type="dxa"/>
            <w:vAlign w:val="center"/>
            <w:textDirection w:val="lrTb"/>
            <w:noWrap w:val="false"/>
          </w:tcPr>
          <w:p>
            <w:pPr>
              <w:jc w:val="left"/>
              <w:spacing w:line="360" w:lineRule="exact"/>
              <w:rPr>
                <w:rFonts w:ascii="宋体" w:hAnsi="宋体" w:cs="宋体"/>
                <w:bCs/>
                <w:sz w:val="24"/>
                <w:szCs w:val="24"/>
              </w:rPr>
            </w:pPr>
            <w:r>
              <w:rPr>
                <w:rFonts w:hint="eastAsia" w:ascii="宋体" w:hAnsi="宋体" w:cs="宋体"/>
                <w:bCs/>
                <w:sz w:val="24"/>
                <w:szCs w:val="24"/>
              </w:rPr>
              <w:t xml:space="preserve">投标人所投产品技术参数完全满足招标文件要求得24分，其中加★项为关键技术参数，每有一项负偏离扣2分。投标人须提供相关指标</w:t>
            </w:r>
            <w:r>
              <w:rPr>
                <w:rFonts w:hint="eastAsia" w:ascii="宋体" w:hAnsi="宋体" w:cs="宋体"/>
                <w:bCs/>
                <w:sz w:val="24"/>
                <w:szCs w:val="24"/>
              </w:rPr>
              <w:t xml:space="preserve">项证明</w:t>
            </w:r>
            <w:r>
              <w:rPr>
                <w:rFonts w:hint="eastAsia" w:ascii="宋体" w:hAnsi="宋体" w:cs="宋体"/>
                <w:bCs/>
                <w:sz w:val="24"/>
                <w:szCs w:val="24"/>
              </w:rPr>
              <w:t xml:space="preserve">材料，未按要求提供相关证明材料的视为负偏离。</w:t>
            </w:r>
            <w:r/>
          </w:p>
        </w:tc>
      </w:tr>
      <w:tr>
        <w:trPr>
          <w:jc w:val="center"/>
        </w:trPr>
        <w:tc>
          <w:tcPr>
            <w:tcW w:w="669"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3</w:t>
            </w:r>
            <w:r/>
          </w:p>
        </w:tc>
        <w:tc>
          <w:tcPr>
            <w:tcW w:w="1402" w:type="dxa"/>
            <w:vAlign w:val="center"/>
            <w:textDirection w:val="lrTb"/>
            <w:noWrap w:val="false"/>
          </w:tcPr>
          <w:p>
            <w:pPr>
              <w:jc w:val="center"/>
              <w:spacing w:line="360" w:lineRule="auto"/>
              <w:rPr>
                <w:rFonts w:cs="宋体"/>
                <w:bCs/>
                <w:sz w:val="24"/>
                <w:szCs w:val="24"/>
              </w:rPr>
            </w:pPr>
            <w:r>
              <w:rPr>
                <w:rFonts w:hint="eastAsia" w:cs="宋体"/>
                <w:bCs/>
                <w:sz w:val="24"/>
                <w:szCs w:val="24"/>
              </w:rPr>
              <w:t xml:space="preserve">业绩</w:t>
            </w:r>
            <w:r/>
          </w:p>
          <w:p>
            <w:pPr>
              <w:spacing w:line="360" w:lineRule="auto"/>
              <w:rPr>
                <w:rFonts w:ascii="宋体" w:hAnsi="宋体" w:cs="宋体"/>
                <w:bCs/>
                <w:sz w:val="24"/>
                <w:szCs w:val="24"/>
              </w:rPr>
            </w:pPr>
            <w:r>
              <w:rPr>
                <w:rFonts w:hint="eastAsia" w:cs="宋体"/>
                <w:bCs/>
                <w:sz w:val="24"/>
                <w:szCs w:val="24"/>
              </w:rPr>
              <w:t xml:space="preserve">（</w:t>
            </w:r>
            <w:r>
              <w:rPr>
                <w:rFonts w:hint="eastAsia" w:cs="宋体"/>
                <w:bCs/>
                <w:sz w:val="24"/>
                <w:szCs w:val="24"/>
              </w:rPr>
              <w:t xml:space="preserve">15</w:t>
            </w:r>
            <w:r>
              <w:rPr>
                <w:rFonts w:hint="eastAsia" w:cs="宋体"/>
                <w:bCs/>
                <w:sz w:val="24"/>
                <w:szCs w:val="24"/>
              </w:rPr>
              <w:t xml:space="preserve">分）</w:t>
            </w:r>
            <w:r/>
          </w:p>
        </w:tc>
        <w:tc>
          <w:tcPr>
            <w:tcW w:w="7567" w:type="dxa"/>
            <w:textDirection w:val="lrTb"/>
            <w:noWrap w:val="false"/>
          </w:tcPr>
          <w:p>
            <w:pPr>
              <w:spacing w:line="360" w:lineRule="auto"/>
              <w:rPr>
                <w:rFonts w:ascii="宋体" w:hAnsi="宋体" w:cs="宋体"/>
                <w:bCs/>
                <w:sz w:val="24"/>
                <w:szCs w:val="24"/>
              </w:rPr>
            </w:pPr>
            <w:r>
              <w:rPr>
                <w:rFonts w:hint="eastAsia" w:cs="宋体"/>
                <w:bCs/>
                <w:sz w:val="24"/>
                <w:szCs w:val="24"/>
              </w:rPr>
              <w:t xml:space="preserve">投标人</w:t>
            </w:r>
            <w:r>
              <w:rPr>
                <w:rFonts w:hint="eastAsia" w:cs="宋体"/>
                <w:bCs/>
                <w:sz w:val="24"/>
                <w:szCs w:val="24"/>
              </w:rPr>
              <w:t xml:space="preserve">2021</w:t>
            </w:r>
            <w:r>
              <w:rPr>
                <w:rFonts w:hint="eastAsia" w:cs="宋体"/>
                <w:bCs/>
                <w:sz w:val="24"/>
                <w:szCs w:val="24"/>
              </w:rPr>
              <w:t xml:space="preserve">年</w:t>
            </w:r>
            <w:r>
              <w:rPr>
                <w:rFonts w:hint="eastAsia" w:cs="宋体"/>
                <w:bCs/>
                <w:sz w:val="24"/>
                <w:szCs w:val="24"/>
              </w:rPr>
              <w:t xml:space="preserve">1</w:t>
            </w:r>
            <w:r>
              <w:rPr>
                <w:rFonts w:hint="eastAsia" w:cs="宋体"/>
                <w:bCs/>
                <w:sz w:val="24"/>
                <w:szCs w:val="24"/>
              </w:rPr>
              <w:t xml:space="preserve">月</w:t>
            </w:r>
            <w:r>
              <w:rPr>
                <w:rFonts w:hint="eastAsia" w:cs="宋体"/>
                <w:bCs/>
                <w:sz w:val="24"/>
                <w:szCs w:val="24"/>
              </w:rPr>
              <w:t xml:space="preserve">1</w:t>
            </w:r>
            <w:r>
              <w:rPr>
                <w:rFonts w:hint="eastAsia" w:cs="宋体"/>
                <w:bCs/>
                <w:sz w:val="24"/>
                <w:szCs w:val="24"/>
              </w:rPr>
              <w:t xml:space="preserve">日以来具有类似项目业绩，每提供</w:t>
            </w:r>
            <w:r>
              <w:rPr>
                <w:rFonts w:hint="eastAsia" w:cs="宋体"/>
                <w:bCs/>
                <w:sz w:val="24"/>
                <w:szCs w:val="24"/>
              </w:rPr>
              <w:t xml:space="preserve">1</w:t>
            </w:r>
            <w:r>
              <w:rPr>
                <w:rFonts w:hint="eastAsia" w:cs="宋体"/>
                <w:bCs/>
                <w:sz w:val="24"/>
                <w:szCs w:val="24"/>
              </w:rPr>
              <w:t xml:space="preserve">项得</w:t>
            </w:r>
            <w:r>
              <w:rPr>
                <w:rFonts w:hint="eastAsia" w:cs="宋体"/>
                <w:bCs/>
                <w:sz w:val="24"/>
                <w:szCs w:val="24"/>
              </w:rPr>
              <w:t xml:space="preserve">3</w:t>
            </w:r>
            <w:r>
              <w:rPr>
                <w:rFonts w:hint="eastAsia" w:cs="宋体"/>
                <w:bCs/>
                <w:sz w:val="24"/>
                <w:szCs w:val="24"/>
              </w:rPr>
              <w:t xml:space="preserve">分，满分</w:t>
            </w:r>
            <w:r>
              <w:rPr>
                <w:rFonts w:hint="eastAsia" w:cs="宋体"/>
                <w:bCs/>
                <w:sz w:val="24"/>
                <w:szCs w:val="24"/>
              </w:rPr>
              <w:t xml:space="preserve">15</w:t>
            </w:r>
            <w:r>
              <w:rPr>
                <w:rFonts w:hint="eastAsia" w:cs="宋体"/>
                <w:bCs/>
                <w:sz w:val="24"/>
                <w:szCs w:val="24"/>
              </w:rPr>
              <w:t xml:space="preserve">分。（以合同签订时间为准，提供合同原件扫描上传）</w:t>
            </w:r>
            <w:r/>
          </w:p>
        </w:tc>
      </w:tr>
      <w:tr>
        <w:trPr>
          <w:jc w:val="center"/>
        </w:trPr>
        <w:tc>
          <w:tcPr>
            <w:tcW w:w="669"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4</w:t>
            </w:r>
            <w:r/>
          </w:p>
        </w:tc>
        <w:tc>
          <w:tcPr>
            <w:tcW w:w="1402" w:type="dxa"/>
            <w:vAlign w:val="center"/>
            <w:textDirection w:val="lrTb"/>
            <w:noWrap w:val="false"/>
          </w:tcPr>
          <w:p>
            <w:pPr>
              <w:jc w:val="center"/>
              <w:spacing w:line="360" w:lineRule="auto"/>
              <w:rPr>
                <w:rFonts w:cs="宋体"/>
                <w:bCs/>
                <w:sz w:val="24"/>
                <w:szCs w:val="24"/>
              </w:rPr>
            </w:pPr>
            <w:r>
              <w:rPr>
                <w:rFonts w:hint="eastAsia" w:cs="宋体"/>
                <w:bCs/>
                <w:sz w:val="24"/>
                <w:szCs w:val="24"/>
              </w:rPr>
              <w:t xml:space="preserve">综合实力</w:t>
            </w:r>
            <w:r/>
          </w:p>
          <w:p>
            <w:pPr>
              <w:jc w:val="center"/>
              <w:spacing w:line="360" w:lineRule="auto"/>
              <w:rPr>
                <w:rFonts w:ascii="宋体" w:hAnsi="宋体" w:cs="宋体"/>
                <w:bCs/>
                <w:sz w:val="24"/>
                <w:szCs w:val="24"/>
              </w:rPr>
            </w:pPr>
            <w:r>
              <w:rPr>
                <w:rFonts w:hint="eastAsia" w:cs="宋体"/>
                <w:bCs/>
                <w:sz w:val="24"/>
                <w:szCs w:val="24"/>
              </w:rPr>
              <w:t xml:space="preserve">（</w:t>
            </w:r>
            <w:r>
              <w:rPr>
                <w:rFonts w:cs="宋体"/>
                <w:bCs/>
                <w:sz w:val="24"/>
                <w:szCs w:val="24"/>
              </w:rPr>
              <w:t xml:space="preserve">6</w:t>
            </w:r>
            <w:r>
              <w:rPr>
                <w:rFonts w:hint="eastAsia" w:cs="宋体"/>
                <w:bCs/>
                <w:sz w:val="24"/>
                <w:szCs w:val="24"/>
              </w:rPr>
              <w:t xml:space="preserve">分）</w:t>
            </w:r>
            <w:r/>
          </w:p>
        </w:tc>
        <w:tc>
          <w:tcPr>
            <w:tcW w:w="7567" w:type="dxa"/>
            <w:textDirection w:val="lrTb"/>
            <w:noWrap w:val="false"/>
          </w:tcPr>
          <w:p>
            <w:pPr>
              <w:spacing w:line="360" w:lineRule="auto"/>
              <w:rPr>
                <w:bCs/>
                <w:sz w:val="24"/>
                <w:szCs w:val="24"/>
              </w:rPr>
            </w:pPr>
            <w:r>
              <w:rPr>
                <w:rFonts w:hint="eastAsia"/>
                <w:bCs/>
                <w:sz w:val="24"/>
                <w:szCs w:val="24"/>
              </w:rPr>
              <w:t xml:space="preserve">1</w:t>
            </w:r>
            <w:r>
              <w:rPr>
                <w:rFonts w:hint="eastAsia"/>
                <w:bCs/>
                <w:sz w:val="24"/>
                <w:szCs w:val="24"/>
              </w:rPr>
              <w:t xml:space="preserve">、</w:t>
            </w:r>
            <w:r>
              <w:rPr>
                <w:rFonts w:hint="eastAsia"/>
                <w:bCs/>
                <w:sz w:val="24"/>
                <w:szCs w:val="24"/>
              </w:rPr>
              <w:t xml:space="preserve">投标人具有数据安全能力成熟度等级证书，三级及以上得</w:t>
            </w:r>
            <w:r>
              <w:rPr>
                <w:rFonts w:hint="eastAsia"/>
                <w:bCs/>
                <w:sz w:val="24"/>
                <w:szCs w:val="24"/>
              </w:rPr>
              <w:t xml:space="preserve">3</w:t>
            </w:r>
            <w:r>
              <w:rPr>
                <w:rFonts w:hint="eastAsia"/>
                <w:bCs/>
                <w:sz w:val="24"/>
                <w:szCs w:val="24"/>
              </w:rPr>
              <w:t xml:space="preserve">分，二级及以下的得</w:t>
            </w:r>
            <w:r>
              <w:rPr>
                <w:rFonts w:hint="eastAsia"/>
                <w:bCs/>
                <w:sz w:val="24"/>
                <w:szCs w:val="24"/>
              </w:rPr>
              <w:t xml:space="preserve">2</w:t>
            </w:r>
            <w:r>
              <w:rPr>
                <w:rFonts w:hint="eastAsia"/>
                <w:bCs/>
                <w:sz w:val="24"/>
                <w:szCs w:val="24"/>
              </w:rPr>
              <w:t xml:space="preserve">分，没有不得分。</w:t>
            </w:r>
            <w:r/>
          </w:p>
          <w:p>
            <w:pPr>
              <w:spacing w:line="360" w:lineRule="auto"/>
              <w:rPr>
                <w:bCs/>
                <w:sz w:val="24"/>
                <w:szCs w:val="24"/>
              </w:rPr>
            </w:pPr>
            <w:r>
              <w:rPr>
                <w:rFonts w:hint="eastAsia"/>
                <w:bCs/>
                <w:sz w:val="24"/>
                <w:szCs w:val="24"/>
              </w:rPr>
              <w:t xml:space="preserve">（提供证书原件及全国认证认可信息公共服务平台上查询结果截图扫描上传，未按要求提供不得分）</w:t>
            </w:r>
            <w:r/>
          </w:p>
          <w:p>
            <w:pPr>
              <w:spacing w:line="360" w:lineRule="auto"/>
              <w:rPr>
                <w:bCs/>
                <w:sz w:val="24"/>
                <w:szCs w:val="24"/>
              </w:rPr>
            </w:pPr>
            <w:r>
              <w:rPr>
                <w:rFonts w:hint="eastAsia"/>
                <w:bCs/>
                <w:sz w:val="24"/>
                <w:szCs w:val="24"/>
              </w:rPr>
              <w:t xml:space="preserve">2</w:t>
            </w:r>
            <w:r>
              <w:rPr>
                <w:rFonts w:hint="eastAsia"/>
                <w:bCs/>
                <w:sz w:val="24"/>
                <w:szCs w:val="24"/>
              </w:rPr>
              <w:t xml:space="preserve">、投标人具有信息技术服务运行维护（</w:t>
            </w:r>
            <w:r>
              <w:rPr>
                <w:rFonts w:hint="eastAsia"/>
                <w:bCs/>
                <w:sz w:val="24"/>
                <w:szCs w:val="24"/>
              </w:rPr>
              <w:t xml:space="preserve">ITSS</w:t>
            </w:r>
            <w:r>
              <w:rPr>
                <w:rFonts w:hint="eastAsia"/>
                <w:bCs/>
                <w:sz w:val="24"/>
                <w:szCs w:val="24"/>
              </w:rPr>
              <w:t xml:space="preserve">）成熟度为一级的得</w:t>
            </w:r>
            <w:r>
              <w:rPr>
                <w:rFonts w:hint="eastAsia"/>
                <w:bCs/>
                <w:sz w:val="24"/>
                <w:szCs w:val="24"/>
              </w:rPr>
              <w:t xml:space="preserve">3</w:t>
            </w:r>
            <w:r>
              <w:rPr>
                <w:rFonts w:hint="eastAsia"/>
                <w:bCs/>
                <w:sz w:val="24"/>
                <w:szCs w:val="24"/>
              </w:rPr>
              <w:t xml:space="preserve">分，二级及以下的得</w:t>
            </w:r>
            <w:r>
              <w:rPr>
                <w:rFonts w:hint="eastAsia"/>
                <w:bCs/>
                <w:sz w:val="24"/>
                <w:szCs w:val="24"/>
              </w:rPr>
              <w:t xml:space="preserve">2</w:t>
            </w:r>
            <w:r>
              <w:rPr>
                <w:rFonts w:hint="eastAsia"/>
                <w:bCs/>
                <w:sz w:val="24"/>
                <w:szCs w:val="24"/>
              </w:rPr>
              <w:t xml:space="preserve">分，其他不得分。</w:t>
            </w:r>
            <w:r/>
          </w:p>
          <w:p>
            <w:pPr>
              <w:spacing w:line="360" w:lineRule="auto"/>
              <w:rPr>
                <w:bCs/>
                <w:sz w:val="24"/>
                <w:szCs w:val="24"/>
              </w:rPr>
            </w:pPr>
            <w:r>
              <w:rPr>
                <w:rFonts w:hint="eastAsia"/>
                <w:bCs/>
                <w:sz w:val="24"/>
                <w:szCs w:val="24"/>
              </w:rPr>
              <w:t xml:space="preserve">（提供证书原件及中国电子工业标准化技术协会信息技术服务分会平台上查询结果截图扫描上传，未按要求提供不得分）</w:t>
            </w:r>
            <w:r/>
          </w:p>
        </w:tc>
      </w:tr>
      <w:tr>
        <w:trPr>
          <w:jc w:val="center"/>
        </w:trPr>
        <w:tc>
          <w:tcPr>
            <w:tcW w:w="669"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5</w:t>
            </w:r>
            <w:r/>
          </w:p>
        </w:tc>
        <w:tc>
          <w:tcPr>
            <w:tcW w:w="1402" w:type="dxa"/>
            <w:vAlign w:val="center"/>
            <w:textDirection w:val="lrTb"/>
            <w:noWrap w:val="false"/>
          </w:tcPr>
          <w:p>
            <w:pPr>
              <w:jc w:val="center"/>
              <w:spacing w:line="360" w:lineRule="auto"/>
              <w:rPr>
                <w:bCs/>
                <w:sz w:val="24"/>
                <w:szCs w:val="24"/>
              </w:rPr>
            </w:pPr>
            <w:r>
              <w:rPr>
                <w:rFonts w:hint="eastAsia"/>
                <w:bCs/>
                <w:sz w:val="24"/>
                <w:szCs w:val="24"/>
              </w:rPr>
              <w:t xml:space="preserve">人员配备</w:t>
            </w:r>
            <w:r/>
          </w:p>
          <w:p>
            <w:pPr>
              <w:jc w:val="center"/>
              <w:spacing w:line="360" w:lineRule="auto"/>
              <w:rPr>
                <w:rFonts w:ascii="宋体" w:hAnsi="宋体" w:cs="宋体"/>
                <w:bCs/>
                <w:sz w:val="24"/>
                <w:szCs w:val="24"/>
              </w:rPr>
            </w:pPr>
            <w:r>
              <w:rPr>
                <w:rFonts w:hint="eastAsia"/>
                <w:bCs/>
                <w:sz w:val="24"/>
                <w:szCs w:val="24"/>
              </w:rPr>
              <w:t xml:space="preserve">（</w:t>
            </w:r>
            <w:r>
              <w:rPr>
                <w:rFonts w:hint="eastAsia"/>
                <w:bCs/>
                <w:sz w:val="24"/>
                <w:szCs w:val="24"/>
              </w:rPr>
              <w:t xml:space="preserve">1</w:t>
            </w:r>
            <w:r>
              <w:rPr>
                <w:bCs/>
                <w:sz w:val="24"/>
                <w:szCs w:val="24"/>
              </w:rPr>
              <w:t xml:space="preserve">5</w:t>
            </w:r>
            <w:r>
              <w:rPr>
                <w:rFonts w:hint="eastAsia"/>
                <w:bCs/>
                <w:sz w:val="24"/>
                <w:szCs w:val="24"/>
              </w:rPr>
              <w:t xml:space="preserve">分）</w:t>
            </w:r>
            <w:r/>
          </w:p>
        </w:tc>
        <w:tc>
          <w:tcPr>
            <w:tcW w:w="7567" w:type="dxa"/>
            <w:textDirection w:val="lrTb"/>
            <w:noWrap w:val="false"/>
          </w:tcPr>
          <w:p>
            <w:pPr>
              <w:spacing w:line="360" w:lineRule="auto"/>
              <w:rPr>
                <w:bCs/>
                <w:sz w:val="24"/>
                <w:szCs w:val="24"/>
              </w:rPr>
            </w:pPr>
            <w:r>
              <w:rPr>
                <w:bCs/>
                <w:sz w:val="24"/>
                <w:szCs w:val="24"/>
              </w:rPr>
              <w:t xml:space="preserve">1</w:t>
            </w:r>
            <w:r>
              <w:rPr>
                <w:bCs/>
                <w:sz w:val="24"/>
                <w:szCs w:val="24"/>
              </w:rPr>
              <w:t xml:space="preserve">、项目负责人具有：</w:t>
            </w:r>
            <w:r>
              <w:rPr>
                <w:rFonts w:hint="eastAsia" w:ascii="宋体" w:hAnsi="宋体" w:cs="宋体"/>
                <w:bCs/>
                <w:sz w:val="24"/>
                <w:szCs w:val="24"/>
              </w:rPr>
              <w:t xml:space="preserve">①</w:t>
            </w:r>
            <w:r>
              <w:rPr>
                <w:rFonts w:hint="eastAsia"/>
                <w:bCs/>
                <w:sz w:val="24"/>
                <w:szCs w:val="24"/>
              </w:rPr>
              <w:t xml:space="preserve">注册信息安全工程师</w:t>
            </w:r>
            <w:r>
              <w:rPr>
                <w:bCs/>
                <w:sz w:val="24"/>
                <w:szCs w:val="24"/>
              </w:rPr>
              <w:t xml:space="preserve">证书得</w:t>
            </w:r>
            <w:r>
              <w:rPr>
                <w:rFonts w:hint="eastAsia"/>
                <w:bCs/>
                <w:sz w:val="24"/>
                <w:szCs w:val="24"/>
              </w:rPr>
              <w:t xml:space="preserve">2</w:t>
            </w:r>
            <w:r>
              <w:rPr>
                <w:bCs/>
                <w:sz w:val="24"/>
                <w:szCs w:val="24"/>
              </w:rPr>
              <w:t xml:space="preserve">分；</w:t>
            </w:r>
            <w:r>
              <w:rPr>
                <w:rFonts w:hint="eastAsia" w:ascii="宋体" w:hAnsi="宋体" w:cs="宋体"/>
                <w:bCs/>
                <w:sz w:val="24"/>
                <w:szCs w:val="24"/>
              </w:rPr>
              <w:t xml:space="preserve">②</w:t>
            </w:r>
            <w:r>
              <w:rPr>
                <w:rFonts w:hint="eastAsia"/>
                <w:bCs/>
                <w:sz w:val="24"/>
                <w:szCs w:val="24"/>
                <w:lang w:bidi="ar"/>
              </w:rPr>
              <w:t xml:space="preserve">高级智能化系统项目经理</w:t>
            </w:r>
            <w:r>
              <w:rPr>
                <w:bCs/>
                <w:sz w:val="24"/>
                <w:szCs w:val="24"/>
              </w:rPr>
              <w:t xml:space="preserve">证书得</w:t>
            </w:r>
            <w:r>
              <w:rPr>
                <w:rFonts w:hint="eastAsia"/>
                <w:bCs/>
                <w:sz w:val="24"/>
                <w:szCs w:val="24"/>
              </w:rPr>
              <w:t xml:space="preserve">2</w:t>
            </w:r>
            <w:r>
              <w:rPr>
                <w:bCs/>
                <w:sz w:val="24"/>
                <w:szCs w:val="24"/>
              </w:rPr>
              <w:t xml:space="preserve">分；</w:t>
            </w:r>
            <w:r>
              <w:rPr>
                <w:rFonts w:hint="eastAsia"/>
                <w:bCs/>
                <w:sz w:val="24"/>
                <w:szCs w:val="24"/>
              </w:rPr>
              <w:t xml:space="preserve">③高级数据库系统工程师</w:t>
            </w:r>
            <w:r>
              <w:rPr>
                <w:bCs/>
                <w:sz w:val="24"/>
                <w:szCs w:val="24"/>
              </w:rPr>
              <w:t xml:space="preserve">证书得</w:t>
            </w:r>
            <w:r>
              <w:rPr>
                <w:rFonts w:hint="eastAsia"/>
                <w:bCs/>
                <w:sz w:val="24"/>
                <w:szCs w:val="24"/>
              </w:rPr>
              <w:t xml:space="preserve">2</w:t>
            </w:r>
            <w:r>
              <w:rPr>
                <w:bCs/>
                <w:sz w:val="24"/>
                <w:szCs w:val="24"/>
              </w:rPr>
              <w:t xml:space="preserve">分。</w:t>
            </w:r>
            <w:r>
              <w:rPr>
                <w:rFonts w:hint="eastAsia"/>
                <w:bCs/>
                <w:sz w:val="24"/>
                <w:szCs w:val="24"/>
              </w:rPr>
              <w:t xml:space="preserve">本项</w:t>
            </w:r>
            <w:r>
              <w:rPr>
                <w:bCs/>
                <w:sz w:val="24"/>
                <w:szCs w:val="24"/>
              </w:rPr>
              <w:t xml:space="preserve">满分</w:t>
            </w:r>
            <w:r>
              <w:rPr>
                <w:rFonts w:hint="eastAsia"/>
                <w:bCs/>
                <w:sz w:val="24"/>
                <w:szCs w:val="24"/>
              </w:rPr>
              <w:t xml:space="preserve">6</w:t>
            </w:r>
            <w:r>
              <w:rPr>
                <w:bCs/>
                <w:sz w:val="24"/>
                <w:szCs w:val="24"/>
              </w:rPr>
              <w:t xml:space="preserve">分。（提供证书及</w:t>
            </w:r>
            <w:r>
              <w:rPr>
                <w:rFonts w:hint="eastAsia"/>
                <w:bCs/>
                <w:sz w:val="24"/>
                <w:szCs w:val="24"/>
              </w:rPr>
              <w:t xml:space="preserve">投标人为其缴纳的近三个月任意一个月</w:t>
            </w:r>
            <w:r>
              <w:rPr>
                <w:rFonts w:hint="eastAsia"/>
                <w:bCs/>
                <w:sz w:val="24"/>
                <w:szCs w:val="24"/>
              </w:rPr>
              <w:t xml:space="preserve">社保证明</w:t>
            </w:r>
            <w:r>
              <w:rPr>
                <w:rFonts w:hint="eastAsia"/>
                <w:bCs/>
                <w:sz w:val="24"/>
                <w:szCs w:val="24"/>
              </w:rPr>
              <w:t xml:space="preserve">原件扫描上传，未按要求提供不得分）</w:t>
            </w:r>
            <w:r/>
          </w:p>
          <w:p>
            <w:pPr>
              <w:spacing w:line="360" w:lineRule="auto"/>
              <w:rPr>
                <w:bCs/>
                <w:sz w:val="24"/>
                <w:szCs w:val="24"/>
              </w:rPr>
            </w:pPr>
            <w:r>
              <w:rPr>
                <w:bCs/>
                <w:sz w:val="24"/>
                <w:szCs w:val="24"/>
              </w:rPr>
              <w:t xml:space="preserve">2</w:t>
            </w:r>
            <w:r>
              <w:rPr>
                <w:bCs/>
                <w:sz w:val="24"/>
                <w:szCs w:val="24"/>
              </w:rPr>
              <w:t xml:space="preserve">、项目组成员中（</w:t>
            </w:r>
            <w:r>
              <w:rPr>
                <w:bCs/>
                <w:sz w:val="24"/>
                <w:szCs w:val="24"/>
              </w:rPr>
              <w:t xml:space="preserve">除项目</w:t>
            </w:r>
            <w:r>
              <w:rPr>
                <w:bCs/>
                <w:sz w:val="24"/>
                <w:szCs w:val="24"/>
              </w:rPr>
              <w:t xml:space="preserve">负责人外）具有</w:t>
            </w:r>
            <w:r>
              <w:rPr>
                <w:rFonts w:hint="eastAsia"/>
                <w:bCs/>
                <w:sz w:val="24"/>
                <w:szCs w:val="24"/>
              </w:rPr>
              <w:t xml:space="preserve">国家互联网应急中心发放的</w:t>
            </w:r>
            <w:r>
              <w:rPr>
                <w:rFonts w:hint="eastAsia"/>
                <w:bCs/>
                <w:sz w:val="24"/>
                <w:szCs w:val="24"/>
              </w:rPr>
              <w:t xml:space="preserve">CCSC</w:t>
            </w:r>
            <w:r>
              <w:rPr>
                <w:rFonts w:hint="eastAsia"/>
                <w:bCs/>
                <w:sz w:val="24"/>
                <w:szCs w:val="24"/>
              </w:rPr>
              <w:t xml:space="preserve">网络安全能力认证</w:t>
            </w:r>
            <w:r>
              <w:rPr>
                <w:bCs/>
                <w:sz w:val="24"/>
                <w:szCs w:val="24"/>
              </w:rPr>
              <w:t xml:space="preserve">证书</w:t>
            </w:r>
            <w:r>
              <w:rPr>
                <w:rFonts w:hint="eastAsia"/>
                <w:bCs/>
                <w:sz w:val="24"/>
                <w:szCs w:val="24"/>
              </w:rPr>
              <w:t xml:space="preserve">，</w:t>
            </w:r>
            <w:r>
              <w:rPr>
                <w:bCs/>
                <w:sz w:val="24"/>
                <w:szCs w:val="24"/>
              </w:rPr>
              <w:t xml:space="preserve">负责</w:t>
            </w:r>
            <w:r>
              <w:rPr>
                <w:rFonts w:hint="eastAsia"/>
                <w:bCs/>
                <w:sz w:val="24"/>
                <w:szCs w:val="24"/>
              </w:rPr>
              <w:t xml:space="preserve">安全相关</w:t>
            </w:r>
            <w:r>
              <w:rPr>
                <w:bCs/>
                <w:sz w:val="24"/>
                <w:szCs w:val="24"/>
              </w:rPr>
              <w:t xml:space="preserve">技术支持，每提供</w:t>
            </w:r>
            <w:r>
              <w:rPr>
                <w:rFonts w:hint="eastAsia"/>
                <w:bCs/>
                <w:sz w:val="24"/>
                <w:szCs w:val="24"/>
              </w:rPr>
              <w:t xml:space="preserve">一人</w:t>
            </w:r>
            <w:r>
              <w:rPr>
                <w:bCs/>
                <w:sz w:val="24"/>
                <w:szCs w:val="24"/>
              </w:rPr>
              <w:t xml:space="preserve">得</w:t>
            </w:r>
            <w:r>
              <w:rPr>
                <w:rFonts w:hint="eastAsia"/>
                <w:bCs/>
                <w:sz w:val="24"/>
                <w:szCs w:val="24"/>
              </w:rPr>
              <w:t xml:space="preserve">2</w:t>
            </w:r>
            <w:r>
              <w:rPr>
                <w:bCs/>
                <w:sz w:val="24"/>
                <w:szCs w:val="24"/>
              </w:rPr>
              <w:t xml:space="preserve">分，满分</w:t>
            </w:r>
            <w:r>
              <w:rPr>
                <w:rFonts w:hint="eastAsia"/>
                <w:bCs/>
                <w:sz w:val="24"/>
                <w:szCs w:val="24"/>
              </w:rPr>
              <w:t xml:space="preserve">6</w:t>
            </w:r>
            <w:r>
              <w:rPr>
                <w:bCs/>
                <w:sz w:val="24"/>
                <w:szCs w:val="24"/>
              </w:rPr>
              <w:t xml:space="preserve">分</w:t>
            </w:r>
            <w:r>
              <w:rPr>
                <w:rFonts w:hint="eastAsia"/>
                <w:bCs/>
                <w:sz w:val="24"/>
                <w:szCs w:val="24"/>
              </w:rPr>
              <w:t xml:space="preserve">。</w:t>
            </w:r>
            <w:r>
              <w:rPr>
                <w:bCs/>
                <w:sz w:val="24"/>
                <w:szCs w:val="24"/>
              </w:rPr>
              <w:t xml:space="preserve">（提供证书及</w:t>
            </w:r>
            <w:r>
              <w:rPr>
                <w:rFonts w:hint="eastAsia"/>
                <w:bCs/>
                <w:sz w:val="24"/>
                <w:szCs w:val="24"/>
              </w:rPr>
              <w:t xml:space="preserve">投标人为其缴纳的近三个月任意一个月</w:t>
            </w:r>
            <w:r>
              <w:rPr>
                <w:rFonts w:hint="eastAsia"/>
                <w:bCs/>
                <w:sz w:val="24"/>
                <w:szCs w:val="24"/>
              </w:rPr>
              <w:t xml:space="preserve">社保证明</w:t>
            </w:r>
            <w:r>
              <w:rPr>
                <w:bCs/>
                <w:sz w:val="24"/>
                <w:szCs w:val="24"/>
              </w:rPr>
              <w:t xml:space="preserve">，提供</w:t>
            </w:r>
            <w:r>
              <w:rPr>
                <w:rFonts w:hint="eastAsia"/>
                <w:bCs/>
                <w:sz w:val="24"/>
                <w:szCs w:val="24"/>
              </w:rPr>
              <w:t xml:space="preserve">原件扫描上传，未按要求提供不得分</w:t>
            </w:r>
            <w:r>
              <w:rPr>
                <w:bCs/>
                <w:sz w:val="24"/>
                <w:szCs w:val="24"/>
              </w:rPr>
              <w:t xml:space="preserve">）</w:t>
            </w:r>
            <w:r/>
          </w:p>
          <w:p>
            <w:pPr>
              <w:pStyle w:val="789"/>
              <w:ind w:firstLine="0"/>
            </w:pPr>
            <w:r>
              <w:rPr>
                <w:rFonts w:hint="eastAsia"/>
                <w:bCs/>
                <w:sz w:val="24"/>
                <w:szCs w:val="24"/>
              </w:rPr>
              <w:t xml:space="preserve">3</w:t>
            </w:r>
            <w:r>
              <w:rPr>
                <w:bCs/>
                <w:sz w:val="24"/>
                <w:szCs w:val="24"/>
              </w:rPr>
              <w:t xml:space="preserve">、</w:t>
            </w:r>
            <w:r>
              <w:rPr>
                <w:rFonts w:hint="eastAsia"/>
                <w:bCs/>
                <w:sz w:val="24"/>
                <w:szCs w:val="24"/>
              </w:rPr>
              <w:t xml:space="preserve">项目组成员中（</w:t>
            </w:r>
            <w:r>
              <w:rPr>
                <w:rFonts w:hint="eastAsia"/>
                <w:bCs/>
                <w:sz w:val="24"/>
                <w:szCs w:val="24"/>
              </w:rPr>
              <w:t xml:space="preserve">除项目</w:t>
            </w:r>
            <w:r>
              <w:rPr>
                <w:rFonts w:hint="eastAsia"/>
                <w:bCs/>
                <w:sz w:val="24"/>
                <w:szCs w:val="24"/>
              </w:rPr>
              <w:t xml:space="preserve">负责人外）具有中华人民共和国人力资源和</w:t>
            </w:r>
            <w:r>
              <w:rPr>
                <w:rFonts w:hint="eastAsia"/>
                <w:bCs/>
                <w:sz w:val="24"/>
                <w:szCs w:val="24"/>
              </w:rPr>
              <w:t xml:space="preserve">社会保障</w:t>
            </w:r>
            <w:r>
              <w:rPr>
                <w:rFonts w:hint="eastAsia"/>
                <w:bCs/>
                <w:sz w:val="24"/>
                <w:szCs w:val="24"/>
              </w:rPr>
              <w:t xml:space="preserve">部网络</w:t>
            </w:r>
            <w:r>
              <w:rPr>
                <w:rFonts w:hint="eastAsia"/>
                <w:bCs/>
                <w:sz w:val="24"/>
                <w:szCs w:val="24"/>
              </w:rPr>
              <w:t xml:space="preserve">工程师证书，负责相关网络服务支撑，每提供一人得1分，满分3</w:t>
            </w:r>
            <w:r>
              <w:rPr>
                <w:rFonts w:hint="eastAsia"/>
                <w:bCs/>
                <w:sz w:val="24"/>
                <w:szCs w:val="24"/>
              </w:rPr>
              <w:t xml:space="preserve">分。（提供证书及投标人</w:t>
            </w:r>
            <w:bookmarkStart w:id="83" w:name="_GoBack"/>
            <w:r/>
            <w:bookmarkEnd w:id="83"/>
            <w:r>
              <w:rPr>
                <w:rFonts w:hint="eastAsia"/>
                <w:bCs/>
                <w:sz w:val="24"/>
                <w:szCs w:val="24"/>
              </w:rPr>
              <w:t xml:space="preserve">为其缴纳的近三个月任意一个月社保证明，提供原件扫描上传，未按要求提供不得分）</w:t>
            </w:r>
            <w:r/>
          </w:p>
        </w:tc>
      </w:tr>
      <w:tr>
        <w:trPr>
          <w:jc w:val="center"/>
        </w:trPr>
        <w:tc>
          <w:tcPr>
            <w:tcW w:w="669"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7</w:t>
            </w:r>
            <w:r/>
          </w:p>
        </w:tc>
        <w:tc>
          <w:tcPr>
            <w:tcW w:w="1402" w:type="dxa"/>
            <w:vAlign w:val="center"/>
            <w:vMerge w:val="restart"/>
            <w:textDirection w:val="lrTb"/>
            <w:noWrap w:val="false"/>
          </w:tcPr>
          <w:p>
            <w:pPr>
              <w:jc w:val="center"/>
              <w:spacing w:line="278" w:lineRule="auto"/>
              <w:rPr>
                <w:rFonts w:ascii="宋体" w:hAnsi="宋体"/>
                <w:sz w:val="24"/>
                <w:szCs w:val="24"/>
              </w:rPr>
            </w:pPr>
            <w:r>
              <w:rPr>
                <w:rFonts w:ascii="宋体" w:hAnsi="宋体"/>
                <w:sz w:val="24"/>
                <w:szCs w:val="24"/>
              </w:rPr>
              <w:t xml:space="preserve">服务保障（</w:t>
            </w:r>
            <w:r>
              <w:rPr>
                <w:rFonts w:hint="eastAsia" w:ascii="宋体" w:hAnsi="宋体"/>
                <w:sz w:val="24"/>
                <w:szCs w:val="24"/>
              </w:rPr>
              <w:t xml:space="preserve">30</w:t>
            </w:r>
            <w:r>
              <w:rPr>
                <w:rFonts w:ascii="宋体" w:hAnsi="宋体"/>
                <w:sz w:val="24"/>
                <w:szCs w:val="24"/>
              </w:rPr>
              <w:t xml:space="preserve">分）</w:t>
            </w:r>
            <w:r/>
          </w:p>
        </w:tc>
        <w:tc>
          <w:tcPr>
            <w:tcW w:w="7567" w:type="dxa"/>
            <w:vAlign w:val="center"/>
            <w:textDirection w:val="lrTb"/>
            <w:noWrap w:val="false"/>
          </w:tcPr>
          <w:p>
            <w:pPr>
              <w:ind w:left="80"/>
              <w:jc w:val="left"/>
              <w:spacing w:line="278" w:lineRule="auto"/>
              <w:rPr>
                <w:rFonts w:ascii="宋体" w:hAnsi="宋体" w:cs="宋体"/>
                <w:color w:val="000000"/>
                <w:sz w:val="24"/>
                <w:szCs w:val="24"/>
              </w:rPr>
            </w:pPr>
            <w:r>
              <w:rPr>
                <w:rFonts w:hint="eastAsia" w:ascii="宋体" w:hAnsi="宋体" w:cs="宋体"/>
                <w:color w:val="000000"/>
                <w:sz w:val="24"/>
                <w:szCs w:val="24"/>
              </w:rPr>
              <w:t xml:space="preserve">1、云桌面运维方案（5分）</w:t>
            </w:r>
            <w:r/>
          </w:p>
          <w:p>
            <w:pPr>
              <w:ind w:left="80"/>
              <w:jc w:val="left"/>
              <w:spacing w:line="360" w:lineRule="auto"/>
              <w:rPr>
                <w:rFonts w:cs="宋体"/>
                <w:bCs/>
                <w:sz w:val="24"/>
                <w:szCs w:val="24"/>
              </w:rPr>
            </w:pPr>
            <w:r>
              <w:rPr>
                <w:rFonts w:hint="eastAsia" w:ascii="宋体" w:hAnsi="宋体" w:cs="宋体"/>
                <w:color w:val="000000"/>
                <w:sz w:val="24"/>
                <w:szCs w:val="24"/>
              </w:rPr>
              <w:t xml:space="preserve">按照运</w:t>
            </w:r>
            <w:r>
              <w:rPr>
                <w:rFonts w:hint="eastAsia" w:ascii="宋体" w:hAnsi="宋体" w:cs="宋体"/>
                <w:color w:val="000000"/>
                <w:sz w:val="24"/>
                <w:szCs w:val="24"/>
              </w:rPr>
              <w:t xml:space="preserve">维服务内容，提供针对本项目的云桌面运维方案，包括云桌面设备的日常运维（</w:t>
            </w:r>
            <w:r>
              <w:rPr>
                <w:rFonts w:hint="eastAsia" w:ascii="宋体" w:hAnsi="宋体" w:cs="宋体"/>
                <w:color w:val="000000"/>
                <w:sz w:val="24"/>
                <w:szCs w:val="24"/>
              </w:rPr>
              <w:t xml:space="preserve">如状态</w:t>
            </w:r>
            <w:r>
              <w:rPr>
                <w:rFonts w:hint="eastAsia" w:ascii="宋体" w:hAnsi="宋体" w:cs="宋体"/>
                <w:color w:val="000000"/>
                <w:sz w:val="24"/>
                <w:szCs w:val="24"/>
              </w:rPr>
              <w:t xml:space="preserve">监控、事件分析等），故障处理(如故障分析、配件更换等)，应急维护等内容，方案优于采购文件要求的得6分；符合采购文件要求的得3分；不符合采购文件要求或未提供的不得分。</w:t>
            </w:r>
            <w:r/>
          </w:p>
        </w:tc>
      </w:tr>
      <w:tr>
        <w:trPr>
          <w:jc w:val="center"/>
        </w:trPr>
        <w:tc>
          <w:tcPr>
            <w:tcW w:w="669"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402" w:type="dxa"/>
            <w:vAlign w:val="center"/>
            <w:vMerge w:val="continue"/>
            <w:textDirection w:val="lrTb"/>
            <w:noWrap w:val="false"/>
          </w:tcPr>
          <w:p>
            <w:pPr>
              <w:jc w:val="center"/>
              <w:spacing w:line="360" w:lineRule="auto"/>
              <w:rPr>
                <w:bCs/>
                <w:sz w:val="24"/>
                <w:szCs w:val="24"/>
              </w:rPr>
            </w:pPr>
            <w:r>
              <w:rPr>
                <w:bCs/>
                <w:sz w:val="24"/>
                <w:szCs w:val="24"/>
              </w:rPr>
            </w:r>
            <w:r/>
          </w:p>
        </w:tc>
        <w:tc>
          <w:tcPr>
            <w:tcW w:w="7567" w:type="dxa"/>
            <w:vAlign w:val="center"/>
            <w:textDirection w:val="lrTb"/>
            <w:noWrap w:val="false"/>
          </w:tcPr>
          <w:p>
            <w:pPr>
              <w:ind w:left="80"/>
              <w:jc w:val="left"/>
              <w:spacing w:line="278" w:lineRule="auto"/>
              <w:rPr>
                <w:rFonts w:ascii="宋体" w:hAnsi="宋体" w:cs="宋体"/>
                <w:color w:val="000000"/>
                <w:sz w:val="24"/>
                <w:szCs w:val="24"/>
              </w:rPr>
            </w:pPr>
            <w:r>
              <w:rPr>
                <w:rFonts w:hint="eastAsia" w:ascii="宋体" w:hAnsi="宋体" w:cs="宋体"/>
                <w:color w:val="000000"/>
                <w:sz w:val="24"/>
                <w:szCs w:val="24"/>
              </w:rPr>
              <w:t xml:space="preserve">2、网络设备运维方案（5分）</w:t>
            </w:r>
            <w:r/>
          </w:p>
          <w:p>
            <w:pPr>
              <w:ind w:left="80"/>
              <w:jc w:val="left"/>
              <w:spacing w:line="360" w:lineRule="auto"/>
              <w:rPr>
                <w:rFonts w:cs="宋体"/>
                <w:bCs/>
                <w:sz w:val="24"/>
                <w:szCs w:val="24"/>
              </w:rPr>
            </w:pPr>
            <w:r>
              <w:rPr>
                <w:rFonts w:hint="eastAsia" w:ascii="宋体" w:hAnsi="宋体" w:cs="宋体"/>
                <w:color w:val="000000"/>
                <w:sz w:val="24"/>
                <w:szCs w:val="24"/>
              </w:rPr>
              <w:t xml:space="preserve">按照运</w:t>
            </w:r>
            <w:r>
              <w:rPr>
                <w:rFonts w:hint="eastAsia" w:ascii="宋体" w:hAnsi="宋体" w:cs="宋体"/>
                <w:color w:val="000000"/>
                <w:sz w:val="24"/>
                <w:szCs w:val="24"/>
              </w:rPr>
              <w:t xml:space="preserve">维服务内容，提供针对本项目的详尽网络设备运维方案，包括网络设备的日常运维(如网络巡查、状态监控、网络配置等)，故障处理，应急维护等内容，方案优于采购文件要求的得5分；符合采购文件要求的得3分；不符合采购文件要求或未提供的不得分。</w:t>
            </w:r>
            <w:r/>
          </w:p>
        </w:tc>
      </w:tr>
      <w:tr>
        <w:trPr>
          <w:jc w:val="center"/>
        </w:trPr>
        <w:tc>
          <w:tcPr>
            <w:tcW w:w="669" w:type="dxa"/>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402" w:type="dxa"/>
            <w:vMerge w:val="continue"/>
            <w:textDirection w:val="lrTb"/>
            <w:noWrap w:val="false"/>
          </w:tcPr>
          <w:p>
            <w:pPr>
              <w:jc w:val="center"/>
              <w:spacing w:line="360" w:lineRule="auto"/>
              <w:rPr>
                <w:bCs/>
                <w:sz w:val="24"/>
                <w:szCs w:val="24"/>
              </w:rPr>
            </w:pPr>
            <w:r>
              <w:rPr>
                <w:bCs/>
                <w:sz w:val="24"/>
                <w:szCs w:val="24"/>
              </w:rPr>
            </w:r>
            <w:r/>
          </w:p>
        </w:tc>
        <w:tc>
          <w:tcPr>
            <w:tcW w:w="7567" w:type="dxa"/>
            <w:vAlign w:val="center"/>
            <w:textDirection w:val="lrTb"/>
            <w:noWrap w:val="false"/>
          </w:tcPr>
          <w:p>
            <w:pPr>
              <w:ind w:left="80"/>
              <w:jc w:val="left"/>
              <w:spacing w:line="278" w:lineRule="auto"/>
              <w:rPr>
                <w:rFonts w:ascii="宋体" w:hAnsi="宋体" w:cs="宋体"/>
                <w:color w:val="000000"/>
                <w:sz w:val="24"/>
                <w:szCs w:val="24"/>
              </w:rPr>
            </w:pPr>
            <w:r>
              <w:rPr>
                <w:rFonts w:hint="eastAsia" w:ascii="宋体" w:hAnsi="宋体" w:cs="宋体"/>
                <w:color w:val="000000"/>
                <w:sz w:val="24"/>
                <w:szCs w:val="24"/>
              </w:rPr>
              <w:t xml:space="preserve">3、服务器运维方案（5分）</w:t>
            </w:r>
            <w:r/>
          </w:p>
          <w:p>
            <w:pPr>
              <w:ind w:left="80"/>
              <w:jc w:val="left"/>
              <w:spacing w:line="360" w:lineRule="auto"/>
              <w:rPr>
                <w:rFonts w:cs="宋体"/>
                <w:bCs/>
                <w:sz w:val="24"/>
                <w:szCs w:val="24"/>
              </w:rPr>
            </w:pPr>
            <w:r>
              <w:rPr>
                <w:rFonts w:hint="eastAsia" w:ascii="宋体" w:hAnsi="宋体" w:cs="宋体"/>
                <w:color w:val="000000"/>
                <w:sz w:val="24"/>
                <w:szCs w:val="24"/>
              </w:rPr>
              <w:t xml:space="preserve">按照运</w:t>
            </w:r>
            <w:r>
              <w:rPr>
                <w:rFonts w:hint="eastAsia" w:ascii="宋体" w:hAnsi="宋体" w:cs="宋体"/>
                <w:color w:val="000000"/>
                <w:sz w:val="24"/>
                <w:szCs w:val="24"/>
              </w:rPr>
              <w:t xml:space="preserve">维服务内容，提供针对本项目的详尽服务器运维方案，包括服务器的日常运维(运行日志分析、性能优化、安全保护等)，故障处理(故障分析、配件更换、解决故障等)，应急维护等内容，方案优于采购文件要求的得5分；符合采购文件要求的得3分；不符合采购文件要求或未提供的不得分。</w:t>
            </w:r>
            <w:r/>
          </w:p>
        </w:tc>
      </w:tr>
      <w:tr>
        <w:trPr>
          <w:jc w:val="center"/>
        </w:trPr>
        <w:tc>
          <w:tcPr>
            <w:tcW w:w="669" w:type="dxa"/>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402" w:type="dxa"/>
            <w:vMerge w:val="continue"/>
            <w:textDirection w:val="lrTb"/>
            <w:noWrap w:val="false"/>
          </w:tcPr>
          <w:p>
            <w:pPr>
              <w:jc w:val="center"/>
              <w:spacing w:line="360" w:lineRule="auto"/>
              <w:rPr>
                <w:bCs/>
                <w:sz w:val="24"/>
                <w:szCs w:val="24"/>
              </w:rPr>
            </w:pPr>
            <w:r>
              <w:rPr>
                <w:bCs/>
                <w:sz w:val="24"/>
                <w:szCs w:val="24"/>
              </w:rPr>
            </w:r>
            <w:r/>
          </w:p>
        </w:tc>
        <w:tc>
          <w:tcPr>
            <w:tcW w:w="7567" w:type="dxa"/>
            <w:vAlign w:val="center"/>
            <w:textDirection w:val="lrTb"/>
            <w:noWrap w:val="false"/>
          </w:tcPr>
          <w:p>
            <w:pPr>
              <w:ind w:left="80"/>
              <w:jc w:val="left"/>
              <w:spacing w:line="278" w:lineRule="auto"/>
              <w:rPr>
                <w:rFonts w:ascii="宋体" w:hAnsi="宋体" w:cs="宋体"/>
                <w:color w:val="000000"/>
                <w:sz w:val="24"/>
                <w:szCs w:val="24"/>
              </w:rPr>
            </w:pPr>
            <w:r>
              <w:rPr>
                <w:rFonts w:hint="eastAsia" w:ascii="宋体" w:hAnsi="宋体" w:cs="宋体"/>
                <w:color w:val="000000"/>
                <w:sz w:val="24"/>
                <w:szCs w:val="24"/>
              </w:rPr>
              <w:t xml:space="preserve">4、精密空调运维方案（5分）</w:t>
            </w:r>
            <w:r/>
          </w:p>
          <w:p>
            <w:pPr>
              <w:ind w:left="80"/>
              <w:jc w:val="left"/>
              <w:spacing w:line="360" w:lineRule="auto"/>
              <w:rPr>
                <w:rFonts w:cs="宋体"/>
                <w:bCs/>
                <w:sz w:val="24"/>
                <w:szCs w:val="24"/>
              </w:rPr>
            </w:pPr>
            <w:r>
              <w:rPr>
                <w:rFonts w:hint="eastAsia" w:ascii="宋体" w:hAnsi="宋体" w:cs="宋体"/>
                <w:color w:val="000000"/>
                <w:sz w:val="24"/>
                <w:szCs w:val="24"/>
              </w:rPr>
              <w:t xml:space="preserve">按照运</w:t>
            </w:r>
            <w:r>
              <w:rPr>
                <w:rFonts w:hint="eastAsia" w:ascii="宋体" w:hAnsi="宋体" w:cs="宋体"/>
                <w:color w:val="000000"/>
                <w:sz w:val="24"/>
                <w:szCs w:val="24"/>
              </w:rPr>
              <w:t xml:space="preserve">维服务内容，提供针对本项目的详尽精密空调运维方案，包括控制系统、压缩机部分、室外冷凝器、加湿器部分、冷却系统、加热部分、空气循环系统日常运维及故障处理，方案优于采购文件要求的得5分；符合采购文件要求的得3分；不符合采购文件要求或未提供的不得分。</w:t>
            </w:r>
            <w:r/>
          </w:p>
        </w:tc>
      </w:tr>
      <w:tr>
        <w:trPr>
          <w:jc w:val="center"/>
          <w:trHeight w:val="2264"/>
        </w:trPr>
        <w:tc>
          <w:tcPr>
            <w:tcW w:w="669" w:type="dxa"/>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402" w:type="dxa"/>
            <w:vMerge w:val="continue"/>
            <w:textDirection w:val="lrTb"/>
            <w:noWrap w:val="false"/>
          </w:tcPr>
          <w:p>
            <w:pPr>
              <w:jc w:val="center"/>
              <w:spacing w:line="360" w:lineRule="auto"/>
              <w:rPr>
                <w:bCs/>
                <w:sz w:val="24"/>
                <w:szCs w:val="24"/>
              </w:rPr>
            </w:pPr>
            <w:r>
              <w:rPr>
                <w:bCs/>
                <w:sz w:val="24"/>
                <w:szCs w:val="24"/>
              </w:rPr>
            </w:r>
            <w:r/>
          </w:p>
        </w:tc>
        <w:tc>
          <w:tcPr>
            <w:tcW w:w="7567" w:type="dxa"/>
            <w:vAlign w:val="center"/>
            <w:textDirection w:val="lrTb"/>
            <w:noWrap w:val="false"/>
          </w:tcPr>
          <w:p>
            <w:pPr>
              <w:ind w:left="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5、应急方案（5分）</w:t>
            </w:r>
            <w:r/>
          </w:p>
          <w:p>
            <w:pPr>
              <w:ind w:left="80"/>
              <w:jc w:val="left"/>
              <w:spacing w:line="360" w:lineRule="auto"/>
              <w:rPr>
                <w:rFonts w:cs="宋体"/>
                <w:bCs/>
                <w:sz w:val="24"/>
                <w:szCs w:val="24"/>
              </w:rPr>
            </w:pPr>
            <w:r>
              <w:rPr>
                <w:rFonts w:hint="eastAsia" w:ascii="宋体" w:hAnsi="宋体" w:cs="宋体"/>
                <w:color w:val="000000"/>
                <w:sz w:val="24"/>
                <w:szCs w:val="24"/>
              </w:rPr>
              <w:t xml:space="preserve">按照服务内容，提供针对</w:t>
            </w:r>
            <w:r>
              <w:rPr>
                <w:rFonts w:hint="eastAsia" w:ascii="宋体" w:hAnsi="宋体" w:cs="宋体"/>
                <w:sz w:val="24"/>
                <w:szCs w:val="24"/>
              </w:rPr>
              <w:t xml:space="preserve">突发事件</w:t>
            </w:r>
            <w:r>
              <w:rPr>
                <w:rFonts w:hint="eastAsia" w:ascii="宋体" w:hAnsi="宋体" w:cs="宋体"/>
                <w:color w:val="000000"/>
                <w:sz w:val="24"/>
                <w:szCs w:val="24"/>
              </w:rPr>
              <w:t xml:space="preserve">的应急预案，包括消防应急、突发事件应急、公共卫生应急、其他紧急应急保障方案，方案优于采购文件要求的得5分；符合采购文件要求的得3分；不符合采购文件要求或未提供的不得分。</w:t>
            </w:r>
            <w:r/>
          </w:p>
        </w:tc>
      </w:tr>
      <w:tr>
        <w:trPr>
          <w:jc w:val="center"/>
          <w:trHeight w:val="3278"/>
        </w:trPr>
        <w:tc>
          <w:tcPr>
            <w:tcW w:w="669" w:type="dxa"/>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402" w:type="dxa"/>
            <w:vMerge w:val="continue"/>
            <w:textDirection w:val="lrTb"/>
            <w:noWrap w:val="false"/>
          </w:tcPr>
          <w:p>
            <w:pPr>
              <w:jc w:val="center"/>
              <w:spacing w:line="360" w:lineRule="auto"/>
              <w:rPr>
                <w:bCs/>
                <w:sz w:val="24"/>
                <w:szCs w:val="24"/>
              </w:rPr>
            </w:pPr>
            <w:r>
              <w:rPr>
                <w:bCs/>
                <w:sz w:val="24"/>
                <w:szCs w:val="24"/>
              </w:rPr>
            </w:r>
            <w:r/>
          </w:p>
        </w:tc>
        <w:tc>
          <w:tcPr>
            <w:tcW w:w="7567" w:type="dxa"/>
            <w:vAlign w:val="center"/>
            <w:textDirection w:val="lrTb"/>
            <w:noWrap w:val="false"/>
          </w:tcPr>
          <w:p>
            <w:pPr>
              <w:ind w:left="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6、视频会议终端维护要求（5分）</w:t>
            </w:r>
            <w:r/>
          </w:p>
          <w:p>
            <w:pPr>
              <w:ind w:left="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按照服务内容，提供系统管理维护，包括定期巡检，故障处理方案。提供视频会议保障服务，保证会议顺利召开。提供设备维护服务，包括终端环境、网路连接、设备状态等。方案优于采购文件要求的得5分；符合采购文件要求的得3分；不符合采购文件要求或未提供的不得分。</w:t>
            </w:r>
            <w:r/>
          </w:p>
        </w:tc>
      </w:tr>
    </w:tbl>
    <w:p>
      <w:pPr>
        <w:ind w:left="80"/>
        <w:jc w:val="left"/>
        <w:spacing w:line="360" w:lineRule="auto"/>
        <w:rPr>
          <w:rFonts w:ascii="宋体" w:hAnsi="宋体" w:cs="宋体"/>
          <w:color w:val="000000"/>
          <w:sz w:val="24"/>
          <w:szCs w:val="24"/>
        </w:rPr>
      </w:pPr>
      <w:r>
        <w:rPr>
          <w:rFonts w:ascii="宋体" w:hAnsi="宋体" w:cs="宋体"/>
          <w:color w:val="000000"/>
          <w:sz w:val="24"/>
          <w:szCs w:val="24"/>
        </w:rPr>
      </w:r>
      <w:r/>
    </w:p>
    <w:p>
      <w:r/>
      <w:r/>
    </w:p>
    <w:p>
      <w:pPr>
        <w:pStyle w:val="751"/>
        <w:rPr>
          <w:b/>
          <w:bCs/>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84" w:name="_Toc27232"/>
      <w:r/>
      <w:bookmarkStart w:id="85" w:name="_Toc13255"/>
      <w:r/>
      <w:r/>
    </w:p>
    <w:p>
      <w:pPr>
        <w:pStyle w:val="751"/>
        <w:rPr>
          <w:b/>
          <w:bCs/>
        </w:rPr>
      </w:pPr>
      <w:r>
        <w:rPr>
          <w:b/>
          <w:bCs/>
        </w:rPr>
      </w:r>
      <w:r/>
    </w:p>
    <w:p>
      <w:pPr>
        <w:pStyle w:val="751"/>
        <w:rPr>
          <w:b/>
          <w:bCs/>
        </w:rPr>
      </w:pPr>
      <w:r>
        <w:rPr>
          <w:rFonts w:hint="eastAsia"/>
          <w:b/>
          <w:bCs/>
        </w:rPr>
        <w:t xml:space="preserve">第六章</w:t>
      </w:r>
      <w:r>
        <w:rPr>
          <w:rFonts w:hint="eastAsia"/>
          <w:b/>
          <w:bCs/>
        </w:rPr>
        <w:t xml:space="preserve">  </w:t>
      </w:r>
      <w:r>
        <w:rPr>
          <w:rFonts w:hint="eastAsia"/>
          <w:b/>
          <w:bCs/>
        </w:rPr>
        <w:t xml:space="preserve">投标</w:t>
      </w:r>
      <w:bookmarkEnd w:id="70"/>
      <w:r/>
      <w:bookmarkEnd w:id="71"/>
      <w:r/>
      <w:bookmarkEnd w:id="82"/>
      <w:r>
        <w:rPr>
          <w:rFonts w:hint="eastAsia"/>
          <w:b/>
          <w:bCs/>
        </w:rPr>
        <w:t xml:space="preserve">文件格式</w:t>
      </w:r>
      <w:bookmarkEnd w:id="84"/>
      <w:r/>
      <w:bookmarkEnd w:id="85"/>
      <w:r>
        <w:rPr>
          <w:rFonts w:hint="eastAsia"/>
          <w:b/>
          <w:bCs/>
        </w:rPr>
        <w:t xml:space="preserve"> </w:t>
      </w:r>
      <w:r/>
    </w:p>
    <w:p>
      <w:pPr>
        <w:jc w:val="center"/>
        <w:rPr>
          <w:rFonts w:ascii="宋体" w:hAnsi="宋体"/>
          <w:b/>
          <w:sz w:val="72"/>
        </w:rPr>
      </w:pPr>
      <w:r/>
      <w:bookmarkStart w:id="86" w:name="_Hlt26671244"/>
      <w:r/>
      <w:bookmarkStart w:id="87" w:name="_Hlt26955039"/>
      <w:r/>
      <w:bookmarkStart w:id="88" w:name="_Toc120614282"/>
      <w:r/>
      <w:bookmarkStart w:id="89" w:name="_Toc26554094"/>
      <w:r/>
      <w:bookmarkStart w:id="90" w:name="_Toc49090576"/>
      <w:r/>
      <w:bookmarkEnd w:id="86"/>
      <w:r/>
      <w:bookmarkEnd w:id="87"/>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十、企业报价折扣证明（中小企业声明函、残疾人福利性单位声明函）</w:t>
      </w:r>
      <w:r/>
    </w:p>
    <w:p>
      <w:pPr>
        <w:ind w:firstLine="480"/>
        <w:spacing w:line="440" w:lineRule="exact"/>
        <w:rPr>
          <w:rFonts w:ascii="宋体" w:hAnsi="宋体"/>
          <w:sz w:val="24"/>
          <w:highlight w:val="yellow"/>
        </w:rPr>
      </w:pPr>
      <w:r>
        <w:rPr>
          <w:rFonts w:hint="eastAsia" w:ascii="宋体" w:hAnsi="宋体"/>
          <w:sz w:val="24"/>
        </w:rPr>
        <w:t xml:space="preserve">十一、联合体协议</w:t>
      </w:r>
      <w:r/>
    </w:p>
    <w:p>
      <w:pPr>
        <w:ind w:firstLine="480"/>
        <w:spacing w:line="440" w:lineRule="exact"/>
        <w:rPr>
          <w:rFonts w:ascii="宋体" w:hAnsi="宋体"/>
          <w:iCs/>
          <w:sz w:val="24"/>
        </w:rPr>
      </w:pPr>
      <w:r>
        <w:rPr>
          <w:rFonts w:hint="eastAsia" w:ascii="宋体" w:hAnsi="宋体"/>
          <w:iCs/>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rPr>
      </w:pPr>
      <w:r/>
      <w:bookmarkStart w:id="91" w:name="_Toc120614284"/>
      <w:r/>
      <w:bookmarkEnd w:id="88"/>
      <w:r/>
      <w:bookmarkEnd w:id="89"/>
      <w:r/>
      <w:bookmarkEnd w:id="90"/>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791"/>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numPr>
          <w:ilvl w:val="0"/>
          <w:numId w:val="21"/>
        </w:numPr>
        <w:rPr>
          <w:rFonts w:ascii="黑体" w:hAnsi="黑体" w:eastAsia="黑体"/>
          <w:i/>
          <w:color w:val="0000ff"/>
          <w:sz w:val="32"/>
          <w:szCs w:val="32"/>
          <w:u w:val="single"/>
        </w:rPr>
      </w:pPr>
      <w:r>
        <w:rPr>
          <w:rFonts w:hint="eastAsia" w:ascii="黑体" w:hAnsi="黑体" w:eastAsia="黑体"/>
          <w:i/>
          <w:color w:val="0000ff"/>
          <w:sz w:val="32"/>
          <w:szCs w:val="32"/>
          <w:u w:val="single"/>
        </w:rPr>
        <w:t xml:space="preserve">供应商信用承诺函</w:t>
      </w:r>
      <w:r/>
    </w:p>
    <w:p>
      <w:pPr>
        <w:jc w:val="center"/>
        <w:spacing w:line="500" w:lineRule="exact"/>
        <w:rPr>
          <w:rFonts w:ascii="宋体" w:hAnsi="宋体" w:eastAsia="等线"/>
          <w:b/>
          <w:color w:val="0000ff"/>
          <w:sz w:val="24"/>
          <w:szCs w:val="24"/>
        </w:rPr>
      </w:pPr>
      <w:r>
        <w:rPr>
          <w:rFonts w:hint="eastAsia" w:ascii="宋体" w:hAnsi="宋体" w:eastAsia="等线"/>
          <w:b/>
          <w:color w:val="0000ff"/>
          <w:sz w:val="24"/>
          <w:szCs w:val="24"/>
        </w:rPr>
        <w:t xml:space="preserve">供应商信用承诺函</w:t>
      </w:r>
      <w:r/>
    </w:p>
    <w:p>
      <w:pPr>
        <w:spacing w:line="500" w:lineRule="exact"/>
        <w:rPr>
          <w:rFonts w:ascii="方正仿宋_GBK" w:hAnsi="等线" w:eastAsia="等线"/>
          <w:color w:val="0000ff"/>
          <w:sz w:val="24"/>
          <w:szCs w:val="24"/>
        </w:rPr>
      </w:pPr>
      <w:r>
        <w:rPr>
          <w:rFonts w:ascii="方正仿宋_GBK" w:hAnsi="等线" w:eastAsia="等线"/>
          <w:color w:val="0000ff"/>
          <w:sz w:val="24"/>
          <w:szCs w:val="24"/>
        </w:rPr>
      </w:r>
      <w:r/>
    </w:p>
    <w:p>
      <w:pPr>
        <w:spacing w:line="560" w:lineRule="exact"/>
        <w:rPr>
          <w:rFonts w:ascii="宋体" w:hAnsi="宋体" w:cs="宋体"/>
          <w:color w:val="0000ff"/>
          <w:sz w:val="24"/>
          <w:szCs w:val="24"/>
        </w:rPr>
      </w:pPr>
      <w:r>
        <w:rPr>
          <w:rFonts w:hint="eastAsia" w:ascii="宋体" w:hAnsi="宋体" w:cs="宋体"/>
          <w:color w:val="0000ff"/>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35"/>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35"/>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35"/>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35"/>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35"/>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35"/>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35"/>
        <w:ind w:firstLine="480"/>
        <w:rPr>
          <w:sz w:val="24"/>
          <w:szCs w:val="24"/>
        </w:rPr>
      </w:pPr>
      <w:r>
        <w:rPr>
          <w:rFonts w:hint="eastAsia"/>
          <w:sz w:val="24"/>
          <w:szCs w:val="24"/>
        </w:rPr>
        <w:t xml:space="preserve">      </w:t>
      </w:r>
      <w:r>
        <w:rPr>
          <w:rFonts w:hint="eastAsia"/>
          <w:sz w:val="24"/>
          <w:szCs w:val="24"/>
        </w:rPr>
        <w:t xml:space="preserve">日期：</w:t>
      </w:r>
      <w:bookmarkStart w:id="92" w:name="_格式3__银行出具的资信证明"/>
      <w:r/>
      <w:bookmarkStart w:id="93" w:name="_Hlt26671380"/>
      <w:r/>
      <w:bookmarkStart w:id="94" w:name="_Hlt26955070"/>
      <w:r/>
      <w:bookmarkEnd w:id="92"/>
      <w:r/>
      <w:bookmarkEnd w:id="93"/>
      <w:r/>
      <w:bookmarkEnd w:id="94"/>
      <w:r>
        <w:rPr>
          <w:rFonts w:hint="eastAsia"/>
          <w:sz w:val="24"/>
          <w:szCs w:val="24"/>
          <w:u w:val="single"/>
        </w:rPr>
        <w:t xml:space="preserve">                                         </w:t>
      </w:r>
      <w:r/>
    </w:p>
    <w:p>
      <w:pPr>
        <w:pStyle w:val="791"/>
        <w:rPr>
          <w:i/>
          <w:sz w:val="24"/>
          <w:szCs w:val="24"/>
          <w:u w:val="single"/>
        </w:rPr>
      </w:pPr>
      <w:r>
        <w:rPr>
          <w:i/>
          <w:sz w:val="24"/>
          <w:szCs w:val="24"/>
          <w:u w:val="single"/>
        </w:rPr>
      </w:r>
      <w:r/>
    </w:p>
    <w:p>
      <w:pPr>
        <w:rPr>
          <w:rFonts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九、投标函</w:t>
      </w:r>
      <w:r/>
    </w:p>
    <w:p>
      <w:pPr>
        <w:pStyle w:val="1032"/>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032"/>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32"/>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03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3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3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2"/>
        <w:ind w:left="420"/>
        <w:spacing w:before="0" w:after="0" w:line="420" w:lineRule="exact"/>
        <w:rPr>
          <w:rFonts w:ascii="宋体" w:hAnsi="宋体"/>
          <w:szCs w:val="21"/>
        </w:rPr>
      </w:pPr>
      <w:r>
        <w:rPr>
          <w:rFonts w:hint="eastAsia" w:ascii="宋体" w:hAnsi="宋体"/>
          <w:szCs w:val="21"/>
        </w:rPr>
        <w:t xml:space="preserve">地          址：</w:t>
      </w:r>
      <w:r/>
    </w:p>
    <w:p>
      <w:pPr>
        <w:pStyle w:val="1032"/>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32"/>
        <w:ind w:left="420"/>
        <w:spacing w:before="0" w:after="0" w:line="420" w:lineRule="exact"/>
        <w:rPr>
          <w:rFonts w:ascii="宋体" w:hAnsi="宋体"/>
          <w:szCs w:val="21"/>
        </w:rPr>
      </w:pPr>
      <w:r>
        <w:rPr>
          <w:rFonts w:hint="eastAsia" w:ascii="宋体" w:hAnsi="宋体"/>
          <w:szCs w:val="21"/>
        </w:rPr>
        <w:t xml:space="preserve">电          话：</w:t>
      </w:r>
      <w:r/>
    </w:p>
    <w:p>
      <w:pPr>
        <w:pStyle w:val="1032"/>
        <w:ind w:left="420"/>
        <w:spacing w:before="0" w:after="0" w:line="420" w:lineRule="exact"/>
        <w:rPr>
          <w:rFonts w:ascii="宋体" w:hAnsi="宋体"/>
          <w:szCs w:val="21"/>
        </w:rPr>
      </w:pPr>
      <w:r>
        <w:rPr>
          <w:rFonts w:hint="eastAsia" w:ascii="宋体" w:hAnsi="宋体"/>
          <w:szCs w:val="21"/>
        </w:rPr>
        <w:t xml:space="preserve">传          真：</w:t>
      </w:r>
      <w:r/>
    </w:p>
    <w:p>
      <w:pPr>
        <w:pStyle w:val="1032"/>
        <w:ind w:left="420"/>
        <w:spacing w:before="0" w:after="0" w:line="420" w:lineRule="exact"/>
        <w:rPr>
          <w:rFonts w:ascii="宋体" w:hAnsi="宋体"/>
          <w:szCs w:val="21"/>
        </w:rPr>
      </w:pPr>
      <w:r>
        <w:rPr>
          <w:rFonts w:hint="eastAsia" w:ascii="宋体" w:hAnsi="宋体"/>
          <w:szCs w:val="21"/>
        </w:rPr>
        <w:t xml:space="preserve">投标人开户行：</w:t>
      </w:r>
      <w:r/>
    </w:p>
    <w:p>
      <w:pPr>
        <w:pStyle w:val="1032"/>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32"/>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iCs/>
          <w:sz w:val="32"/>
          <w:szCs w:val="32"/>
        </w:rPr>
        <w:t xml:space="preserve">十、</w:t>
      </w:r>
      <w:r>
        <w:rPr>
          <w:rFonts w:hint="eastAsia" w:ascii="黑体" w:hAnsi="黑体" w:eastAsia="黑体"/>
          <w:b/>
          <w:iCs/>
          <w:color w:val="0000ff"/>
          <w:sz w:val="32"/>
          <w:szCs w:val="32"/>
        </w:rPr>
        <w:t xml:space="preserve">中小企业</w:t>
      </w:r>
      <w:r>
        <w:rPr>
          <w:rFonts w:hint="eastAsia" w:ascii="黑体" w:hAnsi="黑体" w:eastAsia="黑体"/>
          <w:b/>
          <w:iCs/>
          <w:sz w:val="32"/>
          <w:szCs w:val="32"/>
        </w:rPr>
        <w:t xml:space="preserve">声明函（服务）</w:t>
      </w:r>
      <w:r>
        <w:rPr>
          <w:rFonts w:hint="eastAsia" w:ascii="黑体" w:hAnsi="黑体" w:eastAsia="黑体"/>
          <w:b/>
          <w:sz w:val="32"/>
          <w:szCs w:val="32"/>
        </w:rPr>
        <w:t xml:space="preserve">（分包号：**）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jc w:val="center"/>
        <w:rPr>
          <w:b/>
          <w:bCs/>
          <w:color w:val="0070c0"/>
        </w:rPr>
      </w:pPr>
      <w:r/>
      <w:bookmarkStart w:id="95" w:name="_Toc150519795"/>
      <w:r>
        <w:rPr>
          <w:rFonts w:hint="eastAsia" w:ascii="Arial" w:hAnsi="Arial" w:eastAsia="幼圆" w:cs="微软雅黑"/>
          <w:b/>
          <w:bCs/>
          <w:color w:val="0b5fd1"/>
        </w:rPr>
        <w:br w:type="page" w:clear="all"/>
      </w:r>
      <w:r>
        <w:rPr>
          <w:rFonts w:hint="eastAsia"/>
          <w:b/>
          <w:bCs/>
          <w:color w:val="0070c0"/>
        </w:rPr>
        <w:t xml:space="preserve">中小</w:t>
      </w:r>
      <w:r>
        <w:rPr>
          <w:rFonts w:hint="eastAsia"/>
          <w:b/>
          <w:bCs/>
          <w:color w:val="0070c0"/>
        </w:rPr>
        <w:t xml:space="preserve">微企业</w:t>
      </w:r>
      <w:r>
        <w:rPr>
          <w:rFonts w:hint="eastAsia"/>
          <w:b/>
          <w:bCs/>
          <w:color w:val="0070c0"/>
        </w:rPr>
        <w:t xml:space="preserve">划型标准</w:t>
      </w:r>
      <w:bookmarkEnd w:id="95"/>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789"/>
      </w:pPr>
      <w:r/>
      <w:r/>
    </w:p>
    <w:p>
      <w:pPr>
        <w:pStyle w:val="789"/>
      </w:pPr>
      <w:r/>
      <w:r/>
    </w:p>
    <w:p>
      <w:pPr>
        <w:pStyle w:val="789"/>
      </w:pPr>
      <w:r/>
      <w:r/>
    </w:p>
    <w:p>
      <w:pPr>
        <w:pStyle w:val="789"/>
      </w:pPr>
      <w:r/>
      <w:r/>
    </w:p>
    <w:p>
      <w:pPr>
        <w:pStyle w:val="789"/>
      </w:pPr>
      <w:r/>
      <w:r/>
    </w:p>
    <w:p>
      <w:pPr>
        <w:jc w:val="center"/>
        <w:rPr>
          <w:rFonts w:ascii="黑体" w:hAnsi="黑体" w:eastAsia="黑体"/>
          <w:b/>
          <w:sz w:val="32"/>
          <w:szCs w:val="32"/>
        </w:rPr>
      </w:pPr>
      <w:r/>
      <w:bookmarkStart w:id="96" w:name="_Hlt26955054"/>
      <w:r/>
      <w:bookmarkEnd w:id="91"/>
      <w:r/>
      <w:bookmarkEnd w:id="96"/>
      <w:r>
        <w:rPr>
          <w:rFonts w:hint="eastAsia" w:ascii="黑体" w:hAnsi="黑体" w:eastAsia="黑体"/>
          <w:b/>
          <w:sz w:val="32"/>
          <w:szCs w:val="32"/>
        </w:rPr>
        <w:t xml:space="preserve">十四、商务要求响应及偏离表（分包号：**）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97" w:name="_Hlt26609391"/>
            <w:r/>
            <w:bookmarkStart w:id="98" w:name="_Hlt26580838"/>
            <w:r/>
            <w:bookmarkStart w:id="99" w:name="_Hlt26955056"/>
            <w:r/>
            <w:bookmarkStart w:id="100" w:name="_Hlt26671372"/>
            <w:r/>
            <w:bookmarkStart w:id="101" w:name="_Hlt24879081"/>
            <w:r/>
            <w:bookmarkStart w:id="102" w:name="_Hlt26782999"/>
            <w:r/>
            <w:bookmarkStart w:id="103" w:name="_Hlt26671343"/>
            <w:r/>
            <w:bookmarkStart w:id="104" w:name="_Hlt26955064"/>
            <w:r/>
            <w:bookmarkEnd w:id="97"/>
            <w:r/>
            <w:bookmarkEnd w:id="98"/>
            <w:r/>
            <w:bookmarkEnd w:id="99"/>
            <w:r/>
            <w:bookmarkEnd w:id="100"/>
            <w:r/>
            <w:bookmarkEnd w:id="101"/>
            <w:r/>
            <w:bookmarkEnd w:id="102"/>
            <w:r/>
            <w:bookmarkEnd w:id="103"/>
            <w:r/>
            <w:bookmarkEnd w:id="104"/>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791"/>
        <w:ind w:firstLine="0"/>
        <w:rPr>
          <w:rFonts w:ascii="宋体" w:hAnsi="宋体"/>
          <w:sz w:val="24"/>
        </w:rPr>
      </w:pPr>
      <w:r/>
      <w:bookmarkStart w:id="105" w:name="_Hlt26609389"/>
      <w:r/>
      <w:bookmarkStart w:id="106" w:name="_Hlt26671374"/>
      <w:r/>
      <w:bookmarkStart w:id="107" w:name="_Hlt26955066"/>
      <w:r/>
      <w:bookmarkStart w:id="108" w:name="_Toc462564146"/>
      <w:r/>
      <w:bookmarkEnd w:id="105"/>
      <w:r/>
      <w:bookmarkEnd w:id="106"/>
      <w:r/>
      <w:bookmarkEnd w:id="107"/>
      <w:r/>
      <w:r/>
    </w:p>
    <w:p>
      <w:pPr>
        <w:jc w:val="center"/>
        <w:rPr>
          <w:rFonts w:ascii="黑体" w:hAnsi="黑体" w:eastAsia="黑体"/>
          <w:b/>
          <w:sz w:val="32"/>
          <w:szCs w:val="32"/>
        </w:rPr>
      </w:pPr>
      <w:r/>
      <w:bookmarkStart w:id="109" w:name="_格式2__法定代表人授权书"/>
      <w:r/>
      <w:bookmarkEnd w:id="66"/>
      <w:r/>
      <w:bookmarkEnd w:id="67"/>
      <w:r/>
      <w:bookmarkEnd w:id="108"/>
      <w:r/>
      <w:bookmarkEnd w:id="109"/>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32"/>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032"/>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center"/>
        <w:rPr>
          <w:rFonts w:ascii="宋体" w:hAnsi="宋体" w:cs="仿宋"/>
          <w:b/>
          <w:bCs/>
          <w:sz w:val="32"/>
          <w:szCs w:val="32"/>
        </w:rPr>
      </w:pPr>
      <w:r>
        <w:rPr>
          <w:rFonts w:ascii="宋体" w:hAnsi="宋体" w:cs="仿宋"/>
          <w:b/>
          <w:bCs/>
          <w:sz w:val="32"/>
          <w:szCs w:val="32"/>
        </w:rPr>
      </w:r>
      <w:r/>
    </w:p>
    <w:p>
      <w:pPr>
        <w:pStyle w:val="789"/>
      </w:pPr>
      <w:r/>
      <w:r/>
    </w:p>
    <w:p>
      <w:pPr>
        <w:pStyle w:val="789"/>
      </w:pPr>
      <w:r/>
      <w:r/>
    </w:p>
    <w:p>
      <w:pPr>
        <w:pStyle w:val="789"/>
      </w:pPr>
      <w:r/>
      <w:r/>
    </w:p>
    <w:p>
      <w:pPr>
        <w:pStyle w:val="789"/>
      </w:pPr>
      <w:r/>
      <w:r/>
    </w:p>
    <w:p>
      <w:pPr>
        <w:pStyle w:val="789"/>
      </w:pPr>
      <w:r/>
      <w:r/>
    </w:p>
    <w:p>
      <w:pPr>
        <w:rPr>
          <w:rFonts w:ascii="黑体" w:hAnsi="黑体" w:eastAsia="黑体"/>
          <w:b/>
          <w:iCs/>
          <w:color w:val="0b5fd1"/>
          <w:sz w:val="32"/>
          <w:szCs w:val="32"/>
        </w:rPr>
      </w:pPr>
      <w:r>
        <w:rPr>
          <w:rFonts w:hint="eastAsia" w:ascii="黑体" w:hAnsi="黑体" w:eastAsia="黑体"/>
          <w:b/>
          <w:iCs/>
          <w:color w:val="0b5fd1"/>
          <w:sz w:val="32"/>
          <w:szCs w:val="32"/>
        </w:rPr>
        <w:t xml:space="preserve">十六、主要标的信息</w:t>
      </w:r>
      <w:r/>
    </w:p>
    <w:p>
      <w:pPr>
        <w:jc w:val="center"/>
        <w:spacing w:before="312" w:line="360" w:lineRule="auto"/>
        <w:rPr>
          <w:rFonts w:ascii="宋体" w:hAnsi="宋体"/>
          <w:b/>
          <w:color w:val="0b5fd1"/>
        </w:rPr>
      </w:pPr>
      <w:r>
        <w:rPr>
          <w:rFonts w:hint="eastAsia" w:ascii="宋体" w:hAnsi="宋体"/>
          <w:b/>
          <w:color w:val="0b5fd1"/>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791"/>
        <w:rPr>
          <w:sz w:val="24"/>
          <w:szCs w:val="24"/>
        </w:rPr>
      </w:pPr>
      <w:r>
        <w:rPr>
          <w:sz w:val="24"/>
          <w:szCs w:val="24"/>
        </w:rPr>
      </w:r>
      <w:r/>
    </w:p>
    <w:p>
      <w:pPr>
        <w:pStyle w:val="791"/>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29"/>
        <w:rFonts w:ascii="宋体" w:hAnsi="宋体"/>
      </w:rPr>
      <w:framePr w:wrap="around" w:vAnchor="text" w:hAnchor="margin" w:xAlign="center" w:y="1"/>
    </w:pPr>
    <w:r>
      <w:rPr>
        <w:rFonts w:ascii="宋体" w:hAnsi="宋体"/>
      </w:rPr>
      <w:fldChar w:fldCharType="begin"/>
    </w:r>
    <w:r>
      <w:rPr>
        <w:rStyle w:val="829"/>
        <w:rFonts w:ascii="宋体" w:hAnsi="宋体"/>
      </w:rPr>
      <w:instrText xml:space="preserve">PAGE  </w:instrText>
    </w:r>
    <w:r>
      <w:rPr>
        <w:rFonts w:ascii="宋体" w:hAnsi="宋体"/>
      </w:rPr>
      <w:fldChar w:fldCharType="separate"/>
    </w:r>
    <w:r>
      <w:rPr>
        <w:rStyle w:val="829"/>
        <w:rFonts w:ascii="宋体" w:hAnsi="宋体"/>
      </w:rPr>
      <w:t xml:space="preserve">45</w:t>
    </w:r>
    <w:r>
      <w:rPr>
        <w:rFonts w:ascii="宋体" w:hAnsi="宋体"/>
      </w:rPr>
      <w:fldChar w:fldCharType="end"/>
    </w:r>
    <w:r/>
  </w:p>
  <w:p>
    <w:pPr>
      <w:pStyle w:val="80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29"/>
      </w:rPr>
      <w:framePr w:wrap="around" w:vAnchor="text" w:hAnchor="margin" w:xAlign="center" w:y="1"/>
    </w:pPr>
    <w:r>
      <w:fldChar w:fldCharType="begin"/>
    </w:r>
    <w:r>
      <w:rPr>
        <w:rStyle w:val="829"/>
      </w:rPr>
      <w:instrText xml:space="preserve">PAGE  </w:instrText>
    </w:r>
    <w:r>
      <w:fldChar w:fldCharType="separate"/>
    </w:r>
    <w:r>
      <w:rPr>
        <w:rStyle w:val="829"/>
      </w:rPr>
      <w:t xml:space="preserve">1</w:t>
    </w:r>
    <w: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28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860" w:hanging="440"/>
      </w:pPr>
      <w:rPr>
        <w:rFonts w:hint="default" w:ascii="Wingdings" w:hAnsi="Wingdings"/>
      </w:rPr>
    </w:lvl>
    <w:lvl w:ilvl="1">
      <w:start w:val="1"/>
      <w:numFmt w:val="bullet"/>
      <w:isLgl w:val="false"/>
      <w:suff w:val="tab"/>
      <w:lvlText w:val=""/>
      <w:lvlJc w:val="left"/>
      <w:pPr>
        <w:ind w:left="1300" w:hanging="440"/>
      </w:pPr>
      <w:rPr>
        <w:rFonts w:hint="default" w:ascii="Wingdings" w:hAnsi="Wingdings"/>
      </w:rPr>
    </w:lvl>
    <w:lvl w:ilvl="2">
      <w:start w:val="1"/>
      <w:numFmt w:val="bullet"/>
      <w:isLgl w:val="false"/>
      <w:suff w:val="tab"/>
      <w:lvlText w:val=""/>
      <w:lvlJc w:val="left"/>
      <w:pPr>
        <w:ind w:left="1740" w:hanging="440"/>
      </w:pPr>
      <w:rPr>
        <w:rFonts w:hint="default" w:ascii="Wingdings" w:hAnsi="Wingdings"/>
      </w:rPr>
    </w:lvl>
    <w:lvl w:ilvl="3">
      <w:start w:val="1"/>
      <w:numFmt w:val="bullet"/>
      <w:isLgl w:val="false"/>
      <w:suff w:val="tab"/>
      <w:lvlText w:val=""/>
      <w:lvlJc w:val="left"/>
      <w:pPr>
        <w:ind w:left="2180" w:hanging="440"/>
      </w:pPr>
      <w:rPr>
        <w:rFonts w:hint="default" w:ascii="Wingdings" w:hAnsi="Wingdings"/>
      </w:rPr>
    </w:lvl>
    <w:lvl w:ilvl="4">
      <w:start w:val="1"/>
      <w:numFmt w:val="bullet"/>
      <w:isLgl w:val="false"/>
      <w:suff w:val="tab"/>
      <w:lvlText w:val=""/>
      <w:lvlJc w:val="left"/>
      <w:pPr>
        <w:ind w:left="2620" w:hanging="440"/>
      </w:pPr>
      <w:rPr>
        <w:rFonts w:hint="default" w:ascii="Wingdings" w:hAnsi="Wingdings"/>
      </w:rPr>
    </w:lvl>
    <w:lvl w:ilvl="5">
      <w:start w:val="1"/>
      <w:numFmt w:val="bullet"/>
      <w:isLgl w:val="false"/>
      <w:suff w:val="tab"/>
      <w:lvlText w:val=""/>
      <w:lvlJc w:val="left"/>
      <w:pPr>
        <w:ind w:left="3060" w:hanging="440"/>
      </w:pPr>
      <w:rPr>
        <w:rFonts w:hint="default" w:ascii="Wingdings" w:hAnsi="Wingdings"/>
      </w:rPr>
    </w:lvl>
    <w:lvl w:ilvl="6">
      <w:start w:val="1"/>
      <w:numFmt w:val="bullet"/>
      <w:isLgl w:val="false"/>
      <w:suff w:val="tab"/>
      <w:lvlText w:val=""/>
      <w:lvlJc w:val="left"/>
      <w:pPr>
        <w:ind w:left="3500" w:hanging="440"/>
      </w:pPr>
      <w:rPr>
        <w:rFonts w:hint="default" w:ascii="Wingdings" w:hAnsi="Wingdings"/>
      </w:rPr>
    </w:lvl>
    <w:lvl w:ilvl="7">
      <w:start w:val="1"/>
      <w:numFmt w:val="bullet"/>
      <w:isLgl w:val="false"/>
      <w:suff w:val="tab"/>
      <w:lvlText w:val=""/>
      <w:lvlJc w:val="left"/>
      <w:pPr>
        <w:ind w:left="3940" w:hanging="440"/>
      </w:pPr>
      <w:rPr>
        <w:rFonts w:hint="default" w:ascii="Wingdings" w:hAnsi="Wingdings"/>
      </w:rPr>
    </w:lvl>
    <w:lvl w:ilvl="8">
      <w:start w:val="1"/>
      <w:numFmt w:val="bullet"/>
      <w:isLgl w:val="false"/>
      <w:suff w:val="tab"/>
      <w:lvlText w:val=""/>
      <w:lvlJc w:val="left"/>
      <w:pPr>
        <w:ind w:left="438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nothing"/>
      <w:lvlText w:val="%1、"/>
      <w:lvlJc w:val="left"/>
      <w:pPr>
        <w:ind w:left="5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66"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860" w:hanging="440"/>
      </w:pPr>
      <w:rPr>
        <w:rFonts w:hint="default" w:ascii="Wingdings" w:hAnsi="Wingdings"/>
      </w:rPr>
    </w:lvl>
    <w:lvl w:ilvl="1">
      <w:start w:val="1"/>
      <w:numFmt w:val="bullet"/>
      <w:isLgl w:val="false"/>
      <w:suff w:val="tab"/>
      <w:lvlText w:val=""/>
      <w:lvlJc w:val="left"/>
      <w:pPr>
        <w:ind w:left="1300" w:hanging="440"/>
      </w:pPr>
      <w:rPr>
        <w:rFonts w:hint="default" w:ascii="Wingdings" w:hAnsi="Wingdings"/>
      </w:rPr>
    </w:lvl>
    <w:lvl w:ilvl="2">
      <w:start w:val="1"/>
      <w:numFmt w:val="bullet"/>
      <w:isLgl w:val="false"/>
      <w:suff w:val="tab"/>
      <w:lvlText w:val=""/>
      <w:lvlJc w:val="left"/>
      <w:pPr>
        <w:ind w:left="1740" w:hanging="440"/>
      </w:pPr>
      <w:rPr>
        <w:rFonts w:hint="default" w:ascii="Wingdings" w:hAnsi="Wingdings"/>
      </w:rPr>
    </w:lvl>
    <w:lvl w:ilvl="3">
      <w:start w:val="1"/>
      <w:numFmt w:val="bullet"/>
      <w:isLgl w:val="false"/>
      <w:suff w:val="tab"/>
      <w:lvlText w:val=""/>
      <w:lvlJc w:val="left"/>
      <w:pPr>
        <w:ind w:left="2180" w:hanging="440"/>
      </w:pPr>
      <w:rPr>
        <w:rFonts w:hint="default" w:ascii="Wingdings" w:hAnsi="Wingdings"/>
      </w:rPr>
    </w:lvl>
    <w:lvl w:ilvl="4">
      <w:start w:val="1"/>
      <w:numFmt w:val="bullet"/>
      <w:isLgl w:val="false"/>
      <w:suff w:val="tab"/>
      <w:lvlText w:val=""/>
      <w:lvlJc w:val="left"/>
      <w:pPr>
        <w:ind w:left="2620" w:hanging="440"/>
      </w:pPr>
      <w:rPr>
        <w:rFonts w:hint="default" w:ascii="Wingdings" w:hAnsi="Wingdings"/>
      </w:rPr>
    </w:lvl>
    <w:lvl w:ilvl="5">
      <w:start w:val="1"/>
      <w:numFmt w:val="bullet"/>
      <w:isLgl w:val="false"/>
      <w:suff w:val="tab"/>
      <w:lvlText w:val=""/>
      <w:lvlJc w:val="left"/>
      <w:pPr>
        <w:ind w:left="3060" w:hanging="440"/>
      </w:pPr>
      <w:rPr>
        <w:rFonts w:hint="default" w:ascii="Wingdings" w:hAnsi="Wingdings"/>
      </w:rPr>
    </w:lvl>
    <w:lvl w:ilvl="6">
      <w:start w:val="1"/>
      <w:numFmt w:val="bullet"/>
      <w:isLgl w:val="false"/>
      <w:suff w:val="tab"/>
      <w:lvlText w:val=""/>
      <w:lvlJc w:val="left"/>
      <w:pPr>
        <w:ind w:left="3500" w:hanging="440"/>
      </w:pPr>
      <w:rPr>
        <w:rFonts w:hint="default" w:ascii="Wingdings" w:hAnsi="Wingdings"/>
      </w:rPr>
    </w:lvl>
    <w:lvl w:ilvl="7">
      <w:start w:val="1"/>
      <w:numFmt w:val="bullet"/>
      <w:isLgl w:val="false"/>
      <w:suff w:val="tab"/>
      <w:lvlText w:val=""/>
      <w:lvlJc w:val="left"/>
      <w:pPr>
        <w:ind w:left="3940" w:hanging="440"/>
      </w:pPr>
      <w:rPr>
        <w:rFonts w:hint="default" w:ascii="Wingdings" w:hAnsi="Wingdings"/>
      </w:rPr>
    </w:lvl>
    <w:lvl w:ilvl="8">
      <w:start w:val="1"/>
      <w:numFmt w:val="bullet"/>
      <w:isLgl w:val="false"/>
      <w:suff w:val="tab"/>
      <w:lvlText w:val=""/>
      <w:lvlJc w:val="left"/>
      <w:pPr>
        <w:ind w:left="4380" w:hanging="440"/>
      </w:pPr>
      <w:rPr>
        <w:rFonts w:hint="default" w:ascii="Wingdings" w:hAnsi="Wingdings"/>
      </w:rPr>
    </w:lvl>
  </w:abstractNum>
  <w:abstractNum w:abstractNumId="20">
    <w:multiLevelType w:val="hybridMultilevel"/>
    <w:lvl w:ilvl="0">
      <w:start w:val="1"/>
      <w:numFmt w:val="bullet"/>
      <w:isLgl w:val="false"/>
      <w:suff w:val="tab"/>
      <w:lvlText w:val=""/>
      <w:lvlJc w:val="left"/>
      <w:pPr>
        <w:ind w:left="866" w:hanging="440"/>
      </w:pPr>
      <w:rPr>
        <w:rFonts w:hint="default" w:ascii="Wingdings" w:hAnsi="Wingdings"/>
      </w:rPr>
    </w:lvl>
    <w:lvl w:ilvl="1">
      <w:start w:val="1"/>
      <w:numFmt w:val="bullet"/>
      <w:isLgl w:val="false"/>
      <w:suff w:val="tab"/>
      <w:lvlText w:val=""/>
      <w:lvlJc w:val="left"/>
      <w:pPr>
        <w:ind w:left="1306" w:hanging="440"/>
      </w:pPr>
      <w:rPr>
        <w:rFonts w:hint="default" w:ascii="Wingdings" w:hAnsi="Wingdings"/>
      </w:rPr>
    </w:lvl>
    <w:lvl w:ilvl="2">
      <w:start w:val="1"/>
      <w:numFmt w:val="bullet"/>
      <w:isLgl w:val="false"/>
      <w:suff w:val="tab"/>
      <w:lvlText w:val=""/>
      <w:lvlJc w:val="left"/>
      <w:pPr>
        <w:ind w:left="1746" w:hanging="440"/>
      </w:pPr>
      <w:rPr>
        <w:rFonts w:hint="default" w:ascii="Wingdings" w:hAnsi="Wingdings"/>
      </w:rPr>
    </w:lvl>
    <w:lvl w:ilvl="3">
      <w:start w:val="1"/>
      <w:numFmt w:val="bullet"/>
      <w:isLgl w:val="false"/>
      <w:suff w:val="tab"/>
      <w:lvlText w:val=""/>
      <w:lvlJc w:val="left"/>
      <w:pPr>
        <w:ind w:left="2186" w:hanging="440"/>
      </w:pPr>
      <w:rPr>
        <w:rFonts w:hint="default" w:ascii="Wingdings" w:hAnsi="Wingdings"/>
      </w:rPr>
    </w:lvl>
    <w:lvl w:ilvl="4">
      <w:start w:val="1"/>
      <w:numFmt w:val="bullet"/>
      <w:isLgl w:val="false"/>
      <w:suff w:val="tab"/>
      <w:lvlText w:val=""/>
      <w:lvlJc w:val="left"/>
      <w:pPr>
        <w:ind w:left="2626" w:hanging="440"/>
      </w:pPr>
      <w:rPr>
        <w:rFonts w:hint="default" w:ascii="Wingdings" w:hAnsi="Wingdings"/>
      </w:rPr>
    </w:lvl>
    <w:lvl w:ilvl="5">
      <w:start w:val="1"/>
      <w:numFmt w:val="bullet"/>
      <w:isLgl w:val="false"/>
      <w:suff w:val="tab"/>
      <w:lvlText w:val=""/>
      <w:lvlJc w:val="left"/>
      <w:pPr>
        <w:ind w:left="3066" w:hanging="440"/>
      </w:pPr>
      <w:rPr>
        <w:rFonts w:hint="default" w:ascii="Wingdings" w:hAnsi="Wingdings"/>
      </w:rPr>
    </w:lvl>
    <w:lvl w:ilvl="6">
      <w:start w:val="1"/>
      <w:numFmt w:val="bullet"/>
      <w:isLgl w:val="false"/>
      <w:suff w:val="tab"/>
      <w:lvlText w:val=""/>
      <w:lvlJc w:val="left"/>
      <w:pPr>
        <w:ind w:left="3506" w:hanging="440"/>
      </w:pPr>
      <w:rPr>
        <w:rFonts w:hint="default" w:ascii="Wingdings" w:hAnsi="Wingdings"/>
      </w:rPr>
    </w:lvl>
    <w:lvl w:ilvl="7">
      <w:start w:val="1"/>
      <w:numFmt w:val="bullet"/>
      <w:isLgl w:val="false"/>
      <w:suff w:val="tab"/>
      <w:lvlText w:val=""/>
      <w:lvlJc w:val="left"/>
      <w:pPr>
        <w:ind w:left="3946" w:hanging="440"/>
      </w:pPr>
      <w:rPr>
        <w:rFonts w:hint="default" w:ascii="Wingdings" w:hAnsi="Wingdings"/>
      </w:rPr>
    </w:lvl>
    <w:lvl w:ilvl="8">
      <w:start w:val="1"/>
      <w:numFmt w:val="bullet"/>
      <w:isLgl w:val="false"/>
      <w:suff w:val="tab"/>
      <w:lvlText w:val=""/>
      <w:lvlJc w:val="left"/>
      <w:pPr>
        <w:ind w:left="4386" w:hanging="440"/>
      </w:pPr>
      <w:rPr>
        <w:rFonts w:hint="default" w:ascii="Wingdings" w:hAnsi="Wingdings"/>
      </w:rPr>
    </w:lvl>
  </w:abstractNum>
  <w:abstractNum w:abstractNumId="2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860" w:hanging="440"/>
      </w:pPr>
      <w:rPr>
        <w:rFonts w:hint="default" w:ascii="Wingdings" w:hAnsi="Wingdings"/>
      </w:rPr>
    </w:lvl>
    <w:lvl w:ilvl="1">
      <w:start w:val="1"/>
      <w:numFmt w:val="bullet"/>
      <w:isLgl w:val="false"/>
      <w:suff w:val="tab"/>
      <w:lvlText w:val=""/>
      <w:lvlJc w:val="left"/>
      <w:pPr>
        <w:ind w:left="1300" w:hanging="440"/>
      </w:pPr>
      <w:rPr>
        <w:rFonts w:hint="default" w:ascii="Wingdings" w:hAnsi="Wingdings"/>
      </w:rPr>
    </w:lvl>
    <w:lvl w:ilvl="2">
      <w:start w:val="1"/>
      <w:numFmt w:val="bullet"/>
      <w:isLgl w:val="false"/>
      <w:suff w:val="tab"/>
      <w:lvlText w:val=""/>
      <w:lvlJc w:val="left"/>
      <w:pPr>
        <w:ind w:left="1740" w:hanging="440"/>
      </w:pPr>
      <w:rPr>
        <w:rFonts w:hint="default" w:ascii="Wingdings" w:hAnsi="Wingdings"/>
      </w:rPr>
    </w:lvl>
    <w:lvl w:ilvl="3">
      <w:start w:val="1"/>
      <w:numFmt w:val="bullet"/>
      <w:isLgl w:val="false"/>
      <w:suff w:val="tab"/>
      <w:lvlText w:val=""/>
      <w:lvlJc w:val="left"/>
      <w:pPr>
        <w:ind w:left="2180" w:hanging="440"/>
      </w:pPr>
      <w:rPr>
        <w:rFonts w:hint="default" w:ascii="Wingdings" w:hAnsi="Wingdings"/>
      </w:rPr>
    </w:lvl>
    <w:lvl w:ilvl="4">
      <w:start w:val="1"/>
      <w:numFmt w:val="bullet"/>
      <w:isLgl w:val="false"/>
      <w:suff w:val="tab"/>
      <w:lvlText w:val=""/>
      <w:lvlJc w:val="left"/>
      <w:pPr>
        <w:ind w:left="2620" w:hanging="440"/>
      </w:pPr>
      <w:rPr>
        <w:rFonts w:hint="default" w:ascii="Wingdings" w:hAnsi="Wingdings"/>
      </w:rPr>
    </w:lvl>
    <w:lvl w:ilvl="5">
      <w:start w:val="1"/>
      <w:numFmt w:val="bullet"/>
      <w:isLgl w:val="false"/>
      <w:suff w:val="tab"/>
      <w:lvlText w:val=""/>
      <w:lvlJc w:val="left"/>
      <w:pPr>
        <w:ind w:left="3060" w:hanging="440"/>
      </w:pPr>
      <w:rPr>
        <w:rFonts w:hint="default" w:ascii="Wingdings" w:hAnsi="Wingdings"/>
      </w:rPr>
    </w:lvl>
    <w:lvl w:ilvl="6">
      <w:start w:val="1"/>
      <w:numFmt w:val="bullet"/>
      <w:isLgl w:val="false"/>
      <w:suff w:val="tab"/>
      <w:lvlText w:val=""/>
      <w:lvlJc w:val="left"/>
      <w:pPr>
        <w:ind w:left="3500" w:hanging="440"/>
      </w:pPr>
      <w:rPr>
        <w:rFonts w:hint="default" w:ascii="Wingdings" w:hAnsi="Wingdings"/>
      </w:rPr>
    </w:lvl>
    <w:lvl w:ilvl="7">
      <w:start w:val="1"/>
      <w:numFmt w:val="bullet"/>
      <w:isLgl w:val="false"/>
      <w:suff w:val="tab"/>
      <w:lvlText w:val=""/>
      <w:lvlJc w:val="left"/>
      <w:pPr>
        <w:ind w:left="3940" w:hanging="440"/>
      </w:pPr>
      <w:rPr>
        <w:rFonts w:hint="default" w:ascii="Wingdings" w:hAnsi="Wingdings"/>
      </w:rPr>
    </w:lvl>
    <w:lvl w:ilvl="8">
      <w:start w:val="1"/>
      <w:numFmt w:val="bullet"/>
      <w:isLgl w:val="false"/>
      <w:suff w:val="tab"/>
      <w:lvlText w:val=""/>
      <w:lvlJc w:val="left"/>
      <w:pPr>
        <w:ind w:left="4380" w:hanging="440"/>
      </w:pPr>
      <w:rPr>
        <w:rFonts w:hint="default" w:ascii="Wingdings" w:hAnsi="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860" w:hanging="440"/>
      </w:pPr>
      <w:rPr>
        <w:rFonts w:hint="default" w:ascii="Wingdings" w:hAnsi="Wingdings"/>
      </w:rPr>
    </w:lvl>
    <w:lvl w:ilvl="1">
      <w:start w:val="1"/>
      <w:numFmt w:val="bullet"/>
      <w:isLgl w:val="false"/>
      <w:suff w:val="tab"/>
      <w:lvlText w:val=""/>
      <w:lvlJc w:val="left"/>
      <w:pPr>
        <w:ind w:left="1300" w:hanging="440"/>
      </w:pPr>
      <w:rPr>
        <w:rFonts w:hint="default" w:ascii="Wingdings" w:hAnsi="Wingdings"/>
      </w:rPr>
    </w:lvl>
    <w:lvl w:ilvl="2">
      <w:start w:val="1"/>
      <w:numFmt w:val="bullet"/>
      <w:isLgl w:val="false"/>
      <w:suff w:val="tab"/>
      <w:lvlText w:val=""/>
      <w:lvlJc w:val="left"/>
      <w:pPr>
        <w:ind w:left="1740" w:hanging="440"/>
      </w:pPr>
      <w:rPr>
        <w:rFonts w:hint="default" w:ascii="Wingdings" w:hAnsi="Wingdings"/>
      </w:rPr>
    </w:lvl>
    <w:lvl w:ilvl="3">
      <w:start w:val="1"/>
      <w:numFmt w:val="bullet"/>
      <w:isLgl w:val="false"/>
      <w:suff w:val="tab"/>
      <w:lvlText w:val=""/>
      <w:lvlJc w:val="left"/>
      <w:pPr>
        <w:ind w:left="2180" w:hanging="440"/>
      </w:pPr>
      <w:rPr>
        <w:rFonts w:hint="default" w:ascii="Wingdings" w:hAnsi="Wingdings"/>
      </w:rPr>
    </w:lvl>
    <w:lvl w:ilvl="4">
      <w:start w:val="1"/>
      <w:numFmt w:val="bullet"/>
      <w:isLgl w:val="false"/>
      <w:suff w:val="tab"/>
      <w:lvlText w:val=""/>
      <w:lvlJc w:val="left"/>
      <w:pPr>
        <w:ind w:left="2620" w:hanging="440"/>
      </w:pPr>
      <w:rPr>
        <w:rFonts w:hint="default" w:ascii="Wingdings" w:hAnsi="Wingdings"/>
      </w:rPr>
    </w:lvl>
    <w:lvl w:ilvl="5">
      <w:start w:val="1"/>
      <w:numFmt w:val="bullet"/>
      <w:isLgl w:val="false"/>
      <w:suff w:val="tab"/>
      <w:lvlText w:val=""/>
      <w:lvlJc w:val="left"/>
      <w:pPr>
        <w:ind w:left="3060" w:hanging="440"/>
      </w:pPr>
      <w:rPr>
        <w:rFonts w:hint="default" w:ascii="Wingdings" w:hAnsi="Wingdings"/>
      </w:rPr>
    </w:lvl>
    <w:lvl w:ilvl="6">
      <w:start w:val="1"/>
      <w:numFmt w:val="bullet"/>
      <w:isLgl w:val="false"/>
      <w:suff w:val="tab"/>
      <w:lvlText w:val=""/>
      <w:lvlJc w:val="left"/>
      <w:pPr>
        <w:ind w:left="3500" w:hanging="440"/>
      </w:pPr>
      <w:rPr>
        <w:rFonts w:hint="default" w:ascii="Wingdings" w:hAnsi="Wingdings"/>
      </w:rPr>
    </w:lvl>
    <w:lvl w:ilvl="7">
      <w:start w:val="1"/>
      <w:numFmt w:val="bullet"/>
      <w:isLgl w:val="false"/>
      <w:suff w:val="tab"/>
      <w:lvlText w:val=""/>
      <w:lvlJc w:val="left"/>
      <w:pPr>
        <w:ind w:left="3940" w:hanging="440"/>
      </w:pPr>
      <w:rPr>
        <w:rFonts w:hint="default" w:ascii="Wingdings" w:hAnsi="Wingdings"/>
      </w:rPr>
    </w:lvl>
    <w:lvl w:ilvl="8">
      <w:start w:val="1"/>
      <w:numFmt w:val="bullet"/>
      <w:isLgl w:val="false"/>
      <w:suff w:val="tab"/>
      <w:lvlText w:val=""/>
      <w:lvlJc w:val="left"/>
      <w:pPr>
        <w:ind w:left="4380" w:hanging="440"/>
      </w:pPr>
      <w:rPr>
        <w:rFonts w:hint="default" w:ascii="Wingdings" w:hAnsi="Wingdings"/>
      </w:rPr>
    </w:lvl>
  </w:abstractNum>
  <w:abstractNum w:abstractNumId="28">
    <w:multiLevelType w:val="hybridMultilevel"/>
    <w:lvl w:ilvl="0">
      <w:start w:val="1"/>
      <w:numFmt w:val="decimal"/>
      <w:isLgl w:val="false"/>
      <w:suff w:val="tab"/>
      <w:lvlText w:val="%1、"/>
      <w:lvlJc w:val="left"/>
      <w:pPr>
        <w:ind w:left="380" w:hanging="380"/>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6"/>
      <w:isLgl w:val="false"/>
      <w:suff w:val="nothing"/>
      <w:lvlText w:val=""/>
      <w:lvlJc w:val="left"/>
      <w:pPr>
        <w:ind w:left="0" w:firstLine="0"/>
      </w:pPr>
      <w:rPr>
        <w:rFonts w:hint="eastAsia"/>
      </w:rPr>
    </w:lvl>
    <w:lvl w:ilvl="6">
      <w:start w:val="1"/>
      <w:numFmt w:val="decimal"/>
      <w:pStyle w:val="757"/>
      <w:isLgl w:val="false"/>
      <w:suff w:val="nothing"/>
      <w:lvlText w:val=""/>
      <w:lvlJc w:val="left"/>
      <w:pPr>
        <w:ind w:left="0" w:firstLine="0"/>
      </w:pPr>
      <w:rPr>
        <w:rFonts w:hint="eastAsia"/>
      </w:rPr>
    </w:lvl>
    <w:lvl w:ilvl="7">
      <w:start w:val="1"/>
      <w:numFmt w:val="decimal"/>
      <w:pStyle w:val="758"/>
      <w:isLgl w:val="false"/>
      <w:suff w:val="nothing"/>
      <w:lvlText w:val=""/>
      <w:lvlJc w:val="left"/>
      <w:pPr>
        <w:ind w:left="0" w:firstLine="0"/>
      </w:pPr>
      <w:rPr>
        <w:rFonts w:hint="eastAsia"/>
      </w:rPr>
    </w:lvl>
    <w:lvl w:ilvl="8">
      <w:start w:val="1"/>
      <w:numFmt w:val="decimal"/>
      <w:pStyle w:val="759"/>
      <w:isLgl w:val="false"/>
      <w:suff w:val="nothing"/>
      <w:lvlText w:val=""/>
      <w:lvlJc w:val="left"/>
      <w:pPr>
        <w:ind w:left="0" w:firstLine="0"/>
      </w:pPr>
      <w:rPr>
        <w:rFonts w:hint="eastAsia"/>
      </w:rPr>
    </w:lvl>
  </w:abstractNum>
  <w:abstractNum w:abstractNumId="31">
    <w:multiLevelType w:val="hybridMultilevel"/>
    <w:lvl w:ilvl="0">
      <w:start w:val="1"/>
      <w:numFmt w:val="chineseCounting"/>
      <w:isLgl w:val="false"/>
      <w:suff w:val="nothing"/>
      <w:lvlText w:val="%1、"/>
      <w:lvlJc w:val="left"/>
      <w:pPr>
        <w:ind w:left="-24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34">
    <w:multiLevelType w:val="hybridMultilevel"/>
    <w:lvl w:ilvl="0">
      <w:start w:val="1"/>
      <w:numFmt w:val="bullet"/>
      <w:isLgl w:val="false"/>
      <w:suff w:val="tab"/>
      <w:lvlText w:val=""/>
      <w:lvlJc w:val="left"/>
      <w:pPr>
        <w:ind w:left="1000" w:hanging="440"/>
      </w:pPr>
      <w:rPr>
        <w:rFonts w:hint="default" w:ascii="Wingdings" w:hAnsi="Wingdings"/>
      </w:rPr>
    </w:lvl>
    <w:lvl w:ilvl="1">
      <w:start w:val="1"/>
      <w:numFmt w:val="bullet"/>
      <w:isLgl w:val="false"/>
      <w:suff w:val="tab"/>
      <w:lvlText w:val=""/>
      <w:lvlJc w:val="left"/>
      <w:pPr>
        <w:ind w:left="1440" w:hanging="440"/>
      </w:pPr>
      <w:rPr>
        <w:rFonts w:hint="default" w:ascii="Wingdings" w:hAnsi="Wingdings"/>
      </w:rPr>
    </w:lvl>
    <w:lvl w:ilvl="2">
      <w:start w:val="1"/>
      <w:numFmt w:val="bullet"/>
      <w:isLgl w:val="false"/>
      <w:suff w:val="tab"/>
      <w:lvlText w:val=""/>
      <w:lvlJc w:val="left"/>
      <w:pPr>
        <w:ind w:left="1880" w:hanging="440"/>
      </w:pPr>
      <w:rPr>
        <w:rFonts w:hint="default" w:ascii="Wingdings" w:hAnsi="Wingdings"/>
      </w:rPr>
    </w:lvl>
    <w:lvl w:ilvl="3">
      <w:start w:val="1"/>
      <w:numFmt w:val="bullet"/>
      <w:isLgl w:val="false"/>
      <w:suff w:val="tab"/>
      <w:lvlText w:val=""/>
      <w:lvlJc w:val="left"/>
      <w:pPr>
        <w:ind w:left="2320" w:hanging="440"/>
      </w:pPr>
      <w:rPr>
        <w:rFonts w:hint="default" w:ascii="Wingdings" w:hAnsi="Wingdings"/>
      </w:rPr>
    </w:lvl>
    <w:lvl w:ilvl="4">
      <w:start w:val="1"/>
      <w:numFmt w:val="bullet"/>
      <w:isLgl w:val="false"/>
      <w:suff w:val="tab"/>
      <w:lvlText w:val=""/>
      <w:lvlJc w:val="left"/>
      <w:pPr>
        <w:ind w:left="2760" w:hanging="440"/>
      </w:pPr>
      <w:rPr>
        <w:rFonts w:hint="default" w:ascii="Wingdings" w:hAnsi="Wingdings"/>
      </w:rPr>
    </w:lvl>
    <w:lvl w:ilvl="5">
      <w:start w:val="1"/>
      <w:numFmt w:val="bullet"/>
      <w:isLgl w:val="false"/>
      <w:suff w:val="tab"/>
      <w:lvlText w:val=""/>
      <w:lvlJc w:val="left"/>
      <w:pPr>
        <w:ind w:left="3200" w:hanging="440"/>
      </w:pPr>
      <w:rPr>
        <w:rFonts w:hint="default" w:ascii="Wingdings" w:hAnsi="Wingdings"/>
      </w:rPr>
    </w:lvl>
    <w:lvl w:ilvl="6">
      <w:start w:val="1"/>
      <w:numFmt w:val="bullet"/>
      <w:isLgl w:val="false"/>
      <w:suff w:val="tab"/>
      <w:lvlText w:val=""/>
      <w:lvlJc w:val="left"/>
      <w:pPr>
        <w:ind w:left="3640" w:hanging="440"/>
      </w:pPr>
      <w:rPr>
        <w:rFonts w:hint="default" w:ascii="Wingdings" w:hAnsi="Wingdings"/>
      </w:rPr>
    </w:lvl>
    <w:lvl w:ilvl="7">
      <w:start w:val="1"/>
      <w:numFmt w:val="bullet"/>
      <w:isLgl w:val="false"/>
      <w:suff w:val="tab"/>
      <w:lvlText w:val=""/>
      <w:lvlJc w:val="left"/>
      <w:pPr>
        <w:ind w:left="4080" w:hanging="440"/>
      </w:pPr>
      <w:rPr>
        <w:rFonts w:hint="default" w:ascii="Wingdings" w:hAnsi="Wingdings"/>
      </w:rPr>
    </w:lvl>
    <w:lvl w:ilvl="8">
      <w:start w:val="1"/>
      <w:numFmt w:val="bullet"/>
      <w:isLgl w:val="false"/>
      <w:suff w:val="tab"/>
      <w:lvlText w:val=""/>
      <w:lvlJc w:val="left"/>
      <w:pPr>
        <w:ind w:left="4520" w:hanging="440"/>
      </w:pPr>
      <w:rPr>
        <w:rFonts w:hint="default" w:ascii="Wingdings" w:hAnsi="Wingdings"/>
      </w:rPr>
    </w:lvl>
  </w:abstractNum>
  <w:num w:numId="1">
    <w:abstractNumId w:val="30"/>
  </w:num>
  <w:num w:numId="2">
    <w:abstractNumId w:val="4"/>
  </w:num>
  <w:num w:numId="3">
    <w:abstractNumId w:val="2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34"/>
  </w:num>
  <w:num w:numId="7">
    <w:abstractNumId w:val="27"/>
  </w:num>
  <w:num w:numId="8">
    <w:abstractNumId w:val="20"/>
  </w:num>
  <w:num w:numId="9">
    <w:abstractNumId w:val="17"/>
  </w:num>
  <w:num w:numId="10">
    <w:abstractNumId w:val="31"/>
    <w:lvlOverride w:ilvl="0">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5"/>
  </w:num>
  <w:num w:numId="16">
    <w:abstractNumId w:val="12"/>
  </w:num>
  <w:num w:numId="17">
    <w:abstractNumId w:val="32"/>
    <w:lvlOverride w:ilvl="0">
      <w:startOverride w:val="1"/>
    </w:lvlOverride>
  </w:num>
  <w:num w:numId="18">
    <w:abstractNumId w:val="13"/>
    <w:lvlOverride w:ilvl="0">
      <w:startOverride w:val="1"/>
    </w:lvlOverride>
  </w:num>
  <w:num w:numId="19">
    <w:abstractNumId w:val="11"/>
  </w:num>
  <w:num w:numId="20">
    <w:abstractNumId w:val="9"/>
  </w:num>
  <w:num w:numId="21">
    <w:abstractNumId w:val="5"/>
  </w:num>
  <w:num w:numId="22">
    <w:abstractNumId w:val="26"/>
  </w:num>
  <w:num w:numId="23">
    <w:abstractNumId w:val="16"/>
  </w:num>
  <w:num w:numId="24">
    <w:abstractNumId w:val="18"/>
  </w:num>
  <w:num w:numId="25">
    <w:abstractNumId w:val="29"/>
  </w:num>
  <w:num w:numId="26">
    <w:abstractNumId w:val="10"/>
  </w:num>
  <w:num w:numId="27">
    <w:abstractNumId w:val="0"/>
  </w:num>
  <w:num w:numId="28">
    <w:abstractNumId w:val="7"/>
  </w:num>
  <w:num w:numId="29">
    <w:abstractNumId w:val="8"/>
  </w:num>
  <w:num w:numId="30">
    <w:abstractNumId w:val="23"/>
  </w:num>
  <w:num w:numId="31">
    <w:abstractNumId w:val="1"/>
  </w:num>
  <w:num w:numId="32">
    <w:abstractNumId w:val="6"/>
  </w:num>
  <w:num w:numId="33">
    <w:abstractNumId w:val="25"/>
  </w:num>
  <w:num w:numId="34">
    <w:abstractNumId w:val="28"/>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89"/>
    <w:qFormat/>
    <w:pPr>
      <w:jc w:val="both"/>
      <w:widowControl w:val="off"/>
    </w:pPr>
    <w:rPr>
      <w:sz w:val="21"/>
      <w:szCs w:val="21"/>
    </w:rPr>
  </w:style>
  <w:style w:type="paragraph" w:styleId="751">
    <w:name w:val="Heading 1"/>
    <w:basedOn w:val="750"/>
    <w:next w:val="750"/>
    <w:link w:val="993"/>
    <w:qFormat/>
    <w:pPr>
      <w:jc w:val="center"/>
      <w:keepNext/>
      <w:outlineLvl w:val="0"/>
    </w:pPr>
    <w:rPr>
      <w:rFonts w:ascii="楷体_GB2312" w:hAnsi="楷体_GB2312" w:eastAsia="黑体"/>
      <w:sz w:val="44"/>
      <w:szCs w:val="28"/>
    </w:rPr>
  </w:style>
  <w:style w:type="paragraph" w:styleId="752">
    <w:name w:val="Heading 2"/>
    <w:basedOn w:val="750"/>
    <w:next w:val="791"/>
    <w:link w:val="982"/>
    <w:qFormat/>
    <w:pPr>
      <w:jc w:val="center"/>
      <w:keepLines/>
      <w:keepNext/>
      <w:spacing w:before="260" w:after="260" w:line="416" w:lineRule="auto"/>
      <w:outlineLvl w:val="1"/>
    </w:pPr>
    <w:rPr>
      <w:rFonts w:ascii="Arial" w:hAnsi="Arial" w:eastAsia="幼圆" w:cs="Arial"/>
      <w:b/>
      <w:bCs/>
      <w:sz w:val="44"/>
      <w:szCs w:val="44"/>
    </w:rPr>
  </w:style>
  <w:style w:type="paragraph" w:styleId="753">
    <w:name w:val="Heading 3"/>
    <w:basedOn w:val="750"/>
    <w:next w:val="791"/>
    <w:link w:val="981"/>
    <w:qFormat/>
    <w:pPr>
      <w:keepLines/>
      <w:keepNext/>
      <w:spacing w:before="260" w:after="260" w:line="416" w:lineRule="auto"/>
      <w:outlineLvl w:val="2"/>
    </w:pPr>
    <w:rPr>
      <w:b/>
      <w:bCs/>
      <w:sz w:val="32"/>
      <w:szCs w:val="32"/>
    </w:rPr>
  </w:style>
  <w:style w:type="paragraph" w:styleId="754">
    <w:name w:val="Heading 4"/>
    <w:basedOn w:val="750"/>
    <w:next w:val="791"/>
    <w:link w:val="1007"/>
    <w:qFormat/>
    <w:pPr>
      <w:keepLines/>
      <w:keepNext/>
      <w:spacing w:before="280" w:after="290" w:line="376" w:lineRule="auto"/>
      <w:outlineLvl w:val="3"/>
    </w:pPr>
    <w:rPr>
      <w:rFonts w:ascii="Arial" w:hAnsi="Arial" w:eastAsia="黑体" w:cs="Arial"/>
      <w:b/>
      <w:bCs/>
      <w:sz w:val="28"/>
      <w:szCs w:val="28"/>
    </w:rPr>
  </w:style>
  <w:style w:type="paragraph" w:styleId="755">
    <w:name w:val="Heading 5"/>
    <w:basedOn w:val="750"/>
    <w:next w:val="791"/>
    <w:link w:val="1003"/>
    <w:qFormat/>
    <w:pPr>
      <w:keepNext/>
      <w:outlineLvl w:val="4"/>
    </w:pPr>
    <w:rPr>
      <w:rFonts w:ascii="宋体"/>
      <w:color w:val="000000"/>
      <w:sz w:val="28"/>
      <w:szCs w:val="28"/>
    </w:rPr>
  </w:style>
  <w:style w:type="paragraph" w:styleId="756">
    <w:name w:val="Heading 6"/>
    <w:basedOn w:val="750"/>
    <w:next w:val="750"/>
    <w:link w:val="988"/>
    <w:qFormat/>
    <w:pPr>
      <w:numPr>
        <w:ilvl w:val="5"/>
        <w:numId w:val="1"/>
      </w:numPr>
      <w:keepLines/>
      <w:keepNext/>
      <w:spacing w:before="240" w:after="64" w:line="320" w:lineRule="auto"/>
      <w:outlineLvl w:val="5"/>
    </w:pPr>
    <w:rPr>
      <w:rFonts w:ascii="Arial" w:hAnsi="Arial" w:eastAsia="黑体"/>
      <w:b/>
      <w:bCs/>
      <w:sz w:val="24"/>
      <w:szCs w:val="24"/>
    </w:rPr>
  </w:style>
  <w:style w:type="paragraph" w:styleId="757">
    <w:name w:val="Heading 7"/>
    <w:basedOn w:val="750"/>
    <w:next w:val="750"/>
    <w:link w:val="999"/>
    <w:qFormat/>
    <w:pPr>
      <w:numPr>
        <w:ilvl w:val="6"/>
        <w:numId w:val="1"/>
      </w:numPr>
      <w:keepLines/>
      <w:keepNext/>
      <w:spacing w:before="240" w:after="64" w:line="320" w:lineRule="auto"/>
      <w:outlineLvl w:val="6"/>
    </w:pPr>
    <w:rPr>
      <w:b/>
      <w:bCs/>
      <w:sz w:val="24"/>
      <w:szCs w:val="24"/>
    </w:rPr>
  </w:style>
  <w:style w:type="paragraph" w:styleId="758">
    <w:name w:val="Heading 8"/>
    <w:basedOn w:val="750"/>
    <w:next w:val="750"/>
    <w:link w:val="1012"/>
    <w:qFormat/>
    <w:pPr>
      <w:numPr>
        <w:ilvl w:val="7"/>
        <w:numId w:val="1"/>
      </w:numPr>
      <w:keepLines/>
      <w:keepNext/>
      <w:spacing w:before="240" w:after="64" w:line="320" w:lineRule="auto"/>
      <w:outlineLvl w:val="7"/>
    </w:pPr>
    <w:rPr>
      <w:rFonts w:ascii="Arial" w:hAnsi="Arial" w:eastAsia="黑体"/>
      <w:sz w:val="24"/>
      <w:szCs w:val="24"/>
    </w:rPr>
  </w:style>
  <w:style w:type="paragraph" w:styleId="759">
    <w:name w:val="Heading 9"/>
    <w:basedOn w:val="750"/>
    <w:next w:val="750"/>
    <w:link w:val="1001"/>
    <w:qFormat/>
    <w:pPr>
      <w:numPr>
        <w:ilvl w:val="8"/>
        <w:numId w:val="1"/>
      </w:numPr>
      <w:keepLines/>
      <w:keepNext/>
      <w:spacing w:before="240" w:after="64" w:line="320" w:lineRule="auto"/>
      <w:outlineLvl w:val="8"/>
    </w:pPr>
    <w:rPr>
      <w:rFonts w:ascii="Arial" w:hAnsi="Arial" w:eastAsia="黑体"/>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character" w:styleId="763" w:customStyle="1">
    <w:name w:val="Title Char"/>
    <w:basedOn w:val="760"/>
    <w:uiPriority w:val="10"/>
    <w:rPr>
      <w:sz w:val="48"/>
      <w:szCs w:val="48"/>
    </w:rPr>
  </w:style>
  <w:style w:type="character" w:styleId="764" w:customStyle="1">
    <w:name w:val="Subtitle Char"/>
    <w:basedOn w:val="760"/>
    <w:uiPriority w:val="11"/>
    <w:rPr>
      <w:sz w:val="24"/>
      <w:szCs w:val="24"/>
    </w:rPr>
  </w:style>
  <w:style w:type="character" w:styleId="765" w:customStyle="1">
    <w:name w:val="Quote Char"/>
    <w:uiPriority w:val="29"/>
    <w:rPr>
      <w:i/>
    </w:rPr>
  </w:style>
  <w:style w:type="character" w:styleId="766" w:customStyle="1">
    <w:name w:val="Intense Quote Char"/>
    <w:uiPriority w:val="30"/>
    <w:rPr>
      <w:i/>
    </w:rPr>
  </w:style>
  <w:style w:type="table" w:styleId="767">
    <w:name w:val="Plain Table 1"/>
    <w:basedOn w:val="76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6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6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6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6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name w:val="Grid Table 1 Light"/>
    <w:basedOn w:val="76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76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name w:val="Grid Table 3"/>
    <w:basedOn w:val="76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76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name w:val="Grid Table 6 Colorful"/>
    <w:basedOn w:val="76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8">
    <w:name w:val="Grid Table 7 Colorful"/>
    <w:basedOn w:val="76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9">
    <w:name w:val="List Table 1 Light"/>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76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1">
    <w:name w:val="List Table 3"/>
    <w:basedOn w:val="76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name w:val="List Table 4"/>
    <w:basedOn w:val="76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name w:val="List Table 5 Dark"/>
    <w:basedOn w:val="76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4">
    <w:name w:val="List Table 6 Colorful"/>
    <w:basedOn w:val="76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5">
    <w:name w:val="List Table 7 Colorful"/>
    <w:basedOn w:val="76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rPr>
      <w:sz w:val="18"/>
    </w:rPr>
  </w:style>
  <w:style w:type="character" w:styleId="787" w:customStyle="1">
    <w:name w:val="Endnote Text Char"/>
    <w:uiPriority w:val="99"/>
    <w:rPr>
      <w:sz w:val="20"/>
    </w:rPr>
  </w:style>
  <w:style w:type="paragraph" w:styleId="788">
    <w:name w:val="TOC Heading"/>
    <w:uiPriority w:val="39"/>
    <w:unhideWhenUsed/>
  </w:style>
  <w:style w:type="paragraph" w:styleId="789">
    <w:name w:val="Body Text First Indent 2"/>
    <w:basedOn w:val="790"/>
    <w:link w:val="992"/>
    <w:qFormat/>
    <w:pPr>
      <w:ind w:firstLine="420"/>
      <w:spacing w:line="360" w:lineRule="auto"/>
    </w:pPr>
    <w:rPr>
      <w:rFonts w:ascii="宋体" w:hAnsi="宋体" w:eastAsia="宋体"/>
      <w:sz w:val="21"/>
      <w:szCs w:val="20"/>
    </w:rPr>
  </w:style>
  <w:style w:type="paragraph" w:styleId="790">
    <w:name w:val="Body Text Indent"/>
    <w:basedOn w:val="750"/>
    <w:link w:val="1000"/>
    <w:qFormat/>
    <w:pPr>
      <w:ind w:firstLine="645"/>
    </w:pPr>
    <w:rPr>
      <w:rFonts w:ascii="楷体_GB2312" w:eastAsia="楷体_GB2312"/>
      <w:sz w:val="32"/>
      <w:szCs w:val="32"/>
    </w:rPr>
  </w:style>
  <w:style w:type="paragraph" w:styleId="791">
    <w:name w:val="Normal Indent"/>
    <w:basedOn w:val="750"/>
    <w:link w:val="998"/>
    <w:qFormat/>
    <w:pPr>
      <w:ind w:firstLine="420"/>
    </w:pPr>
  </w:style>
  <w:style w:type="paragraph" w:styleId="792">
    <w:name w:val="List 3"/>
    <w:basedOn w:val="750"/>
    <w:qFormat/>
    <w:pPr>
      <w:ind w:left="100" w:hanging="200"/>
    </w:pPr>
  </w:style>
  <w:style w:type="paragraph" w:styleId="793">
    <w:name w:val="toc 7"/>
    <w:basedOn w:val="750"/>
    <w:next w:val="750"/>
    <w:semiHidden/>
    <w:qFormat/>
    <w:pPr>
      <w:ind w:left="1260"/>
      <w:jc w:val="left"/>
    </w:pPr>
  </w:style>
  <w:style w:type="paragraph" w:styleId="794">
    <w:name w:val="Caption"/>
    <w:basedOn w:val="750"/>
    <w:next w:val="750"/>
    <w:uiPriority w:val="35"/>
    <w:semiHidden/>
    <w:unhideWhenUsed/>
    <w:qFormat/>
    <w:pPr>
      <w:spacing w:line="276" w:lineRule="auto"/>
    </w:pPr>
    <w:rPr>
      <w:b/>
      <w:bCs/>
      <w:color w:val="4f81bd" w:themeColor="accent1"/>
      <w:sz w:val="18"/>
      <w:szCs w:val="18"/>
    </w:rPr>
  </w:style>
  <w:style w:type="paragraph" w:styleId="795">
    <w:name w:val="Document Map"/>
    <w:basedOn w:val="750"/>
    <w:link w:val="984"/>
    <w:semiHidden/>
    <w:qFormat/>
    <w:pPr>
      <w:shd w:val="clear" w:color="auto" w:fill="000080"/>
    </w:pPr>
  </w:style>
  <w:style w:type="paragraph" w:styleId="796">
    <w:name w:val="annotation text"/>
    <w:basedOn w:val="750"/>
    <w:link w:val="1002"/>
    <w:uiPriority w:val="99"/>
    <w:semiHidden/>
    <w:qFormat/>
    <w:pPr>
      <w:jc w:val="left"/>
    </w:pPr>
  </w:style>
  <w:style w:type="paragraph" w:styleId="797">
    <w:name w:val="Body Text 3"/>
    <w:basedOn w:val="750"/>
    <w:link w:val="995"/>
    <w:qFormat/>
    <w:rPr>
      <w:rFonts w:ascii="仿宋_GB2312" w:hAnsi="Arial" w:eastAsia="仿宋_GB2312"/>
      <w:sz w:val="32"/>
      <w:szCs w:val="32"/>
    </w:rPr>
  </w:style>
  <w:style w:type="paragraph" w:styleId="798">
    <w:name w:val="Body Text"/>
    <w:basedOn w:val="750"/>
    <w:link w:val="1010"/>
    <w:qFormat/>
    <w:rPr>
      <w:rFonts w:ascii="楷体_GB2312" w:hAnsi="Arial" w:eastAsia="楷体_GB2312"/>
      <w:sz w:val="28"/>
      <w:szCs w:val="28"/>
    </w:rPr>
  </w:style>
  <w:style w:type="paragraph" w:styleId="799">
    <w:name w:val="List 2"/>
    <w:basedOn w:val="750"/>
    <w:qFormat/>
    <w:pPr>
      <w:ind w:left="100" w:hanging="200"/>
    </w:pPr>
  </w:style>
  <w:style w:type="paragraph" w:styleId="800">
    <w:name w:val="toc 5"/>
    <w:basedOn w:val="750"/>
    <w:next w:val="750"/>
    <w:semiHidden/>
    <w:qFormat/>
    <w:pPr>
      <w:ind w:left="840"/>
      <w:jc w:val="left"/>
    </w:pPr>
  </w:style>
  <w:style w:type="paragraph" w:styleId="801">
    <w:name w:val="toc 3"/>
    <w:basedOn w:val="750"/>
    <w:next w:val="750"/>
    <w:semiHidden/>
    <w:qFormat/>
    <w:pPr>
      <w:ind w:left="420"/>
      <w:jc w:val="left"/>
    </w:pPr>
    <w:rPr>
      <w:i/>
      <w:iCs/>
      <w:szCs w:val="24"/>
    </w:rPr>
  </w:style>
  <w:style w:type="paragraph" w:styleId="802">
    <w:name w:val="Plain Text"/>
    <w:basedOn w:val="750"/>
    <w:link w:val="983"/>
    <w:qFormat/>
    <w:rPr>
      <w:rFonts w:ascii="宋体" w:hAnsi="Courier New" w:cs="Courier New"/>
    </w:rPr>
  </w:style>
  <w:style w:type="paragraph" w:styleId="803">
    <w:name w:val="toc 8"/>
    <w:basedOn w:val="750"/>
    <w:next w:val="750"/>
    <w:semiHidden/>
    <w:qFormat/>
    <w:pPr>
      <w:ind w:left="1470"/>
      <w:jc w:val="left"/>
    </w:pPr>
  </w:style>
  <w:style w:type="paragraph" w:styleId="804">
    <w:name w:val="Date"/>
    <w:basedOn w:val="750"/>
    <w:next w:val="750"/>
    <w:link w:val="1005"/>
    <w:qFormat/>
    <w:rPr>
      <w:sz w:val="24"/>
      <w:szCs w:val="24"/>
    </w:rPr>
  </w:style>
  <w:style w:type="paragraph" w:styleId="805">
    <w:name w:val="Body Text Indent 2"/>
    <w:basedOn w:val="750"/>
    <w:link w:val="1004"/>
    <w:qFormat/>
    <w:pPr>
      <w:ind w:left="630" w:firstLine="645"/>
    </w:pPr>
    <w:rPr>
      <w:rFonts w:ascii="Arial" w:hAnsi="Arial" w:eastAsia="仿宋_GB2312" w:cs="Arial"/>
      <w:sz w:val="32"/>
      <w:szCs w:val="32"/>
    </w:rPr>
  </w:style>
  <w:style w:type="paragraph" w:styleId="806">
    <w:name w:val="endnote text"/>
    <w:basedOn w:val="750"/>
    <w:link w:val="979"/>
    <w:uiPriority w:val="99"/>
    <w:semiHidden/>
    <w:unhideWhenUsed/>
    <w:qFormat/>
    <w:rPr>
      <w:sz w:val="20"/>
    </w:rPr>
  </w:style>
  <w:style w:type="paragraph" w:styleId="807">
    <w:name w:val="Balloon Text"/>
    <w:basedOn w:val="750"/>
    <w:link w:val="1006"/>
    <w:semiHidden/>
    <w:qFormat/>
    <w:rPr>
      <w:sz w:val="18"/>
      <w:szCs w:val="18"/>
    </w:rPr>
  </w:style>
  <w:style w:type="paragraph" w:styleId="808">
    <w:name w:val="Footer"/>
    <w:basedOn w:val="750"/>
    <w:link w:val="985"/>
    <w:qFormat/>
    <w:pPr>
      <w:jc w:val="left"/>
      <w:tabs>
        <w:tab w:val="center" w:pos="4153" w:leader="none"/>
        <w:tab w:val="right" w:pos="8306" w:leader="none"/>
      </w:tabs>
    </w:pPr>
    <w:rPr>
      <w:sz w:val="18"/>
      <w:szCs w:val="18"/>
    </w:rPr>
  </w:style>
  <w:style w:type="paragraph" w:styleId="809">
    <w:name w:val="Header"/>
    <w:basedOn w:val="750"/>
    <w:link w:val="1009"/>
    <w:qFormat/>
    <w:pPr>
      <w:jc w:val="center"/>
      <w:tabs>
        <w:tab w:val="center" w:pos="4153" w:leader="none"/>
        <w:tab w:val="right" w:pos="8306" w:leader="none"/>
      </w:tabs>
      <w:pBdr>
        <w:bottom w:val="single" w:color="000000" w:sz="6" w:space="1"/>
      </w:pBdr>
    </w:pPr>
    <w:rPr>
      <w:sz w:val="18"/>
      <w:szCs w:val="18"/>
    </w:rPr>
  </w:style>
  <w:style w:type="paragraph" w:styleId="810">
    <w:name w:val="toc 1"/>
    <w:basedOn w:val="750"/>
    <w:next w:val="750"/>
    <w:semiHidden/>
    <w:qFormat/>
    <w:pPr>
      <w:jc w:val="left"/>
      <w:spacing w:before="120" w:after="120" w:line="400" w:lineRule="exact"/>
      <w:tabs>
        <w:tab w:val="right" w:pos="8720" w:leader="dot"/>
      </w:tabs>
    </w:pPr>
    <w:rPr>
      <w:rFonts w:ascii="宋体" w:hAnsi="宋体"/>
      <w:caps/>
      <w:sz w:val="24"/>
      <w:szCs w:val="24"/>
    </w:rPr>
  </w:style>
  <w:style w:type="paragraph" w:styleId="811">
    <w:name w:val="toc 4"/>
    <w:basedOn w:val="750"/>
    <w:next w:val="750"/>
    <w:semiHidden/>
    <w:qFormat/>
    <w:pPr>
      <w:ind w:left="630"/>
      <w:jc w:val="left"/>
    </w:pPr>
  </w:style>
  <w:style w:type="paragraph" w:styleId="812">
    <w:name w:val="Subtitle"/>
    <w:basedOn w:val="750"/>
    <w:next w:val="750"/>
    <w:link w:val="845"/>
    <w:uiPriority w:val="11"/>
    <w:qFormat/>
    <w:pPr>
      <w:spacing w:before="200" w:after="200"/>
    </w:pPr>
    <w:rPr>
      <w:sz w:val="24"/>
      <w:szCs w:val="24"/>
    </w:rPr>
  </w:style>
  <w:style w:type="paragraph" w:styleId="813">
    <w:name w:val="List"/>
    <w:basedOn w:val="750"/>
    <w:qFormat/>
    <w:pPr>
      <w:ind w:left="200" w:hanging="200"/>
    </w:pPr>
  </w:style>
  <w:style w:type="paragraph" w:styleId="814">
    <w:name w:val="footnote text"/>
    <w:basedOn w:val="750"/>
    <w:link w:val="978"/>
    <w:uiPriority w:val="99"/>
    <w:semiHidden/>
    <w:unhideWhenUsed/>
    <w:qFormat/>
    <w:pPr>
      <w:spacing w:after="40"/>
    </w:pPr>
    <w:rPr>
      <w:sz w:val="18"/>
    </w:rPr>
  </w:style>
  <w:style w:type="paragraph" w:styleId="815">
    <w:name w:val="toc 6"/>
    <w:basedOn w:val="750"/>
    <w:next w:val="750"/>
    <w:semiHidden/>
    <w:qFormat/>
    <w:pPr>
      <w:ind w:left="1050"/>
      <w:jc w:val="left"/>
    </w:pPr>
  </w:style>
  <w:style w:type="paragraph" w:styleId="816">
    <w:name w:val="Body Text Indent 3"/>
    <w:basedOn w:val="750"/>
    <w:link w:val="1011"/>
    <w:qFormat/>
    <w:pPr>
      <w:ind w:left="645" w:firstLine="645"/>
    </w:pPr>
    <w:rPr>
      <w:rFonts w:ascii="Arial" w:hAnsi="Arial" w:eastAsia="仿宋_GB2312" w:cs="Arial"/>
      <w:color w:val="ffff00"/>
      <w:sz w:val="32"/>
      <w:szCs w:val="32"/>
    </w:rPr>
  </w:style>
  <w:style w:type="paragraph" w:styleId="817">
    <w:name w:val="table of figures"/>
    <w:basedOn w:val="750"/>
    <w:next w:val="750"/>
    <w:semiHidden/>
    <w:qFormat/>
    <w:pPr>
      <w:ind w:left="840" w:hanging="420"/>
    </w:pPr>
  </w:style>
  <w:style w:type="paragraph" w:styleId="818">
    <w:name w:val="toc 2"/>
    <w:basedOn w:val="750"/>
    <w:next w:val="750"/>
    <w:semiHidden/>
    <w:qFormat/>
    <w:pPr>
      <w:ind w:left="210"/>
      <w:jc w:val="left"/>
    </w:pPr>
    <w:rPr>
      <w:smallCaps/>
      <w:szCs w:val="24"/>
    </w:rPr>
  </w:style>
  <w:style w:type="paragraph" w:styleId="819">
    <w:name w:val="toc 9"/>
    <w:basedOn w:val="750"/>
    <w:next w:val="750"/>
    <w:semiHidden/>
    <w:qFormat/>
    <w:pPr>
      <w:ind w:left="1680"/>
      <w:jc w:val="left"/>
    </w:pPr>
  </w:style>
  <w:style w:type="paragraph" w:styleId="820">
    <w:name w:val="Body Text 2"/>
    <w:basedOn w:val="750"/>
    <w:link w:val="990"/>
    <w:qFormat/>
    <w:pPr>
      <w:jc w:val="center"/>
      <w:widowControl/>
    </w:pPr>
    <w:rPr>
      <w:rFonts w:ascii="楷体_GB2312" w:eastAsia="楷体_GB2312"/>
      <w:sz w:val="28"/>
      <w:szCs w:val="28"/>
    </w:rPr>
  </w:style>
  <w:style w:type="paragraph" w:styleId="821">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822">
    <w:name w:val="index 1"/>
    <w:basedOn w:val="750"/>
    <w:next w:val="750"/>
    <w:semiHidden/>
    <w:qFormat/>
    <w:pPr>
      <w:spacing w:line="240" w:lineRule="atLeast"/>
    </w:pPr>
    <w:rPr>
      <w:b/>
      <w:bCs/>
    </w:rPr>
  </w:style>
  <w:style w:type="paragraph" w:styleId="823">
    <w:name w:val="Title"/>
    <w:basedOn w:val="750"/>
    <w:next w:val="750"/>
    <w:link w:val="844"/>
    <w:uiPriority w:val="10"/>
    <w:qFormat/>
    <w:pPr>
      <w:contextualSpacing/>
      <w:spacing w:before="300" w:after="200"/>
    </w:pPr>
    <w:rPr>
      <w:sz w:val="48"/>
      <w:szCs w:val="48"/>
    </w:rPr>
  </w:style>
  <w:style w:type="paragraph" w:styleId="824">
    <w:name w:val="annotation subject"/>
    <w:basedOn w:val="796"/>
    <w:next w:val="796"/>
    <w:link w:val="989"/>
    <w:semiHidden/>
    <w:qFormat/>
    <w:rPr>
      <w:b/>
      <w:bCs/>
    </w:rPr>
  </w:style>
  <w:style w:type="paragraph" w:styleId="825">
    <w:name w:val="Body Text First Indent"/>
    <w:basedOn w:val="750"/>
    <w:link w:val="991"/>
    <w:qFormat/>
    <w:pPr>
      <w:ind w:firstLine="200"/>
      <w:spacing w:line="360" w:lineRule="auto"/>
    </w:pPr>
    <w:rPr>
      <w:rFonts w:ascii="仿宋_GB2312" w:eastAsia="仿宋_GB2312"/>
      <w:sz w:val="30"/>
      <w:szCs w:val="30"/>
    </w:rPr>
  </w:style>
  <w:style w:type="table" w:styleId="826">
    <w:name w:val="Table Grid"/>
    <w:basedOn w:val="761"/>
    <w:uiPriority w:val="39"/>
    <w:qFormat/>
    <w:pPr>
      <w:jc w:val="both"/>
      <w:widowControl w:val="off"/>
    </w:pPr>
    <w:tblPr>
      <w:tblInd w:w="0" w:type="dxa"/>
      <w:tblCellMar>
        <w:left w:w="108" w:type="dxa"/>
        <w:top w:w="0" w:type="dxa"/>
        <w:right w:w="108" w:type="dxa"/>
        <w:bottom w:w="0" w:type="dxa"/>
      </w:tblCellMar>
    </w:tblPr>
  </w:style>
  <w:style w:type="character" w:styleId="827">
    <w:name w:val="Strong"/>
    <w:qFormat/>
    <w:rPr>
      <w:b/>
      <w:bCs/>
    </w:rPr>
  </w:style>
  <w:style w:type="character" w:styleId="828">
    <w:name w:val="endnote reference"/>
    <w:uiPriority w:val="99"/>
    <w:semiHidden/>
    <w:unhideWhenUsed/>
    <w:qFormat/>
    <w:rPr>
      <w:vertAlign w:val="superscript"/>
    </w:rPr>
  </w:style>
  <w:style w:type="character" w:styleId="829">
    <w:name w:val="page number"/>
    <w:qFormat/>
  </w:style>
  <w:style w:type="character" w:styleId="830">
    <w:name w:val="Hyperlink"/>
    <w:qFormat/>
    <w:rPr>
      <w:color w:val="0000ff"/>
      <w:u w:val="single"/>
    </w:rPr>
  </w:style>
  <w:style w:type="character" w:styleId="831">
    <w:name w:val="annotation reference"/>
    <w:uiPriority w:val="99"/>
    <w:semiHidden/>
    <w:qFormat/>
    <w:rPr>
      <w:sz w:val="21"/>
      <w:szCs w:val="21"/>
    </w:rPr>
  </w:style>
  <w:style w:type="character" w:styleId="832">
    <w:name w:val="footnote reference"/>
    <w:uiPriority w:val="99"/>
    <w:unhideWhenUsed/>
    <w:qFormat/>
    <w:rPr>
      <w:vertAlign w:val="superscript"/>
    </w:rPr>
  </w:style>
  <w:style w:type="character" w:styleId="833" w:customStyle="1">
    <w:name w:val="Heading 1 Char"/>
    <w:uiPriority w:val="9"/>
    <w:qFormat/>
    <w:rPr>
      <w:rFonts w:ascii="Arial" w:hAnsi="Arial" w:eastAsia="Arial" w:cs="Arial"/>
      <w:sz w:val="40"/>
      <w:szCs w:val="40"/>
    </w:rPr>
  </w:style>
  <w:style w:type="character" w:styleId="834" w:customStyle="1">
    <w:name w:val="Heading 2 Char"/>
    <w:uiPriority w:val="9"/>
    <w:qFormat/>
    <w:rPr>
      <w:rFonts w:ascii="Arial" w:hAnsi="Arial" w:eastAsia="Arial" w:cs="Arial"/>
      <w:sz w:val="34"/>
    </w:rPr>
  </w:style>
  <w:style w:type="character" w:styleId="835" w:customStyle="1">
    <w:name w:val="Heading 3 Char"/>
    <w:uiPriority w:val="9"/>
    <w:qFormat/>
    <w:rPr>
      <w:rFonts w:ascii="Arial" w:hAnsi="Arial" w:eastAsia="Arial" w:cs="Arial"/>
      <w:sz w:val="30"/>
      <w:szCs w:val="30"/>
    </w:rPr>
  </w:style>
  <w:style w:type="character" w:styleId="836" w:customStyle="1">
    <w:name w:val="Heading 4 Char"/>
    <w:uiPriority w:val="9"/>
    <w:qFormat/>
    <w:rPr>
      <w:rFonts w:ascii="Arial" w:hAnsi="Arial" w:eastAsia="Arial" w:cs="Arial"/>
      <w:b/>
      <w:bCs/>
      <w:sz w:val="26"/>
      <w:szCs w:val="26"/>
    </w:rPr>
  </w:style>
  <w:style w:type="character" w:styleId="837" w:customStyle="1">
    <w:name w:val="Heading 5 Char"/>
    <w:uiPriority w:val="9"/>
    <w:qFormat/>
    <w:rPr>
      <w:rFonts w:ascii="Arial" w:hAnsi="Arial" w:eastAsia="Arial" w:cs="Arial"/>
      <w:b/>
      <w:bCs/>
      <w:sz w:val="24"/>
      <w:szCs w:val="24"/>
    </w:rPr>
  </w:style>
  <w:style w:type="character" w:styleId="838" w:customStyle="1">
    <w:name w:val="Heading 6 Char"/>
    <w:uiPriority w:val="9"/>
    <w:qFormat/>
    <w:rPr>
      <w:rFonts w:ascii="Arial" w:hAnsi="Arial" w:eastAsia="Arial" w:cs="Arial"/>
      <w:b/>
      <w:bCs/>
      <w:sz w:val="22"/>
      <w:szCs w:val="22"/>
    </w:rPr>
  </w:style>
  <w:style w:type="character" w:styleId="839" w:customStyle="1">
    <w:name w:val="Heading 7 Char"/>
    <w:uiPriority w:val="9"/>
    <w:qFormat/>
    <w:rPr>
      <w:rFonts w:ascii="Arial" w:hAnsi="Arial" w:eastAsia="Arial" w:cs="Arial"/>
      <w:b/>
      <w:bCs/>
      <w:i/>
      <w:iCs/>
      <w:sz w:val="22"/>
      <w:szCs w:val="22"/>
    </w:rPr>
  </w:style>
  <w:style w:type="character" w:styleId="840" w:customStyle="1">
    <w:name w:val="Heading 8 Char"/>
    <w:uiPriority w:val="9"/>
    <w:qFormat/>
    <w:rPr>
      <w:rFonts w:ascii="Arial" w:hAnsi="Arial" w:eastAsia="Arial" w:cs="Arial"/>
      <w:i/>
      <w:iCs/>
      <w:sz w:val="22"/>
      <w:szCs w:val="22"/>
    </w:rPr>
  </w:style>
  <w:style w:type="character" w:styleId="841" w:customStyle="1">
    <w:name w:val="Heading 9 Char"/>
    <w:uiPriority w:val="9"/>
    <w:qFormat/>
    <w:rPr>
      <w:rFonts w:ascii="Arial" w:hAnsi="Arial" w:eastAsia="Arial" w:cs="Arial"/>
      <w:i/>
      <w:iCs/>
      <w:sz w:val="21"/>
      <w:szCs w:val="21"/>
    </w:rPr>
  </w:style>
  <w:style w:type="paragraph" w:styleId="842">
    <w:name w:val="List Paragraph"/>
    <w:basedOn w:val="750"/>
    <w:uiPriority w:val="34"/>
    <w:qFormat/>
    <w:pPr>
      <w:contextualSpacing/>
      <w:ind w:left="720"/>
      <w:jc w:val="left"/>
      <w:widowControl/>
    </w:pPr>
    <w:rPr>
      <w:rFonts w:ascii="Calibri" w:hAnsi="Calibri"/>
      <w:sz w:val="24"/>
      <w:szCs w:val="24"/>
      <w:lang w:eastAsia="en-US" w:bidi="en-US"/>
    </w:rPr>
  </w:style>
  <w:style w:type="paragraph" w:styleId="843">
    <w:name w:val="No Spacing"/>
    <w:uiPriority w:val="99"/>
    <w:qFormat/>
    <w:pPr>
      <w:jc w:val="both"/>
      <w:widowControl w:val="off"/>
    </w:pPr>
    <w:rPr>
      <w:sz w:val="21"/>
      <w:szCs w:val="21"/>
    </w:rPr>
  </w:style>
  <w:style w:type="character" w:styleId="844" w:customStyle="1">
    <w:name w:val="标题 Char"/>
    <w:link w:val="823"/>
    <w:uiPriority w:val="10"/>
    <w:qFormat/>
    <w:rPr>
      <w:sz w:val="48"/>
      <w:szCs w:val="48"/>
    </w:rPr>
  </w:style>
  <w:style w:type="character" w:styleId="845" w:customStyle="1">
    <w:name w:val="副标题 Char"/>
    <w:link w:val="812"/>
    <w:uiPriority w:val="11"/>
    <w:qFormat/>
    <w:rPr>
      <w:sz w:val="24"/>
      <w:szCs w:val="24"/>
    </w:rPr>
  </w:style>
  <w:style w:type="paragraph" w:styleId="846">
    <w:name w:val="Quote"/>
    <w:basedOn w:val="750"/>
    <w:next w:val="750"/>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50"/>
    <w:next w:val="750"/>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Header Char"/>
    <w:uiPriority w:val="99"/>
    <w:qFormat/>
  </w:style>
  <w:style w:type="character" w:styleId="851" w:customStyle="1">
    <w:name w:val="Footer Char"/>
    <w:uiPriority w:val="99"/>
    <w:qFormat/>
  </w:style>
  <w:style w:type="character" w:styleId="852" w:customStyle="1">
    <w:name w:val="Caption Char"/>
    <w:uiPriority w:val="99"/>
    <w:qFormat/>
  </w:style>
  <w:style w:type="table" w:styleId="8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814"/>
    <w:uiPriority w:val="99"/>
    <w:qFormat/>
    <w:rPr>
      <w:sz w:val="18"/>
    </w:rPr>
  </w:style>
  <w:style w:type="character" w:styleId="979" w:customStyle="1">
    <w:name w:val="尾注文本 Char"/>
    <w:link w:val="806"/>
    <w:uiPriority w:val="99"/>
    <w:qFormat/>
    <w:rPr>
      <w:sz w:val="20"/>
    </w:rPr>
  </w:style>
  <w:style w:type="paragraph" w:styleId="980" w:customStyle="1">
    <w:name w:val="TOC 标题1"/>
    <w:uiPriority w:val="39"/>
    <w:unhideWhenUsed/>
    <w:qFormat/>
  </w:style>
  <w:style w:type="character" w:styleId="981" w:customStyle="1">
    <w:name w:val="标题 3 Char"/>
    <w:link w:val="753"/>
    <w:qFormat/>
    <w:rPr>
      <w:rFonts w:ascii="Times New Roman" w:hAnsi="Times New Roman" w:eastAsia="宋体" w:cs="Times New Roman"/>
      <w:b/>
      <w:bCs/>
      <w:sz w:val="32"/>
      <w:szCs w:val="32"/>
    </w:rPr>
  </w:style>
  <w:style w:type="character" w:styleId="982" w:customStyle="1">
    <w:name w:val="标题 2 Char"/>
    <w:link w:val="752"/>
    <w:qFormat/>
    <w:rPr>
      <w:rFonts w:ascii="Arial" w:hAnsi="Arial" w:eastAsia="幼圆" w:cs="Arial"/>
      <w:b/>
      <w:bCs/>
      <w:sz w:val="44"/>
      <w:szCs w:val="44"/>
    </w:rPr>
  </w:style>
  <w:style w:type="character" w:styleId="983" w:customStyle="1">
    <w:name w:val="纯文本 Char"/>
    <w:link w:val="802"/>
    <w:qFormat/>
    <w:rPr>
      <w:rFonts w:ascii="宋体" w:hAnsi="Courier New" w:eastAsia="宋体" w:cs="Courier New"/>
      <w:szCs w:val="21"/>
    </w:rPr>
  </w:style>
  <w:style w:type="character" w:styleId="984" w:customStyle="1">
    <w:name w:val="文档结构图 Char"/>
    <w:link w:val="795"/>
    <w:semiHidden/>
    <w:qFormat/>
    <w:rPr>
      <w:rFonts w:ascii="Times New Roman" w:hAnsi="Times New Roman" w:eastAsia="宋体" w:cs="Times New Roman"/>
      <w:szCs w:val="21"/>
      <w:shd w:val="clear" w:color="auto" w:fill="000080"/>
    </w:rPr>
  </w:style>
  <w:style w:type="character" w:styleId="985" w:customStyle="1">
    <w:name w:val="页脚 Char"/>
    <w:link w:val="808"/>
    <w:qFormat/>
    <w:rPr>
      <w:rFonts w:ascii="Times New Roman" w:hAnsi="Times New Roman" w:eastAsia="宋体" w:cs="Times New Roman"/>
      <w:sz w:val="18"/>
      <w:szCs w:val="18"/>
    </w:rPr>
  </w:style>
  <w:style w:type="character" w:styleId="986" w:customStyle="1">
    <w:name w:val="列出段落 Char"/>
    <w:link w:val="987"/>
    <w:qFormat/>
    <w:rPr>
      <w:rFonts w:ascii="Calibri" w:hAnsi="Calibri"/>
      <w:sz w:val="24"/>
      <w:szCs w:val="24"/>
      <w:lang w:eastAsia="en-US" w:bidi="en-US"/>
    </w:rPr>
  </w:style>
  <w:style w:type="paragraph" w:styleId="987" w:customStyle="1">
    <w:name w:val="列出段落1"/>
    <w:basedOn w:val="750"/>
    <w:link w:val="986"/>
    <w:qFormat/>
    <w:pPr>
      <w:contextualSpacing/>
      <w:ind w:left="720"/>
      <w:jc w:val="left"/>
      <w:widowControl/>
    </w:pPr>
    <w:rPr>
      <w:rFonts w:ascii="Calibri" w:hAnsi="Calibri"/>
      <w:sz w:val="24"/>
      <w:szCs w:val="24"/>
      <w:lang w:eastAsia="en-US" w:bidi="en-US"/>
    </w:rPr>
  </w:style>
  <w:style w:type="character" w:styleId="988" w:customStyle="1">
    <w:name w:val="标题 6 Char"/>
    <w:link w:val="756"/>
    <w:qFormat/>
    <w:rPr>
      <w:rFonts w:ascii="Arial" w:hAnsi="Arial" w:eastAsia="黑体" w:cs="Times New Roman"/>
      <w:b/>
      <w:bCs/>
      <w:sz w:val="24"/>
      <w:szCs w:val="24"/>
    </w:rPr>
  </w:style>
  <w:style w:type="character" w:styleId="989" w:customStyle="1">
    <w:name w:val="批注主题 Char"/>
    <w:link w:val="824"/>
    <w:semiHidden/>
    <w:qFormat/>
    <w:rPr>
      <w:rFonts w:ascii="Times New Roman" w:hAnsi="Times New Roman" w:eastAsia="宋体" w:cs="Times New Roman"/>
      <w:b/>
      <w:bCs/>
      <w:szCs w:val="21"/>
    </w:rPr>
  </w:style>
  <w:style w:type="character" w:styleId="990" w:customStyle="1">
    <w:name w:val="正文文本 2 Char"/>
    <w:link w:val="820"/>
    <w:qFormat/>
    <w:rPr>
      <w:rFonts w:ascii="楷体_GB2312" w:hAnsi="Times New Roman" w:eastAsia="楷体_GB2312" w:cs="Times New Roman"/>
      <w:sz w:val="28"/>
      <w:szCs w:val="28"/>
    </w:rPr>
  </w:style>
  <w:style w:type="character" w:styleId="991" w:customStyle="1">
    <w:name w:val="正文首行缩进 Char"/>
    <w:link w:val="825"/>
    <w:qFormat/>
    <w:rPr>
      <w:rFonts w:ascii="仿宋_GB2312" w:hAnsi="Times New Roman" w:eastAsia="仿宋_GB2312" w:cs="Times New Roman"/>
      <w:sz w:val="30"/>
      <w:szCs w:val="30"/>
    </w:rPr>
  </w:style>
  <w:style w:type="character" w:styleId="992" w:customStyle="1">
    <w:name w:val="正文首行缩进 2 Char"/>
    <w:link w:val="789"/>
    <w:qFormat/>
    <w:rPr>
      <w:rFonts w:ascii="宋体" w:hAnsi="宋体" w:eastAsia="宋体" w:cs="Times New Roman"/>
      <w:sz w:val="32"/>
      <w:szCs w:val="20"/>
    </w:rPr>
  </w:style>
  <w:style w:type="character" w:styleId="993" w:customStyle="1">
    <w:name w:val="标题 1 Char"/>
    <w:link w:val="751"/>
    <w:qFormat/>
    <w:rPr>
      <w:rFonts w:ascii="楷体_GB2312" w:hAnsi="楷体_GB2312" w:eastAsia="黑体" w:cs="Times New Roman"/>
      <w:sz w:val="44"/>
      <w:szCs w:val="28"/>
    </w:rPr>
  </w:style>
  <w:style w:type="character" w:styleId="994" w:customStyle="1">
    <w:name w:val="已访问的超链接1"/>
    <w:qFormat/>
    <w:rPr>
      <w:color w:val="800080"/>
      <w:u w:val="single"/>
    </w:rPr>
  </w:style>
  <w:style w:type="character" w:styleId="995" w:customStyle="1">
    <w:name w:val="正文文本 3 Char"/>
    <w:link w:val="797"/>
    <w:qFormat/>
    <w:rPr>
      <w:rFonts w:ascii="仿宋_GB2312" w:hAnsi="Arial" w:eastAsia="仿宋_GB2312" w:cs="Times New Roman"/>
      <w:sz w:val="32"/>
      <w:szCs w:val="32"/>
    </w:rPr>
  </w:style>
  <w:style w:type="character" w:styleId="996" w:customStyle="1">
    <w:name w:val="二级目录 Char"/>
    <w:link w:val="997"/>
    <w:qFormat/>
    <w:rPr>
      <w:b/>
      <w:sz w:val="30"/>
      <w:szCs w:val="28"/>
    </w:rPr>
  </w:style>
  <w:style w:type="paragraph" w:styleId="997" w:customStyle="1">
    <w:name w:val="二级目录"/>
    <w:next w:val="750"/>
    <w:link w:val="996"/>
    <w:qFormat/>
    <w:pPr>
      <w:numPr>
        <w:numId w:val="2"/>
      </w:numPr>
      <w:tabs>
        <w:tab w:val="left" w:pos="1145" w:leader="none"/>
      </w:tabs>
      <w:outlineLvl w:val="1"/>
    </w:pPr>
    <w:rPr>
      <w:b/>
      <w:sz w:val="30"/>
      <w:szCs w:val="28"/>
    </w:rPr>
  </w:style>
  <w:style w:type="character" w:styleId="998" w:customStyle="1">
    <w:name w:val="正文缩进 Char"/>
    <w:link w:val="791"/>
    <w:qFormat/>
    <w:rPr>
      <w:rFonts w:ascii="Times New Roman" w:hAnsi="Times New Roman" w:eastAsia="宋体" w:cs="Times New Roman"/>
      <w:szCs w:val="21"/>
    </w:rPr>
  </w:style>
  <w:style w:type="character" w:styleId="999" w:customStyle="1">
    <w:name w:val="标题 7 Char"/>
    <w:link w:val="757"/>
    <w:qFormat/>
    <w:rPr>
      <w:rFonts w:ascii="Times New Roman" w:hAnsi="Times New Roman" w:eastAsia="宋体" w:cs="Times New Roman"/>
      <w:b/>
      <w:bCs/>
      <w:sz w:val="24"/>
      <w:szCs w:val="24"/>
    </w:rPr>
  </w:style>
  <w:style w:type="character" w:styleId="1000" w:customStyle="1">
    <w:name w:val="正文文本缩进 Char"/>
    <w:link w:val="790"/>
    <w:qFormat/>
    <w:rPr>
      <w:rFonts w:ascii="楷体_GB2312" w:hAnsi="Times New Roman" w:eastAsia="楷体_GB2312" w:cs="Times New Roman"/>
      <w:sz w:val="32"/>
      <w:szCs w:val="32"/>
    </w:rPr>
  </w:style>
  <w:style w:type="character" w:styleId="1001" w:customStyle="1">
    <w:name w:val="标题 9 Char"/>
    <w:link w:val="759"/>
    <w:qFormat/>
    <w:rPr>
      <w:rFonts w:ascii="Arial" w:hAnsi="Arial" w:eastAsia="黑体" w:cs="Times New Roman"/>
      <w:szCs w:val="21"/>
    </w:rPr>
  </w:style>
  <w:style w:type="character" w:styleId="1002" w:customStyle="1">
    <w:name w:val="批注文字 Char"/>
    <w:link w:val="796"/>
    <w:uiPriority w:val="99"/>
    <w:semiHidden/>
    <w:qFormat/>
    <w:rPr>
      <w:rFonts w:ascii="Times New Roman" w:hAnsi="Times New Roman" w:eastAsia="宋体" w:cs="Times New Roman"/>
      <w:szCs w:val="21"/>
    </w:rPr>
  </w:style>
  <w:style w:type="character" w:styleId="1003" w:customStyle="1">
    <w:name w:val="标题 5 Char"/>
    <w:link w:val="755"/>
    <w:qFormat/>
    <w:rPr>
      <w:rFonts w:ascii="宋体" w:hAnsi="Times New Roman" w:eastAsia="宋体" w:cs="Times New Roman"/>
      <w:color w:val="000000"/>
      <w:sz w:val="28"/>
      <w:szCs w:val="28"/>
    </w:rPr>
  </w:style>
  <w:style w:type="character" w:styleId="1004" w:customStyle="1">
    <w:name w:val="正文文本缩进 2 Char"/>
    <w:link w:val="805"/>
    <w:qFormat/>
    <w:rPr>
      <w:rFonts w:ascii="Arial" w:hAnsi="Arial" w:eastAsia="仿宋_GB2312" w:cs="Arial"/>
      <w:sz w:val="32"/>
      <w:szCs w:val="32"/>
    </w:rPr>
  </w:style>
  <w:style w:type="character" w:styleId="1005" w:customStyle="1">
    <w:name w:val="日期 Char"/>
    <w:link w:val="804"/>
    <w:qFormat/>
    <w:rPr>
      <w:rFonts w:ascii="Times New Roman" w:hAnsi="Times New Roman" w:eastAsia="宋体" w:cs="Times New Roman"/>
      <w:sz w:val="24"/>
      <w:szCs w:val="24"/>
    </w:rPr>
  </w:style>
  <w:style w:type="character" w:styleId="1006" w:customStyle="1">
    <w:name w:val="批注框文本 Char"/>
    <w:link w:val="807"/>
    <w:semiHidden/>
    <w:qFormat/>
    <w:rPr>
      <w:rFonts w:ascii="Times New Roman" w:hAnsi="Times New Roman" w:eastAsia="宋体" w:cs="Times New Roman"/>
      <w:sz w:val="18"/>
      <w:szCs w:val="18"/>
    </w:rPr>
  </w:style>
  <w:style w:type="character" w:styleId="1007" w:customStyle="1">
    <w:name w:val="标题 4 Char"/>
    <w:link w:val="754"/>
    <w:qFormat/>
    <w:rPr>
      <w:rFonts w:ascii="Arial" w:hAnsi="Arial" w:eastAsia="黑体" w:cs="Arial"/>
      <w:b/>
      <w:bCs/>
      <w:sz w:val="28"/>
      <w:szCs w:val="28"/>
    </w:rPr>
  </w:style>
  <w:style w:type="character" w:styleId="1008" w:customStyle="1">
    <w:name w:val="font5 Char"/>
    <w:qFormat/>
    <w:rPr>
      <w:rFonts w:ascii="宋体" w:hAnsi="宋体" w:eastAsia="宋体"/>
      <w:sz w:val="28"/>
      <w:szCs w:val="28"/>
      <w:lang w:val="en-US" w:eastAsia="zh-CN" w:bidi="ar-SA"/>
    </w:rPr>
  </w:style>
  <w:style w:type="character" w:styleId="1009" w:customStyle="1">
    <w:name w:val="页眉 Char"/>
    <w:link w:val="809"/>
    <w:qFormat/>
    <w:rPr>
      <w:rFonts w:ascii="Times New Roman" w:hAnsi="Times New Roman" w:eastAsia="宋体" w:cs="Times New Roman"/>
      <w:sz w:val="18"/>
      <w:szCs w:val="18"/>
    </w:rPr>
  </w:style>
  <w:style w:type="character" w:styleId="1010" w:customStyle="1">
    <w:name w:val="正文文本 Char"/>
    <w:link w:val="798"/>
    <w:qFormat/>
    <w:rPr>
      <w:rFonts w:ascii="楷体_GB2312" w:hAnsi="Arial" w:eastAsia="楷体_GB2312" w:cs="Times New Roman"/>
      <w:sz w:val="28"/>
      <w:szCs w:val="28"/>
    </w:rPr>
  </w:style>
  <w:style w:type="character" w:styleId="1011" w:customStyle="1">
    <w:name w:val="正文文本缩进 3 Char"/>
    <w:link w:val="816"/>
    <w:qFormat/>
    <w:rPr>
      <w:rFonts w:ascii="Arial" w:hAnsi="Arial" w:eastAsia="仿宋_GB2312" w:cs="Arial"/>
      <w:color w:val="ffff00"/>
      <w:sz w:val="32"/>
      <w:szCs w:val="32"/>
    </w:rPr>
  </w:style>
  <w:style w:type="character" w:styleId="1012" w:customStyle="1">
    <w:name w:val="标题 8 Char"/>
    <w:link w:val="758"/>
    <w:qFormat/>
    <w:rPr>
      <w:rFonts w:ascii="Arial" w:hAnsi="Arial" w:eastAsia="黑体" w:cs="Times New Roman"/>
      <w:sz w:val="24"/>
      <w:szCs w:val="24"/>
    </w:rPr>
  </w:style>
  <w:style w:type="paragraph" w:styleId="1013" w:customStyle="1">
    <w:name w:val="xl25"/>
    <w:basedOn w:val="7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customStyle="1">
    <w:name w:val="xl27"/>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标题1"/>
    <w:basedOn w:val="750"/>
    <w:next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font6"/>
    <w:basedOn w:val="750"/>
    <w:qFormat/>
    <w:pPr>
      <w:jc w:val="left"/>
      <w:spacing w:before="100" w:beforeAutospacing="1" w:after="100" w:afterAutospacing="1"/>
      <w:widowControl/>
    </w:pPr>
    <w:rPr>
      <w:rFonts w:hint="eastAsia" w:ascii="宋体" w:hAnsi="宋体"/>
      <w:sz w:val="28"/>
      <w:szCs w:val="28"/>
      <w:u w:val="single"/>
    </w:rPr>
  </w:style>
  <w:style w:type="paragraph" w:styleId="1017" w:customStyle="1">
    <w:name w:val="xl30"/>
    <w:basedOn w:val="750"/>
    <w:qFormat/>
    <w:pPr>
      <w:jc w:val="center"/>
      <w:spacing w:before="100" w:beforeAutospacing="1" w:after="100" w:afterAutospacing="1"/>
      <w:widowControl/>
    </w:pPr>
    <w:rPr>
      <w:rFonts w:ascii="宋体" w:hAnsi="宋体"/>
      <w:b/>
      <w:bCs/>
      <w:sz w:val="36"/>
      <w:szCs w:val="36"/>
    </w:rPr>
  </w:style>
  <w:style w:type="paragraph" w:styleId="1018" w:customStyle="1">
    <w:name w:val="font5"/>
    <w:basedOn w:val="750"/>
    <w:qFormat/>
    <w:pPr>
      <w:jc w:val="left"/>
      <w:spacing w:before="100" w:beforeAutospacing="1" w:after="100" w:afterAutospacing="1"/>
      <w:widowControl/>
    </w:pPr>
    <w:rPr>
      <w:rFonts w:hint="eastAsia" w:ascii="宋体" w:hAnsi="宋体"/>
      <w:sz w:val="28"/>
      <w:szCs w:val="28"/>
    </w:rPr>
  </w:style>
  <w:style w:type="paragraph" w:styleId="1019" w:customStyle="1">
    <w:name w:val="图标"/>
    <w:basedOn w:val="750"/>
    <w:next w:val="7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Char Char Char Char"/>
    <w:basedOn w:val="795"/>
    <w:qFormat/>
    <w:pPr>
      <w:spacing w:line="360" w:lineRule="auto"/>
    </w:pPr>
    <w:rPr>
      <w:rFonts w:ascii="Tahoma" w:hAnsi="Tahoma"/>
      <w:sz w:val="24"/>
      <w:szCs w:val="24"/>
    </w:rPr>
  </w:style>
  <w:style w:type="paragraph" w:styleId="1021" w:customStyle="1">
    <w:name w:val="修订1"/>
    <w:uiPriority w:val="99"/>
    <w:semiHidden/>
    <w:qFormat/>
    <w:rPr>
      <w:sz w:val="21"/>
      <w:szCs w:val="21"/>
    </w:rPr>
  </w:style>
  <w:style w:type="paragraph" w:styleId="1022" w:customStyle="1">
    <w:name w:val="xl24"/>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24" w:customStyle="1">
    <w:name w:val="font7"/>
    <w:basedOn w:val="750"/>
    <w:qFormat/>
    <w:pPr>
      <w:jc w:val="left"/>
      <w:spacing w:before="100" w:beforeAutospacing="1" w:after="100" w:afterAutospacing="1"/>
      <w:widowControl/>
    </w:pPr>
    <w:rPr>
      <w:rFonts w:hint="eastAsia" w:ascii="宋体" w:hAnsi="宋体"/>
      <w:sz w:val="18"/>
      <w:szCs w:val="18"/>
    </w:rPr>
  </w:style>
  <w:style w:type="paragraph" w:styleId="1025" w:customStyle="1">
    <w:name w:val="Char Char Char Char Char Char Char Char1"/>
    <w:basedOn w:val="750"/>
    <w:qFormat/>
    <w:pPr>
      <w:jc w:val="left"/>
      <w:spacing w:after="160" w:line="240" w:lineRule="exact"/>
      <w:widowControl/>
    </w:pPr>
    <w:rPr>
      <w:rFonts w:ascii="Verdana" w:hAnsi="Verdana"/>
      <w:sz w:val="20"/>
      <w:szCs w:val="20"/>
      <w:lang w:eastAsia="en-US"/>
    </w:rPr>
  </w:style>
  <w:style w:type="paragraph" w:styleId="1026" w:customStyle="1">
    <w:name w:val="table_lines"/>
    <w:basedOn w:val="750"/>
    <w:qFormat/>
    <w:pPr>
      <w:jc w:val="left"/>
      <w:widowControl/>
    </w:pPr>
    <w:rPr>
      <w:sz w:val="20"/>
      <w:szCs w:val="20"/>
      <w:lang w:val="de-DE" w:eastAsia="de-DE"/>
    </w:rPr>
  </w:style>
  <w:style w:type="paragraph" w:styleId="1027" w:customStyle="1">
    <w:name w:val="Char"/>
    <w:basedOn w:val="795"/>
    <w:qFormat/>
    <w:rPr>
      <w:rFonts w:ascii="Tahoma" w:hAnsi="Tahoma"/>
      <w:sz w:val="24"/>
      <w:szCs w:val="24"/>
    </w:rPr>
  </w:style>
  <w:style w:type="paragraph" w:styleId="1028" w:customStyle="1">
    <w:name w:val="附录1"/>
    <w:qFormat/>
    <w:pPr>
      <w:ind w:left="907" w:hanging="907"/>
      <w:spacing w:before="240" w:line="600" w:lineRule="atLeast"/>
      <w:tabs>
        <w:tab w:val="left" w:pos="907" w:leader="none"/>
      </w:tabs>
    </w:pPr>
    <w:rPr>
      <w:b/>
      <w:i/>
      <w:sz w:val="28"/>
    </w:rPr>
  </w:style>
  <w:style w:type="paragraph" w:styleId="1029" w:customStyle="1">
    <w:name w:val="Body Text(ch)"/>
    <w:basedOn w:val="750"/>
    <w:next w:val="798"/>
    <w:qFormat/>
    <w:pPr>
      <w:spacing w:after="120"/>
    </w:pPr>
    <w:rPr>
      <w:rFonts w:ascii="宋体" w:hAnsi="Arial"/>
      <w:bCs/>
      <w:iCs/>
      <w:szCs w:val="24"/>
    </w:rPr>
  </w:style>
  <w:style w:type="paragraph" w:styleId="1030" w:customStyle="1">
    <w:name w:val="xl28"/>
    <w:basedOn w:val="7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普通 (Web)"/>
    <w:basedOn w:val="750"/>
    <w:qFormat/>
    <w:pPr>
      <w:jc w:val="left"/>
      <w:spacing w:before="100" w:beforeAutospacing="1" w:after="100" w:afterAutospacing="1"/>
      <w:widowControl/>
    </w:pPr>
    <w:rPr>
      <w:rFonts w:ascii="宋体" w:hAnsi="宋体"/>
      <w:sz w:val="24"/>
      <w:szCs w:val="24"/>
    </w:rPr>
  </w:style>
  <w:style w:type="paragraph" w:styleId="1032" w:customStyle="1">
    <w:name w:val="普通正文"/>
    <w:basedOn w:val="750"/>
    <w:qFormat/>
    <w:pPr>
      <w:ind w:firstLine="480"/>
      <w:jc w:val="left"/>
      <w:spacing w:before="120" w:after="120" w:line="360" w:lineRule="auto"/>
    </w:pPr>
    <w:rPr>
      <w:rFonts w:ascii="Arial" w:hAnsi="Arial"/>
      <w:sz w:val="24"/>
      <w:szCs w:val="24"/>
    </w:rPr>
  </w:style>
  <w:style w:type="paragraph" w:styleId="1033" w:customStyle="1">
    <w:name w:val="xl26"/>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xl29"/>
    <w:basedOn w:val="75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5" w:customStyle="1">
    <w:name w:val="Char1"/>
    <w:basedOn w:val="750"/>
    <w:qFormat/>
    <w:pPr>
      <w:ind w:firstLine="200"/>
      <w:tabs>
        <w:tab w:val="left" w:pos="360" w:leader="none"/>
      </w:tabs>
    </w:pPr>
    <w:rPr>
      <w:sz w:val="28"/>
      <w:szCs w:val="30"/>
    </w:rPr>
  </w:style>
  <w:style w:type="paragraph" w:styleId="1036" w:customStyle="1">
    <w:name w:val="4"/>
    <w:basedOn w:val="750"/>
    <w:next w:val="816"/>
    <w:qFormat/>
    <w:pPr>
      <w:ind w:firstLine="420"/>
      <w:spacing w:line="360" w:lineRule="auto"/>
    </w:pPr>
    <w:rPr>
      <w:color w:val="ff0000"/>
      <w:sz w:val="24"/>
      <w:szCs w:val="24"/>
    </w:rPr>
  </w:style>
  <w:style w:type="paragraph" w:styleId="1037" w:customStyle="1">
    <w:name w:val="Char Char Char Char Char Char Char Char Char Char"/>
    <w:basedOn w:val="750"/>
    <w:qFormat/>
    <w:pPr>
      <w:spacing w:line="360" w:lineRule="auto"/>
    </w:pPr>
    <w:rPr>
      <w:sz w:val="24"/>
      <w:szCs w:val="20"/>
    </w:rPr>
  </w:style>
  <w:style w:type="paragraph" w:styleId="1038" w:customStyle="1">
    <w:name w:val="样式1"/>
    <w:basedOn w:val="750"/>
    <w:qFormat/>
    <w:pPr>
      <w:numPr>
        <w:numId w:val="3"/>
      </w:numPr>
    </w:pPr>
    <w:rPr>
      <w:rFonts w:ascii="宋体" w:hAnsi="宋体"/>
    </w:rPr>
  </w:style>
  <w:style w:type="paragraph" w:styleId="1039" w:customStyle="1">
    <w:name w:val="标题3"/>
    <w:basedOn w:val="750"/>
    <w:next w:val="750"/>
    <w:qFormat/>
    <w:pPr>
      <w:ind w:firstLine="624"/>
      <w:spacing w:line="590" w:lineRule="atLeast"/>
    </w:pPr>
    <w:rPr>
      <w:rFonts w:ascii="方正黑体_GBK" w:eastAsia="方正黑体_GBK"/>
      <w:sz w:val="32"/>
      <w:szCs w:val="32"/>
    </w:rPr>
  </w:style>
  <w:style w:type="paragraph" w:styleId="1040" w:customStyle="1">
    <w:name w:val="Char Char Char Char1"/>
    <w:basedOn w:val="795"/>
    <w:qFormat/>
    <w:pPr>
      <w:spacing w:line="360" w:lineRule="auto"/>
    </w:pPr>
    <w:rPr>
      <w:rFonts w:ascii="Tahoma" w:hAnsi="Tahoma"/>
      <w:sz w:val="24"/>
      <w:szCs w:val="24"/>
    </w:rPr>
  </w:style>
  <w:style w:type="paragraph" w:styleId="1041" w:customStyle="1">
    <w:name w:val="table_1stline"/>
    <w:basedOn w:val="750"/>
    <w:qFormat/>
    <w:pPr>
      <w:jc w:val="left"/>
      <w:spacing w:before="120"/>
      <w:widowControl/>
    </w:pPr>
    <w:rPr>
      <w:bCs/>
      <w:sz w:val="20"/>
      <w:szCs w:val="20"/>
      <w:lang w:val="de-DE" w:eastAsia="de-DE"/>
    </w:rPr>
  </w:style>
  <w:style w:type="paragraph" w:styleId="1042" w:customStyle="1">
    <w:name w:val="标题 31"/>
    <w:basedOn w:val="750"/>
    <w:next w:val="750"/>
    <w:qFormat/>
    <w:pPr>
      <w:keepLines/>
      <w:keepNext/>
      <w:spacing w:before="260" w:after="260" w:line="416" w:lineRule="auto"/>
      <w:outlineLvl w:val="2"/>
    </w:pPr>
    <w:rPr>
      <w:b/>
      <w:bCs/>
      <w:sz w:val="32"/>
      <w:szCs w:val="32"/>
    </w:rPr>
  </w:style>
  <w:style w:type="paragraph" w:styleId="1043" w:customStyle="1">
    <w:name w:val="标题 41"/>
    <w:basedOn w:val="750"/>
    <w:next w:val="1044"/>
    <w:qFormat/>
    <w:pPr>
      <w:keepLines/>
      <w:keepNext/>
      <w:spacing w:before="280" w:after="290" w:line="376" w:lineRule="auto"/>
      <w:outlineLvl w:val="3"/>
    </w:pPr>
    <w:rPr>
      <w:rFonts w:ascii="Arial" w:hAnsi="Arial" w:eastAsia="黑体" w:cs="Arial"/>
      <w:b/>
      <w:bCs/>
      <w:sz w:val="28"/>
      <w:szCs w:val="28"/>
    </w:rPr>
  </w:style>
  <w:style w:type="paragraph" w:styleId="1044" w:customStyle="1">
    <w:name w:val="正文缩进1"/>
    <w:basedOn w:val="750"/>
    <w:qFormat/>
    <w:pPr>
      <w:ind w:firstLine="420"/>
    </w:pPr>
  </w:style>
  <w:style w:type="paragraph" w:styleId="1045" w:customStyle="1">
    <w:name w:val="页眉1"/>
    <w:basedOn w:val="750"/>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码1"/>
    <w:qFormat/>
  </w:style>
  <w:style w:type="paragraph" w:styleId="1047" w:customStyle="1">
    <w:name w:val="页脚1"/>
    <w:basedOn w:val="750"/>
    <w:qFormat/>
    <w:pPr>
      <w:jc w:val="left"/>
      <w:tabs>
        <w:tab w:val="center" w:pos="4153" w:leader="none"/>
        <w:tab w:val="right" w:pos="8306" w:leader="none"/>
      </w:tabs>
    </w:pPr>
    <w:rPr>
      <w:sz w:val="18"/>
      <w:szCs w:val="18"/>
    </w:rPr>
  </w:style>
  <w:style w:type="paragraph" w:styleId="1048" w:customStyle="1">
    <w:name w:val="无间隔1"/>
    <w:uiPriority w:val="99"/>
    <w:qFormat/>
    <w:pPr>
      <w:jc w:val="both"/>
      <w:widowControl w:val="off"/>
    </w:pPr>
    <w:rPr>
      <w:sz w:val="21"/>
      <w:szCs w:val="21"/>
    </w:rPr>
  </w:style>
  <w:style w:type="paragraph" w:styleId="1049" w:customStyle="1">
    <w:name w:val="Default"/>
    <w:qFormat/>
    <w:pPr>
      <w:widowControl w:val="off"/>
    </w:pPr>
    <w:rPr>
      <w:rFonts w:ascii="宋体" w:cs="宋体"/>
      <w:color w:val="000000"/>
      <w:sz w:val="24"/>
      <w:szCs w:val="24"/>
    </w:rPr>
  </w:style>
  <w:style w:type="paragraph" w:styleId="1050" w:customStyle="1">
    <w:name w:val="正文1"/>
    <w:next w:val="750"/>
    <w:qFormat/>
  </w:style>
  <w:style w:type="paragraph" w:styleId="1051" w:customStyle="1">
    <w:name w:val="footer1"/>
    <w:basedOn w:val="750"/>
    <w:qFormat/>
    <w:pPr>
      <w:jc w:val="left"/>
      <w:tabs>
        <w:tab w:val="center" w:pos="4153" w:leader="none"/>
        <w:tab w:val="right" w:pos="8306" w:leader="none"/>
      </w:tabs>
    </w:pPr>
    <w:rPr>
      <w:sz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97</cp:revision>
  <dcterms:created xsi:type="dcterms:W3CDTF">2024-04-29T07:17:00Z</dcterms:created>
  <dcterms:modified xsi:type="dcterms:W3CDTF">2024-11-21T01:22:34Z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1D84A8BBA01A499C85C6C741CD7F7FFD_13</vt:lpwstr>
  </property>
</Properties>
</file>